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51DE8A41" w:rsidR="002A7CD2" w:rsidRPr="00A938F4" w:rsidRDefault="00AE3836" w:rsidP="000078D6">
      <w:pPr>
        <w:spacing w:after="0"/>
        <w:jc w:val="center"/>
        <w:rPr>
          <w:rFonts w:ascii="Times New Roman" w:hAnsi="Times New Roman" w:cs="Times New Roman"/>
        </w:rPr>
      </w:pPr>
      <w:r w:rsidRPr="00A938F4">
        <w:rPr>
          <w:rFonts w:ascii="Times New Roman" w:hAnsi="Times New Roman" w:cs="Times New Roman"/>
        </w:rPr>
        <w:softHyphen/>
      </w:r>
      <w:r w:rsidR="00441946" w:rsidRPr="00A938F4">
        <w:rPr>
          <w:rFonts w:ascii="Times New Roman" w:hAnsi="Times New Roman" w:cs="Times New Roman"/>
          <w:noProof/>
        </w:rPr>
        <w:drawing>
          <wp:inline distT="0" distB="0" distL="0" distR="0" wp14:anchorId="1353F54E" wp14:editId="11839CD7">
            <wp:extent cx="3850110" cy="13744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9724" cy="1410004"/>
                    </a:xfrm>
                    <a:prstGeom prst="rect">
                      <a:avLst/>
                    </a:prstGeom>
                    <a:noFill/>
                    <a:ln>
                      <a:noFill/>
                    </a:ln>
                  </pic:spPr>
                </pic:pic>
              </a:graphicData>
            </a:graphic>
          </wp:inline>
        </w:drawing>
      </w:r>
    </w:p>
    <w:p w14:paraId="617F9DA5" w14:textId="3158A147" w:rsidR="00616EA5" w:rsidRPr="00A938F4" w:rsidRDefault="00277840" w:rsidP="00F70795">
      <w:pPr>
        <w:spacing w:after="0"/>
        <w:jc w:val="center"/>
        <w:rPr>
          <w:rFonts w:ascii="Times New Roman" w:hAnsi="Times New Roman" w:cs="Times New Roman"/>
          <w:b/>
          <w:sz w:val="32"/>
          <w:szCs w:val="32"/>
        </w:rPr>
      </w:pPr>
      <w:r w:rsidRPr="00A938F4">
        <w:rPr>
          <w:rFonts w:ascii="Times New Roman" w:hAnsi="Times New Roman" w:cs="Times New Roman"/>
          <w:b/>
          <w:sz w:val="32"/>
          <w:szCs w:val="32"/>
        </w:rPr>
        <w:t>202</w:t>
      </w:r>
      <w:r w:rsidR="00741177" w:rsidRPr="00A938F4">
        <w:rPr>
          <w:rFonts w:ascii="Times New Roman" w:hAnsi="Times New Roman" w:cs="Times New Roman"/>
          <w:b/>
          <w:sz w:val="32"/>
          <w:szCs w:val="32"/>
        </w:rPr>
        <w:t>2</w:t>
      </w:r>
      <w:r w:rsidRPr="00A938F4">
        <w:rPr>
          <w:rFonts w:ascii="Times New Roman" w:hAnsi="Times New Roman" w:cs="Times New Roman"/>
          <w:b/>
          <w:sz w:val="32"/>
          <w:szCs w:val="32"/>
        </w:rPr>
        <w:t xml:space="preserve"> </w:t>
      </w:r>
      <w:r w:rsidR="008C0345" w:rsidRPr="00A938F4">
        <w:rPr>
          <w:rFonts w:ascii="Times New Roman" w:hAnsi="Times New Roman" w:cs="Times New Roman"/>
          <w:b/>
          <w:sz w:val="32"/>
          <w:szCs w:val="32"/>
        </w:rPr>
        <w:t xml:space="preserve">Housing Tax Credit </w:t>
      </w:r>
      <w:r w:rsidR="00F5717C">
        <w:rPr>
          <w:rFonts w:ascii="Times New Roman" w:hAnsi="Times New Roman" w:cs="Times New Roman"/>
          <w:b/>
          <w:sz w:val="32"/>
          <w:szCs w:val="32"/>
        </w:rPr>
        <w:t xml:space="preserve">Program </w:t>
      </w:r>
    </w:p>
    <w:p w14:paraId="2BB5916B" w14:textId="42A8FD8D" w:rsidR="00226B34" w:rsidRPr="00A938F4" w:rsidRDefault="00226B34" w:rsidP="00616EA5">
      <w:pPr>
        <w:pBdr>
          <w:bottom w:val="single" w:sz="6" w:space="1" w:color="auto"/>
        </w:pBdr>
        <w:spacing w:after="0"/>
        <w:jc w:val="center"/>
        <w:rPr>
          <w:rFonts w:ascii="Times New Roman" w:hAnsi="Times New Roman" w:cs="Times New Roman"/>
          <w:b/>
          <w:sz w:val="32"/>
          <w:szCs w:val="32"/>
        </w:rPr>
      </w:pPr>
      <w:r w:rsidRPr="00A938F4">
        <w:rPr>
          <w:rFonts w:ascii="Times New Roman" w:hAnsi="Times New Roman" w:cs="Times New Roman"/>
          <w:b/>
          <w:sz w:val="32"/>
          <w:szCs w:val="32"/>
        </w:rPr>
        <w:t>Questions and Answers</w:t>
      </w:r>
      <w:r w:rsidR="00D93FAE" w:rsidRPr="00A938F4">
        <w:rPr>
          <w:rFonts w:ascii="Times New Roman" w:hAnsi="Times New Roman" w:cs="Times New Roman"/>
          <w:b/>
          <w:sz w:val="32"/>
          <w:szCs w:val="32"/>
        </w:rPr>
        <w:t xml:space="preserve"> </w:t>
      </w:r>
    </w:p>
    <w:p w14:paraId="0407AE8F" w14:textId="4D500D0E" w:rsidR="007C0246" w:rsidRDefault="009A3438" w:rsidP="006D7569">
      <w:pPr>
        <w:spacing w:after="0"/>
        <w:rPr>
          <w:rFonts w:ascii="Times New Roman" w:hAnsi="Times New Roman" w:cs="Times New Roman"/>
          <w:noProof/>
        </w:rPr>
      </w:pPr>
      <w:r w:rsidRPr="00A938F4">
        <w:rPr>
          <w:rFonts w:ascii="Times New Roman" w:hAnsi="Times New Roman" w:cs="Times New Roman"/>
          <w:color w:val="A6A6A6" w:themeColor="background1" w:themeShade="A6"/>
        </w:rPr>
        <w:t>Published</w:t>
      </w:r>
      <w:r w:rsidR="00741177" w:rsidRPr="00A938F4">
        <w:rPr>
          <w:rFonts w:ascii="Times New Roman" w:hAnsi="Times New Roman" w:cs="Times New Roman"/>
          <w:color w:val="A6A6A6" w:themeColor="background1" w:themeShade="A6"/>
        </w:rPr>
        <w:t xml:space="preserve"> </w:t>
      </w:r>
      <w:r w:rsidR="0048024C" w:rsidRPr="000C19AE">
        <w:rPr>
          <w:rFonts w:ascii="Times New Roman" w:hAnsi="Times New Roman" w:cs="Times New Roman"/>
          <w:color w:val="A6A6A6" w:themeColor="background1" w:themeShade="A6"/>
        </w:rPr>
        <w:t>February 25</w:t>
      </w:r>
      <w:r w:rsidR="007C0246" w:rsidRPr="00A938F4">
        <w:rPr>
          <w:rFonts w:ascii="Times New Roman" w:hAnsi="Times New Roman" w:cs="Times New Roman"/>
          <w:color w:val="A6A6A6" w:themeColor="background1" w:themeShade="A6"/>
        </w:rPr>
        <w:t>, 202</w:t>
      </w:r>
      <w:r w:rsidR="00E91E6E" w:rsidRPr="00A938F4">
        <w:rPr>
          <w:rFonts w:ascii="Times New Roman" w:hAnsi="Times New Roman" w:cs="Times New Roman"/>
          <w:color w:val="A6A6A6" w:themeColor="background1" w:themeShade="A6"/>
        </w:rPr>
        <w:t>2</w:t>
      </w:r>
      <w:r w:rsidR="007C0246" w:rsidRPr="00A938F4">
        <w:rPr>
          <w:rFonts w:ascii="Times New Roman" w:hAnsi="Times New Roman" w:cs="Times New Roman"/>
          <w:noProof/>
        </w:rPr>
        <w:t xml:space="preserve"> </w:t>
      </w:r>
    </w:p>
    <w:p w14:paraId="30CF66E2" w14:textId="312095B0" w:rsidR="00CE5ADE" w:rsidRPr="00CD388A" w:rsidRDefault="009C799D" w:rsidP="006D7569">
      <w:pPr>
        <w:spacing w:after="0"/>
        <w:rPr>
          <w:rFonts w:ascii="Times New Roman" w:hAnsi="Times New Roman" w:cs="Times New Roman"/>
          <w:noProof/>
          <w:color w:val="A6A6A6" w:themeColor="background1" w:themeShade="A6"/>
        </w:rPr>
      </w:pPr>
      <w:r w:rsidRPr="00CD388A">
        <w:rPr>
          <w:rFonts w:ascii="Times New Roman" w:hAnsi="Times New Roman" w:cs="Times New Roman"/>
          <w:noProof/>
          <w:color w:val="A6A6A6" w:themeColor="background1" w:themeShade="A6"/>
        </w:rPr>
        <w:t xml:space="preserve">Updated </w:t>
      </w:r>
      <w:r w:rsidR="005E680F">
        <w:rPr>
          <w:rFonts w:ascii="Times New Roman" w:hAnsi="Times New Roman" w:cs="Times New Roman"/>
          <w:noProof/>
          <w:color w:val="A6A6A6" w:themeColor="background1" w:themeShade="A6"/>
        </w:rPr>
        <w:t>May</w:t>
      </w:r>
      <w:r w:rsidR="002F548E">
        <w:rPr>
          <w:rFonts w:ascii="Times New Roman" w:hAnsi="Times New Roman" w:cs="Times New Roman"/>
          <w:noProof/>
          <w:color w:val="A6A6A6" w:themeColor="background1" w:themeShade="A6"/>
        </w:rPr>
        <w:t xml:space="preserve"> 19</w:t>
      </w:r>
      <w:r w:rsidR="0080150C">
        <w:rPr>
          <w:rFonts w:ascii="Times New Roman" w:hAnsi="Times New Roman" w:cs="Times New Roman"/>
          <w:noProof/>
          <w:color w:val="A6A6A6" w:themeColor="background1" w:themeShade="A6"/>
        </w:rPr>
        <w:t xml:space="preserve">, 2022 </w:t>
      </w:r>
    </w:p>
    <w:p w14:paraId="3BAA02D4" w14:textId="7E6F77E5" w:rsidR="00E90677" w:rsidRPr="00A938F4" w:rsidRDefault="00EF4055" w:rsidP="00C80CAC">
      <w:pPr>
        <w:rPr>
          <w:rFonts w:ascii="Times New Roman" w:hAnsi="Times New Roman" w:cs="Times New Roman"/>
        </w:rPr>
      </w:pPr>
      <w:r w:rsidRPr="00A938F4">
        <w:rPr>
          <w:rFonts w:ascii="Times New Roman" w:hAnsi="Times New Roman" w:cs="Times New Roman"/>
        </w:rPr>
        <w:t xml:space="preserve"> </w:t>
      </w:r>
      <w:r w:rsidR="003E3AE5" w:rsidRPr="00A938F4">
        <w:rPr>
          <w:rFonts w:ascii="Times New Roman" w:hAnsi="Times New Roman" w:cs="Times New Roman"/>
        </w:rPr>
        <w:t xml:space="preserve"> </w:t>
      </w:r>
    </w:p>
    <w:p w14:paraId="0CFBFD79" w14:textId="27FE0838" w:rsidR="005A42ED" w:rsidRPr="00A938F4" w:rsidRDefault="000F162F" w:rsidP="00C80CAC">
      <w:pPr>
        <w:rPr>
          <w:rFonts w:ascii="Times New Roman" w:hAnsi="Times New Roman" w:cs="Times New Roman"/>
        </w:rPr>
      </w:pPr>
      <w:r w:rsidRPr="00A938F4">
        <w:rPr>
          <w:rFonts w:ascii="Times New Roman" w:hAnsi="Times New Roman" w:cs="Times New Roman"/>
        </w:rPr>
        <w:t xml:space="preserve">The pages that follow </w:t>
      </w:r>
      <w:proofErr w:type="gramStart"/>
      <w:r w:rsidR="00C80CAC" w:rsidRPr="00A938F4">
        <w:rPr>
          <w:rFonts w:ascii="Times New Roman" w:hAnsi="Times New Roman" w:cs="Times New Roman"/>
        </w:rPr>
        <w:t>are</w:t>
      </w:r>
      <w:proofErr w:type="gramEnd"/>
      <w:r w:rsidR="00C80CAC" w:rsidRPr="00A938F4">
        <w:rPr>
          <w:rFonts w:ascii="Times New Roman" w:hAnsi="Times New Roman" w:cs="Times New Roman"/>
        </w:rPr>
        <w:t xml:space="preserve"> </w:t>
      </w:r>
      <w:r w:rsidR="009F2161" w:rsidRPr="00A938F4">
        <w:rPr>
          <w:rFonts w:ascii="Times New Roman" w:hAnsi="Times New Roman" w:cs="Times New Roman"/>
        </w:rPr>
        <w:t xml:space="preserve">DCA </w:t>
      </w:r>
      <w:r w:rsidR="00C80CAC" w:rsidRPr="00A938F4">
        <w:rPr>
          <w:rFonts w:ascii="Times New Roman" w:hAnsi="Times New Roman" w:cs="Times New Roman"/>
        </w:rPr>
        <w:t xml:space="preserve">responses to questions pertaining to </w:t>
      </w:r>
      <w:r w:rsidR="000657A6">
        <w:rPr>
          <w:rFonts w:ascii="Times New Roman" w:hAnsi="Times New Roman" w:cs="Times New Roman"/>
        </w:rPr>
        <w:t xml:space="preserve">the </w:t>
      </w:r>
      <w:r w:rsidR="00F01542" w:rsidRPr="00A938F4">
        <w:rPr>
          <w:rFonts w:ascii="Times New Roman" w:hAnsi="Times New Roman" w:cs="Times New Roman"/>
        </w:rPr>
        <w:t>Housing Tax Credit</w:t>
      </w:r>
      <w:r w:rsidR="00E94F24">
        <w:rPr>
          <w:rFonts w:ascii="Times New Roman" w:hAnsi="Times New Roman" w:cs="Times New Roman"/>
        </w:rPr>
        <w:t xml:space="preserve"> program</w:t>
      </w:r>
      <w:r w:rsidR="00F01542" w:rsidRPr="00A938F4">
        <w:rPr>
          <w:rFonts w:ascii="Times New Roman" w:hAnsi="Times New Roman" w:cs="Times New Roman"/>
        </w:rPr>
        <w:t>.</w:t>
      </w:r>
      <w:r w:rsidR="00402C8E" w:rsidRPr="00A938F4">
        <w:rPr>
          <w:rFonts w:ascii="Times New Roman" w:hAnsi="Times New Roman" w:cs="Times New Roman"/>
        </w:rPr>
        <w:t xml:space="preserve"> </w:t>
      </w:r>
    </w:p>
    <w:p w14:paraId="3FE01ED7" w14:textId="0885E8B7" w:rsidR="005A266F" w:rsidRPr="00A938F4" w:rsidRDefault="005A266F" w:rsidP="005A266F">
      <w:pPr>
        <w:pStyle w:val="Heading1"/>
        <w:rPr>
          <w:rFonts w:cs="Times New Roman"/>
        </w:rPr>
      </w:pPr>
      <w:r w:rsidRPr="00A938F4">
        <w:rPr>
          <w:rFonts w:cs="Times New Roman"/>
        </w:rPr>
        <w:t>Part I: Overview</w:t>
      </w:r>
    </w:p>
    <w:p w14:paraId="2F289F9B" w14:textId="386378C6" w:rsidR="006704F3" w:rsidRPr="00A938F4" w:rsidRDefault="006704F3" w:rsidP="006704F3">
      <w:pPr>
        <w:pStyle w:val="Heading2"/>
        <w:rPr>
          <w:rFonts w:cs="Times New Roman"/>
        </w:rPr>
      </w:pPr>
      <w:r w:rsidRPr="00A938F4">
        <w:rPr>
          <w:rFonts w:cs="Times New Roman"/>
        </w:rPr>
        <w:t>Submit</w:t>
      </w:r>
      <w:r w:rsidR="00CD1C00" w:rsidRPr="00A938F4">
        <w:rPr>
          <w:rFonts w:cs="Times New Roman"/>
        </w:rPr>
        <w:t>ting</w:t>
      </w:r>
      <w:r w:rsidRPr="00A938F4">
        <w:rPr>
          <w:rFonts w:cs="Times New Roman"/>
        </w:rPr>
        <w:t xml:space="preserve"> Questions</w:t>
      </w:r>
    </w:p>
    <w:p w14:paraId="5B270D2B" w14:textId="01A7251F" w:rsidR="004C6455" w:rsidRPr="00A938F4" w:rsidRDefault="00865369" w:rsidP="00C80CAC">
      <w:pPr>
        <w:rPr>
          <w:rFonts w:ascii="Times New Roman" w:hAnsi="Times New Roman" w:cs="Times New Roman"/>
        </w:rPr>
      </w:pPr>
      <w:r w:rsidRPr="00A938F4">
        <w:rPr>
          <w:rFonts w:ascii="Times New Roman" w:hAnsi="Times New Roman" w:cs="Times New Roman"/>
        </w:rPr>
        <w:t>Q</w:t>
      </w:r>
      <w:r w:rsidR="00C80CAC" w:rsidRPr="00A938F4">
        <w:rPr>
          <w:rFonts w:ascii="Times New Roman" w:hAnsi="Times New Roman" w:cs="Times New Roman"/>
        </w:rPr>
        <w:t xml:space="preserve">uestions must be submitted through the online </w:t>
      </w:r>
      <w:r w:rsidR="003F2D75" w:rsidRPr="00FE47C0">
        <w:rPr>
          <w:rFonts w:ascii="Times New Roman" w:hAnsi="Times New Roman" w:cs="Times New Roman"/>
        </w:rPr>
        <w:t>2022</w:t>
      </w:r>
      <w:r w:rsidR="00C67543" w:rsidRPr="00FE47C0">
        <w:rPr>
          <w:rFonts w:ascii="Times New Roman" w:hAnsi="Times New Roman" w:cs="Times New Roman"/>
        </w:rPr>
        <w:t xml:space="preserve"> </w:t>
      </w:r>
      <w:r w:rsidR="001344B0" w:rsidRPr="00A938F4">
        <w:rPr>
          <w:rFonts w:ascii="Times New Roman" w:hAnsi="Times New Roman" w:cs="Times New Roman"/>
        </w:rPr>
        <w:t>Housing Tax Credit</w:t>
      </w:r>
      <w:r w:rsidR="00A56DE6" w:rsidRPr="00A938F4">
        <w:rPr>
          <w:rFonts w:ascii="Times New Roman" w:hAnsi="Times New Roman" w:cs="Times New Roman"/>
        </w:rPr>
        <w:t xml:space="preserve"> </w:t>
      </w:r>
      <w:r w:rsidR="00A93549">
        <w:rPr>
          <w:rFonts w:ascii="Times New Roman" w:hAnsi="Times New Roman" w:cs="Times New Roman"/>
        </w:rPr>
        <w:t xml:space="preserve">program </w:t>
      </w:r>
      <w:r w:rsidR="00C80CAC" w:rsidRPr="00A938F4">
        <w:rPr>
          <w:rFonts w:ascii="Times New Roman" w:hAnsi="Times New Roman" w:cs="Times New Roman"/>
        </w:rPr>
        <w:t xml:space="preserve">Q&amp;A </w:t>
      </w:r>
      <w:r w:rsidR="004B66C7">
        <w:rPr>
          <w:rFonts w:ascii="Times New Roman" w:hAnsi="Times New Roman" w:cs="Times New Roman"/>
        </w:rPr>
        <w:t xml:space="preserve">survey </w:t>
      </w:r>
      <w:r w:rsidR="00C80CAC" w:rsidRPr="00A938F4">
        <w:rPr>
          <w:rFonts w:ascii="Times New Roman" w:hAnsi="Times New Roman" w:cs="Times New Roman"/>
        </w:rPr>
        <w:t xml:space="preserve">hosted on the </w:t>
      </w:r>
      <w:r w:rsidR="00140B5A">
        <w:rPr>
          <w:rFonts w:ascii="Times New Roman" w:hAnsi="Times New Roman" w:cs="Times New Roman"/>
        </w:rPr>
        <w:t>“</w:t>
      </w:r>
      <w:r w:rsidR="00C80CAC" w:rsidRPr="00A938F4">
        <w:rPr>
          <w:rFonts w:ascii="Times New Roman" w:hAnsi="Times New Roman" w:cs="Times New Roman"/>
        </w:rPr>
        <w:t>202</w:t>
      </w:r>
      <w:r w:rsidR="0046638A" w:rsidRPr="00A938F4">
        <w:rPr>
          <w:rFonts w:ascii="Times New Roman" w:hAnsi="Times New Roman" w:cs="Times New Roman"/>
        </w:rPr>
        <w:t>2</w:t>
      </w:r>
      <w:r w:rsidR="00C80CAC" w:rsidRPr="00A938F4">
        <w:rPr>
          <w:rFonts w:ascii="Times New Roman" w:hAnsi="Times New Roman" w:cs="Times New Roman"/>
        </w:rPr>
        <w:t xml:space="preserve"> QAP and Related Documents</w:t>
      </w:r>
      <w:r w:rsidR="00140B5A">
        <w:rPr>
          <w:rFonts w:ascii="Times New Roman" w:hAnsi="Times New Roman" w:cs="Times New Roman"/>
        </w:rPr>
        <w:t>”</w:t>
      </w:r>
      <w:r w:rsidR="00C80CAC" w:rsidRPr="00A938F4">
        <w:rPr>
          <w:rFonts w:ascii="Times New Roman" w:hAnsi="Times New Roman" w:cs="Times New Roman"/>
        </w:rPr>
        <w:t xml:space="preserve"> webpage </w:t>
      </w:r>
      <w:r w:rsidR="004D60EA">
        <w:rPr>
          <w:rFonts w:ascii="Times New Roman" w:hAnsi="Times New Roman" w:cs="Times New Roman"/>
        </w:rPr>
        <w:t xml:space="preserve">of the DCA website </w:t>
      </w:r>
      <w:r w:rsidR="00C80CAC" w:rsidRPr="00A938F4">
        <w:rPr>
          <w:rFonts w:ascii="Times New Roman" w:hAnsi="Times New Roman" w:cs="Times New Roman"/>
        </w:rPr>
        <w:t>(</w:t>
      </w:r>
      <w:hyperlink r:id="rId13" w:history="1">
        <w:r w:rsidR="00C80CAC" w:rsidRPr="00A938F4">
          <w:rPr>
            <w:rStyle w:val="Hyperlink"/>
            <w:rFonts w:ascii="Times New Roman" w:hAnsi="Times New Roman" w:cs="Times New Roman"/>
          </w:rPr>
          <w:t>click here</w:t>
        </w:r>
      </w:hyperlink>
      <w:r w:rsidR="00C80CAC" w:rsidRPr="00A938F4">
        <w:rPr>
          <w:rFonts w:ascii="Times New Roman" w:hAnsi="Times New Roman" w:cs="Times New Roman"/>
        </w:rPr>
        <w:t xml:space="preserve">). </w:t>
      </w:r>
    </w:p>
    <w:p w14:paraId="2E528202" w14:textId="23FCA9B0" w:rsidR="004C6455" w:rsidRPr="00A938F4" w:rsidRDefault="003F1CA0"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 xml:space="preserve">Having </w:t>
      </w:r>
      <w:r w:rsidR="004E7E05" w:rsidRPr="00A938F4">
        <w:rPr>
          <w:rFonts w:ascii="Times New Roman" w:hAnsi="Times New Roman" w:cs="Times New Roman"/>
          <w:b/>
          <w:bCs/>
        </w:rPr>
        <w:t xml:space="preserve">issues using the </w:t>
      </w:r>
      <w:r w:rsidRPr="00A938F4">
        <w:rPr>
          <w:rFonts w:ascii="Times New Roman" w:hAnsi="Times New Roman" w:cs="Times New Roman"/>
          <w:b/>
          <w:bCs/>
        </w:rPr>
        <w:t xml:space="preserve">online </w:t>
      </w:r>
      <w:r w:rsidR="004E7E05" w:rsidRPr="00A938F4">
        <w:rPr>
          <w:rFonts w:ascii="Times New Roman" w:hAnsi="Times New Roman" w:cs="Times New Roman"/>
          <w:b/>
          <w:bCs/>
        </w:rPr>
        <w:t>survey?</w:t>
      </w:r>
      <w:r w:rsidR="004E7E05" w:rsidRPr="00A938F4">
        <w:rPr>
          <w:rFonts w:ascii="Times New Roman" w:hAnsi="Times New Roman" w:cs="Times New Roman"/>
        </w:rPr>
        <w:t xml:space="preserve"> P</w:t>
      </w:r>
      <w:r w:rsidR="00CD140E" w:rsidRPr="00A938F4">
        <w:rPr>
          <w:rFonts w:ascii="Times New Roman" w:hAnsi="Times New Roman" w:cs="Times New Roman"/>
        </w:rPr>
        <w:t xml:space="preserve">lease email </w:t>
      </w:r>
      <w:hyperlink r:id="rId14" w:history="1">
        <w:r w:rsidR="00CD140E" w:rsidRPr="00A938F4">
          <w:rPr>
            <w:rStyle w:val="Hyperlink"/>
            <w:rFonts w:ascii="Times New Roman" w:hAnsi="Times New Roman" w:cs="Times New Roman"/>
          </w:rPr>
          <w:t>hfdround@dca.ga.gov</w:t>
        </w:r>
      </w:hyperlink>
      <w:r w:rsidR="00CD140E" w:rsidRPr="00A938F4">
        <w:rPr>
          <w:rFonts w:ascii="Times New Roman" w:hAnsi="Times New Roman" w:cs="Times New Roman"/>
        </w:rPr>
        <w:t xml:space="preserve">. </w:t>
      </w:r>
    </w:p>
    <w:p w14:paraId="28DE8BF9" w14:textId="718DC267" w:rsidR="00B75985" w:rsidRPr="00A938F4" w:rsidRDefault="009E0E40"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 xml:space="preserve">Concerned </w:t>
      </w:r>
      <w:r w:rsidR="00935E6E" w:rsidRPr="00A938F4">
        <w:rPr>
          <w:rFonts w:ascii="Times New Roman" w:hAnsi="Times New Roman" w:cs="Times New Roman"/>
          <w:b/>
          <w:bCs/>
        </w:rPr>
        <w:t xml:space="preserve">about the timing of DCA’s response? </w:t>
      </w:r>
    </w:p>
    <w:p w14:paraId="102A8AA8" w14:textId="3C56A5DA" w:rsidR="00943A93" w:rsidRPr="001A1D47" w:rsidRDefault="009E51D1" w:rsidP="001A1D47">
      <w:pPr>
        <w:pStyle w:val="ListParagraph"/>
        <w:numPr>
          <w:ilvl w:val="1"/>
          <w:numId w:val="2"/>
        </w:numPr>
        <w:rPr>
          <w:rFonts w:ascii="Times New Roman" w:hAnsi="Times New Roman" w:cs="Times New Roman"/>
        </w:rPr>
      </w:pPr>
      <w:r>
        <w:rPr>
          <w:rFonts w:ascii="Times New Roman" w:hAnsi="Times New Roman" w:cs="Times New Roman"/>
        </w:rPr>
        <w:t xml:space="preserve">At this time, </w:t>
      </w:r>
      <w:r w:rsidR="00F20E15">
        <w:rPr>
          <w:rFonts w:ascii="Times New Roman" w:hAnsi="Times New Roman" w:cs="Times New Roman"/>
        </w:rPr>
        <w:t>DCA is prioritizing questions pertaining to the Pre-Application deadline</w:t>
      </w:r>
      <w:r w:rsidR="004E6D40">
        <w:rPr>
          <w:rFonts w:ascii="Times New Roman" w:hAnsi="Times New Roman" w:cs="Times New Roman"/>
        </w:rPr>
        <w:t xml:space="preserve"> and </w:t>
      </w:r>
      <w:r w:rsidR="006F0805">
        <w:rPr>
          <w:rFonts w:ascii="Times New Roman" w:hAnsi="Times New Roman" w:cs="Times New Roman"/>
        </w:rPr>
        <w:t>site selection</w:t>
      </w:r>
      <w:r w:rsidR="00F20E15">
        <w:rPr>
          <w:rFonts w:ascii="Times New Roman" w:hAnsi="Times New Roman" w:cs="Times New Roman"/>
        </w:rPr>
        <w:t xml:space="preserve">. </w:t>
      </w:r>
      <w:r w:rsidR="00EF5AD0">
        <w:rPr>
          <w:rFonts w:ascii="Times New Roman" w:hAnsi="Times New Roman" w:cs="Times New Roman"/>
        </w:rPr>
        <w:t xml:space="preserve">For all other questions, please expect </w:t>
      </w:r>
      <w:r w:rsidR="00E06292">
        <w:rPr>
          <w:rFonts w:ascii="Times New Roman" w:hAnsi="Times New Roman" w:cs="Times New Roman"/>
        </w:rPr>
        <w:t xml:space="preserve">at least </w:t>
      </w:r>
      <w:r w:rsidR="003A4865">
        <w:rPr>
          <w:rFonts w:ascii="Times New Roman" w:hAnsi="Times New Roman" w:cs="Times New Roman"/>
        </w:rPr>
        <w:t xml:space="preserve">two </w:t>
      </w:r>
      <w:r w:rsidR="00CD1FAF">
        <w:rPr>
          <w:rFonts w:ascii="Times New Roman" w:hAnsi="Times New Roman" w:cs="Times New Roman"/>
        </w:rPr>
        <w:t xml:space="preserve">weeks </w:t>
      </w:r>
      <w:r w:rsidR="003A6B47">
        <w:rPr>
          <w:rFonts w:ascii="Times New Roman" w:hAnsi="Times New Roman" w:cs="Times New Roman"/>
        </w:rPr>
        <w:t xml:space="preserve">to see a posted response. </w:t>
      </w:r>
    </w:p>
    <w:p w14:paraId="0E30F057" w14:textId="2AB91C0B" w:rsidR="00ED26AE" w:rsidRPr="00A938F4" w:rsidRDefault="00CA4A26" w:rsidP="00486905">
      <w:pPr>
        <w:pStyle w:val="ListParagraph"/>
        <w:numPr>
          <w:ilvl w:val="1"/>
          <w:numId w:val="2"/>
        </w:numPr>
        <w:rPr>
          <w:rFonts w:ascii="Times New Roman" w:hAnsi="Times New Roman" w:cs="Times New Roman"/>
        </w:rPr>
      </w:pPr>
      <w:r w:rsidRPr="00A938F4">
        <w:rPr>
          <w:rFonts w:ascii="Times New Roman" w:hAnsi="Times New Roman" w:cs="Times New Roman"/>
        </w:rPr>
        <w:t xml:space="preserve">If you have concerns related to response timing, please email </w:t>
      </w:r>
      <w:hyperlink r:id="rId15" w:history="1">
        <w:r w:rsidR="00305E3C" w:rsidRPr="00A938F4">
          <w:rPr>
            <w:rStyle w:val="Hyperlink"/>
            <w:rFonts w:ascii="Times New Roman" w:hAnsi="Times New Roman" w:cs="Times New Roman"/>
          </w:rPr>
          <w:t>hfdround@dca.ga.gov</w:t>
        </w:r>
      </w:hyperlink>
      <w:r w:rsidR="00305E3C" w:rsidRPr="00A938F4">
        <w:rPr>
          <w:rFonts w:ascii="Times New Roman" w:hAnsi="Times New Roman" w:cs="Times New Roman"/>
        </w:rPr>
        <w:t xml:space="preserve"> </w:t>
      </w:r>
    </w:p>
    <w:p w14:paraId="483D250E" w14:textId="53501754" w:rsidR="0026322C" w:rsidRPr="00A938F4" w:rsidRDefault="00ED26AE"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Have a project-specific question?</w:t>
      </w:r>
      <w:r w:rsidRPr="00A938F4">
        <w:rPr>
          <w:rFonts w:ascii="Times New Roman" w:hAnsi="Times New Roman" w:cs="Times New Roman"/>
        </w:rPr>
        <w:t xml:space="preserve"> </w:t>
      </w:r>
      <w:r w:rsidR="00037557" w:rsidRPr="00A938F4">
        <w:rPr>
          <w:rFonts w:ascii="Times New Roman" w:hAnsi="Times New Roman" w:cs="Times New Roman"/>
        </w:rPr>
        <w:t xml:space="preserve">There is no separate option for “project-specific” questions. </w:t>
      </w:r>
      <w:r w:rsidR="008F7D71" w:rsidRPr="00A938F4">
        <w:rPr>
          <w:rFonts w:ascii="Times New Roman" w:hAnsi="Times New Roman" w:cs="Times New Roman"/>
        </w:rPr>
        <w:t>Currently</w:t>
      </w:r>
      <w:r w:rsidR="002E6451" w:rsidRPr="00A938F4">
        <w:rPr>
          <w:rFonts w:ascii="Times New Roman" w:hAnsi="Times New Roman" w:cs="Times New Roman"/>
        </w:rPr>
        <w:t>,</w:t>
      </w:r>
      <w:r w:rsidR="00A42788" w:rsidRPr="00A938F4">
        <w:rPr>
          <w:rFonts w:ascii="Times New Roman" w:hAnsi="Times New Roman" w:cs="Times New Roman"/>
        </w:rPr>
        <w:t xml:space="preserve"> </w:t>
      </w:r>
      <w:r w:rsidR="003F73AF" w:rsidRPr="00A938F4">
        <w:rPr>
          <w:rFonts w:ascii="Times New Roman" w:hAnsi="Times New Roman" w:cs="Times New Roman"/>
        </w:rPr>
        <w:t xml:space="preserve">all questions </w:t>
      </w:r>
      <w:r w:rsidR="00281571" w:rsidRPr="00A938F4">
        <w:rPr>
          <w:rFonts w:ascii="Times New Roman" w:hAnsi="Times New Roman" w:cs="Times New Roman"/>
        </w:rPr>
        <w:t>go through the same</w:t>
      </w:r>
      <w:r w:rsidR="00A879AB" w:rsidRPr="00A938F4">
        <w:rPr>
          <w:rFonts w:ascii="Times New Roman" w:hAnsi="Times New Roman" w:cs="Times New Roman"/>
        </w:rPr>
        <w:t xml:space="preserve"> approval and publication process. </w:t>
      </w:r>
      <w:r w:rsidR="005B2371" w:rsidRPr="00A938F4">
        <w:rPr>
          <w:rFonts w:ascii="Times New Roman" w:hAnsi="Times New Roman" w:cs="Times New Roman"/>
        </w:rPr>
        <w:t xml:space="preserve"> </w:t>
      </w:r>
      <w:r w:rsidR="002E6451" w:rsidRPr="00A938F4">
        <w:rPr>
          <w:rFonts w:ascii="Times New Roman" w:hAnsi="Times New Roman" w:cs="Times New Roman"/>
        </w:rPr>
        <w:t xml:space="preserve"> </w:t>
      </w:r>
    </w:p>
    <w:p w14:paraId="429BCD4E" w14:textId="5994FD4E" w:rsidR="00320169" w:rsidRPr="00A938F4" w:rsidRDefault="00320169"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 xml:space="preserve">Want to </w:t>
      </w:r>
      <w:r w:rsidR="00D80A78" w:rsidRPr="00A938F4">
        <w:rPr>
          <w:rFonts w:ascii="Times New Roman" w:hAnsi="Times New Roman" w:cs="Times New Roman"/>
          <w:b/>
          <w:bCs/>
        </w:rPr>
        <w:t xml:space="preserve">add context to </w:t>
      </w:r>
      <w:r w:rsidRPr="00A938F4">
        <w:rPr>
          <w:rFonts w:ascii="Times New Roman" w:hAnsi="Times New Roman" w:cs="Times New Roman"/>
          <w:b/>
          <w:bCs/>
        </w:rPr>
        <w:t xml:space="preserve">a </w:t>
      </w:r>
      <w:proofErr w:type="gramStart"/>
      <w:r w:rsidRPr="00A938F4">
        <w:rPr>
          <w:rFonts w:ascii="Times New Roman" w:hAnsi="Times New Roman" w:cs="Times New Roman"/>
          <w:b/>
          <w:bCs/>
        </w:rPr>
        <w:t>previously</w:t>
      </w:r>
      <w:r w:rsidR="00243C0C" w:rsidRPr="00A938F4">
        <w:rPr>
          <w:rFonts w:ascii="Times New Roman" w:hAnsi="Times New Roman" w:cs="Times New Roman"/>
          <w:b/>
          <w:bCs/>
        </w:rPr>
        <w:t>-</w:t>
      </w:r>
      <w:r w:rsidRPr="00A938F4">
        <w:rPr>
          <w:rFonts w:ascii="Times New Roman" w:hAnsi="Times New Roman" w:cs="Times New Roman"/>
          <w:b/>
          <w:bCs/>
        </w:rPr>
        <w:t>submitted</w:t>
      </w:r>
      <w:proofErr w:type="gramEnd"/>
      <w:r w:rsidRPr="00A938F4">
        <w:rPr>
          <w:rFonts w:ascii="Times New Roman" w:hAnsi="Times New Roman" w:cs="Times New Roman"/>
          <w:b/>
          <w:bCs/>
        </w:rPr>
        <w:t xml:space="preserve"> question? </w:t>
      </w:r>
      <w:r w:rsidR="00EA4A6E" w:rsidRPr="00A938F4">
        <w:rPr>
          <w:rFonts w:ascii="Times New Roman" w:hAnsi="Times New Roman" w:cs="Times New Roman"/>
        </w:rPr>
        <w:t xml:space="preserve">DCA updates </w:t>
      </w:r>
      <w:r w:rsidR="00526338" w:rsidRPr="00A938F4">
        <w:rPr>
          <w:rFonts w:ascii="Times New Roman" w:hAnsi="Times New Roman" w:cs="Times New Roman"/>
        </w:rPr>
        <w:t>the Q&amp;A postings based on what has been submitted through the online survey. To ensure your comment is considered, please</w:t>
      </w:r>
      <w:r w:rsidR="00EA4A6E" w:rsidRPr="00A938F4">
        <w:rPr>
          <w:rFonts w:ascii="Times New Roman" w:hAnsi="Times New Roman" w:cs="Times New Roman"/>
        </w:rPr>
        <w:t xml:space="preserve"> </w:t>
      </w:r>
      <w:r w:rsidR="00756E57" w:rsidRPr="00A938F4">
        <w:rPr>
          <w:rFonts w:ascii="Times New Roman" w:hAnsi="Times New Roman" w:cs="Times New Roman"/>
        </w:rPr>
        <w:t xml:space="preserve">do not email individual DCA staff. Instead, please submit your additional context through the online survey </w:t>
      </w:r>
      <w:r w:rsidR="00CC47B6" w:rsidRPr="00A938F4">
        <w:rPr>
          <w:rFonts w:ascii="Times New Roman" w:hAnsi="Times New Roman" w:cs="Times New Roman"/>
        </w:rPr>
        <w:t xml:space="preserve">and reference the </w:t>
      </w:r>
      <w:proofErr w:type="gramStart"/>
      <w:r w:rsidR="00CC47B6" w:rsidRPr="00A938F4">
        <w:rPr>
          <w:rFonts w:ascii="Times New Roman" w:hAnsi="Times New Roman" w:cs="Times New Roman"/>
        </w:rPr>
        <w:t>previously-submitted</w:t>
      </w:r>
      <w:proofErr w:type="gramEnd"/>
      <w:r w:rsidR="00CC47B6" w:rsidRPr="00A938F4">
        <w:rPr>
          <w:rFonts w:ascii="Times New Roman" w:hAnsi="Times New Roman" w:cs="Times New Roman"/>
        </w:rPr>
        <w:t xml:space="preserve"> question.</w:t>
      </w:r>
      <w:r w:rsidR="00447698" w:rsidRPr="00A938F4">
        <w:rPr>
          <w:rFonts w:ascii="Times New Roman" w:hAnsi="Times New Roman" w:cs="Times New Roman"/>
        </w:rPr>
        <w:t xml:space="preserve"> </w:t>
      </w:r>
      <w:r w:rsidRPr="00A938F4">
        <w:rPr>
          <w:rFonts w:ascii="Times New Roman" w:hAnsi="Times New Roman" w:cs="Times New Roman"/>
        </w:rPr>
        <w:t xml:space="preserve"> </w:t>
      </w:r>
    </w:p>
    <w:p w14:paraId="568508D4" w14:textId="16C441B5" w:rsidR="004C6455" w:rsidRPr="00A938F4" w:rsidRDefault="004C6455" w:rsidP="00ED26AE">
      <w:pPr>
        <w:rPr>
          <w:rFonts w:ascii="Times New Roman" w:hAnsi="Times New Roman" w:cs="Times New Roman"/>
        </w:rPr>
      </w:pPr>
    </w:p>
    <w:p w14:paraId="16987001" w14:textId="35B544C5" w:rsidR="003658C9" w:rsidRPr="00A938F4" w:rsidRDefault="0029286B" w:rsidP="0029286B">
      <w:pPr>
        <w:pStyle w:val="Heading2"/>
        <w:rPr>
          <w:rFonts w:cs="Times New Roman"/>
        </w:rPr>
      </w:pPr>
      <w:r w:rsidRPr="00A938F4">
        <w:rPr>
          <w:rFonts w:cs="Times New Roman"/>
        </w:rPr>
        <w:lastRenderedPageBreak/>
        <w:t>Deadline to Submit Questions</w:t>
      </w:r>
    </w:p>
    <w:p w14:paraId="52B2F71A" w14:textId="497B4C86" w:rsidR="00131FA9" w:rsidRDefault="00591E07" w:rsidP="00C80CAC">
      <w:pPr>
        <w:rPr>
          <w:rFonts w:ascii="Times New Roman" w:hAnsi="Times New Roman" w:cs="Times New Roman"/>
        </w:rPr>
      </w:pPr>
      <w:r w:rsidRPr="00A938F4">
        <w:rPr>
          <w:rFonts w:ascii="Times New Roman" w:hAnsi="Times New Roman" w:cs="Times New Roman"/>
        </w:rPr>
        <w:t xml:space="preserve">The deadline to submit questions is </w:t>
      </w:r>
      <w:r w:rsidR="00131FA9">
        <w:rPr>
          <w:rFonts w:ascii="Times New Roman" w:hAnsi="Times New Roman" w:cs="Times New Roman"/>
        </w:rPr>
        <w:t>the later of the following</w:t>
      </w:r>
      <w:r w:rsidR="005231E4">
        <w:rPr>
          <w:rFonts w:ascii="Times New Roman" w:hAnsi="Times New Roman" w:cs="Times New Roman"/>
        </w:rPr>
        <w:t xml:space="preserve"> two</w:t>
      </w:r>
      <w:r w:rsidR="00F61AA8">
        <w:rPr>
          <w:rFonts w:ascii="Times New Roman" w:hAnsi="Times New Roman" w:cs="Times New Roman"/>
        </w:rPr>
        <w:t xml:space="preserve"> dates:</w:t>
      </w:r>
      <w:r w:rsidR="00131FA9">
        <w:rPr>
          <w:rFonts w:ascii="Times New Roman" w:hAnsi="Times New Roman" w:cs="Times New Roman"/>
        </w:rPr>
        <w:t xml:space="preserve"> </w:t>
      </w:r>
    </w:p>
    <w:p w14:paraId="3525455B" w14:textId="401F2DC1" w:rsidR="00131FA9" w:rsidRDefault="00591E07" w:rsidP="00F32AC6">
      <w:pPr>
        <w:pStyle w:val="ListParagraph"/>
        <w:numPr>
          <w:ilvl w:val="0"/>
          <w:numId w:val="6"/>
        </w:numPr>
        <w:rPr>
          <w:rFonts w:ascii="Times New Roman" w:hAnsi="Times New Roman" w:cs="Times New Roman"/>
        </w:rPr>
      </w:pPr>
      <w:r w:rsidRPr="00FC6303">
        <w:rPr>
          <w:rFonts w:ascii="Times New Roman" w:hAnsi="Times New Roman" w:cs="Times New Roman"/>
        </w:rPr>
        <w:t>Monday, April 2</w:t>
      </w:r>
      <w:r w:rsidR="00754CC8" w:rsidRPr="00FC6303">
        <w:rPr>
          <w:rFonts w:ascii="Times New Roman" w:hAnsi="Times New Roman" w:cs="Times New Roman"/>
        </w:rPr>
        <w:t>5</w:t>
      </w:r>
      <w:r w:rsidRPr="00FC6303">
        <w:rPr>
          <w:rFonts w:ascii="Times New Roman" w:hAnsi="Times New Roman" w:cs="Times New Roman"/>
        </w:rPr>
        <w:t>, 2</w:t>
      </w:r>
      <w:r w:rsidRPr="00131FA9">
        <w:rPr>
          <w:rFonts w:ascii="Times New Roman" w:hAnsi="Times New Roman" w:cs="Times New Roman"/>
        </w:rPr>
        <w:t>02</w:t>
      </w:r>
      <w:r w:rsidR="00E91E6E" w:rsidRPr="00131FA9">
        <w:rPr>
          <w:rFonts w:ascii="Times New Roman" w:hAnsi="Times New Roman" w:cs="Times New Roman"/>
        </w:rPr>
        <w:t>2</w:t>
      </w:r>
      <w:r w:rsidR="0094425C" w:rsidRPr="00131FA9">
        <w:rPr>
          <w:rFonts w:ascii="Times New Roman" w:hAnsi="Times New Roman" w:cs="Times New Roman"/>
        </w:rPr>
        <w:t xml:space="preserve"> </w:t>
      </w:r>
    </w:p>
    <w:p w14:paraId="062F8E27" w14:textId="664DF35D" w:rsidR="00D46D92" w:rsidRDefault="0046399A" w:rsidP="00F32AC6">
      <w:pPr>
        <w:pStyle w:val="ListParagraph"/>
        <w:numPr>
          <w:ilvl w:val="0"/>
          <w:numId w:val="6"/>
        </w:numPr>
        <w:rPr>
          <w:rFonts w:ascii="Times New Roman" w:hAnsi="Times New Roman" w:cs="Times New Roman"/>
        </w:rPr>
      </w:pPr>
      <w:r>
        <w:rPr>
          <w:rFonts w:ascii="Times New Roman" w:hAnsi="Times New Roman" w:cs="Times New Roman"/>
        </w:rPr>
        <w:t xml:space="preserve">One week following the </w:t>
      </w:r>
      <w:r w:rsidR="00AF1E58">
        <w:rPr>
          <w:rFonts w:ascii="Times New Roman" w:hAnsi="Times New Roman" w:cs="Times New Roman"/>
        </w:rPr>
        <w:t xml:space="preserve">posting of the </w:t>
      </w:r>
      <w:proofErr w:type="spellStart"/>
      <w:r w:rsidR="00AF1E58">
        <w:rPr>
          <w:rFonts w:ascii="Times New Roman" w:hAnsi="Times New Roman" w:cs="Times New Roman"/>
        </w:rPr>
        <w:t>Emphasys</w:t>
      </w:r>
      <w:proofErr w:type="spellEnd"/>
      <w:r w:rsidR="00AF1E58">
        <w:rPr>
          <w:rFonts w:ascii="Times New Roman" w:hAnsi="Times New Roman" w:cs="Times New Roman"/>
        </w:rPr>
        <w:t xml:space="preserve"> application</w:t>
      </w:r>
      <w:r w:rsidR="006B7B27">
        <w:rPr>
          <w:rFonts w:ascii="Times New Roman" w:hAnsi="Times New Roman" w:cs="Times New Roman"/>
        </w:rPr>
        <w:t xml:space="preserve"> for 9% Credit application preparation</w:t>
      </w:r>
      <w:r w:rsidR="00F454E7">
        <w:rPr>
          <w:rFonts w:ascii="Times New Roman" w:hAnsi="Times New Roman" w:cs="Times New Roman"/>
        </w:rPr>
        <w:t xml:space="preserve"> </w:t>
      </w:r>
    </w:p>
    <w:p w14:paraId="372C529F" w14:textId="64CE9BCA" w:rsidR="00F93A97" w:rsidRPr="00805D6D" w:rsidRDefault="004D7806" w:rsidP="00805D6D">
      <w:pPr>
        <w:rPr>
          <w:rFonts w:ascii="Times New Roman" w:hAnsi="Times New Roman" w:cs="Times New Roman"/>
        </w:rPr>
      </w:pPr>
      <w:r w:rsidRPr="00805D6D">
        <w:rPr>
          <w:rFonts w:ascii="Times New Roman" w:hAnsi="Times New Roman" w:cs="Times New Roman"/>
        </w:rPr>
        <w:t>This deadline is to ensure that</w:t>
      </w:r>
      <w:r w:rsidR="000D7DA3" w:rsidRPr="00805D6D">
        <w:rPr>
          <w:rFonts w:ascii="Times New Roman" w:hAnsi="Times New Roman" w:cs="Times New Roman"/>
        </w:rPr>
        <w:t xml:space="preserve"> all applicants have sufficient time to</w:t>
      </w:r>
      <w:r w:rsidR="00081752" w:rsidRPr="00805D6D">
        <w:rPr>
          <w:rFonts w:ascii="Times New Roman" w:hAnsi="Times New Roman" w:cs="Times New Roman"/>
        </w:rPr>
        <w:t xml:space="preserve"> </w:t>
      </w:r>
      <w:r w:rsidR="003E2E40" w:rsidRPr="00805D6D">
        <w:rPr>
          <w:rFonts w:ascii="Times New Roman" w:hAnsi="Times New Roman" w:cs="Times New Roman"/>
        </w:rPr>
        <w:t xml:space="preserve">react </w:t>
      </w:r>
      <w:r w:rsidR="00081752" w:rsidRPr="00805D6D">
        <w:rPr>
          <w:rFonts w:ascii="Times New Roman" w:hAnsi="Times New Roman" w:cs="Times New Roman"/>
        </w:rPr>
        <w:t xml:space="preserve">to </w:t>
      </w:r>
      <w:r w:rsidR="00A029B5" w:rsidRPr="00805D6D">
        <w:rPr>
          <w:rFonts w:ascii="Times New Roman" w:hAnsi="Times New Roman" w:cs="Times New Roman"/>
        </w:rPr>
        <w:t xml:space="preserve">posted DCA responses </w:t>
      </w:r>
      <w:r w:rsidR="00322065" w:rsidRPr="00805D6D">
        <w:rPr>
          <w:rFonts w:ascii="Times New Roman" w:hAnsi="Times New Roman" w:cs="Times New Roman"/>
        </w:rPr>
        <w:t xml:space="preserve">before the </w:t>
      </w:r>
      <w:r w:rsidR="00F4227F" w:rsidRPr="00E11C7E">
        <w:rPr>
          <w:rFonts w:ascii="Times New Roman" w:hAnsi="Times New Roman" w:cs="Times New Roman"/>
        </w:rPr>
        <w:t>May 2</w:t>
      </w:r>
      <w:r w:rsidR="00615202" w:rsidRPr="00E11C7E">
        <w:rPr>
          <w:rFonts w:ascii="Times New Roman" w:hAnsi="Times New Roman" w:cs="Times New Roman"/>
        </w:rPr>
        <w:t>0</w:t>
      </w:r>
      <w:r w:rsidR="00615202">
        <w:rPr>
          <w:rFonts w:ascii="Times New Roman" w:hAnsi="Times New Roman" w:cs="Times New Roman"/>
          <w:vertAlign w:val="superscript"/>
        </w:rPr>
        <w:t xml:space="preserve"> </w:t>
      </w:r>
      <w:r w:rsidR="00322065" w:rsidRPr="00805D6D">
        <w:rPr>
          <w:rFonts w:ascii="Times New Roman" w:hAnsi="Times New Roman" w:cs="Times New Roman"/>
        </w:rPr>
        <w:t>application submission deadline</w:t>
      </w:r>
      <w:r w:rsidR="00CB5B83">
        <w:rPr>
          <w:rFonts w:ascii="Times New Roman" w:hAnsi="Times New Roman" w:cs="Times New Roman"/>
        </w:rPr>
        <w:t xml:space="preserve">. </w:t>
      </w:r>
    </w:p>
    <w:p w14:paraId="70C79854" w14:textId="7CF4E7E7" w:rsidR="00321263" w:rsidRPr="00A938F4" w:rsidRDefault="00321263" w:rsidP="00C80CAC">
      <w:pPr>
        <w:rPr>
          <w:rFonts w:ascii="Times New Roman" w:hAnsi="Times New Roman" w:cs="Times New Roman"/>
        </w:rPr>
      </w:pPr>
      <w:r w:rsidRPr="00A938F4">
        <w:rPr>
          <w:rFonts w:ascii="Times New Roman" w:hAnsi="Times New Roman" w:cs="Times New Roman"/>
        </w:rPr>
        <w:t xml:space="preserve">After this deadline, DCA will only respond to questions pertaining to the mechanics of application submission (e.g., </w:t>
      </w:r>
      <w:r w:rsidR="00A77D26" w:rsidRPr="00A938F4">
        <w:rPr>
          <w:rFonts w:ascii="Times New Roman" w:hAnsi="Times New Roman" w:cs="Times New Roman"/>
        </w:rPr>
        <w:t xml:space="preserve">issues </w:t>
      </w:r>
      <w:r w:rsidR="002D6F1A" w:rsidRPr="00A938F4">
        <w:rPr>
          <w:rFonts w:ascii="Times New Roman" w:hAnsi="Times New Roman" w:cs="Times New Roman"/>
        </w:rPr>
        <w:t>accessing the online application portal</w:t>
      </w:r>
      <w:r w:rsidR="008C2106">
        <w:rPr>
          <w:rFonts w:ascii="Times New Roman" w:hAnsi="Times New Roman" w:cs="Times New Roman"/>
        </w:rPr>
        <w:t xml:space="preserve">, </w:t>
      </w:r>
      <w:proofErr w:type="spellStart"/>
      <w:r w:rsidR="008C2106">
        <w:rPr>
          <w:rFonts w:ascii="Times New Roman" w:hAnsi="Times New Roman" w:cs="Times New Roman"/>
        </w:rPr>
        <w:t>Emphasys</w:t>
      </w:r>
      <w:proofErr w:type="spellEnd"/>
      <w:r w:rsidR="002D6F1A" w:rsidRPr="00A938F4">
        <w:rPr>
          <w:rFonts w:ascii="Times New Roman" w:hAnsi="Times New Roman" w:cs="Times New Roman"/>
        </w:rPr>
        <w:t xml:space="preserve">). </w:t>
      </w:r>
    </w:p>
    <w:p w14:paraId="0343A782" w14:textId="05D2FF4D" w:rsidR="003E4094" w:rsidRPr="00A938F4" w:rsidRDefault="004007BE" w:rsidP="004007BE">
      <w:pPr>
        <w:pStyle w:val="Heading2"/>
        <w:rPr>
          <w:rFonts w:cs="Times New Roman"/>
        </w:rPr>
      </w:pPr>
      <w:r w:rsidRPr="00A938F4">
        <w:rPr>
          <w:rFonts w:cs="Times New Roman"/>
        </w:rPr>
        <w:t xml:space="preserve">Q&amp;A Document Update Process  </w:t>
      </w:r>
    </w:p>
    <w:p w14:paraId="01F7CC9B" w14:textId="77777777" w:rsidR="00F6468A" w:rsidRPr="00A938F4" w:rsidRDefault="00C80CAC" w:rsidP="00C80CAC">
      <w:pPr>
        <w:rPr>
          <w:rFonts w:ascii="Times New Roman" w:hAnsi="Times New Roman" w:cs="Times New Roman"/>
        </w:rPr>
      </w:pPr>
      <w:r w:rsidRPr="00A938F4">
        <w:rPr>
          <w:rFonts w:ascii="Times New Roman" w:hAnsi="Times New Roman" w:cs="Times New Roman"/>
        </w:rPr>
        <w:t xml:space="preserve">DCA will update the Q&amp;A document </w:t>
      </w:r>
      <w:r w:rsidR="00DD5513" w:rsidRPr="00A938F4">
        <w:rPr>
          <w:rFonts w:ascii="Times New Roman" w:hAnsi="Times New Roman" w:cs="Times New Roman"/>
        </w:rPr>
        <w:t xml:space="preserve">in small, incremental </w:t>
      </w:r>
      <w:r w:rsidR="006C26C3" w:rsidRPr="00A938F4">
        <w:rPr>
          <w:rFonts w:ascii="Times New Roman" w:hAnsi="Times New Roman" w:cs="Times New Roman"/>
        </w:rPr>
        <w:t xml:space="preserve">response </w:t>
      </w:r>
      <w:r w:rsidR="008C4E1D" w:rsidRPr="00A938F4">
        <w:rPr>
          <w:rFonts w:ascii="Times New Roman" w:hAnsi="Times New Roman" w:cs="Times New Roman"/>
        </w:rPr>
        <w:t>sets</w:t>
      </w:r>
      <w:r w:rsidR="008D68BE" w:rsidRPr="00A938F4">
        <w:rPr>
          <w:rFonts w:ascii="Times New Roman" w:hAnsi="Times New Roman" w:cs="Times New Roman"/>
        </w:rPr>
        <w:t xml:space="preserve">. </w:t>
      </w:r>
      <w:r w:rsidRPr="00A938F4">
        <w:rPr>
          <w:rFonts w:ascii="Times New Roman" w:hAnsi="Times New Roman" w:cs="Times New Roman"/>
        </w:rPr>
        <w:t xml:space="preserve">As this will increase the number of updates to the document relative to prior years, DCA will not send an email notification each time the Q&amp;A document is updated. </w:t>
      </w:r>
    </w:p>
    <w:p w14:paraId="4087F9F7" w14:textId="4023BE0A" w:rsidR="00C80CAC" w:rsidRPr="00A938F4" w:rsidRDefault="00C80CAC" w:rsidP="00C80CAC">
      <w:pPr>
        <w:rPr>
          <w:rFonts w:ascii="Times New Roman" w:hAnsi="Times New Roman" w:cs="Times New Roman"/>
        </w:rPr>
      </w:pPr>
      <w:r w:rsidRPr="00A938F4">
        <w:rPr>
          <w:rFonts w:ascii="Times New Roman" w:hAnsi="Times New Roman" w:cs="Times New Roman"/>
        </w:rPr>
        <w:t xml:space="preserve">Please monitor the “Updated” date by the Q&amp;A document on the DCA website to track when DCA has released additional responses. </w:t>
      </w:r>
      <w:r w:rsidR="00C02D9E" w:rsidRPr="00A938F4">
        <w:rPr>
          <w:rFonts w:ascii="Times New Roman" w:hAnsi="Times New Roman" w:cs="Times New Roman"/>
        </w:rPr>
        <w:t xml:space="preserve">By default, the table below will be sorted such that the most recent responses are at the top. </w:t>
      </w:r>
    </w:p>
    <w:p w14:paraId="3B8D43A9" w14:textId="4CF53CC9" w:rsidR="00C80CAC" w:rsidRPr="00A938F4" w:rsidRDefault="00C80CAC" w:rsidP="00035F89">
      <w:pPr>
        <w:pStyle w:val="Heading2"/>
        <w:rPr>
          <w:rFonts w:cs="Times New Roman"/>
        </w:rPr>
      </w:pPr>
      <w:r w:rsidRPr="00A938F4">
        <w:rPr>
          <w:rFonts w:cs="Times New Roman"/>
        </w:rPr>
        <w:t>Navigating</w:t>
      </w:r>
      <w:r w:rsidR="0095013A" w:rsidRPr="00A938F4">
        <w:rPr>
          <w:rFonts w:cs="Times New Roman"/>
        </w:rPr>
        <w:t xml:space="preserve"> the Q&amp;A Table</w:t>
      </w:r>
      <w:r w:rsidRPr="00A938F4">
        <w:rPr>
          <w:rFonts w:cs="Times New Roman"/>
        </w:rPr>
        <w:t xml:space="preserve"> </w:t>
      </w:r>
    </w:p>
    <w:p w14:paraId="0B956C17" w14:textId="1E3CC9A3" w:rsidR="00804F23" w:rsidRPr="00A938F4" w:rsidRDefault="00C80CAC" w:rsidP="00785F6D">
      <w:pPr>
        <w:rPr>
          <w:rFonts w:ascii="Times New Roman" w:hAnsi="Times New Roman" w:cs="Times New Roman"/>
        </w:rPr>
      </w:pPr>
      <w:r w:rsidRPr="00A938F4">
        <w:rPr>
          <w:rFonts w:ascii="Times New Roman" w:hAnsi="Times New Roman" w:cs="Times New Roman"/>
        </w:rPr>
        <w:t xml:space="preserve">The below table, as posted to the DCA website, is sorted in descending order by date posted. </w:t>
      </w:r>
      <w:r w:rsidR="002235D3" w:rsidRPr="00A938F4">
        <w:rPr>
          <w:rFonts w:ascii="Times New Roman" w:hAnsi="Times New Roman" w:cs="Times New Roman"/>
        </w:rPr>
        <w:t xml:space="preserve">If preferred, the </w:t>
      </w:r>
      <w:r w:rsidR="00382A45" w:rsidRPr="00A938F4">
        <w:rPr>
          <w:rFonts w:ascii="Times New Roman" w:hAnsi="Times New Roman" w:cs="Times New Roman"/>
        </w:rPr>
        <w:t xml:space="preserve">document </w:t>
      </w:r>
      <w:r w:rsidRPr="00A938F4">
        <w:rPr>
          <w:rFonts w:ascii="Times New Roman" w:hAnsi="Times New Roman" w:cs="Times New Roman"/>
        </w:rPr>
        <w:t xml:space="preserve">can </w:t>
      </w:r>
      <w:r w:rsidR="00DD4B22" w:rsidRPr="00A938F4">
        <w:rPr>
          <w:rFonts w:ascii="Times New Roman" w:hAnsi="Times New Roman" w:cs="Times New Roman"/>
        </w:rPr>
        <w:t xml:space="preserve">also </w:t>
      </w:r>
      <w:r w:rsidRPr="00A938F4">
        <w:rPr>
          <w:rFonts w:ascii="Times New Roman" w:hAnsi="Times New Roman" w:cs="Times New Roman"/>
        </w:rPr>
        <w:t>be sorted by category</w:t>
      </w:r>
      <w:r w:rsidR="00A32665" w:rsidRPr="00A938F4">
        <w:rPr>
          <w:rFonts w:ascii="Times New Roman" w:hAnsi="Times New Roman" w:cs="Times New Roman"/>
        </w:rPr>
        <w:t xml:space="preserve"> (in Microsoft Word, </w:t>
      </w:r>
      <w:r w:rsidR="00E85598" w:rsidRPr="00A938F4">
        <w:rPr>
          <w:rFonts w:ascii="Times New Roman" w:hAnsi="Times New Roman" w:cs="Times New Roman"/>
        </w:rPr>
        <w:t xml:space="preserve">select the full table, </w:t>
      </w:r>
      <w:r w:rsidR="00A32665" w:rsidRPr="00A938F4">
        <w:rPr>
          <w:rFonts w:ascii="Times New Roman" w:hAnsi="Times New Roman" w:cs="Times New Roman"/>
        </w:rPr>
        <w:t xml:space="preserve">select “Home” </w:t>
      </w:r>
      <w:r w:rsidR="0070417D" w:rsidRPr="000A6953">
        <w:rPr>
          <w:rFonts w:ascii="Wingdings" w:eastAsia="Wingdings" w:hAnsi="Wingdings" w:cs="Wingdings"/>
        </w:rPr>
        <w:t>à</w:t>
      </w:r>
      <w:r w:rsidR="00A32665" w:rsidRPr="00A938F4">
        <w:rPr>
          <w:rFonts w:ascii="Times New Roman" w:hAnsi="Times New Roman" w:cs="Times New Roman"/>
        </w:rPr>
        <w:t xml:space="preserve"> </w:t>
      </w:r>
      <w:r w:rsidR="001C1B3F" w:rsidRPr="00A938F4">
        <w:rPr>
          <w:rFonts w:ascii="Times New Roman" w:hAnsi="Times New Roman" w:cs="Times New Roman"/>
        </w:rPr>
        <w:t>“Sort”</w:t>
      </w:r>
      <w:r w:rsidR="00B82A7F" w:rsidRPr="00A938F4">
        <w:rPr>
          <w:rFonts w:ascii="Times New Roman" w:hAnsi="Times New Roman" w:cs="Times New Roman"/>
        </w:rPr>
        <w:t xml:space="preserve">, </w:t>
      </w:r>
      <w:r w:rsidR="001C1B3F" w:rsidRPr="00A938F4">
        <w:rPr>
          <w:rFonts w:ascii="Times New Roman" w:hAnsi="Times New Roman" w:cs="Times New Roman"/>
        </w:rPr>
        <w:t xml:space="preserve">under </w:t>
      </w:r>
      <w:r w:rsidR="008B470F" w:rsidRPr="00A938F4">
        <w:rPr>
          <w:rFonts w:ascii="Times New Roman" w:hAnsi="Times New Roman" w:cs="Times New Roman"/>
        </w:rPr>
        <w:t xml:space="preserve">the </w:t>
      </w:r>
      <w:r w:rsidR="001C1B3F" w:rsidRPr="00A938F4">
        <w:rPr>
          <w:rFonts w:ascii="Times New Roman" w:hAnsi="Times New Roman" w:cs="Times New Roman"/>
        </w:rPr>
        <w:t>Paragraph section</w:t>
      </w:r>
      <w:r w:rsidR="00B82A7F" w:rsidRPr="00A938F4">
        <w:rPr>
          <w:rFonts w:ascii="Times New Roman" w:hAnsi="Times New Roman" w:cs="Times New Roman"/>
        </w:rPr>
        <w:t>)</w:t>
      </w:r>
      <w:r w:rsidRPr="00A938F4">
        <w:rPr>
          <w:rFonts w:ascii="Times New Roman" w:hAnsi="Times New Roman" w:cs="Times New Roman"/>
        </w:rPr>
        <w:t xml:space="preserve">. </w:t>
      </w:r>
    </w:p>
    <w:p w14:paraId="578628CE" w14:textId="00FB6021" w:rsidR="00A4436B" w:rsidRPr="00A938F4" w:rsidRDefault="00A4436B" w:rsidP="00785F6D">
      <w:pPr>
        <w:rPr>
          <w:rFonts w:ascii="Times New Roman" w:hAnsi="Times New Roman" w:cs="Times New Roman"/>
        </w:rPr>
      </w:pPr>
      <w:r w:rsidRPr="00A938F4">
        <w:rPr>
          <w:rFonts w:ascii="Times New Roman" w:hAnsi="Times New Roman" w:cs="Times New Roman"/>
        </w:rPr>
        <w:t>In the window that pops up, select the following:</w:t>
      </w:r>
    </w:p>
    <w:p w14:paraId="6F90EB88" w14:textId="61707B93" w:rsidR="00CC5812" w:rsidRPr="00A938F4" w:rsidRDefault="0015268E" w:rsidP="00F32AC6">
      <w:pPr>
        <w:pStyle w:val="ListParagraph"/>
        <w:numPr>
          <w:ilvl w:val="0"/>
          <w:numId w:val="4"/>
        </w:numPr>
        <w:rPr>
          <w:rFonts w:ascii="Times New Roman" w:hAnsi="Times New Roman" w:cs="Times New Roman"/>
        </w:rPr>
      </w:pPr>
      <w:r w:rsidRPr="00A938F4">
        <w:rPr>
          <w:rFonts w:ascii="Times New Roman" w:hAnsi="Times New Roman" w:cs="Times New Roman"/>
        </w:rPr>
        <w:t xml:space="preserve">The </w:t>
      </w:r>
      <w:r w:rsidRPr="00A938F4">
        <w:rPr>
          <w:rFonts w:ascii="Times New Roman" w:hAnsi="Times New Roman" w:cs="Times New Roman"/>
          <w:b/>
          <w:bCs/>
        </w:rPr>
        <w:t>Date</w:t>
      </w:r>
      <w:r w:rsidRPr="00A938F4">
        <w:rPr>
          <w:rFonts w:ascii="Times New Roman" w:hAnsi="Times New Roman" w:cs="Times New Roman"/>
        </w:rPr>
        <w:t xml:space="preserve"> </w:t>
      </w:r>
      <w:r w:rsidR="00F13F1A" w:rsidRPr="00A938F4">
        <w:rPr>
          <w:rFonts w:ascii="Times New Roman" w:hAnsi="Times New Roman" w:cs="Times New Roman"/>
          <w:b/>
          <w:bCs/>
        </w:rPr>
        <w:t>Posted</w:t>
      </w:r>
      <w:r w:rsidR="00F13F1A" w:rsidRPr="00A938F4">
        <w:rPr>
          <w:rFonts w:ascii="Times New Roman" w:hAnsi="Times New Roman" w:cs="Times New Roman"/>
        </w:rPr>
        <w:t xml:space="preserve"> column </w:t>
      </w:r>
      <w:r w:rsidRPr="00A938F4">
        <w:rPr>
          <w:rFonts w:ascii="Times New Roman" w:hAnsi="Times New Roman" w:cs="Times New Roman"/>
        </w:rPr>
        <w:t>should be sorted by “Type: Date”</w:t>
      </w:r>
    </w:p>
    <w:p w14:paraId="20EC5B97" w14:textId="43A84189" w:rsidR="0015268E" w:rsidRPr="00A938F4" w:rsidRDefault="0015268E" w:rsidP="00F32AC6">
      <w:pPr>
        <w:pStyle w:val="ListParagraph"/>
        <w:numPr>
          <w:ilvl w:val="0"/>
          <w:numId w:val="4"/>
        </w:numPr>
        <w:rPr>
          <w:rFonts w:ascii="Times New Roman" w:hAnsi="Times New Roman" w:cs="Times New Roman"/>
        </w:rPr>
      </w:pPr>
      <w:r w:rsidRPr="00A938F4">
        <w:rPr>
          <w:rFonts w:ascii="Times New Roman" w:hAnsi="Times New Roman" w:cs="Times New Roman"/>
        </w:rPr>
        <w:t xml:space="preserve">The </w:t>
      </w:r>
      <w:r w:rsidR="00F13F1A" w:rsidRPr="00A938F4">
        <w:rPr>
          <w:rFonts w:ascii="Times New Roman" w:hAnsi="Times New Roman" w:cs="Times New Roman"/>
          <w:b/>
          <w:bCs/>
        </w:rPr>
        <w:t>Category</w:t>
      </w:r>
      <w:r w:rsidR="00F13F1A" w:rsidRPr="00A938F4">
        <w:rPr>
          <w:rFonts w:ascii="Times New Roman" w:hAnsi="Times New Roman" w:cs="Times New Roman"/>
        </w:rPr>
        <w:t xml:space="preserve"> </w:t>
      </w:r>
      <w:r w:rsidR="00E45BA3" w:rsidRPr="00A938F4">
        <w:rPr>
          <w:rFonts w:ascii="Times New Roman" w:hAnsi="Times New Roman" w:cs="Times New Roman"/>
        </w:rPr>
        <w:t>column should be sorted by “Type: Number”</w:t>
      </w:r>
    </w:p>
    <w:p w14:paraId="29F1DB44" w14:textId="078E0062" w:rsidR="00C80CAC" w:rsidRPr="00A938F4" w:rsidRDefault="00BC6305" w:rsidP="00785F6D">
      <w:pPr>
        <w:rPr>
          <w:rFonts w:ascii="Times New Roman" w:hAnsi="Times New Roman" w:cs="Times New Roman"/>
        </w:rPr>
      </w:pPr>
      <w:r w:rsidRPr="00A938F4">
        <w:rPr>
          <w:rFonts w:ascii="Times New Roman" w:hAnsi="Times New Roman" w:cs="Times New Roman"/>
        </w:rPr>
        <w:t xml:space="preserve">Question categories are assigned a number </w:t>
      </w:r>
      <w:r w:rsidR="00C07BB7" w:rsidRPr="00A938F4">
        <w:rPr>
          <w:rFonts w:ascii="Times New Roman" w:hAnsi="Times New Roman" w:cs="Times New Roman"/>
        </w:rPr>
        <w:t xml:space="preserve">for purposes of </w:t>
      </w:r>
      <w:r w:rsidR="005B23E3" w:rsidRPr="00A938F4">
        <w:rPr>
          <w:rFonts w:ascii="Times New Roman" w:hAnsi="Times New Roman" w:cs="Times New Roman"/>
        </w:rPr>
        <w:t xml:space="preserve">table sorting. </w:t>
      </w:r>
      <w:r w:rsidR="005F0863" w:rsidRPr="00A938F4">
        <w:rPr>
          <w:rFonts w:ascii="Times New Roman" w:hAnsi="Times New Roman" w:cs="Times New Roman"/>
        </w:rPr>
        <w:t xml:space="preserve">Below are the category </w:t>
      </w:r>
      <w:r w:rsidR="00C563EB" w:rsidRPr="00A938F4">
        <w:rPr>
          <w:rFonts w:ascii="Times New Roman" w:hAnsi="Times New Roman" w:cs="Times New Roman"/>
        </w:rPr>
        <w:t xml:space="preserve">breakdowns in the Q&amp;A table: </w:t>
      </w:r>
    </w:p>
    <w:p w14:paraId="3E75901A" w14:textId="2FD3AF56"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1-Core Plan</w:t>
      </w:r>
    </w:p>
    <w:p w14:paraId="3F260B77" w14:textId="66FA2FEF"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2-Threshold</w:t>
      </w:r>
    </w:p>
    <w:p w14:paraId="31929BCA" w14:textId="270DDEC9"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3-Scoring</w:t>
      </w:r>
    </w:p>
    <w:p w14:paraId="606F59C4" w14:textId="56D405F9"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4-Compliance Appendix</w:t>
      </w:r>
    </w:p>
    <w:p w14:paraId="2AD395B0" w14:textId="4B420565"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5-Manuals</w:t>
      </w:r>
    </w:p>
    <w:p w14:paraId="3ED5D95F" w14:textId="1EBDB4CE" w:rsidR="00110808" w:rsidRPr="00A938F4" w:rsidRDefault="00110808" w:rsidP="00486905">
      <w:pPr>
        <w:pStyle w:val="ListParagraph"/>
        <w:numPr>
          <w:ilvl w:val="0"/>
          <w:numId w:val="1"/>
        </w:numPr>
        <w:rPr>
          <w:rFonts w:ascii="Times New Roman" w:hAnsi="Times New Roman" w:cs="Times New Roman"/>
        </w:rPr>
      </w:pPr>
      <w:r w:rsidRPr="00A938F4">
        <w:rPr>
          <w:rFonts w:ascii="Times New Roman" w:hAnsi="Times New Roman" w:cs="Times New Roman"/>
        </w:rPr>
        <w:t>6-</w:t>
      </w:r>
      <w:r w:rsidR="00C72428" w:rsidRPr="00A938F4">
        <w:rPr>
          <w:rFonts w:ascii="Times New Roman" w:hAnsi="Times New Roman" w:cs="Times New Roman"/>
        </w:rPr>
        <w:t xml:space="preserve">Emphasys </w:t>
      </w:r>
      <w:r w:rsidR="00A056E8" w:rsidRPr="00A938F4">
        <w:rPr>
          <w:rFonts w:ascii="Times New Roman" w:hAnsi="Times New Roman" w:cs="Times New Roman"/>
        </w:rPr>
        <w:t xml:space="preserve">Application Portal </w:t>
      </w:r>
    </w:p>
    <w:p w14:paraId="1222407B" w14:textId="40F8C772" w:rsidR="00C80CAC" w:rsidRPr="00A938F4" w:rsidRDefault="00A913C8" w:rsidP="00486905">
      <w:pPr>
        <w:pStyle w:val="ListParagraph"/>
        <w:numPr>
          <w:ilvl w:val="0"/>
          <w:numId w:val="1"/>
        </w:numPr>
        <w:rPr>
          <w:rFonts w:ascii="Times New Roman" w:hAnsi="Times New Roman" w:cs="Times New Roman"/>
        </w:rPr>
      </w:pPr>
      <w:r w:rsidRPr="00A938F4">
        <w:rPr>
          <w:rFonts w:ascii="Times New Roman" w:hAnsi="Times New Roman" w:cs="Times New Roman"/>
        </w:rPr>
        <w:t>7</w:t>
      </w:r>
      <w:r w:rsidR="00C80CAC" w:rsidRPr="00A938F4">
        <w:rPr>
          <w:rFonts w:ascii="Times New Roman" w:hAnsi="Times New Roman" w:cs="Times New Roman"/>
        </w:rPr>
        <w:t>-Application Materials</w:t>
      </w:r>
      <w:r w:rsidR="00182630" w:rsidRPr="00A938F4">
        <w:rPr>
          <w:rFonts w:ascii="Times New Roman" w:hAnsi="Times New Roman" w:cs="Times New Roman"/>
        </w:rPr>
        <w:t xml:space="preserve"> (Forms, etc.)</w:t>
      </w:r>
    </w:p>
    <w:p w14:paraId="230848B7" w14:textId="6F3C34D1" w:rsidR="00B74C3B" w:rsidRPr="00A938F4" w:rsidRDefault="00B74C3B" w:rsidP="00486905">
      <w:pPr>
        <w:pStyle w:val="ListParagraph"/>
        <w:numPr>
          <w:ilvl w:val="0"/>
          <w:numId w:val="1"/>
        </w:numPr>
        <w:rPr>
          <w:rFonts w:ascii="Times New Roman" w:hAnsi="Times New Roman" w:cs="Times New Roman"/>
        </w:rPr>
      </w:pPr>
      <w:r w:rsidRPr="00A938F4">
        <w:rPr>
          <w:rFonts w:ascii="Times New Roman" w:hAnsi="Times New Roman" w:cs="Times New Roman"/>
        </w:rPr>
        <w:lastRenderedPageBreak/>
        <w:t>8-</w:t>
      </w:r>
      <w:r w:rsidR="001414D9" w:rsidRPr="00A938F4">
        <w:rPr>
          <w:rFonts w:ascii="Times New Roman" w:hAnsi="Times New Roman" w:cs="Times New Roman"/>
        </w:rPr>
        <w:t xml:space="preserve">Post-Award Clarifications </w:t>
      </w:r>
      <w:r w:rsidR="008D4F7D" w:rsidRPr="00A938F4">
        <w:rPr>
          <w:rFonts w:ascii="Times New Roman" w:hAnsi="Times New Roman" w:cs="Times New Roman"/>
        </w:rPr>
        <w:t>(</w:t>
      </w:r>
      <w:r w:rsidR="001C6A3C" w:rsidRPr="00A938F4">
        <w:rPr>
          <w:rFonts w:ascii="Times New Roman" w:hAnsi="Times New Roman" w:cs="Times New Roman"/>
        </w:rPr>
        <w:t xml:space="preserve">for </w:t>
      </w:r>
      <w:r w:rsidR="00783CA7" w:rsidRPr="00A938F4">
        <w:rPr>
          <w:rFonts w:ascii="Times New Roman" w:hAnsi="Times New Roman" w:cs="Times New Roman"/>
        </w:rPr>
        <w:t xml:space="preserve">developments </w:t>
      </w:r>
      <w:r w:rsidR="001C6A3C" w:rsidRPr="00A938F4">
        <w:rPr>
          <w:rFonts w:ascii="Times New Roman" w:hAnsi="Times New Roman" w:cs="Times New Roman"/>
        </w:rPr>
        <w:t xml:space="preserve">that have not </w:t>
      </w:r>
      <w:r w:rsidR="000E463E" w:rsidRPr="00A938F4">
        <w:rPr>
          <w:rFonts w:ascii="Times New Roman" w:hAnsi="Times New Roman" w:cs="Times New Roman"/>
        </w:rPr>
        <w:t xml:space="preserve">yet </w:t>
      </w:r>
      <w:r w:rsidR="001C6A3C" w:rsidRPr="00A938F4">
        <w:rPr>
          <w:rFonts w:ascii="Times New Roman" w:hAnsi="Times New Roman" w:cs="Times New Roman"/>
        </w:rPr>
        <w:t>received 8609s</w:t>
      </w:r>
      <w:r w:rsidR="00820DFD" w:rsidRPr="00A938F4">
        <w:rPr>
          <w:rFonts w:ascii="Times New Roman" w:hAnsi="Times New Roman" w:cs="Times New Roman"/>
        </w:rPr>
        <w:t xml:space="preserve">) </w:t>
      </w:r>
      <w:r w:rsidR="008D4F7D" w:rsidRPr="00A938F4">
        <w:rPr>
          <w:rFonts w:ascii="Times New Roman" w:hAnsi="Times New Roman" w:cs="Times New Roman"/>
        </w:rPr>
        <w:t xml:space="preserve"> </w:t>
      </w:r>
    </w:p>
    <w:p w14:paraId="4D63FE65" w14:textId="7D8EEC49" w:rsidR="00E023E6" w:rsidRPr="00A938F4" w:rsidRDefault="000F54F9" w:rsidP="00486905">
      <w:pPr>
        <w:pStyle w:val="ListParagraph"/>
        <w:numPr>
          <w:ilvl w:val="0"/>
          <w:numId w:val="1"/>
        </w:numPr>
        <w:rPr>
          <w:rFonts w:ascii="Times New Roman" w:hAnsi="Times New Roman" w:cs="Times New Roman"/>
        </w:rPr>
      </w:pPr>
      <w:r w:rsidRPr="00A938F4">
        <w:rPr>
          <w:rFonts w:ascii="Times New Roman" w:hAnsi="Times New Roman" w:cs="Times New Roman"/>
        </w:rPr>
        <w:t>9</w:t>
      </w:r>
      <w:r w:rsidR="00C80CAC" w:rsidRPr="00A938F4">
        <w:rPr>
          <w:rFonts w:ascii="Times New Roman" w:hAnsi="Times New Roman" w:cs="Times New Roman"/>
        </w:rPr>
        <w:t xml:space="preserve">-Other </w:t>
      </w:r>
    </w:p>
    <w:p w14:paraId="036C49B6" w14:textId="77777777" w:rsidR="00B6442F" w:rsidRPr="00A938F4" w:rsidRDefault="005D7CF0" w:rsidP="00C965C9">
      <w:pPr>
        <w:rPr>
          <w:rFonts w:ascii="Times New Roman" w:hAnsi="Times New Roman" w:cs="Times New Roman"/>
        </w:rPr>
      </w:pPr>
      <w:r w:rsidRPr="00A938F4">
        <w:rPr>
          <w:rFonts w:ascii="Times New Roman" w:hAnsi="Times New Roman" w:cs="Times New Roman"/>
        </w:rPr>
        <w:t xml:space="preserve">Category numbers take the </w:t>
      </w:r>
      <w:r w:rsidR="00B6442F" w:rsidRPr="00A938F4">
        <w:rPr>
          <w:rFonts w:ascii="Times New Roman" w:hAnsi="Times New Roman" w:cs="Times New Roman"/>
        </w:rPr>
        <w:t xml:space="preserve">following </w:t>
      </w:r>
      <w:r w:rsidRPr="00A938F4">
        <w:rPr>
          <w:rFonts w:ascii="Times New Roman" w:hAnsi="Times New Roman" w:cs="Times New Roman"/>
        </w:rPr>
        <w:t>form</w:t>
      </w:r>
      <w:r w:rsidR="00B6442F" w:rsidRPr="00A938F4">
        <w:rPr>
          <w:rFonts w:ascii="Times New Roman" w:hAnsi="Times New Roman" w:cs="Times New Roman"/>
        </w:rPr>
        <w:t>:</w:t>
      </w:r>
      <w:r w:rsidRPr="00A938F4">
        <w:rPr>
          <w:rFonts w:ascii="Times New Roman" w:hAnsi="Times New Roman" w:cs="Times New Roman"/>
        </w:rPr>
        <w:t xml:space="preserve"> </w:t>
      </w:r>
    </w:p>
    <w:p w14:paraId="7A53DB4B" w14:textId="698B7CC6" w:rsidR="00B6442F" w:rsidRPr="00A938F4" w:rsidRDefault="005D7CF0" w:rsidP="00F95A96">
      <w:pPr>
        <w:jc w:val="center"/>
        <w:rPr>
          <w:rFonts w:ascii="Times New Roman" w:hAnsi="Times New Roman" w:cs="Times New Roman"/>
        </w:rPr>
      </w:pPr>
      <w:r w:rsidRPr="00A938F4">
        <w:rPr>
          <w:rFonts w:ascii="Times New Roman" w:hAnsi="Times New Roman" w:cs="Times New Roman"/>
          <w:i/>
          <w:iCs/>
        </w:rPr>
        <w:t>[Category number</w:t>
      </w:r>
      <w:proofErr w:type="gramStart"/>
      <w:r w:rsidRPr="00A938F4">
        <w:rPr>
          <w:rFonts w:ascii="Times New Roman" w:hAnsi="Times New Roman" w:cs="Times New Roman"/>
          <w:i/>
          <w:iCs/>
        </w:rPr>
        <w:t xml:space="preserve">] </w:t>
      </w:r>
      <w:r w:rsidRPr="00A938F4">
        <w:rPr>
          <w:rFonts w:ascii="Times New Roman" w:hAnsi="Times New Roman" w:cs="Times New Roman"/>
          <w:b/>
          <w:bCs/>
          <w:i/>
          <w:iCs/>
        </w:rPr>
        <w:t>.</w:t>
      </w:r>
      <w:proofErr w:type="gramEnd"/>
      <w:r w:rsidRPr="00A938F4">
        <w:rPr>
          <w:rFonts w:ascii="Times New Roman" w:hAnsi="Times New Roman" w:cs="Times New Roman"/>
          <w:i/>
          <w:iCs/>
        </w:rPr>
        <w:t xml:space="preserve"> [subsection #]</w:t>
      </w:r>
    </w:p>
    <w:p w14:paraId="5E0DCD06" w14:textId="2DA5D5AC" w:rsidR="00C965C9" w:rsidRPr="00A938F4" w:rsidRDefault="001B2E62" w:rsidP="00C965C9">
      <w:pPr>
        <w:rPr>
          <w:rFonts w:ascii="Times New Roman" w:hAnsi="Times New Roman" w:cs="Times New Roman"/>
        </w:rPr>
      </w:pPr>
      <w:r w:rsidRPr="00A938F4">
        <w:rPr>
          <w:rFonts w:ascii="Times New Roman" w:hAnsi="Times New Roman" w:cs="Times New Roman"/>
        </w:rPr>
        <w:t>For example,</w:t>
      </w:r>
      <w:r w:rsidR="00860482">
        <w:rPr>
          <w:rFonts w:ascii="Times New Roman" w:hAnsi="Times New Roman" w:cs="Times New Roman"/>
        </w:rPr>
        <w:t xml:space="preserve"> the 6</w:t>
      </w:r>
      <w:r w:rsidR="00860482" w:rsidRPr="00860482">
        <w:rPr>
          <w:rFonts w:ascii="Times New Roman" w:hAnsi="Times New Roman" w:cs="Times New Roman"/>
          <w:vertAlign w:val="superscript"/>
        </w:rPr>
        <w:t>th</w:t>
      </w:r>
      <w:r w:rsidR="00860482">
        <w:rPr>
          <w:rFonts w:ascii="Times New Roman" w:hAnsi="Times New Roman" w:cs="Times New Roman"/>
        </w:rPr>
        <w:t xml:space="preserve"> section of</w:t>
      </w:r>
      <w:r w:rsidRPr="00A938F4">
        <w:rPr>
          <w:rFonts w:ascii="Times New Roman" w:hAnsi="Times New Roman" w:cs="Times New Roman"/>
        </w:rPr>
        <w:t xml:space="preserve"> </w:t>
      </w:r>
      <w:r w:rsidR="005A388A" w:rsidRPr="00A938F4">
        <w:rPr>
          <w:rFonts w:ascii="Times New Roman" w:hAnsi="Times New Roman" w:cs="Times New Roman"/>
          <w:i/>
          <w:iCs/>
        </w:rPr>
        <w:t>Core Plan</w:t>
      </w:r>
      <w:r w:rsidR="002B1FA3">
        <w:rPr>
          <w:rFonts w:ascii="Times New Roman" w:hAnsi="Times New Roman" w:cs="Times New Roman"/>
          <w:i/>
          <w:iCs/>
        </w:rPr>
        <w:t xml:space="preserve"> </w:t>
      </w:r>
      <w:r w:rsidR="002B1FA3" w:rsidRPr="002B1FA3">
        <w:rPr>
          <w:rFonts w:ascii="Times New Roman" w:hAnsi="Times New Roman" w:cs="Times New Roman"/>
        </w:rPr>
        <w:t>is</w:t>
      </w:r>
      <w:r w:rsidR="005A388A" w:rsidRPr="00A938F4">
        <w:rPr>
          <w:rFonts w:ascii="Times New Roman" w:hAnsi="Times New Roman" w:cs="Times New Roman"/>
          <w:i/>
          <w:iCs/>
        </w:rPr>
        <w:t xml:space="preserve"> </w:t>
      </w:r>
      <w:r w:rsidR="006E06E2" w:rsidRPr="00A938F4">
        <w:rPr>
          <w:rFonts w:ascii="Times New Roman" w:hAnsi="Times New Roman" w:cs="Times New Roman"/>
          <w:i/>
          <w:iCs/>
        </w:rPr>
        <w:t>9% Round Set Asides</w:t>
      </w:r>
      <w:r w:rsidR="002B1FA3">
        <w:rPr>
          <w:rFonts w:ascii="Times New Roman" w:hAnsi="Times New Roman" w:cs="Times New Roman"/>
        </w:rPr>
        <w:t xml:space="preserve">. This section </w:t>
      </w:r>
      <w:r w:rsidR="006E06E2" w:rsidRPr="00A938F4">
        <w:rPr>
          <w:rFonts w:ascii="Times New Roman" w:hAnsi="Times New Roman" w:cs="Times New Roman"/>
        </w:rPr>
        <w:t xml:space="preserve">is </w:t>
      </w:r>
      <w:r w:rsidR="0085392D" w:rsidRPr="00A938F4">
        <w:rPr>
          <w:rFonts w:ascii="Times New Roman" w:hAnsi="Times New Roman" w:cs="Times New Roman"/>
        </w:rPr>
        <w:t xml:space="preserve">numbered as </w:t>
      </w:r>
      <w:r w:rsidR="005B4BDE" w:rsidRPr="00A938F4">
        <w:rPr>
          <w:rFonts w:ascii="Times New Roman" w:hAnsi="Times New Roman" w:cs="Times New Roman"/>
        </w:rPr>
        <w:t>“</w:t>
      </w:r>
      <w:r w:rsidR="0085392D" w:rsidRPr="00A938F4">
        <w:rPr>
          <w:rFonts w:ascii="Times New Roman" w:hAnsi="Times New Roman" w:cs="Times New Roman"/>
        </w:rPr>
        <w:t>1.</w:t>
      </w:r>
      <w:r w:rsidR="00C15AF0" w:rsidRPr="00A938F4">
        <w:rPr>
          <w:rFonts w:ascii="Times New Roman" w:hAnsi="Times New Roman" w:cs="Times New Roman"/>
        </w:rPr>
        <w:t>0</w:t>
      </w:r>
      <w:r w:rsidR="00001721">
        <w:rPr>
          <w:rFonts w:ascii="Times New Roman" w:hAnsi="Times New Roman" w:cs="Times New Roman"/>
        </w:rPr>
        <w:t>6</w:t>
      </w:r>
      <w:r w:rsidR="005B4BDE" w:rsidRPr="00A938F4">
        <w:rPr>
          <w:rFonts w:ascii="Times New Roman" w:hAnsi="Times New Roman" w:cs="Times New Roman"/>
        </w:rPr>
        <w:t>”</w:t>
      </w:r>
      <w:r w:rsidR="00CF519E" w:rsidRPr="00A938F4">
        <w:rPr>
          <w:rFonts w:ascii="Times New Roman" w:hAnsi="Times New Roman" w:cs="Times New Roman"/>
        </w:rPr>
        <w:t xml:space="preserve"> </w:t>
      </w:r>
      <w:r w:rsidR="001E676A">
        <w:rPr>
          <w:rFonts w:ascii="Times New Roman" w:hAnsi="Times New Roman" w:cs="Times New Roman"/>
        </w:rPr>
        <w:t xml:space="preserve">in the Q&amp;A table. </w:t>
      </w:r>
    </w:p>
    <w:p w14:paraId="74E0315E" w14:textId="6C93D75F" w:rsidR="00176327" w:rsidRPr="00A938F4" w:rsidRDefault="00CF0051" w:rsidP="00CC2BB6">
      <w:pPr>
        <w:pStyle w:val="Heading2"/>
        <w:rPr>
          <w:rFonts w:cs="Times New Roman"/>
        </w:rPr>
      </w:pPr>
      <w:r w:rsidRPr="00A938F4">
        <w:rPr>
          <w:rFonts w:cs="Times New Roman"/>
        </w:rPr>
        <w:t xml:space="preserve">Log of </w:t>
      </w:r>
      <w:r w:rsidR="001E0ADE" w:rsidRPr="00A938F4">
        <w:rPr>
          <w:rFonts w:cs="Times New Roman"/>
        </w:rPr>
        <w:t>Updates</w:t>
      </w:r>
      <w:r w:rsidR="00845192" w:rsidRPr="00A938F4">
        <w:rPr>
          <w:rFonts w:cs="Times New Roman"/>
        </w:rPr>
        <w:t xml:space="preserve"> to this Q&amp;A Document</w:t>
      </w:r>
    </w:p>
    <w:p w14:paraId="3E3AEE31" w14:textId="263ABEE5" w:rsidR="00292828" w:rsidRPr="00A938F4" w:rsidRDefault="00D77ADA" w:rsidP="00176327">
      <w:pPr>
        <w:rPr>
          <w:rFonts w:ascii="Times New Roman" w:hAnsi="Times New Roman" w:cs="Times New Roman"/>
        </w:rPr>
      </w:pPr>
      <w:r w:rsidRPr="00A938F4">
        <w:rPr>
          <w:rFonts w:ascii="Times New Roman" w:hAnsi="Times New Roman" w:cs="Times New Roman"/>
        </w:rPr>
        <w:t xml:space="preserve">This section </w:t>
      </w:r>
      <w:r w:rsidR="00D84E39" w:rsidRPr="00A938F4">
        <w:rPr>
          <w:rFonts w:ascii="Times New Roman" w:hAnsi="Times New Roman" w:cs="Times New Roman"/>
        </w:rPr>
        <w:t xml:space="preserve">provides a high-level description of </w:t>
      </w:r>
      <w:r w:rsidR="005306AE" w:rsidRPr="00A938F4">
        <w:rPr>
          <w:rFonts w:ascii="Times New Roman" w:hAnsi="Times New Roman" w:cs="Times New Roman"/>
        </w:rPr>
        <w:t>changes</w:t>
      </w:r>
      <w:r w:rsidR="004A29D5" w:rsidRPr="00A938F4">
        <w:rPr>
          <w:rFonts w:ascii="Times New Roman" w:hAnsi="Times New Roman" w:cs="Times New Roman"/>
        </w:rPr>
        <w:t xml:space="preserve"> made to the document from one version to the next.</w:t>
      </w:r>
    </w:p>
    <w:tbl>
      <w:tblPr>
        <w:tblStyle w:val="TableGrid"/>
        <w:tblW w:w="0" w:type="auto"/>
        <w:jc w:val="center"/>
        <w:tblLook w:val="04A0" w:firstRow="1" w:lastRow="0" w:firstColumn="1" w:lastColumn="0" w:noHBand="0" w:noVBand="1"/>
      </w:tblPr>
      <w:tblGrid>
        <w:gridCol w:w="1165"/>
        <w:gridCol w:w="8010"/>
      </w:tblGrid>
      <w:tr w:rsidR="00BA7622" w:rsidRPr="00A938F4" w14:paraId="73439BA0" w14:textId="77777777" w:rsidTr="00815B6A">
        <w:trPr>
          <w:jc w:val="center"/>
        </w:trPr>
        <w:tc>
          <w:tcPr>
            <w:tcW w:w="1165" w:type="dxa"/>
            <w:shd w:val="clear" w:color="auto" w:fill="D9D9D9" w:themeFill="background1" w:themeFillShade="D9"/>
            <w:tcMar>
              <w:top w:w="72" w:type="dxa"/>
              <w:left w:w="115" w:type="dxa"/>
              <w:bottom w:w="72" w:type="dxa"/>
              <w:right w:w="115" w:type="dxa"/>
            </w:tcMar>
            <w:vAlign w:val="center"/>
          </w:tcPr>
          <w:p w14:paraId="68960264" w14:textId="319B9684" w:rsidR="00BA7622" w:rsidRPr="00A938F4" w:rsidRDefault="00BA7622" w:rsidP="00820378">
            <w:pPr>
              <w:keepNext/>
              <w:jc w:val="center"/>
              <w:rPr>
                <w:rFonts w:ascii="Times New Roman" w:hAnsi="Times New Roman" w:cs="Times New Roman"/>
                <w:b/>
                <w:bCs/>
              </w:rPr>
            </w:pPr>
            <w:r w:rsidRPr="00A938F4">
              <w:rPr>
                <w:rFonts w:ascii="Times New Roman" w:hAnsi="Times New Roman" w:cs="Times New Roman"/>
                <w:b/>
                <w:bCs/>
              </w:rPr>
              <w:t>Update</w:t>
            </w:r>
          </w:p>
        </w:tc>
        <w:tc>
          <w:tcPr>
            <w:tcW w:w="8010" w:type="dxa"/>
            <w:shd w:val="clear" w:color="auto" w:fill="D9D9D9" w:themeFill="background1" w:themeFillShade="D9"/>
            <w:tcMar>
              <w:top w:w="72" w:type="dxa"/>
              <w:left w:w="115" w:type="dxa"/>
              <w:bottom w:w="72" w:type="dxa"/>
              <w:right w:w="115" w:type="dxa"/>
            </w:tcMar>
            <w:vAlign w:val="center"/>
          </w:tcPr>
          <w:p w14:paraId="5DE69DE1" w14:textId="4961E60C" w:rsidR="00BA7622" w:rsidRPr="00A938F4" w:rsidRDefault="00B64656" w:rsidP="00820378">
            <w:pPr>
              <w:keepNext/>
              <w:jc w:val="center"/>
              <w:rPr>
                <w:rFonts w:ascii="Times New Roman" w:hAnsi="Times New Roman" w:cs="Times New Roman"/>
                <w:b/>
                <w:bCs/>
              </w:rPr>
            </w:pPr>
            <w:r w:rsidRPr="00A938F4">
              <w:rPr>
                <w:rFonts w:ascii="Times New Roman" w:hAnsi="Times New Roman" w:cs="Times New Roman"/>
                <w:b/>
                <w:bCs/>
              </w:rPr>
              <w:t>Changes</w:t>
            </w:r>
          </w:p>
        </w:tc>
      </w:tr>
      <w:tr w:rsidR="00B64656" w:rsidRPr="00A938F4" w14:paraId="1AF854EC" w14:textId="77777777" w:rsidTr="00815B6A">
        <w:trPr>
          <w:jc w:val="center"/>
        </w:trPr>
        <w:tc>
          <w:tcPr>
            <w:tcW w:w="1165" w:type="dxa"/>
            <w:tcMar>
              <w:top w:w="72" w:type="dxa"/>
              <w:left w:w="115" w:type="dxa"/>
              <w:bottom w:w="72" w:type="dxa"/>
              <w:right w:w="115" w:type="dxa"/>
            </w:tcMar>
            <w:vAlign w:val="center"/>
          </w:tcPr>
          <w:p w14:paraId="649C1526" w14:textId="054C8096" w:rsidR="00B64656" w:rsidRPr="00A938F4" w:rsidRDefault="00B432C2" w:rsidP="00820378">
            <w:pPr>
              <w:keepNext/>
              <w:rPr>
                <w:rFonts w:ascii="Times New Roman" w:hAnsi="Times New Roman" w:cs="Times New Roman"/>
              </w:rPr>
            </w:pPr>
            <w:r>
              <w:rPr>
                <w:rFonts w:ascii="Times New Roman" w:hAnsi="Times New Roman" w:cs="Times New Roman"/>
              </w:rPr>
              <w:t>2/25/22</w:t>
            </w:r>
          </w:p>
        </w:tc>
        <w:tc>
          <w:tcPr>
            <w:tcW w:w="8010" w:type="dxa"/>
            <w:tcMar>
              <w:top w:w="72" w:type="dxa"/>
              <w:left w:w="115" w:type="dxa"/>
              <w:bottom w:w="72" w:type="dxa"/>
              <w:right w:w="115" w:type="dxa"/>
            </w:tcMar>
            <w:vAlign w:val="center"/>
          </w:tcPr>
          <w:p w14:paraId="417CA875" w14:textId="0D472CCF" w:rsidR="00C84B0F" w:rsidRDefault="00B432C2" w:rsidP="00F32AC6">
            <w:pPr>
              <w:pStyle w:val="ListParagraph"/>
              <w:keepNext/>
              <w:numPr>
                <w:ilvl w:val="0"/>
                <w:numId w:val="3"/>
              </w:numPr>
              <w:rPr>
                <w:rFonts w:ascii="Times New Roman" w:hAnsi="Times New Roman" w:cs="Times New Roman"/>
              </w:rPr>
            </w:pPr>
            <w:r>
              <w:rPr>
                <w:rFonts w:ascii="Times New Roman" w:hAnsi="Times New Roman" w:cs="Times New Roman"/>
              </w:rPr>
              <w:t xml:space="preserve">Initial </w:t>
            </w:r>
            <w:r w:rsidR="00C84B0F">
              <w:rPr>
                <w:rFonts w:ascii="Times New Roman" w:hAnsi="Times New Roman" w:cs="Times New Roman"/>
              </w:rPr>
              <w:t xml:space="preserve">document </w:t>
            </w:r>
            <w:r w:rsidR="001F4E30">
              <w:rPr>
                <w:rFonts w:ascii="Times New Roman" w:hAnsi="Times New Roman" w:cs="Times New Roman"/>
              </w:rPr>
              <w:t xml:space="preserve">publication </w:t>
            </w:r>
          </w:p>
          <w:p w14:paraId="52E44A04" w14:textId="274B3C00" w:rsidR="00B64656" w:rsidRPr="00A938F4" w:rsidRDefault="00DC20D7" w:rsidP="00F32AC6">
            <w:pPr>
              <w:pStyle w:val="ListParagraph"/>
              <w:keepNext/>
              <w:numPr>
                <w:ilvl w:val="0"/>
                <w:numId w:val="3"/>
              </w:numPr>
              <w:rPr>
                <w:rFonts w:ascii="Times New Roman" w:hAnsi="Times New Roman" w:cs="Times New Roman"/>
              </w:rPr>
            </w:pPr>
            <w:r>
              <w:rPr>
                <w:rFonts w:ascii="Times New Roman" w:hAnsi="Times New Roman" w:cs="Times New Roman"/>
              </w:rPr>
              <w:t xml:space="preserve">Posted first </w:t>
            </w:r>
            <w:r w:rsidR="00C84B0F">
              <w:rPr>
                <w:rFonts w:ascii="Times New Roman" w:hAnsi="Times New Roman" w:cs="Times New Roman"/>
              </w:rPr>
              <w:t xml:space="preserve">Q&amp;A </w:t>
            </w:r>
            <w:r w:rsidR="00031A24">
              <w:rPr>
                <w:rFonts w:ascii="Times New Roman" w:hAnsi="Times New Roman" w:cs="Times New Roman"/>
              </w:rPr>
              <w:t>set</w:t>
            </w:r>
            <w:r w:rsidR="00C84B0F">
              <w:rPr>
                <w:rFonts w:ascii="Times New Roman" w:hAnsi="Times New Roman" w:cs="Times New Roman"/>
              </w:rPr>
              <w:t xml:space="preserve"> </w:t>
            </w:r>
          </w:p>
        </w:tc>
      </w:tr>
      <w:tr w:rsidR="006B5063" w:rsidRPr="00A938F4" w14:paraId="3F9C3B04" w14:textId="77777777" w:rsidTr="00815B6A">
        <w:trPr>
          <w:jc w:val="center"/>
        </w:trPr>
        <w:tc>
          <w:tcPr>
            <w:tcW w:w="1165" w:type="dxa"/>
            <w:tcMar>
              <w:top w:w="72" w:type="dxa"/>
              <w:left w:w="115" w:type="dxa"/>
              <w:bottom w:w="72" w:type="dxa"/>
              <w:right w:w="115" w:type="dxa"/>
            </w:tcMar>
            <w:vAlign w:val="center"/>
          </w:tcPr>
          <w:p w14:paraId="09125CCD" w14:textId="3B098638" w:rsidR="006B5063" w:rsidRDefault="006B5063" w:rsidP="00820378">
            <w:pPr>
              <w:keepNext/>
              <w:rPr>
                <w:rFonts w:ascii="Times New Roman" w:hAnsi="Times New Roman" w:cs="Times New Roman"/>
              </w:rPr>
            </w:pPr>
            <w:r>
              <w:rPr>
                <w:rFonts w:ascii="Times New Roman" w:hAnsi="Times New Roman" w:cs="Times New Roman"/>
              </w:rPr>
              <w:t>3/</w:t>
            </w:r>
            <w:r w:rsidR="0090202B">
              <w:rPr>
                <w:rFonts w:ascii="Times New Roman" w:hAnsi="Times New Roman" w:cs="Times New Roman"/>
              </w:rPr>
              <w:t>3</w:t>
            </w:r>
            <w:r>
              <w:rPr>
                <w:rFonts w:ascii="Times New Roman" w:hAnsi="Times New Roman" w:cs="Times New Roman"/>
              </w:rPr>
              <w:t>/22</w:t>
            </w:r>
          </w:p>
        </w:tc>
        <w:tc>
          <w:tcPr>
            <w:tcW w:w="8010" w:type="dxa"/>
            <w:tcMar>
              <w:top w:w="72" w:type="dxa"/>
              <w:left w:w="115" w:type="dxa"/>
              <w:bottom w:w="72" w:type="dxa"/>
              <w:right w:w="115" w:type="dxa"/>
            </w:tcMar>
            <w:vAlign w:val="center"/>
          </w:tcPr>
          <w:p w14:paraId="207EE823" w14:textId="26696F3B" w:rsidR="006B5063" w:rsidRDefault="00400246"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00B21963" w:rsidRPr="00A938F4" w14:paraId="3BB4A2F2" w14:textId="77777777" w:rsidTr="00815B6A">
        <w:trPr>
          <w:jc w:val="center"/>
        </w:trPr>
        <w:tc>
          <w:tcPr>
            <w:tcW w:w="1165" w:type="dxa"/>
            <w:tcMar>
              <w:top w:w="72" w:type="dxa"/>
              <w:left w:w="115" w:type="dxa"/>
              <w:bottom w:w="72" w:type="dxa"/>
              <w:right w:w="115" w:type="dxa"/>
            </w:tcMar>
            <w:vAlign w:val="center"/>
          </w:tcPr>
          <w:p w14:paraId="6596BB3B" w14:textId="41C16BEC" w:rsidR="00B21963" w:rsidRDefault="00B21963" w:rsidP="00820378">
            <w:pPr>
              <w:keepNext/>
              <w:rPr>
                <w:rFonts w:ascii="Times New Roman" w:hAnsi="Times New Roman" w:cs="Times New Roman"/>
              </w:rPr>
            </w:pPr>
            <w:r>
              <w:rPr>
                <w:rFonts w:ascii="Times New Roman" w:hAnsi="Times New Roman" w:cs="Times New Roman"/>
              </w:rPr>
              <w:t>3/7/22</w:t>
            </w:r>
          </w:p>
        </w:tc>
        <w:tc>
          <w:tcPr>
            <w:tcW w:w="8010" w:type="dxa"/>
            <w:tcMar>
              <w:top w:w="72" w:type="dxa"/>
              <w:left w:w="115" w:type="dxa"/>
              <w:bottom w:w="72" w:type="dxa"/>
              <w:right w:w="115" w:type="dxa"/>
            </w:tcMar>
            <w:vAlign w:val="center"/>
          </w:tcPr>
          <w:p w14:paraId="6299A750" w14:textId="39332820" w:rsidR="00B21963" w:rsidRDefault="00B21963"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009716F1" w:rsidRPr="00A938F4" w14:paraId="3BEE959A" w14:textId="77777777" w:rsidTr="00815B6A">
        <w:trPr>
          <w:jc w:val="center"/>
        </w:trPr>
        <w:tc>
          <w:tcPr>
            <w:tcW w:w="1165" w:type="dxa"/>
            <w:tcMar>
              <w:top w:w="72" w:type="dxa"/>
              <w:left w:w="115" w:type="dxa"/>
              <w:bottom w:w="72" w:type="dxa"/>
              <w:right w:w="115" w:type="dxa"/>
            </w:tcMar>
            <w:vAlign w:val="center"/>
          </w:tcPr>
          <w:p w14:paraId="368430D1" w14:textId="3B69F567" w:rsidR="009716F1" w:rsidRDefault="009716F1" w:rsidP="00820378">
            <w:pPr>
              <w:keepNext/>
              <w:rPr>
                <w:rFonts w:ascii="Times New Roman" w:hAnsi="Times New Roman" w:cs="Times New Roman"/>
              </w:rPr>
            </w:pPr>
            <w:r>
              <w:rPr>
                <w:rFonts w:ascii="Times New Roman" w:hAnsi="Times New Roman" w:cs="Times New Roman"/>
              </w:rPr>
              <w:t>3/8/22</w:t>
            </w:r>
          </w:p>
        </w:tc>
        <w:tc>
          <w:tcPr>
            <w:tcW w:w="8010" w:type="dxa"/>
            <w:tcMar>
              <w:top w:w="72" w:type="dxa"/>
              <w:left w:w="115" w:type="dxa"/>
              <w:bottom w:w="72" w:type="dxa"/>
              <w:right w:w="115" w:type="dxa"/>
            </w:tcMar>
            <w:vAlign w:val="center"/>
          </w:tcPr>
          <w:p w14:paraId="08518F2E" w14:textId="1D00051F" w:rsidR="009716F1" w:rsidRDefault="009716F1"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001B0651" w:rsidRPr="00A938F4" w14:paraId="4BDF7C84" w14:textId="77777777" w:rsidTr="00815B6A">
        <w:trPr>
          <w:jc w:val="center"/>
        </w:trPr>
        <w:tc>
          <w:tcPr>
            <w:tcW w:w="1165" w:type="dxa"/>
            <w:tcMar>
              <w:top w:w="72" w:type="dxa"/>
              <w:left w:w="115" w:type="dxa"/>
              <w:bottom w:w="72" w:type="dxa"/>
              <w:right w:w="115" w:type="dxa"/>
            </w:tcMar>
            <w:vAlign w:val="center"/>
          </w:tcPr>
          <w:p w14:paraId="7B30B736" w14:textId="3A3E9EF1" w:rsidR="001B0651" w:rsidRDefault="001B0651" w:rsidP="00820378">
            <w:pPr>
              <w:keepNext/>
              <w:rPr>
                <w:rFonts w:ascii="Times New Roman" w:hAnsi="Times New Roman" w:cs="Times New Roman"/>
              </w:rPr>
            </w:pPr>
            <w:r>
              <w:rPr>
                <w:rFonts w:ascii="Times New Roman" w:hAnsi="Times New Roman" w:cs="Times New Roman"/>
              </w:rPr>
              <w:t>3/9/22</w:t>
            </w:r>
          </w:p>
        </w:tc>
        <w:tc>
          <w:tcPr>
            <w:tcW w:w="8010" w:type="dxa"/>
            <w:tcMar>
              <w:top w:w="72" w:type="dxa"/>
              <w:left w:w="115" w:type="dxa"/>
              <w:bottom w:w="72" w:type="dxa"/>
              <w:right w:w="115" w:type="dxa"/>
            </w:tcMar>
            <w:vAlign w:val="center"/>
          </w:tcPr>
          <w:p w14:paraId="16F18DF4" w14:textId="3273D886" w:rsidR="001B0651" w:rsidRDefault="001B0651"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1995616E" w14:paraId="2BEB48AC" w14:textId="77777777" w:rsidTr="1995616E">
        <w:trPr>
          <w:jc w:val="center"/>
        </w:trPr>
        <w:tc>
          <w:tcPr>
            <w:tcW w:w="1165" w:type="dxa"/>
            <w:tcMar>
              <w:top w:w="72" w:type="dxa"/>
              <w:left w:w="115" w:type="dxa"/>
              <w:bottom w:w="72" w:type="dxa"/>
              <w:right w:w="115" w:type="dxa"/>
            </w:tcMar>
            <w:vAlign w:val="center"/>
          </w:tcPr>
          <w:p w14:paraId="355D3F1D" w14:textId="671CCB26" w:rsidR="1995616E" w:rsidRDefault="1995616E" w:rsidP="1995616E">
            <w:pPr>
              <w:rPr>
                <w:rFonts w:ascii="Times New Roman" w:hAnsi="Times New Roman" w:cs="Times New Roman"/>
              </w:rPr>
            </w:pPr>
            <w:r w:rsidRPr="1995616E">
              <w:rPr>
                <w:rFonts w:ascii="Times New Roman" w:hAnsi="Times New Roman" w:cs="Times New Roman"/>
              </w:rPr>
              <w:t>3/10/22</w:t>
            </w:r>
          </w:p>
        </w:tc>
        <w:tc>
          <w:tcPr>
            <w:tcW w:w="8010" w:type="dxa"/>
            <w:tcMar>
              <w:top w:w="72" w:type="dxa"/>
              <w:left w:w="115" w:type="dxa"/>
              <w:bottom w:w="72" w:type="dxa"/>
              <w:right w:w="115" w:type="dxa"/>
            </w:tcMar>
            <w:vAlign w:val="center"/>
          </w:tcPr>
          <w:p w14:paraId="604A9CA1" w14:textId="0AB5E5A3" w:rsidR="1995616E" w:rsidRPr="000A6953" w:rsidRDefault="1995616E" w:rsidP="00F32AC6">
            <w:pPr>
              <w:pStyle w:val="ListParagraph"/>
              <w:numPr>
                <w:ilvl w:val="0"/>
                <w:numId w:val="3"/>
              </w:numPr>
              <w:rPr>
                <w:rFonts w:ascii="Times New Roman" w:eastAsiaTheme="minorEastAsia" w:hAnsi="Times New Roman" w:cs="Times New Roman"/>
              </w:rPr>
            </w:pPr>
            <w:r w:rsidRPr="1995616E">
              <w:rPr>
                <w:rFonts w:ascii="Times New Roman" w:hAnsi="Times New Roman" w:cs="Times New Roman"/>
              </w:rPr>
              <w:t>New Q&amp;A set posted</w:t>
            </w:r>
          </w:p>
        </w:tc>
      </w:tr>
      <w:tr w:rsidR="009B714B" w:rsidRPr="000A6953" w14:paraId="47885BE0" w14:textId="77777777" w:rsidTr="1995616E">
        <w:trPr>
          <w:jc w:val="center"/>
        </w:trPr>
        <w:tc>
          <w:tcPr>
            <w:tcW w:w="1165" w:type="dxa"/>
            <w:tcMar>
              <w:top w:w="72" w:type="dxa"/>
              <w:left w:w="115" w:type="dxa"/>
              <w:bottom w:w="72" w:type="dxa"/>
              <w:right w:w="115" w:type="dxa"/>
            </w:tcMar>
            <w:vAlign w:val="center"/>
          </w:tcPr>
          <w:p w14:paraId="33DE2B05" w14:textId="15C56181" w:rsidR="009B714B" w:rsidRPr="000A6953" w:rsidRDefault="009B714B" w:rsidP="1995616E">
            <w:pPr>
              <w:rPr>
                <w:rFonts w:ascii="Times New Roman" w:hAnsi="Times New Roman" w:cs="Times New Roman"/>
              </w:rPr>
            </w:pPr>
            <w:r w:rsidRPr="000A6953">
              <w:rPr>
                <w:rFonts w:ascii="Times New Roman" w:hAnsi="Times New Roman" w:cs="Times New Roman"/>
              </w:rPr>
              <w:t>3/2</w:t>
            </w:r>
            <w:r w:rsidR="006C1EB3">
              <w:rPr>
                <w:rFonts w:ascii="Times New Roman" w:hAnsi="Times New Roman" w:cs="Times New Roman"/>
              </w:rPr>
              <w:t>2</w:t>
            </w:r>
            <w:r w:rsidRPr="000A6953">
              <w:rPr>
                <w:rFonts w:ascii="Times New Roman" w:hAnsi="Times New Roman" w:cs="Times New Roman"/>
              </w:rPr>
              <w:t>/22</w:t>
            </w:r>
          </w:p>
        </w:tc>
        <w:tc>
          <w:tcPr>
            <w:tcW w:w="8010" w:type="dxa"/>
            <w:tcMar>
              <w:top w:w="72" w:type="dxa"/>
              <w:left w:w="115" w:type="dxa"/>
              <w:bottom w:w="72" w:type="dxa"/>
              <w:right w:w="115" w:type="dxa"/>
            </w:tcMar>
            <w:vAlign w:val="center"/>
          </w:tcPr>
          <w:p w14:paraId="6D2535A8" w14:textId="588F6050" w:rsidR="009B714B" w:rsidRPr="000A6953" w:rsidRDefault="009B714B"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DC52D1" w:rsidRPr="000A6953" w14:paraId="5E2BB2E9" w14:textId="77777777" w:rsidTr="1995616E">
        <w:trPr>
          <w:jc w:val="center"/>
        </w:trPr>
        <w:tc>
          <w:tcPr>
            <w:tcW w:w="1165" w:type="dxa"/>
            <w:tcMar>
              <w:top w:w="72" w:type="dxa"/>
              <w:left w:w="115" w:type="dxa"/>
              <w:bottom w:w="72" w:type="dxa"/>
              <w:right w:w="115" w:type="dxa"/>
            </w:tcMar>
            <w:vAlign w:val="center"/>
          </w:tcPr>
          <w:p w14:paraId="27D491A2" w14:textId="56F401C6" w:rsidR="00DC52D1" w:rsidRPr="000A6953" w:rsidRDefault="00DC52D1" w:rsidP="1995616E">
            <w:pPr>
              <w:rPr>
                <w:rFonts w:ascii="Times New Roman" w:hAnsi="Times New Roman" w:cs="Times New Roman"/>
              </w:rPr>
            </w:pPr>
            <w:r>
              <w:rPr>
                <w:rFonts w:ascii="Times New Roman" w:hAnsi="Times New Roman" w:cs="Times New Roman"/>
              </w:rPr>
              <w:t>3/31/22</w:t>
            </w:r>
          </w:p>
        </w:tc>
        <w:tc>
          <w:tcPr>
            <w:tcW w:w="8010" w:type="dxa"/>
            <w:tcMar>
              <w:top w:w="72" w:type="dxa"/>
              <w:left w:w="115" w:type="dxa"/>
              <w:bottom w:w="72" w:type="dxa"/>
              <w:right w:w="115" w:type="dxa"/>
            </w:tcMar>
            <w:vAlign w:val="center"/>
          </w:tcPr>
          <w:p w14:paraId="20E3CC92" w14:textId="0E570CA9" w:rsidR="00DC52D1" w:rsidRPr="000A6953" w:rsidRDefault="00DC52D1"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E82BB7" w:rsidRPr="000A6953" w14:paraId="4F9FD03D" w14:textId="77777777" w:rsidTr="1995616E">
        <w:trPr>
          <w:jc w:val="center"/>
        </w:trPr>
        <w:tc>
          <w:tcPr>
            <w:tcW w:w="1165" w:type="dxa"/>
            <w:tcMar>
              <w:top w:w="72" w:type="dxa"/>
              <w:left w:w="115" w:type="dxa"/>
              <w:bottom w:w="72" w:type="dxa"/>
              <w:right w:w="115" w:type="dxa"/>
            </w:tcMar>
            <w:vAlign w:val="center"/>
          </w:tcPr>
          <w:p w14:paraId="3CC844FC" w14:textId="0F905EFE" w:rsidR="00E82BB7" w:rsidRDefault="00E82BB7" w:rsidP="1995616E">
            <w:pPr>
              <w:rPr>
                <w:rFonts w:ascii="Times New Roman" w:hAnsi="Times New Roman" w:cs="Times New Roman"/>
              </w:rPr>
            </w:pPr>
            <w:r>
              <w:rPr>
                <w:rFonts w:ascii="Times New Roman" w:hAnsi="Times New Roman" w:cs="Times New Roman"/>
              </w:rPr>
              <w:t>4/5/22</w:t>
            </w:r>
          </w:p>
        </w:tc>
        <w:tc>
          <w:tcPr>
            <w:tcW w:w="8010" w:type="dxa"/>
            <w:tcMar>
              <w:top w:w="72" w:type="dxa"/>
              <w:left w:w="115" w:type="dxa"/>
              <w:bottom w:w="72" w:type="dxa"/>
              <w:right w:w="115" w:type="dxa"/>
            </w:tcMar>
            <w:vAlign w:val="center"/>
          </w:tcPr>
          <w:p w14:paraId="6A0B53EE" w14:textId="0EBFBC14" w:rsidR="00E82BB7" w:rsidRPr="000A6953" w:rsidRDefault="006D59F5"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5B3B1C" w:rsidRPr="000A6953" w14:paraId="47F78D9D" w14:textId="77777777" w:rsidTr="1995616E">
        <w:trPr>
          <w:jc w:val="center"/>
        </w:trPr>
        <w:tc>
          <w:tcPr>
            <w:tcW w:w="1165" w:type="dxa"/>
            <w:tcMar>
              <w:top w:w="72" w:type="dxa"/>
              <w:left w:w="115" w:type="dxa"/>
              <w:bottom w:w="72" w:type="dxa"/>
              <w:right w:w="115" w:type="dxa"/>
            </w:tcMar>
            <w:vAlign w:val="center"/>
          </w:tcPr>
          <w:p w14:paraId="57317577" w14:textId="0220E683" w:rsidR="005B3B1C" w:rsidRDefault="005B3B1C" w:rsidP="1995616E">
            <w:pPr>
              <w:rPr>
                <w:rFonts w:ascii="Times New Roman" w:hAnsi="Times New Roman" w:cs="Times New Roman"/>
              </w:rPr>
            </w:pPr>
            <w:r>
              <w:rPr>
                <w:rFonts w:ascii="Times New Roman" w:hAnsi="Times New Roman" w:cs="Times New Roman"/>
              </w:rPr>
              <w:t>4/7/22</w:t>
            </w:r>
          </w:p>
        </w:tc>
        <w:tc>
          <w:tcPr>
            <w:tcW w:w="8010" w:type="dxa"/>
            <w:tcMar>
              <w:top w:w="72" w:type="dxa"/>
              <w:left w:w="115" w:type="dxa"/>
              <w:bottom w:w="72" w:type="dxa"/>
              <w:right w:w="115" w:type="dxa"/>
            </w:tcMar>
            <w:vAlign w:val="center"/>
          </w:tcPr>
          <w:p w14:paraId="1F7433E5" w14:textId="5B0F0605" w:rsidR="005B3B1C" w:rsidRPr="000A6953" w:rsidRDefault="005B3B1C"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270CB9" w:rsidRPr="000A6953" w14:paraId="6A2859E6" w14:textId="77777777" w:rsidTr="1995616E">
        <w:trPr>
          <w:jc w:val="center"/>
        </w:trPr>
        <w:tc>
          <w:tcPr>
            <w:tcW w:w="1165" w:type="dxa"/>
            <w:tcMar>
              <w:top w:w="72" w:type="dxa"/>
              <w:left w:w="115" w:type="dxa"/>
              <w:bottom w:w="72" w:type="dxa"/>
              <w:right w:w="115" w:type="dxa"/>
            </w:tcMar>
            <w:vAlign w:val="center"/>
          </w:tcPr>
          <w:p w14:paraId="1B45BFD0" w14:textId="6D9D3A72" w:rsidR="00270CB9" w:rsidRDefault="00270CB9" w:rsidP="1995616E">
            <w:pPr>
              <w:rPr>
                <w:rFonts w:ascii="Times New Roman" w:hAnsi="Times New Roman" w:cs="Times New Roman"/>
              </w:rPr>
            </w:pPr>
            <w:r>
              <w:rPr>
                <w:rFonts w:ascii="Times New Roman" w:hAnsi="Times New Roman" w:cs="Times New Roman"/>
              </w:rPr>
              <w:t>4/1</w:t>
            </w:r>
            <w:r w:rsidR="000D1449">
              <w:rPr>
                <w:rFonts w:ascii="Times New Roman" w:hAnsi="Times New Roman" w:cs="Times New Roman"/>
              </w:rPr>
              <w:t>4</w:t>
            </w:r>
            <w:r>
              <w:rPr>
                <w:rFonts w:ascii="Times New Roman" w:hAnsi="Times New Roman" w:cs="Times New Roman"/>
              </w:rPr>
              <w:t>/22</w:t>
            </w:r>
          </w:p>
        </w:tc>
        <w:tc>
          <w:tcPr>
            <w:tcW w:w="8010" w:type="dxa"/>
            <w:tcMar>
              <w:top w:w="72" w:type="dxa"/>
              <w:left w:w="115" w:type="dxa"/>
              <w:bottom w:w="72" w:type="dxa"/>
              <w:right w:w="115" w:type="dxa"/>
            </w:tcMar>
            <w:vAlign w:val="center"/>
          </w:tcPr>
          <w:p w14:paraId="5DDC5EA9" w14:textId="296E572B" w:rsidR="00270CB9" w:rsidRPr="000A6953" w:rsidRDefault="00270CB9"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441484" w:rsidRPr="000A6953" w14:paraId="30572C6C" w14:textId="77777777" w:rsidTr="1995616E">
        <w:trPr>
          <w:jc w:val="center"/>
        </w:trPr>
        <w:tc>
          <w:tcPr>
            <w:tcW w:w="1165" w:type="dxa"/>
            <w:tcMar>
              <w:top w:w="72" w:type="dxa"/>
              <w:left w:w="115" w:type="dxa"/>
              <w:bottom w:w="72" w:type="dxa"/>
              <w:right w:w="115" w:type="dxa"/>
            </w:tcMar>
            <w:vAlign w:val="center"/>
          </w:tcPr>
          <w:p w14:paraId="4E34CF70" w14:textId="6145EA69" w:rsidR="00441484" w:rsidRDefault="00441484" w:rsidP="1995616E">
            <w:pPr>
              <w:rPr>
                <w:rFonts w:ascii="Times New Roman" w:hAnsi="Times New Roman" w:cs="Times New Roman"/>
              </w:rPr>
            </w:pPr>
            <w:r>
              <w:rPr>
                <w:rFonts w:ascii="Times New Roman" w:hAnsi="Times New Roman" w:cs="Times New Roman"/>
              </w:rPr>
              <w:t>4/2</w:t>
            </w:r>
            <w:r w:rsidR="00675F81">
              <w:rPr>
                <w:rFonts w:ascii="Times New Roman" w:hAnsi="Times New Roman" w:cs="Times New Roman"/>
              </w:rPr>
              <w:t>1</w:t>
            </w:r>
            <w:r>
              <w:rPr>
                <w:rFonts w:ascii="Times New Roman" w:hAnsi="Times New Roman" w:cs="Times New Roman"/>
              </w:rPr>
              <w:t>/22</w:t>
            </w:r>
          </w:p>
        </w:tc>
        <w:tc>
          <w:tcPr>
            <w:tcW w:w="8010" w:type="dxa"/>
            <w:tcMar>
              <w:top w:w="72" w:type="dxa"/>
              <w:left w:w="115" w:type="dxa"/>
              <w:bottom w:w="72" w:type="dxa"/>
              <w:right w:w="115" w:type="dxa"/>
            </w:tcMar>
            <w:vAlign w:val="center"/>
          </w:tcPr>
          <w:p w14:paraId="5B06D646" w14:textId="54FE7CB2" w:rsidR="00441484" w:rsidRPr="000A6953" w:rsidRDefault="00441484"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BE2EC7" w:rsidRPr="000A6953" w14:paraId="23D02164" w14:textId="77777777" w:rsidTr="1995616E">
        <w:trPr>
          <w:jc w:val="center"/>
        </w:trPr>
        <w:tc>
          <w:tcPr>
            <w:tcW w:w="1165" w:type="dxa"/>
            <w:tcMar>
              <w:top w:w="72" w:type="dxa"/>
              <w:left w:w="115" w:type="dxa"/>
              <w:bottom w:w="72" w:type="dxa"/>
              <w:right w:w="115" w:type="dxa"/>
            </w:tcMar>
            <w:vAlign w:val="center"/>
          </w:tcPr>
          <w:p w14:paraId="48F3F75E" w14:textId="50DB6374" w:rsidR="00BE2EC7" w:rsidRDefault="00BE2EC7" w:rsidP="1995616E">
            <w:pPr>
              <w:rPr>
                <w:rFonts w:ascii="Times New Roman" w:hAnsi="Times New Roman" w:cs="Times New Roman"/>
              </w:rPr>
            </w:pPr>
            <w:r>
              <w:rPr>
                <w:rFonts w:ascii="Times New Roman" w:hAnsi="Times New Roman" w:cs="Times New Roman"/>
              </w:rPr>
              <w:t>4/22/22</w:t>
            </w:r>
          </w:p>
        </w:tc>
        <w:tc>
          <w:tcPr>
            <w:tcW w:w="8010" w:type="dxa"/>
            <w:tcMar>
              <w:top w:w="72" w:type="dxa"/>
              <w:left w:w="115" w:type="dxa"/>
              <w:bottom w:w="72" w:type="dxa"/>
              <w:right w:w="115" w:type="dxa"/>
            </w:tcMar>
            <w:vAlign w:val="center"/>
          </w:tcPr>
          <w:p w14:paraId="5265BB52" w14:textId="246229D1" w:rsidR="00BE2EC7" w:rsidRDefault="00BE2EC7"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2D7256" w:rsidRPr="000A6953" w14:paraId="561715F6" w14:textId="77777777" w:rsidTr="1995616E">
        <w:trPr>
          <w:jc w:val="center"/>
        </w:trPr>
        <w:tc>
          <w:tcPr>
            <w:tcW w:w="1165" w:type="dxa"/>
            <w:tcMar>
              <w:top w:w="72" w:type="dxa"/>
              <w:left w:w="115" w:type="dxa"/>
              <w:bottom w:w="72" w:type="dxa"/>
              <w:right w:w="115" w:type="dxa"/>
            </w:tcMar>
            <w:vAlign w:val="center"/>
          </w:tcPr>
          <w:p w14:paraId="238DFAD4" w14:textId="23748406" w:rsidR="002D7256" w:rsidRDefault="002D7256" w:rsidP="1995616E">
            <w:pPr>
              <w:rPr>
                <w:rFonts w:ascii="Times New Roman" w:hAnsi="Times New Roman" w:cs="Times New Roman"/>
              </w:rPr>
            </w:pPr>
            <w:r>
              <w:rPr>
                <w:rFonts w:ascii="Times New Roman" w:hAnsi="Times New Roman" w:cs="Times New Roman"/>
              </w:rPr>
              <w:lastRenderedPageBreak/>
              <w:t>4/2</w:t>
            </w:r>
            <w:r w:rsidR="005926F9">
              <w:rPr>
                <w:rFonts w:ascii="Times New Roman" w:hAnsi="Times New Roman" w:cs="Times New Roman"/>
              </w:rPr>
              <w:t>7</w:t>
            </w:r>
            <w:r>
              <w:rPr>
                <w:rFonts w:ascii="Times New Roman" w:hAnsi="Times New Roman" w:cs="Times New Roman"/>
              </w:rPr>
              <w:t>/22</w:t>
            </w:r>
          </w:p>
        </w:tc>
        <w:tc>
          <w:tcPr>
            <w:tcW w:w="8010" w:type="dxa"/>
            <w:tcMar>
              <w:top w:w="72" w:type="dxa"/>
              <w:left w:w="115" w:type="dxa"/>
              <w:bottom w:w="72" w:type="dxa"/>
              <w:right w:w="115" w:type="dxa"/>
            </w:tcMar>
            <w:vAlign w:val="center"/>
          </w:tcPr>
          <w:p w14:paraId="18DC4A32" w14:textId="214DA6D4" w:rsidR="002D7256" w:rsidRDefault="002D7256"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2133F9" w:rsidRPr="000A6953" w14:paraId="04A398C6" w14:textId="77777777" w:rsidTr="1995616E">
        <w:trPr>
          <w:jc w:val="center"/>
        </w:trPr>
        <w:tc>
          <w:tcPr>
            <w:tcW w:w="1165" w:type="dxa"/>
            <w:tcMar>
              <w:top w:w="72" w:type="dxa"/>
              <w:left w:w="115" w:type="dxa"/>
              <w:bottom w:w="72" w:type="dxa"/>
              <w:right w:w="115" w:type="dxa"/>
            </w:tcMar>
            <w:vAlign w:val="center"/>
          </w:tcPr>
          <w:p w14:paraId="4B6A4C66" w14:textId="5AF56BA6" w:rsidR="002133F9" w:rsidRDefault="002133F9" w:rsidP="1995616E">
            <w:pPr>
              <w:rPr>
                <w:rFonts w:ascii="Times New Roman" w:hAnsi="Times New Roman" w:cs="Times New Roman"/>
              </w:rPr>
            </w:pPr>
            <w:r>
              <w:rPr>
                <w:rFonts w:ascii="Times New Roman" w:hAnsi="Times New Roman" w:cs="Times New Roman"/>
              </w:rPr>
              <w:t>5/6/22</w:t>
            </w:r>
          </w:p>
        </w:tc>
        <w:tc>
          <w:tcPr>
            <w:tcW w:w="8010" w:type="dxa"/>
            <w:tcMar>
              <w:top w:w="72" w:type="dxa"/>
              <w:left w:w="115" w:type="dxa"/>
              <w:bottom w:w="72" w:type="dxa"/>
              <w:right w:w="115" w:type="dxa"/>
            </w:tcMar>
            <w:vAlign w:val="center"/>
          </w:tcPr>
          <w:p w14:paraId="4801B5AD" w14:textId="61426341" w:rsidR="002133F9" w:rsidRDefault="002133F9"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1B2A0B" w:rsidRPr="000A6953" w14:paraId="3ACD47F0" w14:textId="77777777" w:rsidTr="1995616E">
        <w:trPr>
          <w:jc w:val="center"/>
        </w:trPr>
        <w:tc>
          <w:tcPr>
            <w:tcW w:w="1165" w:type="dxa"/>
            <w:tcMar>
              <w:top w:w="72" w:type="dxa"/>
              <w:left w:w="115" w:type="dxa"/>
              <w:bottom w:w="72" w:type="dxa"/>
              <w:right w:w="115" w:type="dxa"/>
            </w:tcMar>
            <w:vAlign w:val="center"/>
          </w:tcPr>
          <w:p w14:paraId="6BB1CC95" w14:textId="50C454EF" w:rsidR="001B2A0B" w:rsidRDefault="001B2A0B" w:rsidP="1995616E">
            <w:pPr>
              <w:rPr>
                <w:rFonts w:ascii="Times New Roman" w:hAnsi="Times New Roman" w:cs="Times New Roman"/>
              </w:rPr>
            </w:pPr>
            <w:r>
              <w:rPr>
                <w:rFonts w:ascii="Times New Roman" w:hAnsi="Times New Roman" w:cs="Times New Roman"/>
              </w:rPr>
              <w:t>5/11/22</w:t>
            </w:r>
          </w:p>
        </w:tc>
        <w:tc>
          <w:tcPr>
            <w:tcW w:w="8010" w:type="dxa"/>
            <w:tcMar>
              <w:top w:w="72" w:type="dxa"/>
              <w:left w:w="115" w:type="dxa"/>
              <w:bottom w:w="72" w:type="dxa"/>
              <w:right w:w="115" w:type="dxa"/>
            </w:tcMar>
            <w:vAlign w:val="center"/>
          </w:tcPr>
          <w:p w14:paraId="1F026AF0" w14:textId="0723ADF9" w:rsidR="001B2A0B" w:rsidRDefault="001B2A0B"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7C06B0" w:rsidRPr="000A6953" w14:paraId="3706BD2F" w14:textId="77777777" w:rsidTr="1995616E">
        <w:trPr>
          <w:jc w:val="center"/>
        </w:trPr>
        <w:tc>
          <w:tcPr>
            <w:tcW w:w="1165" w:type="dxa"/>
            <w:tcMar>
              <w:top w:w="72" w:type="dxa"/>
              <w:left w:w="115" w:type="dxa"/>
              <w:bottom w:w="72" w:type="dxa"/>
              <w:right w:w="115" w:type="dxa"/>
            </w:tcMar>
            <w:vAlign w:val="center"/>
          </w:tcPr>
          <w:p w14:paraId="25394397" w14:textId="506CF545" w:rsidR="007C06B0" w:rsidRDefault="007C06B0" w:rsidP="1995616E">
            <w:pPr>
              <w:rPr>
                <w:rFonts w:ascii="Times New Roman" w:hAnsi="Times New Roman" w:cs="Times New Roman"/>
              </w:rPr>
            </w:pPr>
            <w:r>
              <w:rPr>
                <w:rFonts w:ascii="Times New Roman" w:hAnsi="Times New Roman" w:cs="Times New Roman"/>
              </w:rPr>
              <w:t>5/16/22</w:t>
            </w:r>
          </w:p>
        </w:tc>
        <w:tc>
          <w:tcPr>
            <w:tcW w:w="8010" w:type="dxa"/>
            <w:tcMar>
              <w:top w:w="72" w:type="dxa"/>
              <w:left w:w="115" w:type="dxa"/>
              <w:bottom w:w="72" w:type="dxa"/>
              <w:right w:w="115" w:type="dxa"/>
            </w:tcMar>
            <w:vAlign w:val="center"/>
          </w:tcPr>
          <w:p w14:paraId="20E2C75B" w14:textId="1945DE3F" w:rsidR="007C06B0" w:rsidRDefault="007C06B0"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0179D3" w:rsidRPr="000A6953" w14:paraId="14E64FE4" w14:textId="77777777" w:rsidTr="1995616E">
        <w:trPr>
          <w:jc w:val="center"/>
        </w:trPr>
        <w:tc>
          <w:tcPr>
            <w:tcW w:w="1165" w:type="dxa"/>
            <w:tcMar>
              <w:top w:w="72" w:type="dxa"/>
              <w:left w:w="115" w:type="dxa"/>
              <w:bottom w:w="72" w:type="dxa"/>
              <w:right w:w="115" w:type="dxa"/>
            </w:tcMar>
            <w:vAlign w:val="center"/>
          </w:tcPr>
          <w:p w14:paraId="1ECE1416" w14:textId="2C7DC838" w:rsidR="000179D3" w:rsidRDefault="000179D3" w:rsidP="1995616E">
            <w:pPr>
              <w:rPr>
                <w:rFonts w:ascii="Times New Roman" w:hAnsi="Times New Roman" w:cs="Times New Roman"/>
              </w:rPr>
            </w:pPr>
            <w:r>
              <w:rPr>
                <w:rFonts w:ascii="Times New Roman" w:hAnsi="Times New Roman" w:cs="Times New Roman"/>
              </w:rPr>
              <w:t>5/1</w:t>
            </w:r>
            <w:r w:rsidR="006D6E5B">
              <w:rPr>
                <w:rFonts w:ascii="Times New Roman" w:hAnsi="Times New Roman" w:cs="Times New Roman"/>
              </w:rPr>
              <w:t>9</w:t>
            </w:r>
            <w:r>
              <w:rPr>
                <w:rFonts w:ascii="Times New Roman" w:hAnsi="Times New Roman" w:cs="Times New Roman"/>
              </w:rPr>
              <w:t>/22</w:t>
            </w:r>
          </w:p>
        </w:tc>
        <w:tc>
          <w:tcPr>
            <w:tcW w:w="8010" w:type="dxa"/>
            <w:tcMar>
              <w:top w:w="72" w:type="dxa"/>
              <w:left w:w="115" w:type="dxa"/>
              <w:bottom w:w="72" w:type="dxa"/>
              <w:right w:w="115" w:type="dxa"/>
            </w:tcMar>
            <w:vAlign w:val="center"/>
          </w:tcPr>
          <w:p w14:paraId="62E561D0" w14:textId="77777777" w:rsidR="000179D3" w:rsidRDefault="000179D3"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bl>
    <w:p w14:paraId="09C9DF0C" w14:textId="028B2F61" w:rsidR="005873CE" w:rsidRPr="000A6953" w:rsidRDefault="005873CE">
      <w:pPr>
        <w:rPr>
          <w:rFonts w:ascii="Times New Roman" w:hAnsi="Times New Roman" w:cs="Times New Roman"/>
        </w:rPr>
      </w:pPr>
    </w:p>
    <w:p w14:paraId="6863E81D" w14:textId="702C3FD5" w:rsidR="00A75466" w:rsidRPr="000A6953" w:rsidRDefault="00E54915" w:rsidP="00D477ED">
      <w:pPr>
        <w:pStyle w:val="Heading1"/>
        <w:rPr>
          <w:rFonts w:cs="Times New Roman"/>
        </w:rPr>
      </w:pPr>
      <w:r w:rsidRPr="000A6953">
        <w:rPr>
          <w:rFonts w:cs="Times New Roman"/>
        </w:rPr>
        <w:t xml:space="preserve">Part II: </w:t>
      </w:r>
      <w:r w:rsidR="00137597" w:rsidRPr="000A6953">
        <w:rPr>
          <w:rFonts w:cs="Times New Roman"/>
        </w:rPr>
        <w:t>Question and Answer Table</w:t>
      </w:r>
      <w:r w:rsidR="00D477ED" w:rsidRPr="000A6953">
        <w:rPr>
          <w:rFonts w:cs="Times New Roman"/>
        </w:rPr>
        <w:br/>
      </w:r>
    </w:p>
    <w:tbl>
      <w:tblPr>
        <w:tblStyle w:val="TableGrid"/>
        <w:tblW w:w="13945" w:type="dxa"/>
        <w:jc w:val="center"/>
        <w:tblLook w:val="04A0" w:firstRow="1" w:lastRow="0" w:firstColumn="1" w:lastColumn="0" w:noHBand="0" w:noVBand="1"/>
      </w:tblPr>
      <w:tblGrid>
        <w:gridCol w:w="1697"/>
        <w:gridCol w:w="2663"/>
        <w:gridCol w:w="9585"/>
      </w:tblGrid>
      <w:tr w:rsidR="00CF5712" w:rsidRPr="00FC6043" w14:paraId="59A80680" w14:textId="77777777" w:rsidTr="2A62FF34">
        <w:trPr>
          <w:jc w:val="center"/>
        </w:trPr>
        <w:tc>
          <w:tcPr>
            <w:tcW w:w="2157" w:type="dxa"/>
            <w:shd w:val="clear" w:color="auto" w:fill="D9D9D9" w:themeFill="background1" w:themeFillShade="D9"/>
            <w:tcMar>
              <w:top w:w="72" w:type="dxa"/>
              <w:left w:w="115" w:type="dxa"/>
              <w:bottom w:w="72" w:type="dxa"/>
              <w:right w:w="115" w:type="dxa"/>
            </w:tcMar>
            <w:vAlign w:val="center"/>
          </w:tcPr>
          <w:p w14:paraId="6885B4B8" w14:textId="77777777" w:rsidR="00CF5712" w:rsidRPr="00FC6043" w:rsidRDefault="00CF5712" w:rsidP="00163089">
            <w:pPr>
              <w:jc w:val="center"/>
              <w:rPr>
                <w:rFonts w:ascii="Times New Roman" w:hAnsi="Times New Roman" w:cs="Times New Roman"/>
                <w:b/>
                <w:bCs/>
                <w:noProof/>
              </w:rPr>
            </w:pPr>
            <w:r w:rsidRPr="00FC6043">
              <w:rPr>
                <w:rFonts w:ascii="Times New Roman" w:hAnsi="Times New Roman" w:cs="Times New Roman"/>
                <w:b/>
                <w:bCs/>
                <w:noProof/>
              </w:rPr>
              <w:t>Date</w:t>
            </w:r>
          </w:p>
          <w:p w14:paraId="6C72D673" w14:textId="77777777" w:rsidR="00CF5712" w:rsidRPr="00FC6043" w:rsidRDefault="00CF5712" w:rsidP="00163089">
            <w:pPr>
              <w:jc w:val="center"/>
              <w:rPr>
                <w:rFonts w:ascii="Times New Roman" w:hAnsi="Times New Roman" w:cs="Times New Roman"/>
                <w:b/>
                <w:bCs/>
                <w:noProof/>
              </w:rPr>
            </w:pPr>
            <w:r w:rsidRPr="00FC6043">
              <w:rPr>
                <w:rFonts w:ascii="Times New Roman" w:hAnsi="Times New Roman" w:cs="Times New Roman"/>
                <w:b/>
                <w:bCs/>
                <w:noProof/>
              </w:rPr>
              <w:t>Posted</w:t>
            </w:r>
          </w:p>
        </w:tc>
        <w:tc>
          <w:tcPr>
            <w:tcW w:w="2198" w:type="dxa"/>
            <w:shd w:val="clear" w:color="auto" w:fill="D9D9D9" w:themeFill="background1" w:themeFillShade="D9"/>
            <w:tcMar>
              <w:top w:w="72" w:type="dxa"/>
              <w:left w:w="115" w:type="dxa"/>
              <w:bottom w:w="72" w:type="dxa"/>
              <w:right w:w="115" w:type="dxa"/>
            </w:tcMar>
            <w:vAlign w:val="center"/>
          </w:tcPr>
          <w:p w14:paraId="0C99F14B" w14:textId="77777777" w:rsidR="00CF5712" w:rsidRPr="00FC6043" w:rsidRDefault="00CF5712" w:rsidP="00163089">
            <w:pPr>
              <w:jc w:val="center"/>
              <w:rPr>
                <w:rFonts w:ascii="Times New Roman" w:hAnsi="Times New Roman" w:cs="Times New Roman"/>
                <w:b/>
                <w:bCs/>
                <w:noProof/>
              </w:rPr>
            </w:pPr>
            <w:r w:rsidRPr="00FC6043">
              <w:rPr>
                <w:rFonts w:ascii="Times New Roman" w:hAnsi="Times New Roman" w:cs="Times New Roman"/>
                <w:b/>
                <w:bCs/>
                <w:noProof/>
              </w:rPr>
              <w:t>Category</w:t>
            </w:r>
          </w:p>
        </w:tc>
        <w:tc>
          <w:tcPr>
            <w:tcW w:w="9590" w:type="dxa"/>
            <w:shd w:val="clear" w:color="auto" w:fill="D9D9D9" w:themeFill="background1" w:themeFillShade="D9"/>
            <w:tcMar>
              <w:top w:w="72" w:type="dxa"/>
              <w:left w:w="115" w:type="dxa"/>
              <w:bottom w:w="72" w:type="dxa"/>
              <w:right w:w="115" w:type="dxa"/>
            </w:tcMar>
            <w:vAlign w:val="center"/>
          </w:tcPr>
          <w:p w14:paraId="08CA72F0" w14:textId="77777777" w:rsidR="00CF5712" w:rsidRPr="00FC6043" w:rsidRDefault="00CF5712" w:rsidP="00163089">
            <w:pPr>
              <w:jc w:val="center"/>
              <w:rPr>
                <w:rFonts w:ascii="Times New Roman" w:hAnsi="Times New Roman" w:cs="Times New Roman"/>
                <w:b/>
                <w:bCs/>
                <w:noProof/>
              </w:rPr>
            </w:pPr>
            <w:r w:rsidRPr="00FC6043">
              <w:rPr>
                <w:rFonts w:ascii="Times New Roman" w:hAnsi="Times New Roman" w:cs="Times New Roman"/>
                <w:b/>
                <w:bCs/>
                <w:noProof/>
              </w:rPr>
              <w:t>Question and Answer</w:t>
            </w:r>
          </w:p>
        </w:tc>
      </w:tr>
      <w:tr w:rsidR="00CF5712" w:rsidRPr="003872CA" w14:paraId="6DCFE522" w14:textId="77777777" w:rsidTr="1995616E">
        <w:trPr>
          <w:jc w:val="center"/>
        </w:trPr>
        <w:tc>
          <w:tcPr>
            <w:tcW w:w="2157" w:type="dxa"/>
            <w:shd w:val="clear" w:color="auto" w:fill="auto"/>
            <w:tcMar>
              <w:top w:w="72" w:type="dxa"/>
              <w:left w:w="115" w:type="dxa"/>
              <w:bottom w:w="72" w:type="dxa"/>
              <w:right w:w="115" w:type="dxa"/>
            </w:tcMar>
            <w:vAlign w:val="center"/>
          </w:tcPr>
          <w:p w14:paraId="1E0E47E0" w14:textId="3CE6FEA7" w:rsidR="00CF5712" w:rsidRPr="003872CA" w:rsidRDefault="006B7E0B" w:rsidP="00304B2F">
            <w:pPr>
              <w:rPr>
                <w:rFonts w:ascii="Times New Roman" w:hAnsi="Times New Roman" w:cs="Times New Roman"/>
                <w:noProof/>
                <w:sz w:val="20"/>
                <w:szCs w:val="20"/>
              </w:rPr>
            </w:pPr>
            <w:r>
              <w:rPr>
                <w:rFonts w:ascii="Times New Roman" w:hAnsi="Times New Roman" w:cs="Times New Roman"/>
                <w:noProof/>
                <w:sz w:val="20"/>
                <w:szCs w:val="20"/>
              </w:rPr>
              <w:t>5/19</w:t>
            </w:r>
            <w:r w:rsidR="00CF5712">
              <w:rPr>
                <w:rFonts w:ascii="Times New Roman" w:hAnsi="Times New Roman" w:cs="Times New Roman"/>
                <w:noProof/>
                <w:sz w:val="20"/>
                <w:szCs w:val="20"/>
              </w:rPr>
              <w:t>/22</w:t>
            </w:r>
          </w:p>
        </w:tc>
        <w:tc>
          <w:tcPr>
            <w:tcW w:w="2198" w:type="dxa"/>
            <w:shd w:val="clear" w:color="auto" w:fill="auto"/>
            <w:tcMar>
              <w:top w:w="72" w:type="dxa"/>
              <w:left w:w="115" w:type="dxa"/>
              <w:bottom w:w="72" w:type="dxa"/>
              <w:right w:w="115" w:type="dxa"/>
            </w:tcMar>
            <w:vAlign w:val="center"/>
          </w:tcPr>
          <w:p w14:paraId="24E81B04" w14:textId="77777777" w:rsidR="00CF5712" w:rsidRPr="003872CA" w:rsidRDefault="00CF5712" w:rsidP="00304B2F">
            <w:pPr>
              <w:rPr>
                <w:rFonts w:ascii="Times New Roman" w:hAnsi="Times New Roman" w:cs="Times New Roman"/>
                <w:sz w:val="20"/>
                <w:szCs w:val="20"/>
              </w:rPr>
            </w:pPr>
            <w:r w:rsidRPr="003872CA">
              <w:rPr>
                <w:rFonts w:ascii="Times New Roman" w:hAnsi="Times New Roman" w:cs="Times New Roman"/>
                <w:sz w:val="20"/>
                <w:szCs w:val="20"/>
              </w:rPr>
              <w:t>1.19</w:t>
            </w:r>
          </w:p>
          <w:p w14:paraId="77613C98" w14:textId="77777777" w:rsidR="00CF5712" w:rsidRPr="003872CA" w:rsidRDefault="00CF5712" w:rsidP="00304B2F">
            <w:pPr>
              <w:rPr>
                <w:rFonts w:ascii="Times New Roman" w:hAnsi="Times New Roman" w:cs="Times New Roman"/>
                <w:sz w:val="20"/>
                <w:szCs w:val="20"/>
              </w:rPr>
            </w:pPr>
            <w:r w:rsidRPr="003872CA">
              <w:rPr>
                <w:rFonts w:ascii="Times New Roman" w:hAnsi="Times New Roman" w:cs="Times New Roman"/>
                <w:sz w:val="20"/>
                <w:szCs w:val="20"/>
              </w:rPr>
              <w:t>Core Plan</w:t>
            </w:r>
          </w:p>
          <w:p w14:paraId="685E92BF" w14:textId="77777777" w:rsidR="00CF5712" w:rsidRPr="003872CA" w:rsidRDefault="00CF5712" w:rsidP="00304B2F">
            <w:pPr>
              <w:rPr>
                <w:rFonts w:ascii="Times New Roman" w:hAnsi="Times New Roman" w:cs="Times New Roman"/>
                <w:sz w:val="20"/>
                <w:szCs w:val="20"/>
              </w:rPr>
            </w:pPr>
            <w:r w:rsidRPr="003872CA">
              <w:rPr>
                <w:rFonts w:ascii="Times New Roman" w:hAnsi="Times New Roman" w:cs="Times New Roman"/>
                <w:sz w:val="20"/>
                <w:szCs w:val="20"/>
              </w:rPr>
              <w:t>DCA Pre-Application Fees and Deadline Schedules;</w:t>
            </w:r>
          </w:p>
          <w:p w14:paraId="0F308939" w14:textId="77777777" w:rsidR="00CF5712" w:rsidRPr="003872CA" w:rsidRDefault="00CF5712" w:rsidP="00304B2F">
            <w:pPr>
              <w:rPr>
                <w:rFonts w:ascii="Times New Roman" w:hAnsi="Times New Roman" w:cs="Times New Roman"/>
                <w:sz w:val="20"/>
                <w:szCs w:val="20"/>
              </w:rPr>
            </w:pPr>
            <w:r w:rsidRPr="003872CA">
              <w:rPr>
                <w:rFonts w:ascii="Times New Roman" w:hAnsi="Times New Roman" w:cs="Times New Roman"/>
                <w:sz w:val="20"/>
                <w:szCs w:val="20"/>
              </w:rPr>
              <w:t>Application Submission Deadline Extension</w:t>
            </w:r>
          </w:p>
        </w:tc>
        <w:tc>
          <w:tcPr>
            <w:tcW w:w="9590" w:type="dxa"/>
            <w:shd w:val="clear" w:color="auto" w:fill="auto"/>
            <w:tcMar>
              <w:top w:w="72" w:type="dxa"/>
              <w:left w:w="115" w:type="dxa"/>
              <w:bottom w:w="72" w:type="dxa"/>
              <w:right w:w="115" w:type="dxa"/>
            </w:tcMar>
            <w:vAlign w:val="center"/>
          </w:tcPr>
          <w:p w14:paraId="540D0F65" w14:textId="77777777" w:rsidR="00CF5712" w:rsidRPr="003872CA" w:rsidRDefault="00CF5712" w:rsidP="000179D3">
            <w:pPr>
              <w:rPr>
                <w:rFonts w:ascii="Times New Roman" w:hAnsi="Times New Roman" w:cs="Times New Roman"/>
                <w:sz w:val="20"/>
                <w:szCs w:val="20"/>
              </w:rPr>
            </w:pPr>
            <w:r w:rsidRPr="003872CA">
              <w:rPr>
                <w:rFonts w:ascii="Times New Roman" w:hAnsi="Times New Roman" w:cs="Times New Roman"/>
                <w:b/>
                <w:bCs/>
                <w:sz w:val="20"/>
                <w:szCs w:val="20"/>
              </w:rPr>
              <w:t xml:space="preserve">Question: </w:t>
            </w:r>
            <w:r w:rsidRPr="003872CA">
              <w:rPr>
                <w:rFonts w:ascii="Times New Roman" w:hAnsi="Times New Roman" w:cs="Times New Roman"/>
                <w:sz w:val="20"/>
                <w:szCs w:val="20"/>
              </w:rPr>
              <w:t>Q22_0512_15</w:t>
            </w:r>
          </w:p>
          <w:p w14:paraId="14147EAB" w14:textId="77777777" w:rsidR="00CF5712" w:rsidRPr="003872CA" w:rsidRDefault="00CF5712" w:rsidP="000179D3">
            <w:pPr>
              <w:rPr>
                <w:rFonts w:ascii="Times New Roman" w:hAnsi="Times New Roman" w:cs="Times New Roman"/>
                <w:sz w:val="20"/>
                <w:szCs w:val="20"/>
              </w:rPr>
            </w:pPr>
            <w:r w:rsidRPr="003872CA">
              <w:rPr>
                <w:rFonts w:ascii="Times New Roman" w:hAnsi="Times New Roman" w:cs="Times New Roman"/>
                <w:sz w:val="20"/>
                <w:szCs w:val="20"/>
              </w:rPr>
              <w:t>My application been adversely impacted in both Threshold and Scoring due to the date change from 5/20 to 6/3. In both cases, we would have qualified under the original date but not the new date. Will DCA allow Threshold and Scoring eligibility to be based on the original 5/20 application date?</w:t>
            </w:r>
          </w:p>
          <w:p w14:paraId="714C2BF4" w14:textId="77777777" w:rsidR="00CF5712" w:rsidRPr="003872CA" w:rsidRDefault="00CF5712" w:rsidP="000179D3">
            <w:pPr>
              <w:rPr>
                <w:rFonts w:ascii="Times New Roman" w:hAnsi="Times New Roman" w:cs="Times New Roman"/>
                <w:b/>
                <w:bCs/>
                <w:sz w:val="20"/>
                <w:szCs w:val="20"/>
              </w:rPr>
            </w:pPr>
          </w:p>
          <w:p w14:paraId="123F1492" w14:textId="77777777" w:rsidR="00CF5712" w:rsidRPr="003872CA" w:rsidRDefault="00CF5712" w:rsidP="000179D3">
            <w:pPr>
              <w:rPr>
                <w:rFonts w:ascii="Times New Roman" w:hAnsi="Times New Roman" w:cs="Times New Roman"/>
                <w:sz w:val="20"/>
                <w:szCs w:val="20"/>
              </w:rPr>
            </w:pPr>
            <w:r w:rsidRPr="003872CA">
              <w:rPr>
                <w:rFonts w:ascii="Times New Roman" w:hAnsi="Times New Roman" w:cs="Times New Roman"/>
                <w:b/>
                <w:bCs/>
                <w:sz w:val="20"/>
                <w:szCs w:val="20"/>
              </w:rPr>
              <w:t>Answer:</w:t>
            </w:r>
            <w:r w:rsidRPr="003872CA">
              <w:rPr>
                <w:rFonts w:ascii="Times New Roman" w:hAnsi="Times New Roman" w:cs="Times New Roman"/>
                <w:sz w:val="20"/>
                <w:szCs w:val="20"/>
              </w:rPr>
              <w:t xml:space="preserve"> </w:t>
            </w:r>
          </w:p>
          <w:p w14:paraId="1904F24B" w14:textId="77777777" w:rsidR="00CF5712" w:rsidRPr="003872CA" w:rsidRDefault="00CF5712" w:rsidP="000179D3">
            <w:pPr>
              <w:rPr>
                <w:rStyle w:val="normaltextrun"/>
                <w:rFonts w:ascii="Times New Roman" w:hAnsi="Times New Roman" w:cs="Times New Roman"/>
                <w:sz w:val="20"/>
                <w:szCs w:val="20"/>
              </w:rPr>
            </w:pPr>
            <w:r w:rsidRPr="003872CA">
              <w:rPr>
                <w:rFonts w:ascii="Times New Roman" w:hAnsi="Times New Roman" w:cs="Times New Roman"/>
                <w:sz w:val="20"/>
                <w:szCs w:val="20"/>
              </w:rPr>
              <w:t>The deadline extension was approved for purposes of allowing more time to complete application forms. For purposes of Threshold or Scoring, applications that qualified under the original May 20</w:t>
            </w:r>
            <w:r w:rsidRPr="003872CA">
              <w:rPr>
                <w:rFonts w:ascii="Times New Roman" w:hAnsi="Times New Roman" w:cs="Times New Roman"/>
                <w:sz w:val="20"/>
                <w:szCs w:val="20"/>
                <w:vertAlign w:val="superscript"/>
              </w:rPr>
              <w:t>th</w:t>
            </w:r>
            <w:r w:rsidRPr="003872CA">
              <w:rPr>
                <w:rFonts w:ascii="Times New Roman" w:hAnsi="Times New Roman" w:cs="Times New Roman"/>
                <w:sz w:val="20"/>
                <w:szCs w:val="20"/>
              </w:rPr>
              <w:t xml:space="preserve"> deadline will qualify for the requirements or points. </w:t>
            </w:r>
          </w:p>
        </w:tc>
      </w:tr>
      <w:tr w:rsidR="00CF5712" w:rsidRPr="003872CA" w14:paraId="7914454C" w14:textId="77777777" w:rsidTr="1995616E">
        <w:trPr>
          <w:jc w:val="center"/>
        </w:trPr>
        <w:tc>
          <w:tcPr>
            <w:tcW w:w="2157" w:type="dxa"/>
            <w:shd w:val="clear" w:color="auto" w:fill="auto"/>
            <w:tcMar>
              <w:top w:w="72" w:type="dxa"/>
              <w:left w:w="115" w:type="dxa"/>
              <w:bottom w:w="72" w:type="dxa"/>
              <w:right w:w="115" w:type="dxa"/>
            </w:tcMar>
            <w:vAlign w:val="center"/>
          </w:tcPr>
          <w:p w14:paraId="5B964AE7" w14:textId="6714A08A" w:rsidR="00CF5712" w:rsidRPr="003872CA" w:rsidRDefault="006B7E0B" w:rsidP="00304B2F">
            <w:pPr>
              <w:rPr>
                <w:rFonts w:ascii="Times New Roman" w:hAnsi="Times New Roman" w:cs="Times New Roman"/>
                <w:noProof/>
                <w:sz w:val="20"/>
                <w:szCs w:val="20"/>
              </w:rPr>
            </w:pPr>
            <w:r>
              <w:rPr>
                <w:rFonts w:ascii="Times New Roman" w:hAnsi="Times New Roman" w:cs="Times New Roman"/>
                <w:noProof/>
                <w:sz w:val="20"/>
                <w:szCs w:val="20"/>
              </w:rPr>
              <w:t>5/19</w:t>
            </w:r>
            <w:r w:rsidR="00CF5712">
              <w:rPr>
                <w:rFonts w:ascii="Times New Roman" w:hAnsi="Times New Roman" w:cs="Times New Roman"/>
                <w:noProof/>
                <w:sz w:val="20"/>
                <w:szCs w:val="20"/>
              </w:rPr>
              <w:t>/22</w:t>
            </w:r>
          </w:p>
        </w:tc>
        <w:tc>
          <w:tcPr>
            <w:tcW w:w="2198" w:type="dxa"/>
            <w:shd w:val="clear" w:color="auto" w:fill="auto"/>
            <w:tcMar>
              <w:top w:w="72" w:type="dxa"/>
              <w:left w:w="115" w:type="dxa"/>
              <w:bottom w:w="72" w:type="dxa"/>
              <w:right w:w="115" w:type="dxa"/>
            </w:tcMar>
            <w:vAlign w:val="center"/>
          </w:tcPr>
          <w:p w14:paraId="2FC45C02" w14:textId="77777777" w:rsidR="00CF5712" w:rsidRPr="003872CA" w:rsidRDefault="00CF5712" w:rsidP="00304B2F">
            <w:pPr>
              <w:rPr>
                <w:rFonts w:ascii="Times New Roman" w:hAnsi="Times New Roman" w:cs="Times New Roman"/>
                <w:sz w:val="20"/>
                <w:szCs w:val="20"/>
              </w:rPr>
            </w:pPr>
            <w:r w:rsidRPr="003872CA">
              <w:rPr>
                <w:rFonts w:ascii="Times New Roman" w:hAnsi="Times New Roman" w:cs="Times New Roman"/>
                <w:sz w:val="20"/>
                <w:szCs w:val="20"/>
              </w:rPr>
              <w:t>2.02</w:t>
            </w:r>
          </w:p>
          <w:p w14:paraId="1B0A7545" w14:textId="77777777" w:rsidR="00CF5712" w:rsidRPr="003872CA" w:rsidRDefault="00CF5712" w:rsidP="00304B2F">
            <w:pPr>
              <w:rPr>
                <w:rFonts w:ascii="Times New Roman" w:hAnsi="Times New Roman" w:cs="Times New Roman"/>
                <w:sz w:val="20"/>
                <w:szCs w:val="20"/>
              </w:rPr>
            </w:pPr>
            <w:r w:rsidRPr="003872CA">
              <w:rPr>
                <w:rFonts w:ascii="Times New Roman" w:hAnsi="Times New Roman" w:cs="Times New Roman"/>
                <w:sz w:val="20"/>
                <w:szCs w:val="20"/>
              </w:rPr>
              <w:t>Threshold Criteria;</w:t>
            </w:r>
          </w:p>
          <w:p w14:paraId="7B41A8E9" w14:textId="77777777" w:rsidR="00CF5712" w:rsidRPr="003872CA" w:rsidRDefault="00CF5712" w:rsidP="00304B2F">
            <w:pPr>
              <w:rPr>
                <w:rFonts w:ascii="Times New Roman" w:hAnsi="Times New Roman" w:cs="Times New Roman"/>
                <w:sz w:val="20"/>
                <w:szCs w:val="20"/>
              </w:rPr>
            </w:pPr>
            <w:r w:rsidRPr="003872CA">
              <w:rPr>
                <w:rFonts w:ascii="Times New Roman" w:hAnsi="Times New Roman" w:cs="Times New Roman"/>
                <w:sz w:val="20"/>
                <w:szCs w:val="20"/>
              </w:rPr>
              <w:t>Project Feasibility</w:t>
            </w:r>
          </w:p>
        </w:tc>
        <w:tc>
          <w:tcPr>
            <w:tcW w:w="9590" w:type="dxa"/>
            <w:shd w:val="clear" w:color="auto" w:fill="auto"/>
            <w:tcMar>
              <w:top w:w="72" w:type="dxa"/>
              <w:left w:w="115" w:type="dxa"/>
              <w:bottom w:w="72" w:type="dxa"/>
              <w:right w:w="115" w:type="dxa"/>
            </w:tcMar>
            <w:vAlign w:val="center"/>
          </w:tcPr>
          <w:p w14:paraId="20F9F279" w14:textId="77777777" w:rsidR="00CF5712" w:rsidRPr="003872CA" w:rsidRDefault="00CF5712" w:rsidP="00174553">
            <w:pPr>
              <w:pStyle w:val="paragraph"/>
              <w:spacing w:before="0" w:beforeAutospacing="0" w:after="0" w:afterAutospacing="0"/>
              <w:textAlignment w:val="baseline"/>
              <w:rPr>
                <w:sz w:val="20"/>
                <w:szCs w:val="20"/>
              </w:rPr>
            </w:pPr>
            <w:r w:rsidRPr="003872CA">
              <w:rPr>
                <w:rStyle w:val="normaltextrun"/>
                <w:b/>
                <w:bCs/>
                <w:sz w:val="20"/>
                <w:szCs w:val="20"/>
              </w:rPr>
              <w:t>Question</w:t>
            </w:r>
            <w:r w:rsidRPr="003872CA">
              <w:rPr>
                <w:rStyle w:val="normaltextrun"/>
                <w:sz w:val="20"/>
                <w:szCs w:val="20"/>
              </w:rPr>
              <w:t>: Q0728_01</w:t>
            </w:r>
            <w:r w:rsidRPr="003872CA">
              <w:rPr>
                <w:rStyle w:val="eop"/>
                <w:sz w:val="20"/>
                <w:szCs w:val="20"/>
              </w:rPr>
              <w:t>  </w:t>
            </w:r>
          </w:p>
          <w:p w14:paraId="2FD7E14D" w14:textId="77777777" w:rsidR="00CF5712" w:rsidRPr="003872CA" w:rsidRDefault="00CF5712" w:rsidP="00174553">
            <w:pPr>
              <w:pStyle w:val="paragraph"/>
              <w:spacing w:before="0" w:beforeAutospacing="0" w:after="0" w:afterAutospacing="0"/>
              <w:textAlignment w:val="baseline"/>
              <w:rPr>
                <w:sz w:val="20"/>
                <w:szCs w:val="20"/>
              </w:rPr>
            </w:pPr>
            <w:r w:rsidRPr="003872CA">
              <w:rPr>
                <w:rStyle w:val="normaltextrun"/>
                <w:sz w:val="20"/>
                <w:szCs w:val="20"/>
              </w:rPr>
              <w:t xml:space="preserve">We perform utility allowance studies for clients and were recently asked if we’ve been “approved" by DCA to provide this service, for purposes of </w:t>
            </w:r>
            <w:r w:rsidRPr="003872CA">
              <w:rPr>
                <w:rStyle w:val="normaltextrun"/>
                <w:b/>
                <w:bCs/>
                <w:sz w:val="20"/>
                <w:szCs w:val="20"/>
              </w:rPr>
              <w:t>(Threshold Criteria) Project Feasibility</w:t>
            </w:r>
            <w:r w:rsidRPr="003872CA">
              <w:rPr>
                <w:rStyle w:val="normaltextrun"/>
                <w:sz w:val="20"/>
                <w:szCs w:val="20"/>
              </w:rPr>
              <w:t xml:space="preserve">, subsection </w:t>
            </w:r>
            <w:r w:rsidRPr="003872CA">
              <w:rPr>
                <w:rStyle w:val="normaltextrun"/>
                <w:b/>
                <w:bCs/>
                <w:sz w:val="20"/>
                <w:szCs w:val="20"/>
              </w:rPr>
              <w:t>Operating Utility Allowance (UA)</w:t>
            </w:r>
            <w:r w:rsidRPr="003872CA">
              <w:rPr>
                <w:rStyle w:val="normaltextrun"/>
                <w:sz w:val="20"/>
                <w:szCs w:val="20"/>
              </w:rPr>
              <w:t>. How can I verify this?</w:t>
            </w:r>
            <w:r w:rsidRPr="003872CA">
              <w:rPr>
                <w:rStyle w:val="eop"/>
                <w:sz w:val="20"/>
                <w:szCs w:val="20"/>
              </w:rPr>
              <w:t> </w:t>
            </w:r>
          </w:p>
          <w:p w14:paraId="07EB1C8B" w14:textId="77777777" w:rsidR="00CF5712" w:rsidRPr="003872CA" w:rsidRDefault="00CF5712" w:rsidP="00174553">
            <w:pPr>
              <w:pStyle w:val="paragraph"/>
              <w:spacing w:before="0" w:beforeAutospacing="0" w:after="0" w:afterAutospacing="0"/>
              <w:textAlignment w:val="baseline"/>
              <w:rPr>
                <w:sz w:val="20"/>
                <w:szCs w:val="20"/>
              </w:rPr>
            </w:pPr>
            <w:r w:rsidRPr="003872CA">
              <w:rPr>
                <w:rStyle w:val="eop"/>
                <w:sz w:val="20"/>
                <w:szCs w:val="20"/>
              </w:rPr>
              <w:t> </w:t>
            </w:r>
          </w:p>
          <w:p w14:paraId="61B2C49B" w14:textId="77777777" w:rsidR="00CF5712" w:rsidRPr="003872CA" w:rsidRDefault="00CF5712" w:rsidP="00174553">
            <w:pPr>
              <w:pStyle w:val="paragraph"/>
              <w:spacing w:before="0" w:beforeAutospacing="0" w:after="0" w:afterAutospacing="0"/>
              <w:textAlignment w:val="baseline"/>
              <w:rPr>
                <w:sz w:val="20"/>
                <w:szCs w:val="20"/>
              </w:rPr>
            </w:pPr>
            <w:r w:rsidRPr="003872CA">
              <w:rPr>
                <w:rStyle w:val="normaltextrun"/>
                <w:b/>
                <w:bCs/>
                <w:sz w:val="20"/>
                <w:szCs w:val="20"/>
              </w:rPr>
              <w:t>Answer</w:t>
            </w:r>
            <w:r w:rsidRPr="003872CA">
              <w:rPr>
                <w:rStyle w:val="normaltextrun"/>
                <w:sz w:val="20"/>
                <w:szCs w:val="20"/>
              </w:rPr>
              <w:t>: </w:t>
            </w:r>
            <w:r w:rsidRPr="003872CA">
              <w:rPr>
                <w:rStyle w:val="eop"/>
                <w:sz w:val="20"/>
                <w:szCs w:val="20"/>
              </w:rPr>
              <w:t>  </w:t>
            </w:r>
          </w:p>
          <w:p w14:paraId="222D4C6C" w14:textId="77777777" w:rsidR="00CF5712" w:rsidRPr="003872CA" w:rsidRDefault="00CF5712" w:rsidP="00174553">
            <w:pPr>
              <w:pStyle w:val="paragraph"/>
              <w:spacing w:before="0" w:beforeAutospacing="0" w:after="0" w:afterAutospacing="0"/>
              <w:textAlignment w:val="baseline"/>
              <w:rPr>
                <w:sz w:val="20"/>
                <w:szCs w:val="20"/>
              </w:rPr>
            </w:pPr>
            <w:r w:rsidRPr="003872CA">
              <w:rPr>
                <w:rStyle w:val="normaltextrun"/>
                <w:sz w:val="20"/>
                <w:szCs w:val="20"/>
              </w:rPr>
              <w:t>The below excerpts are from DCA’s “Utility Allowance Methodology Change Requests” policy (</w:t>
            </w:r>
            <w:hyperlink r:id="rId16" w:tgtFrame="_blank" w:history="1">
              <w:r w:rsidRPr="003872CA">
                <w:rPr>
                  <w:rStyle w:val="normaltextrun"/>
                  <w:color w:val="0563C1"/>
                  <w:sz w:val="20"/>
                  <w:szCs w:val="20"/>
                  <w:u w:val="single"/>
                </w:rPr>
                <w:t>click here</w:t>
              </w:r>
            </w:hyperlink>
            <w:r w:rsidRPr="003872CA">
              <w:rPr>
                <w:rStyle w:val="normaltextrun"/>
                <w:sz w:val="20"/>
                <w:szCs w:val="20"/>
              </w:rPr>
              <w:t>). The below-referenced documents can be submitted with the full application for purposes of the Competitive Round and do not require pre-approval.  </w:t>
            </w:r>
            <w:r w:rsidRPr="003872CA">
              <w:rPr>
                <w:rStyle w:val="eop"/>
                <w:sz w:val="20"/>
                <w:szCs w:val="20"/>
              </w:rPr>
              <w:t> </w:t>
            </w:r>
          </w:p>
          <w:p w14:paraId="3ED9841B" w14:textId="77777777" w:rsidR="00CF5712" w:rsidRPr="003872CA" w:rsidRDefault="00CF5712" w:rsidP="00174553">
            <w:pPr>
              <w:pStyle w:val="paragraph"/>
              <w:spacing w:before="0" w:beforeAutospacing="0" w:after="0" w:afterAutospacing="0"/>
              <w:textAlignment w:val="baseline"/>
              <w:rPr>
                <w:sz w:val="20"/>
                <w:szCs w:val="20"/>
              </w:rPr>
            </w:pPr>
            <w:r w:rsidRPr="003872CA">
              <w:rPr>
                <w:rStyle w:val="eop"/>
                <w:sz w:val="20"/>
                <w:szCs w:val="20"/>
              </w:rPr>
              <w:t> </w:t>
            </w:r>
          </w:p>
          <w:p w14:paraId="39ADD47A" w14:textId="77777777" w:rsidR="00CF5712" w:rsidRPr="003872CA" w:rsidRDefault="00CF5712" w:rsidP="00174553">
            <w:pPr>
              <w:pStyle w:val="paragraph"/>
              <w:spacing w:before="0" w:beforeAutospacing="0" w:after="0" w:afterAutospacing="0"/>
              <w:ind w:left="720"/>
              <w:textAlignment w:val="baseline"/>
              <w:rPr>
                <w:sz w:val="20"/>
                <w:szCs w:val="20"/>
              </w:rPr>
            </w:pPr>
            <w:r w:rsidRPr="003872CA">
              <w:rPr>
                <w:rStyle w:val="normaltextrun"/>
                <w:i/>
                <w:iCs/>
                <w:sz w:val="20"/>
                <w:szCs w:val="20"/>
              </w:rPr>
              <w:t xml:space="preserve">“DCA may approve a UA based on an energy and water and sewage consumption and analysis model (ECM) prepared by a properly licensed engineer, or qualified professional. The owner and qualified </w:t>
            </w:r>
            <w:r w:rsidRPr="003872CA">
              <w:rPr>
                <w:rStyle w:val="normaltextrun"/>
                <w:i/>
                <w:iCs/>
                <w:sz w:val="20"/>
                <w:szCs w:val="20"/>
              </w:rPr>
              <w:lastRenderedPageBreak/>
              <w:t xml:space="preserve">professional must also certify that the model complies with all requirements and </w:t>
            </w:r>
            <w:r w:rsidRPr="003872CA">
              <w:rPr>
                <w:rStyle w:val="advancedproofingissue"/>
                <w:i/>
                <w:iCs/>
                <w:sz w:val="20"/>
                <w:szCs w:val="20"/>
              </w:rPr>
              <w:t>takes into account</w:t>
            </w:r>
            <w:r w:rsidRPr="003872CA">
              <w:rPr>
                <w:rStyle w:val="normaltextrun"/>
                <w:i/>
                <w:iCs/>
                <w:sz w:val="20"/>
                <w:szCs w:val="20"/>
              </w:rPr>
              <w:t xml:space="preserve"> specific factors including, but not limited to, unit size, building orientation, design and materials, mechanical systems, appliances, and characteristics of the building location.</w:t>
            </w:r>
            <w:r w:rsidRPr="003872CA">
              <w:rPr>
                <w:rStyle w:val="eop"/>
                <w:sz w:val="20"/>
                <w:szCs w:val="20"/>
              </w:rPr>
              <w:t> </w:t>
            </w:r>
          </w:p>
          <w:p w14:paraId="5CBD2FE6" w14:textId="77777777" w:rsidR="00CF5712" w:rsidRPr="003872CA" w:rsidRDefault="00CF5712" w:rsidP="00174553">
            <w:pPr>
              <w:pStyle w:val="paragraph"/>
              <w:spacing w:before="0" w:beforeAutospacing="0" w:after="0" w:afterAutospacing="0"/>
              <w:textAlignment w:val="baseline"/>
              <w:rPr>
                <w:sz w:val="20"/>
                <w:szCs w:val="20"/>
              </w:rPr>
            </w:pPr>
            <w:r w:rsidRPr="003872CA">
              <w:rPr>
                <w:rStyle w:val="eop"/>
                <w:sz w:val="20"/>
                <w:szCs w:val="20"/>
              </w:rPr>
              <w:t> </w:t>
            </w:r>
          </w:p>
          <w:p w14:paraId="60E373C1" w14:textId="77777777" w:rsidR="00CF5712" w:rsidRPr="003872CA" w:rsidRDefault="00CF5712" w:rsidP="00174553">
            <w:pPr>
              <w:pStyle w:val="paragraph"/>
              <w:spacing w:before="0" w:beforeAutospacing="0" w:after="0" w:afterAutospacing="0"/>
              <w:ind w:left="720"/>
              <w:textAlignment w:val="baseline"/>
              <w:rPr>
                <w:sz w:val="20"/>
                <w:szCs w:val="20"/>
              </w:rPr>
            </w:pPr>
            <w:r w:rsidRPr="003872CA">
              <w:rPr>
                <w:rStyle w:val="normaltextrun"/>
                <w:i/>
                <w:iCs/>
                <w:sz w:val="20"/>
                <w:szCs w:val="20"/>
              </w:rPr>
              <w:t>If the ECM report is completed by a qualified professional that is not a properly licensed engineer, the request must include the qualifications and experience of the qualified professional in providing energy consumption utility allowance reports for a minimum of 2 years.</w:t>
            </w:r>
            <w:r w:rsidRPr="003872CA">
              <w:rPr>
                <w:rStyle w:val="eop"/>
                <w:sz w:val="20"/>
                <w:szCs w:val="20"/>
              </w:rPr>
              <w:t> </w:t>
            </w:r>
          </w:p>
          <w:p w14:paraId="10DC8DDB" w14:textId="77777777" w:rsidR="00CF5712" w:rsidRPr="003872CA" w:rsidRDefault="00CF5712" w:rsidP="00174553">
            <w:pPr>
              <w:pStyle w:val="paragraph"/>
              <w:spacing w:before="0" w:beforeAutospacing="0" w:after="0" w:afterAutospacing="0"/>
              <w:ind w:left="720"/>
              <w:textAlignment w:val="baseline"/>
              <w:rPr>
                <w:sz w:val="20"/>
                <w:szCs w:val="20"/>
              </w:rPr>
            </w:pPr>
            <w:r w:rsidRPr="003872CA">
              <w:rPr>
                <w:rStyle w:val="eop"/>
                <w:sz w:val="20"/>
                <w:szCs w:val="20"/>
              </w:rPr>
              <w:t> </w:t>
            </w:r>
          </w:p>
          <w:p w14:paraId="783ABCC2" w14:textId="77777777" w:rsidR="00CF5712" w:rsidRPr="003872CA" w:rsidRDefault="00CF5712" w:rsidP="00174553">
            <w:pPr>
              <w:pStyle w:val="paragraph"/>
              <w:spacing w:before="0" w:beforeAutospacing="0" w:after="0" w:afterAutospacing="0"/>
              <w:ind w:left="720"/>
              <w:textAlignment w:val="baseline"/>
              <w:rPr>
                <w:sz w:val="20"/>
                <w:szCs w:val="20"/>
              </w:rPr>
            </w:pPr>
            <w:r w:rsidRPr="003872CA">
              <w:rPr>
                <w:rStyle w:val="normaltextrun"/>
                <w:i/>
                <w:iCs/>
                <w:sz w:val="20"/>
                <w:szCs w:val="20"/>
              </w:rPr>
              <w:t>Required Documents for Unlicensed Engineer or Other Qualified Professional</w:t>
            </w:r>
            <w:r w:rsidRPr="003872CA">
              <w:rPr>
                <w:rStyle w:val="eop"/>
                <w:sz w:val="20"/>
                <w:szCs w:val="20"/>
              </w:rPr>
              <w:t> </w:t>
            </w:r>
          </w:p>
          <w:p w14:paraId="00685325" w14:textId="77777777" w:rsidR="00CF5712" w:rsidRPr="003872CA" w:rsidRDefault="00CF5712" w:rsidP="00174553">
            <w:pPr>
              <w:pStyle w:val="paragraph"/>
              <w:spacing w:before="0" w:beforeAutospacing="0" w:after="0" w:afterAutospacing="0"/>
              <w:ind w:left="720"/>
              <w:textAlignment w:val="baseline"/>
              <w:rPr>
                <w:sz w:val="20"/>
                <w:szCs w:val="20"/>
              </w:rPr>
            </w:pPr>
            <w:r w:rsidRPr="003872CA">
              <w:rPr>
                <w:rStyle w:val="normaltextrun"/>
                <w:i/>
                <w:iCs/>
                <w:sz w:val="20"/>
                <w:szCs w:val="20"/>
              </w:rPr>
              <w:t xml:space="preserve">Additional Information: </w:t>
            </w:r>
            <w:r w:rsidRPr="003872CA">
              <w:rPr>
                <w:rStyle w:val="scxw2242163"/>
                <w:sz w:val="20"/>
                <w:szCs w:val="20"/>
              </w:rPr>
              <w:t> </w:t>
            </w:r>
            <w:r w:rsidRPr="003872CA">
              <w:rPr>
                <w:sz w:val="20"/>
                <w:szCs w:val="20"/>
              </w:rPr>
              <w:br/>
            </w:r>
            <w:r w:rsidRPr="003872CA">
              <w:rPr>
                <w:rStyle w:val="eop"/>
                <w:sz w:val="20"/>
                <w:szCs w:val="20"/>
              </w:rPr>
              <w:t> </w:t>
            </w:r>
          </w:p>
          <w:p w14:paraId="3D4A5EE0" w14:textId="77777777" w:rsidR="00CF5712" w:rsidRPr="003872CA" w:rsidRDefault="00CF5712" w:rsidP="00174553">
            <w:pPr>
              <w:pStyle w:val="paragraph"/>
              <w:numPr>
                <w:ilvl w:val="0"/>
                <w:numId w:val="59"/>
              </w:numPr>
              <w:spacing w:before="0" w:beforeAutospacing="0" w:after="0" w:afterAutospacing="0"/>
              <w:ind w:left="1800" w:firstLine="0"/>
              <w:textAlignment w:val="baseline"/>
              <w:rPr>
                <w:sz w:val="20"/>
                <w:szCs w:val="20"/>
              </w:rPr>
            </w:pPr>
            <w:r w:rsidRPr="003872CA">
              <w:rPr>
                <w:rStyle w:val="normaltextrun"/>
                <w:i/>
                <w:iCs/>
                <w:sz w:val="20"/>
                <w:szCs w:val="20"/>
              </w:rPr>
              <w:t>Description of the firm’s or energy professional’s experience compiling energy consumption models for use in residential multifamily properties for a minimum of 2 years</w:t>
            </w:r>
            <w:r w:rsidRPr="003872CA">
              <w:rPr>
                <w:rStyle w:val="eop"/>
                <w:sz w:val="20"/>
                <w:szCs w:val="20"/>
              </w:rPr>
              <w:t> </w:t>
            </w:r>
          </w:p>
          <w:p w14:paraId="69268633" w14:textId="77777777" w:rsidR="00CF5712" w:rsidRPr="003872CA" w:rsidRDefault="00CF5712" w:rsidP="00174553">
            <w:pPr>
              <w:pStyle w:val="paragraph"/>
              <w:numPr>
                <w:ilvl w:val="0"/>
                <w:numId w:val="60"/>
              </w:numPr>
              <w:spacing w:before="0" w:beforeAutospacing="0" w:after="0" w:afterAutospacing="0"/>
              <w:ind w:left="1800" w:firstLine="0"/>
              <w:textAlignment w:val="baseline"/>
              <w:rPr>
                <w:sz w:val="20"/>
                <w:szCs w:val="20"/>
              </w:rPr>
            </w:pPr>
            <w:r w:rsidRPr="003872CA">
              <w:rPr>
                <w:rStyle w:val="normaltextrun"/>
                <w:i/>
                <w:iCs/>
                <w:sz w:val="20"/>
                <w:szCs w:val="20"/>
              </w:rPr>
              <w:t>Resumes of staff responsible for completing the utility report</w:t>
            </w:r>
            <w:r w:rsidRPr="003872CA">
              <w:rPr>
                <w:rStyle w:val="eop"/>
                <w:sz w:val="20"/>
                <w:szCs w:val="20"/>
              </w:rPr>
              <w:t> </w:t>
            </w:r>
          </w:p>
          <w:p w14:paraId="05F73E0E" w14:textId="77777777" w:rsidR="00CF5712" w:rsidRPr="003872CA" w:rsidRDefault="00CF5712" w:rsidP="00980872">
            <w:pPr>
              <w:pStyle w:val="paragraph"/>
              <w:numPr>
                <w:ilvl w:val="0"/>
                <w:numId w:val="61"/>
              </w:numPr>
              <w:spacing w:before="0" w:beforeAutospacing="0" w:after="0" w:afterAutospacing="0"/>
              <w:ind w:left="1800" w:firstLine="0"/>
              <w:textAlignment w:val="baseline"/>
              <w:rPr>
                <w:rStyle w:val="normaltextrun"/>
                <w:sz w:val="20"/>
                <w:szCs w:val="20"/>
              </w:rPr>
            </w:pPr>
            <w:r w:rsidRPr="003872CA">
              <w:rPr>
                <w:rStyle w:val="normaltextrun"/>
                <w:i/>
                <w:iCs/>
                <w:sz w:val="20"/>
                <w:szCs w:val="20"/>
              </w:rPr>
              <w:t>Certifications and licenses relevant to the development and implementation of an energy consumption model (</w:t>
            </w:r>
            <w:r w:rsidRPr="003872CA">
              <w:rPr>
                <w:rStyle w:val="contextualspellingandgrammarerror"/>
                <w:i/>
                <w:iCs/>
                <w:sz w:val="20"/>
                <w:szCs w:val="20"/>
              </w:rPr>
              <w:t>e.g.</w:t>
            </w:r>
            <w:r w:rsidRPr="003872CA">
              <w:rPr>
                <w:rStyle w:val="normaltextrun"/>
                <w:i/>
                <w:iCs/>
                <w:sz w:val="20"/>
                <w:szCs w:val="20"/>
              </w:rPr>
              <w:t xml:space="preserve"> Professional Architect license, Certified Energy Manager or similar designation)</w:t>
            </w:r>
            <w:r w:rsidRPr="003872CA">
              <w:rPr>
                <w:rStyle w:val="eop"/>
                <w:sz w:val="20"/>
                <w:szCs w:val="20"/>
              </w:rPr>
              <w:t> </w:t>
            </w:r>
          </w:p>
        </w:tc>
      </w:tr>
      <w:tr w:rsidR="00CF5712" w:rsidRPr="003872CA" w14:paraId="19C8D094" w14:textId="77777777" w:rsidTr="1995616E">
        <w:trPr>
          <w:jc w:val="center"/>
        </w:trPr>
        <w:tc>
          <w:tcPr>
            <w:tcW w:w="2157" w:type="dxa"/>
            <w:shd w:val="clear" w:color="auto" w:fill="auto"/>
            <w:tcMar>
              <w:top w:w="72" w:type="dxa"/>
              <w:left w:w="115" w:type="dxa"/>
              <w:bottom w:w="72" w:type="dxa"/>
              <w:right w:w="115" w:type="dxa"/>
            </w:tcMar>
            <w:vAlign w:val="center"/>
          </w:tcPr>
          <w:p w14:paraId="19B366E1" w14:textId="7A262857" w:rsidR="00CF5712" w:rsidRPr="003872CA" w:rsidRDefault="006B7E0B" w:rsidP="00304B2F">
            <w:pPr>
              <w:rPr>
                <w:rFonts w:ascii="Times New Roman" w:hAnsi="Times New Roman" w:cs="Times New Roman"/>
                <w:noProof/>
                <w:sz w:val="20"/>
                <w:szCs w:val="20"/>
              </w:rPr>
            </w:pPr>
            <w:r>
              <w:rPr>
                <w:rFonts w:ascii="Times New Roman" w:hAnsi="Times New Roman" w:cs="Times New Roman"/>
                <w:noProof/>
                <w:sz w:val="20"/>
                <w:szCs w:val="20"/>
              </w:rPr>
              <w:lastRenderedPageBreak/>
              <w:t>5/19</w:t>
            </w:r>
            <w:r w:rsidR="00CF5712">
              <w:rPr>
                <w:rFonts w:ascii="Times New Roman" w:hAnsi="Times New Roman" w:cs="Times New Roman"/>
                <w:noProof/>
                <w:sz w:val="20"/>
                <w:szCs w:val="20"/>
              </w:rPr>
              <w:t>/22</w:t>
            </w:r>
          </w:p>
        </w:tc>
        <w:tc>
          <w:tcPr>
            <w:tcW w:w="2198" w:type="dxa"/>
            <w:shd w:val="clear" w:color="auto" w:fill="auto"/>
            <w:tcMar>
              <w:top w:w="72" w:type="dxa"/>
              <w:left w:w="115" w:type="dxa"/>
              <w:bottom w:w="72" w:type="dxa"/>
              <w:right w:w="115" w:type="dxa"/>
            </w:tcMar>
            <w:vAlign w:val="center"/>
          </w:tcPr>
          <w:p w14:paraId="127E795E" w14:textId="77777777" w:rsidR="00CF5712" w:rsidRPr="003872CA" w:rsidRDefault="00CF5712" w:rsidP="00304B2F">
            <w:pPr>
              <w:rPr>
                <w:rFonts w:ascii="Times New Roman" w:hAnsi="Times New Roman" w:cs="Times New Roman"/>
                <w:sz w:val="20"/>
                <w:szCs w:val="20"/>
              </w:rPr>
            </w:pPr>
            <w:r w:rsidRPr="003872CA">
              <w:rPr>
                <w:rFonts w:ascii="Times New Roman" w:hAnsi="Times New Roman" w:cs="Times New Roman"/>
                <w:sz w:val="20"/>
                <w:szCs w:val="20"/>
              </w:rPr>
              <w:t>2.28</w:t>
            </w:r>
          </w:p>
          <w:p w14:paraId="1902C465" w14:textId="77777777" w:rsidR="00CF5712" w:rsidRPr="003872CA" w:rsidRDefault="00CF5712" w:rsidP="00304B2F">
            <w:pPr>
              <w:rPr>
                <w:rFonts w:ascii="Times New Roman" w:hAnsi="Times New Roman" w:cs="Times New Roman"/>
                <w:sz w:val="20"/>
                <w:szCs w:val="20"/>
              </w:rPr>
            </w:pPr>
            <w:r w:rsidRPr="003872CA">
              <w:rPr>
                <w:rFonts w:ascii="Times New Roman" w:hAnsi="Times New Roman" w:cs="Times New Roman"/>
                <w:sz w:val="20"/>
                <w:szCs w:val="20"/>
              </w:rPr>
              <w:t>Threshold Criteria;</w:t>
            </w:r>
          </w:p>
          <w:p w14:paraId="1A3527D7" w14:textId="77777777" w:rsidR="00CF5712" w:rsidRPr="003872CA" w:rsidRDefault="00CF5712" w:rsidP="00304B2F">
            <w:pPr>
              <w:rPr>
                <w:rFonts w:ascii="Times New Roman" w:hAnsi="Times New Roman" w:cs="Times New Roman"/>
                <w:sz w:val="20"/>
                <w:szCs w:val="20"/>
              </w:rPr>
            </w:pPr>
            <w:r w:rsidRPr="003872CA">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14:paraId="04463215" w14:textId="77777777" w:rsidR="00CF5712" w:rsidRPr="000179D3" w:rsidRDefault="00CF5712" w:rsidP="000179D3">
            <w:pPr>
              <w:textAlignment w:val="baseline"/>
              <w:rPr>
                <w:rFonts w:ascii="Times New Roman" w:eastAsia="Times New Roman" w:hAnsi="Times New Roman" w:cs="Times New Roman"/>
                <w:sz w:val="20"/>
                <w:szCs w:val="20"/>
              </w:rPr>
            </w:pPr>
            <w:r w:rsidRPr="000179D3">
              <w:rPr>
                <w:rFonts w:ascii="Times New Roman" w:eastAsia="Times New Roman" w:hAnsi="Times New Roman" w:cs="Times New Roman"/>
                <w:b/>
                <w:bCs/>
                <w:sz w:val="20"/>
                <w:szCs w:val="20"/>
              </w:rPr>
              <w:t>Question</w:t>
            </w:r>
            <w:r w:rsidRPr="000179D3">
              <w:rPr>
                <w:rFonts w:ascii="Times New Roman" w:eastAsia="Times New Roman" w:hAnsi="Times New Roman" w:cs="Times New Roman"/>
                <w:sz w:val="20"/>
                <w:szCs w:val="20"/>
              </w:rPr>
              <w:t>: Q22_0511_15 </w:t>
            </w:r>
          </w:p>
          <w:p w14:paraId="13FC1457" w14:textId="77777777" w:rsidR="00CF5712" w:rsidRPr="000179D3" w:rsidRDefault="00CF5712" w:rsidP="000179D3">
            <w:pPr>
              <w:textAlignment w:val="baseline"/>
              <w:rPr>
                <w:rFonts w:ascii="Times New Roman" w:eastAsia="Times New Roman" w:hAnsi="Times New Roman" w:cs="Times New Roman"/>
                <w:sz w:val="20"/>
                <w:szCs w:val="20"/>
              </w:rPr>
            </w:pPr>
            <w:r w:rsidRPr="000179D3">
              <w:rPr>
                <w:rFonts w:ascii="Times New Roman" w:eastAsia="Times New Roman" w:hAnsi="Times New Roman" w:cs="Times New Roman"/>
                <w:color w:val="000000"/>
                <w:sz w:val="20"/>
                <w:szCs w:val="20"/>
              </w:rPr>
              <w:t>What does the following sentence mean regarding green building consultant fees and developer fee limits? Is this sentence a holdover from a prior QAP that no longer applies, since developer fees are now based on unit count, not costs?  </w:t>
            </w:r>
          </w:p>
          <w:p w14:paraId="48A516BC" w14:textId="77777777" w:rsidR="00CF5712" w:rsidRPr="000179D3" w:rsidRDefault="00CF5712" w:rsidP="000179D3">
            <w:pPr>
              <w:textAlignment w:val="baseline"/>
              <w:rPr>
                <w:rFonts w:ascii="Times New Roman" w:eastAsia="Times New Roman" w:hAnsi="Times New Roman" w:cs="Times New Roman"/>
                <w:sz w:val="20"/>
                <w:szCs w:val="20"/>
              </w:rPr>
            </w:pPr>
            <w:r w:rsidRPr="000179D3">
              <w:rPr>
                <w:rFonts w:ascii="Times New Roman" w:eastAsia="Times New Roman" w:hAnsi="Times New Roman" w:cs="Times New Roman"/>
                <w:color w:val="000000"/>
                <w:sz w:val="20"/>
                <w:szCs w:val="20"/>
              </w:rPr>
              <w:t> </w:t>
            </w:r>
          </w:p>
          <w:p w14:paraId="00660EEE" w14:textId="77777777" w:rsidR="00CF5712" w:rsidRPr="000179D3" w:rsidRDefault="00CF5712" w:rsidP="000179D3">
            <w:pPr>
              <w:ind w:left="720"/>
              <w:textAlignment w:val="baseline"/>
              <w:rPr>
                <w:rFonts w:ascii="Times New Roman" w:eastAsia="Times New Roman" w:hAnsi="Times New Roman" w:cs="Times New Roman"/>
                <w:sz w:val="20"/>
                <w:szCs w:val="20"/>
              </w:rPr>
            </w:pPr>
            <w:r w:rsidRPr="000179D3">
              <w:rPr>
                <w:rFonts w:ascii="Times New Roman" w:eastAsia="Times New Roman" w:hAnsi="Times New Roman" w:cs="Times New Roman"/>
                <w:i/>
                <w:iCs/>
                <w:color w:val="000000"/>
                <w:sz w:val="20"/>
                <w:szCs w:val="20"/>
              </w:rPr>
              <w:t xml:space="preserve">“The maximum allowable Developer fee includes Consultants' fees for each project. </w:t>
            </w:r>
            <w:r w:rsidRPr="000179D3">
              <w:rPr>
                <w:rFonts w:ascii="Times New Roman" w:eastAsia="Times New Roman" w:hAnsi="Times New Roman" w:cs="Times New Roman"/>
                <w:i/>
                <w:iCs/>
                <w:color w:val="000000"/>
                <w:sz w:val="20"/>
                <w:szCs w:val="20"/>
                <w:u w:val="single"/>
              </w:rPr>
              <w:t>DCA will allow a limited exception and not include Consultant fees for the purpose of obtaining green building certifications in the Developer fee calculation</w:t>
            </w:r>
            <w:r w:rsidRPr="000179D3">
              <w:rPr>
                <w:rFonts w:ascii="Times New Roman" w:eastAsia="Times New Roman" w:hAnsi="Times New Roman" w:cs="Times New Roman"/>
                <w:i/>
                <w:iCs/>
                <w:color w:val="000000"/>
                <w:sz w:val="20"/>
                <w:szCs w:val="20"/>
              </w:rPr>
              <w:t>.”</w:t>
            </w:r>
            <w:r w:rsidRPr="000179D3">
              <w:rPr>
                <w:rFonts w:ascii="Times New Roman" w:eastAsia="Times New Roman" w:hAnsi="Times New Roman" w:cs="Times New Roman"/>
                <w:color w:val="000000"/>
                <w:sz w:val="20"/>
                <w:szCs w:val="20"/>
              </w:rPr>
              <w:t> </w:t>
            </w:r>
          </w:p>
          <w:p w14:paraId="665771C3" w14:textId="77777777" w:rsidR="00CF5712" w:rsidRPr="000179D3" w:rsidRDefault="00CF5712" w:rsidP="000179D3">
            <w:pPr>
              <w:textAlignment w:val="baseline"/>
              <w:rPr>
                <w:rFonts w:ascii="Times New Roman" w:eastAsia="Times New Roman" w:hAnsi="Times New Roman" w:cs="Times New Roman"/>
                <w:sz w:val="20"/>
                <w:szCs w:val="20"/>
              </w:rPr>
            </w:pPr>
            <w:r w:rsidRPr="000179D3">
              <w:rPr>
                <w:rFonts w:ascii="Times New Roman" w:eastAsia="Times New Roman" w:hAnsi="Times New Roman" w:cs="Times New Roman"/>
                <w:sz w:val="20"/>
                <w:szCs w:val="20"/>
              </w:rPr>
              <w:t> </w:t>
            </w:r>
          </w:p>
          <w:p w14:paraId="43B4339D" w14:textId="77777777" w:rsidR="00CF5712" w:rsidRPr="000179D3" w:rsidRDefault="00CF5712" w:rsidP="000179D3">
            <w:pPr>
              <w:textAlignment w:val="baseline"/>
              <w:rPr>
                <w:rFonts w:ascii="Times New Roman" w:eastAsia="Times New Roman" w:hAnsi="Times New Roman" w:cs="Times New Roman"/>
                <w:sz w:val="20"/>
                <w:szCs w:val="20"/>
              </w:rPr>
            </w:pPr>
            <w:r w:rsidRPr="000179D3">
              <w:rPr>
                <w:rFonts w:ascii="Times New Roman" w:eastAsia="Times New Roman" w:hAnsi="Times New Roman" w:cs="Times New Roman"/>
                <w:b/>
                <w:bCs/>
                <w:sz w:val="20"/>
                <w:szCs w:val="20"/>
              </w:rPr>
              <w:t>Answer</w:t>
            </w:r>
            <w:r w:rsidRPr="000179D3">
              <w:rPr>
                <w:rFonts w:ascii="Times New Roman" w:eastAsia="Times New Roman" w:hAnsi="Times New Roman" w:cs="Times New Roman"/>
                <w:sz w:val="20"/>
                <w:szCs w:val="20"/>
              </w:rPr>
              <w:t>:  </w:t>
            </w:r>
          </w:p>
          <w:p w14:paraId="732CD3DE" w14:textId="77777777" w:rsidR="00CF5712" w:rsidRPr="003872CA" w:rsidRDefault="00CF5712" w:rsidP="000179D3">
            <w:pPr>
              <w:textAlignment w:val="baseline"/>
              <w:rPr>
                <w:rStyle w:val="normaltextrun"/>
                <w:rFonts w:ascii="Times New Roman" w:eastAsia="Times New Roman" w:hAnsi="Times New Roman" w:cs="Times New Roman"/>
                <w:sz w:val="20"/>
                <w:szCs w:val="20"/>
              </w:rPr>
            </w:pPr>
            <w:r w:rsidRPr="000179D3">
              <w:rPr>
                <w:rFonts w:ascii="Times New Roman" w:eastAsia="Times New Roman" w:hAnsi="Times New Roman" w:cs="Times New Roman"/>
                <w:sz w:val="20"/>
                <w:szCs w:val="20"/>
              </w:rPr>
              <w:t xml:space="preserve">The above referenced policy, from </w:t>
            </w:r>
            <w:r w:rsidRPr="000179D3">
              <w:rPr>
                <w:rFonts w:ascii="Times New Roman" w:eastAsia="Times New Roman" w:hAnsi="Times New Roman" w:cs="Times New Roman"/>
                <w:b/>
                <w:bCs/>
                <w:sz w:val="20"/>
                <w:szCs w:val="20"/>
              </w:rPr>
              <w:t>(Threshold Criteria) DCA Underwriting Policies</w:t>
            </w:r>
            <w:r w:rsidRPr="000179D3">
              <w:rPr>
                <w:rFonts w:ascii="Times New Roman" w:eastAsia="Times New Roman" w:hAnsi="Times New Roman" w:cs="Times New Roman"/>
                <w:sz w:val="20"/>
                <w:szCs w:val="20"/>
              </w:rPr>
              <w:t xml:space="preserve">, still holds. It states that green building consultant fees can be disregarded for purposes of confirming that the sum of developer fees, consultant fees, etc. are under the </w:t>
            </w:r>
            <w:r w:rsidRPr="000179D3">
              <w:rPr>
                <w:rFonts w:ascii="Times New Roman" w:eastAsia="Times New Roman" w:hAnsi="Times New Roman" w:cs="Times New Roman"/>
                <w:b/>
                <w:bCs/>
                <w:sz w:val="20"/>
                <w:szCs w:val="20"/>
              </w:rPr>
              <w:t>Developer Fee Amounts</w:t>
            </w:r>
            <w:r w:rsidRPr="000179D3">
              <w:rPr>
                <w:rFonts w:ascii="Times New Roman" w:eastAsia="Times New Roman" w:hAnsi="Times New Roman" w:cs="Times New Roman"/>
                <w:sz w:val="20"/>
                <w:szCs w:val="20"/>
              </w:rPr>
              <w:t xml:space="preserve"> listed in this section. This is why in the Core Application, “Green Building Consultant Fees” is listed under “Professional Services,” not contained within the “Consultant’s fee” line item.  </w:t>
            </w:r>
          </w:p>
        </w:tc>
      </w:tr>
      <w:tr w:rsidR="00CF5712" w:rsidRPr="003872CA" w14:paraId="5162DEA4" w14:textId="77777777" w:rsidTr="1995616E">
        <w:trPr>
          <w:jc w:val="center"/>
        </w:trPr>
        <w:tc>
          <w:tcPr>
            <w:tcW w:w="2157" w:type="dxa"/>
            <w:shd w:val="clear" w:color="auto" w:fill="auto"/>
            <w:tcMar>
              <w:top w:w="72" w:type="dxa"/>
              <w:left w:w="115" w:type="dxa"/>
              <w:bottom w:w="72" w:type="dxa"/>
              <w:right w:w="115" w:type="dxa"/>
            </w:tcMar>
            <w:vAlign w:val="center"/>
          </w:tcPr>
          <w:p w14:paraId="47F68B04" w14:textId="3C88A31E" w:rsidR="00CF5712" w:rsidRPr="003872CA" w:rsidRDefault="006B7E0B" w:rsidP="00304B2F">
            <w:pPr>
              <w:rPr>
                <w:rFonts w:ascii="Times New Roman" w:hAnsi="Times New Roman" w:cs="Times New Roman"/>
                <w:noProof/>
                <w:sz w:val="20"/>
                <w:szCs w:val="20"/>
              </w:rPr>
            </w:pPr>
            <w:r>
              <w:rPr>
                <w:rFonts w:ascii="Times New Roman" w:hAnsi="Times New Roman" w:cs="Times New Roman"/>
                <w:noProof/>
                <w:sz w:val="20"/>
                <w:szCs w:val="20"/>
              </w:rPr>
              <w:t>5/19</w:t>
            </w:r>
            <w:r w:rsidR="00CF5712">
              <w:rPr>
                <w:rFonts w:ascii="Times New Roman" w:hAnsi="Times New Roman" w:cs="Times New Roman"/>
                <w:noProof/>
                <w:sz w:val="20"/>
                <w:szCs w:val="20"/>
              </w:rPr>
              <w:t>/22</w:t>
            </w:r>
          </w:p>
        </w:tc>
        <w:tc>
          <w:tcPr>
            <w:tcW w:w="2198" w:type="dxa"/>
            <w:shd w:val="clear" w:color="auto" w:fill="auto"/>
            <w:tcMar>
              <w:top w:w="72" w:type="dxa"/>
              <w:left w:w="115" w:type="dxa"/>
              <w:bottom w:w="72" w:type="dxa"/>
              <w:right w:w="115" w:type="dxa"/>
            </w:tcMar>
            <w:vAlign w:val="center"/>
          </w:tcPr>
          <w:p w14:paraId="583FFCB5" w14:textId="77777777" w:rsidR="00CF5712" w:rsidRPr="003872CA" w:rsidRDefault="00CF5712" w:rsidP="00304B2F">
            <w:pPr>
              <w:rPr>
                <w:rFonts w:ascii="Times New Roman" w:hAnsi="Times New Roman" w:cs="Times New Roman"/>
                <w:sz w:val="20"/>
                <w:szCs w:val="20"/>
              </w:rPr>
            </w:pPr>
            <w:r w:rsidRPr="003872CA">
              <w:rPr>
                <w:rFonts w:ascii="Times New Roman" w:hAnsi="Times New Roman" w:cs="Times New Roman"/>
                <w:sz w:val="20"/>
                <w:szCs w:val="20"/>
              </w:rPr>
              <w:t>3.04</w:t>
            </w:r>
          </w:p>
          <w:p w14:paraId="29CE86F1" w14:textId="77777777" w:rsidR="00CF5712" w:rsidRPr="003872CA" w:rsidRDefault="00CF5712" w:rsidP="00304B2F">
            <w:pPr>
              <w:rPr>
                <w:rFonts w:ascii="Times New Roman" w:hAnsi="Times New Roman" w:cs="Times New Roman"/>
                <w:sz w:val="20"/>
                <w:szCs w:val="20"/>
              </w:rPr>
            </w:pPr>
            <w:r w:rsidRPr="003872CA">
              <w:rPr>
                <w:rFonts w:ascii="Times New Roman" w:hAnsi="Times New Roman" w:cs="Times New Roman"/>
                <w:sz w:val="20"/>
                <w:szCs w:val="20"/>
              </w:rPr>
              <w:t>Scoring Criteria;</w:t>
            </w:r>
          </w:p>
          <w:p w14:paraId="731BA78F" w14:textId="77777777" w:rsidR="00CF5712" w:rsidRPr="003872CA" w:rsidRDefault="00CF5712" w:rsidP="00304B2F">
            <w:pPr>
              <w:rPr>
                <w:rFonts w:ascii="Times New Roman" w:hAnsi="Times New Roman" w:cs="Times New Roman"/>
                <w:sz w:val="20"/>
                <w:szCs w:val="20"/>
              </w:rPr>
            </w:pPr>
            <w:r w:rsidRPr="003872CA">
              <w:rPr>
                <w:rFonts w:ascii="Times New Roman" w:hAnsi="Times New Roman" w:cs="Times New Roman"/>
                <w:sz w:val="20"/>
                <w:szCs w:val="20"/>
              </w:rPr>
              <w:t>Deeper Targeting</w:t>
            </w:r>
          </w:p>
        </w:tc>
        <w:tc>
          <w:tcPr>
            <w:tcW w:w="9590" w:type="dxa"/>
            <w:shd w:val="clear" w:color="auto" w:fill="auto"/>
            <w:tcMar>
              <w:top w:w="72" w:type="dxa"/>
              <w:left w:w="115" w:type="dxa"/>
              <w:bottom w:w="72" w:type="dxa"/>
              <w:right w:w="115" w:type="dxa"/>
            </w:tcMar>
            <w:vAlign w:val="center"/>
          </w:tcPr>
          <w:p w14:paraId="06F81B41" w14:textId="77777777" w:rsidR="00CF5712" w:rsidRPr="000179D3" w:rsidRDefault="00CF5712" w:rsidP="000179D3">
            <w:pPr>
              <w:textAlignment w:val="baseline"/>
              <w:rPr>
                <w:rFonts w:ascii="Times New Roman" w:eastAsia="Times New Roman" w:hAnsi="Times New Roman" w:cs="Times New Roman"/>
                <w:sz w:val="20"/>
                <w:szCs w:val="20"/>
              </w:rPr>
            </w:pPr>
            <w:r w:rsidRPr="000179D3">
              <w:rPr>
                <w:rFonts w:ascii="Times New Roman" w:eastAsia="Times New Roman" w:hAnsi="Times New Roman" w:cs="Times New Roman"/>
                <w:b/>
                <w:bCs/>
                <w:sz w:val="20"/>
                <w:szCs w:val="20"/>
              </w:rPr>
              <w:t>Question</w:t>
            </w:r>
            <w:r w:rsidRPr="000179D3">
              <w:rPr>
                <w:rFonts w:ascii="Times New Roman" w:eastAsia="Times New Roman" w:hAnsi="Times New Roman" w:cs="Times New Roman"/>
                <w:sz w:val="20"/>
                <w:szCs w:val="20"/>
              </w:rPr>
              <w:t>: Q22_0413_15 </w:t>
            </w:r>
          </w:p>
          <w:p w14:paraId="773A3B4A" w14:textId="77777777" w:rsidR="00CF5712" w:rsidRPr="000179D3" w:rsidRDefault="00CF5712" w:rsidP="000179D3">
            <w:pPr>
              <w:textAlignment w:val="baseline"/>
              <w:rPr>
                <w:rFonts w:ascii="Times New Roman" w:eastAsia="Times New Roman" w:hAnsi="Times New Roman" w:cs="Times New Roman"/>
                <w:sz w:val="20"/>
                <w:szCs w:val="20"/>
              </w:rPr>
            </w:pPr>
            <w:r w:rsidRPr="000179D3">
              <w:rPr>
                <w:rFonts w:ascii="Times New Roman" w:eastAsia="Times New Roman" w:hAnsi="Times New Roman" w:cs="Times New Roman"/>
                <w:color w:val="000000"/>
                <w:sz w:val="20"/>
                <w:szCs w:val="20"/>
              </w:rPr>
              <w:t>Deeper Targeting - B. New PBRA: This section states the applicant must provide a Commitment for PBRA executed by authorized regulatory agency.  If the new PBRA is a HUD source administered by a Public Housing Authority, can DCA confirm if a commitment from the Public Housing Authority will suffice, even if final HUD approval will be provided after the application submission deadline? </w:t>
            </w:r>
          </w:p>
          <w:p w14:paraId="10018C4F" w14:textId="77777777" w:rsidR="00CF5712" w:rsidRPr="000179D3" w:rsidRDefault="00CF5712" w:rsidP="000179D3">
            <w:pPr>
              <w:textAlignment w:val="baseline"/>
              <w:rPr>
                <w:rFonts w:ascii="Times New Roman" w:eastAsia="Times New Roman" w:hAnsi="Times New Roman" w:cs="Times New Roman"/>
                <w:sz w:val="20"/>
                <w:szCs w:val="20"/>
              </w:rPr>
            </w:pPr>
            <w:r w:rsidRPr="000179D3">
              <w:rPr>
                <w:rFonts w:ascii="Times New Roman" w:eastAsia="Times New Roman" w:hAnsi="Times New Roman" w:cs="Times New Roman"/>
                <w:color w:val="000000"/>
                <w:sz w:val="20"/>
                <w:szCs w:val="20"/>
              </w:rPr>
              <w:t> </w:t>
            </w:r>
          </w:p>
          <w:p w14:paraId="26706115" w14:textId="77777777" w:rsidR="00CF5712" w:rsidRPr="000179D3" w:rsidRDefault="00CF5712" w:rsidP="000179D3">
            <w:pPr>
              <w:textAlignment w:val="baseline"/>
              <w:rPr>
                <w:rFonts w:ascii="Times New Roman" w:eastAsia="Times New Roman" w:hAnsi="Times New Roman" w:cs="Times New Roman"/>
                <w:sz w:val="20"/>
                <w:szCs w:val="20"/>
              </w:rPr>
            </w:pPr>
            <w:r w:rsidRPr="000179D3">
              <w:rPr>
                <w:rFonts w:ascii="Times New Roman" w:eastAsia="Times New Roman" w:hAnsi="Times New Roman" w:cs="Times New Roman"/>
                <w:b/>
                <w:bCs/>
                <w:color w:val="000000"/>
                <w:sz w:val="20"/>
                <w:szCs w:val="20"/>
              </w:rPr>
              <w:lastRenderedPageBreak/>
              <w:t>Answer</w:t>
            </w:r>
            <w:r w:rsidRPr="000179D3">
              <w:rPr>
                <w:rFonts w:ascii="Times New Roman" w:eastAsia="Times New Roman" w:hAnsi="Times New Roman" w:cs="Times New Roman"/>
                <w:color w:val="000000"/>
                <w:sz w:val="20"/>
                <w:szCs w:val="20"/>
              </w:rPr>
              <w:t>:  </w:t>
            </w:r>
          </w:p>
          <w:p w14:paraId="404926D0" w14:textId="77777777" w:rsidR="00CF5712" w:rsidRPr="003872CA" w:rsidRDefault="00CF5712" w:rsidP="000179D3">
            <w:pPr>
              <w:textAlignment w:val="baseline"/>
              <w:rPr>
                <w:rStyle w:val="normaltextrun"/>
                <w:rFonts w:ascii="Times New Roman" w:eastAsia="Times New Roman" w:hAnsi="Times New Roman" w:cs="Times New Roman"/>
                <w:sz w:val="20"/>
                <w:szCs w:val="20"/>
              </w:rPr>
            </w:pPr>
            <w:r w:rsidRPr="000179D3">
              <w:rPr>
                <w:rFonts w:ascii="Times New Roman" w:eastAsia="Times New Roman" w:hAnsi="Times New Roman" w:cs="Times New Roman"/>
                <w:color w:val="000000"/>
                <w:sz w:val="20"/>
                <w:szCs w:val="20"/>
              </w:rPr>
              <w:t xml:space="preserve">DCA requires evidence of HUD approval where HUD is the authorized regulatory agency for the PBRA. For purposes of RAD/Section 18 blends, applicants can request HUD’s signature for the template letter posted to the DCA website, approved by both HUD and DCA (see </w:t>
            </w:r>
            <w:r w:rsidRPr="000179D3">
              <w:rPr>
                <w:rFonts w:ascii="Times New Roman" w:eastAsia="Times New Roman" w:hAnsi="Times New Roman" w:cs="Times New Roman"/>
                <w:b/>
                <w:bCs/>
                <w:color w:val="000000"/>
                <w:sz w:val="20"/>
                <w:szCs w:val="20"/>
              </w:rPr>
              <w:t>Q22_0418_15</w:t>
            </w:r>
            <w:r w:rsidRPr="000179D3">
              <w:rPr>
                <w:rFonts w:ascii="Times New Roman" w:eastAsia="Times New Roman" w:hAnsi="Times New Roman" w:cs="Times New Roman"/>
                <w:color w:val="000000"/>
                <w:sz w:val="20"/>
                <w:szCs w:val="20"/>
              </w:rPr>
              <w:t>).   </w:t>
            </w:r>
          </w:p>
        </w:tc>
      </w:tr>
      <w:tr w:rsidR="00CF5712" w:rsidRPr="003872CA" w14:paraId="74312A0F" w14:textId="77777777" w:rsidTr="1995616E">
        <w:trPr>
          <w:jc w:val="center"/>
        </w:trPr>
        <w:tc>
          <w:tcPr>
            <w:tcW w:w="2157" w:type="dxa"/>
            <w:shd w:val="clear" w:color="auto" w:fill="auto"/>
            <w:tcMar>
              <w:top w:w="72" w:type="dxa"/>
              <w:left w:w="115" w:type="dxa"/>
              <w:bottom w:w="72" w:type="dxa"/>
              <w:right w:w="115" w:type="dxa"/>
            </w:tcMar>
            <w:vAlign w:val="center"/>
          </w:tcPr>
          <w:p w14:paraId="590414B1" w14:textId="05D7D1D9" w:rsidR="00CF5712" w:rsidRPr="003872CA" w:rsidRDefault="006B7E0B" w:rsidP="00304B2F">
            <w:pPr>
              <w:rPr>
                <w:rFonts w:ascii="Times New Roman" w:hAnsi="Times New Roman" w:cs="Times New Roman"/>
                <w:noProof/>
                <w:sz w:val="20"/>
                <w:szCs w:val="20"/>
              </w:rPr>
            </w:pPr>
            <w:r>
              <w:rPr>
                <w:rFonts w:ascii="Times New Roman" w:hAnsi="Times New Roman" w:cs="Times New Roman"/>
                <w:noProof/>
                <w:sz w:val="20"/>
                <w:szCs w:val="20"/>
              </w:rPr>
              <w:lastRenderedPageBreak/>
              <w:t>5/19</w:t>
            </w:r>
            <w:r w:rsidR="00CF5712">
              <w:rPr>
                <w:rFonts w:ascii="Times New Roman" w:hAnsi="Times New Roman" w:cs="Times New Roman"/>
                <w:noProof/>
                <w:sz w:val="20"/>
                <w:szCs w:val="20"/>
              </w:rPr>
              <w:t>/22</w:t>
            </w:r>
          </w:p>
        </w:tc>
        <w:tc>
          <w:tcPr>
            <w:tcW w:w="2198" w:type="dxa"/>
            <w:shd w:val="clear" w:color="auto" w:fill="auto"/>
            <w:tcMar>
              <w:top w:w="72" w:type="dxa"/>
              <w:left w:w="115" w:type="dxa"/>
              <w:bottom w:w="72" w:type="dxa"/>
              <w:right w:w="115" w:type="dxa"/>
            </w:tcMar>
            <w:vAlign w:val="center"/>
          </w:tcPr>
          <w:p w14:paraId="0C9A9F59" w14:textId="77777777" w:rsidR="00CF5712" w:rsidRPr="003872CA" w:rsidRDefault="00CF5712" w:rsidP="00304B2F">
            <w:pPr>
              <w:rPr>
                <w:rFonts w:ascii="Times New Roman" w:hAnsi="Times New Roman" w:cs="Times New Roman"/>
                <w:sz w:val="20"/>
                <w:szCs w:val="20"/>
              </w:rPr>
            </w:pPr>
            <w:r w:rsidRPr="003872CA">
              <w:rPr>
                <w:rFonts w:ascii="Times New Roman" w:hAnsi="Times New Roman" w:cs="Times New Roman"/>
                <w:sz w:val="20"/>
                <w:szCs w:val="20"/>
              </w:rPr>
              <w:t>3.05</w:t>
            </w:r>
          </w:p>
          <w:p w14:paraId="22DFD307" w14:textId="77777777" w:rsidR="00CF5712" w:rsidRPr="003872CA" w:rsidRDefault="00CF5712" w:rsidP="00304B2F">
            <w:pPr>
              <w:rPr>
                <w:rFonts w:ascii="Times New Roman" w:hAnsi="Times New Roman" w:cs="Times New Roman"/>
                <w:sz w:val="20"/>
                <w:szCs w:val="20"/>
              </w:rPr>
            </w:pPr>
            <w:r w:rsidRPr="003872CA">
              <w:rPr>
                <w:rFonts w:ascii="Times New Roman" w:hAnsi="Times New Roman" w:cs="Times New Roman"/>
                <w:sz w:val="20"/>
                <w:szCs w:val="20"/>
              </w:rPr>
              <w:t>Scoring Criteria;</w:t>
            </w:r>
          </w:p>
          <w:p w14:paraId="7FAF8822" w14:textId="77777777" w:rsidR="00CF5712" w:rsidRPr="003872CA" w:rsidRDefault="00CF5712" w:rsidP="00304B2F">
            <w:pPr>
              <w:rPr>
                <w:rFonts w:ascii="Times New Roman" w:hAnsi="Times New Roman" w:cs="Times New Roman"/>
                <w:sz w:val="20"/>
                <w:szCs w:val="20"/>
              </w:rPr>
            </w:pPr>
            <w:r w:rsidRPr="003872CA">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14:paraId="0C068354" w14:textId="77777777" w:rsidR="00CF5712" w:rsidRPr="000179D3" w:rsidRDefault="00CF5712" w:rsidP="000179D3">
            <w:pPr>
              <w:textAlignment w:val="baseline"/>
              <w:rPr>
                <w:rFonts w:ascii="Times New Roman" w:eastAsia="Times New Roman" w:hAnsi="Times New Roman" w:cs="Times New Roman"/>
                <w:sz w:val="20"/>
                <w:szCs w:val="20"/>
              </w:rPr>
            </w:pPr>
            <w:r w:rsidRPr="000179D3">
              <w:rPr>
                <w:rFonts w:ascii="Times New Roman" w:eastAsia="Times New Roman" w:hAnsi="Times New Roman" w:cs="Times New Roman"/>
                <w:b/>
                <w:bCs/>
                <w:sz w:val="20"/>
                <w:szCs w:val="20"/>
              </w:rPr>
              <w:t>Question</w:t>
            </w:r>
            <w:r w:rsidRPr="000179D3">
              <w:rPr>
                <w:rFonts w:ascii="Times New Roman" w:eastAsia="Times New Roman" w:hAnsi="Times New Roman" w:cs="Times New Roman"/>
                <w:sz w:val="20"/>
                <w:szCs w:val="20"/>
              </w:rPr>
              <w:t>: Q22_0503_01b </w:t>
            </w:r>
          </w:p>
          <w:p w14:paraId="70E8F478" w14:textId="77777777" w:rsidR="00CF5712" w:rsidRPr="000179D3" w:rsidRDefault="00CF5712" w:rsidP="000179D3">
            <w:pPr>
              <w:textAlignment w:val="baseline"/>
              <w:rPr>
                <w:rFonts w:ascii="Times New Roman" w:eastAsia="Times New Roman" w:hAnsi="Times New Roman" w:cs="Times New Roman"/>
                <w:sz w:val="20"/>
                <w:szCs w:val="20"/>
              </w:rPr>
            </w:pPr>
            <w:r w:rsidRPr="000179D3">
              <w:rPr>
                <w:rFonts w:ascii="Times New Roman" w:eastAsia="Times New Roman" w:hAnsi="Times New Roman" w:cs="Times New Roman"/>
                <w:color w:val="000000"/>
                <w:sz w:val="20"/>
                <w:szCs w:val="20"/>
              </w:rPr>
              <w:t>Does a chiropractic clinic qualify as a medical care provider? Our site is serving seniors and we believe the clinic will certainly address some of their medical needs, but we wanted to confirm. </w:t>
            </w:r>
          </w:p>
          <w:p w14:paraId="33F7A052" w14:textId="77777777" w:rsidR="00CF5712" w:rsidRPr="000179D3" w:rsidRDefault="00CF5712" w:rsidP="000179D3">
            <w:pPr>
              <w:textAlignment w:val="baseline"/>
              <w:rPr>
                <w:rFonts w:ascii="Times New Roman" w:eastAsia="Times New Roman" w:hAnsi="Times New Roman" w:cs="Times New Roman"/>
                <w:sz w:val="20"/>
                <w:szCs w:val="20"/>
              </w:rPr>
            </w:pPr>
            <w:r w:rsidRPr="000179D3">
              <w:rPr>
                <w:rFonts w:ascii="Times New Roman" w:eastAsia="Times New Roman" w:hAnsi="Times New Roman" w:cs="Times New Roman"/>
                <w:color w:val="000000"/>
                <w:sz w:val="20"/>
                <w:szCs w:val="20"/>
              </w:rPr>
              <w:t> </w:t>
            </w:r>
          </w:p>
          <w:p w14:paraId="3DCE4607" w14:textId="77777777" w:rsidR="00CF5712" w:rsidRPr="000179D3" w:rsidRDefault="00CF5712" w:rsidP="000179D3">
            <w:pPr>
              <w:textAlignment w:val="baseline"/>
              <w:rPr>
                <w:rFonts w:ascii="Times New Roman" w:eastAsia="Times New Roman" w:hAnsi="Times New Roman" w:cs="Times New Roman"/>
                <w:sz w:val="20"/>
                <w:szCs w:val="20"/>
              </w:rPr>
            </w:pPr>
            <w:r w:rsidRPr="000179D3">
              <w:rPr>
                <w:rFonts w:ascii="Times New Roman" w:eastAsia="Times New Roman" w:hAnsi="Times New Roman" w:cs="Times New Roman"/>
                <w:b/>
                <w:bCs/>
                <w:sz w:val="20"/>
                <w:szCs w:val="20"/>
              </w:rPr>
              <w:t>Answer</w:t>
            </w:r>
            <w:r w:rsidRPr="000179D3">
              <w:rPr>
                <w:rFonts w:ascii="Times New Roman" w:eastAsia="Times New Roman" w:hAnsi="Times New Roman" w:cs="Times New Roman"/>
                <w:sz w:val="20"/>
                <w:szCs w:val="20"/>
              </w:rPr>
              <w:t>:  </w:t>
            </w:r>
          </w:p>
          <w:p w14:paraId="2D614506" w14:textId="77777777" w:rsidR="00CF5712" w:rsidRPr="000179D3" w:rsidRDefault="00CF5712" w:rsidP="000179D3">
            <w:pPr>
              <w:textAlignment w:val="baseline"/>
              <w:rPr>
                <w:rFonts w:ascii="Times New Roman" w:eastAsia="Times New Roman" w:hAnsi="Times New Roman" w:cs="Times New Roman"/>
                <w:sz w:val="20"/>
                <w:szCs w:val="20"/>
              </w:rPr>
            </w:pPr>
            <w:r w:rsidRPr="000179D3">
              <w:rPr>
                <w:rFonts w:ascii="Times New Roman" w:eastAsia="Times New Roman" w:hAnsi="Times New Roman" w:cs="Times New Roman"/>
                <w:sz w:val="20"/>
                <w:szCs w:val="20"/>
              </w:rPr>
              <w:t>This question pertains to where</w:t>
            </w:r>
            <w:r w:rsidRPr="000179D3">
              <w:rPr>
                <w:rFonts w:ascii="Times New Roman" w:eastAsia="Times New Roman" w:hAnsi="Times New Roman" w:cs="Times New Roman"/>
                <w:b/>
                <w:bCs/>
                <w:sz w:val="20"/>
                <w:szCs w:val="20"/>
              </w:rPr>
              <w:t xml:space="preserve"> (Scoring Criteria) Desirable/Undesirable Activities</w:t>
            </w:r>
            <w:r w:rsidRPr="000179D3">
              <w:rPr>
                <w:rFonts w:ascii="Times New Roman" w:eastAsia="Times New Roman" w:hAnsi="Times New Roman" w:cs="Times New Roman"/>
                <w:sz w:val="20"/>
                <w:szCs w:val="20"/>
              </w:rPr>
              <w:t xml:space="preserve">, subsection </w:t>
            </w:r>
            <w:r w:rsidRPr="000179D3">
              <w:rPr>
                <w:rFonts w:ascii="Times New Roman" w:eastAsia="Times New Roman" w:hAnsi="Times New Roman" w:cs="Times New Roman"/>
                <w:b/>
                <w:bCs/>
                <w:sz w:val="20"/>
                <w:szCs w:val="20"/>
              </w:rPr>
              <w:t>A. Desirable Activities</w:t>
            </w:r>
            <w:r w:rsidRPr="000179D3">
              <w:rPr>
                <w:rFonts w:ascii="Times New Roman" w:eastAsia="Times New Roman" w:hAnsi="Times New Roman" w:cs="Times New Roman"/>
                <w:sz w:val="20"/>
                <w:szCs w:val="20"/>
              </w:rPr>
              <w:t xml:space="preserve"> lists “Medical care provider (e.g. clinic, physician/dental office)” as an option under “Medical Care.” </w:t>
            </w:r>
          </w:p>
          <w:p w14:paraId="07A1BFCA" w14:textId="51979D32" w:rsidR="00CF5712" w:rsidRPr="000179D3" w:rsidRDefault="00CF5712" w:rsidP="000179D3">
            <w:pPr>
              <w:textAlignment w:val="baseline"/>
              <w:rPr>
                <w:rFonts w:ascii="Times New Roman" w:eastAsia="Times New Roman" w:hAnsi="Times New Roman" w:cs="Times New Roman"/>
                <w:sz w:val="20"/>
                <w:szCs w:val="20"/>
              </w:rPr>
            </w:pPr>
            <w:r w:rsidRPr="000179D3">
              <w:rPr>
                <w:rFonts w:ascii="Times New Roman" w:eastAsia="Times New Roman" w:hAnsi="Times New Roman" w:cs="Times New Roman"/>
                <w:sz w:val="20"/>
                <w:szCs w:val="20"/>
              </w:rPr>
              <w:t>Health care professions that are licensed under the Georgia Medical Board or a board associated with the Secretary of State will qualify (</w:t>
            </w:r>
            <w:hyperlink r:id="rId17" w:tgtFrame="_blank" w:history="1">
              <w:r w:rsidRPr="000179D3">
                <w:rPr>
                  <w:rFonts w:ascii="Times New Roman" w:eastAsia="Times New Roman" w:hAnsi="Times New Roman" w:cs="Times New Roman"/>
                  <w:color w:val="0563C1"/>
                  <w:sz w:val="20"/>
                  <w:szCs w:val="20"/>
                  <w:u w:val="single"/>
                </w:rPr>
                <w:t>click here</w:t>
              </w:r>
            </w:hyperlink>
            <w:r w:rsidRPr="000179D3">
              <w:rPr>
                <w:rFonts w:ascii="Times New Roman" w:eastAsia="Times New Roman" w:hAnsi="Times New Roman" w:cs="Times New Roman"/>
                <w:sz w:val="20"/>
                <w:szCs w:val="20"/>
              </w:rPr>
              <w:t xml:space="preserve"> to view health care professions licensed under each). This list is intended to be a safe harbor, not all encompassing, for purposes of this Desirable Activities option.  </w:t>
            </w:r>
            <w:r w:rsidR="004A5609">
              <w:rPr>
                <w:rFonts w:ascii="Times New Roman" w:eastAsia="Times New Roman" w:hAnsi="Times New Roman" w:cs="Times New Roman"/>
                <w:sz w:val="20"/>
                <w:szCs w:val="20"/>
              </w:rPr>
              <w:br/>
            </w:r>
          </w:p>
          <w:p w14:paraId="63475C3B" w14:textId="2FB93A7C" w:rsidR="00CF5712" w:rsidRPr="000179D3" w:rsidRDefault="00CF5712" w:rsidP="000179D3">
            <w:pPr>
              <w:textAlignment w:val="baseline"/>
              <w:rPr>
                <w:rFonts w:ascii="Times New Roman" w:eastAsia="Times New Roman" w:hAnsi="Times New Roman" w:cs="Times New Roman"/>
                <w:sz w:val="20"/>
                <w:szCs w:val="20"/>
              </w:rPr>
            </w:pPr>
            <w:r w:rsidRPr="000179D3">
              <w:rPr>
                <w:rFonts w:ascii="Times New Roman" w:eastAsia="Times New Roman" w:hAnsi="Times New Roman" w:cs="Times New Roman"/>
                <w:sz w:val="20"/>
                <w:szCs w:val="20"/>
              </w:rPr>
              <w:t>“Chiropractors” is on the Secretary of State list, so a chiropractic clinic would qualify.  </w:t>
            </w:r>
            <w:r w:rsidR="00A34EBF">
              <w:rPr>
                <w:rFonts w:ascii="Times New Roman" w:eastAsia="Times New Roman" w:hAnsi="Times New Roman" w:cs="Times New Roman"/>
                <w:sz w:val="20"/>
                <w:szCs w:val="20"/>
              </w:rPr>
              <w:br/>
            </w:r>
          </w:p>
          <w:p w14:paraId="43AA37F2" w14:textId="03F89542" w:rsidR="00CF5712" w:rsidRPr="003872CA" w:rsidRDefault="00CF5712" w:rsidP="000179D3">
            <w:pPr>
              <w:textAlignment w:val="baseline"/>
              <w:rPr>
                <w:rStyle w:val="normaltextrun"/>
                <w:rFonts w:ascii="Times New Roman" w:eastAsia="Times New Roman" w:hAnsi="Times New Roman" w:cs="Times New Roman"/>
                <w:sz w:val="20"/>
                <w:szCs w:val="20"/>
              </w:rPr>
            </w:pPr>
            <w:r w:rsidRPr="000179D3">
              <w:rPr>
                <w:rFonts w:ascii="Times New Roman" w:eastAsia="Times New Roman" w:hAnsi="Times New Roman" w:cs="Times New Roman"/>
                <w:sz w:val="20"/>
                <w:szCs w:val="20"/>
              </w:rPr>
              <w:t>Please note that the QAP uses the term “clinic” under this option, and thus an establishment associated with a profession on the above list</w:t>
            </w:r>
            <w:r w:rsidR="00991AF3">
              <w:rPr>
                <w:rFonts w:ascii="Times New Roman" w:eastAsia="Times New Roman" w:hAnsi="Times New Roman" w:cs="Times New Roman"/>
                <w:sz w:val="20"/>
                <w:szCs w:val="20"/>
              </w:rPr>
              <w:t>s</w:t>
            </w:r>
            <w:r w:rsidRPr="000179D3">
              <w:rPr>
                <w:rFonts w:ascii="Times New Roman" w:eastAsia="Times New Roman" w:hAnsi="Times New Roman" w:cs="Times New Roman"/>
                <w:sz w:val="20"/>
                <w:szCs w:val="20"/>
              </w:rPr>
              <w:t xml:space="preserve"> would only qualify if it </w:t>
            </w:r>
            <w:proofErr w:type="gramStart"/>
            <w:r w:rsidRPr="000179D3">
              <w:rPr>
                <w:rFonts w:ascii="Times New Roman" w:eastAsia="Times New Roman" w:hAnsi="Times New Roman" w:cs="Times New Roman"/>
                <w:sz w:val="20"/>
                <w:szCs w:val="20"/>
              </w:rPr>
              <w:t>is</w:t>
            </w:r>
            <w:proofErr w:type="gramEnd"/>
            <w:r w:rsidRPr="000179D3">
              <w:rPr>
                <w:rFonts w:ascii="Times New Roman" w:eastAsia="Times New Roman" w:hAnsi="Times New Roman" w:cs="Times New Roman"/>
                <w:sz w:val="20"/>
                <w:szCs w:val="20"/>
              </w:rPr>
              <w:t xml:space="preserve"> accessible by residents directly for health care services. For example, an emergency medical technicians training facility would not qualify, even though the profession is on the above-referenced list.</w:t>
            </w:r>
          </w:p>
        </w:tc>
      </w:tr>
      <w:tr w:rsidR="00CF5712" w:rsidRPr="003872CA" w14:paraId="605A23DB" w14:textId="77777777" w:rsidTr="1995616E">
        <w:trPr>
          <w:jc w:val="center"/>
        </w:trPr>
        <w:tc>
          <w:tcPr>
            <w:tcW w:w="2157" w:type="dxa"/>
            <w:shd w:val="clear" w:color="auto" w:fill="auto"/>
            <w:tcMar>
              <w:top w:w="72" w:type="dxa"/>
              <w:left w:w="115" w:type="dxa"/>
              <w:bottom w:w="72" w:type="dxa"/>
              <w:right w:w="115" w:type="dxa"/>
            </w:tcMar>
            <w:vAlign w:val="center"/>
          </w:tcPr>
          <w:p w14:paraId="1D2777EA" w14:textId="0BA478BA" w:rsidR="00CF5712" w:rsidRPr="003872CA" w:rsidRDefault="006B7E0B" w:rsidP="00304B2F">
            <w:pPr>
              <w:rPr>
                <w:rFonts w:ascii="Times New Roman" w:hAnsi="Times New Roman" w:cs="Times New Roman"/>
                <w:noProof/>
                <w:sz w:val="20"/>
                <w:szCs w:val="20"/>
              </w:rPr>
            </w:pPr>
            <w:r>
              <w:rPr>
                <w:rFonts w:ascii="Times New Roman" w:hAnsi="Times New Roman" w:cs="Times New Roman"/>
                <w:noProof/>
                <w:sz w:val="20"/>
                <w:szCs w:val="20"/>
              </w:rPr>
              <w:t>5/19</w:t>
            </w:r>
            <w:r w:rsidR="00CF5712">
              <w:rPr>
                <w:rFonts w:ascii="Times New Roman" w:hAnsi="Times New Roman" w:cs="Times New Roman"/>
                <w:noProof/>
                <w:sz w:val="20"/>
                <w:szCs w:val="20"/>
              </w:rPr>
              <w:t>/22</w:t>
            </w:r>
          </w:p>
        </w:tc>
        <w:tc>
          <w:tcPr>
            <w:tcW w:w="2198" w:type="dxa"/>
            <w:shd w:val="clear" w:color="auto" w:fill="auto"/>
            <w:tcMar>
              <w:top w:w="72" w:type="dxa"/>
              <w:left w:w="115" w:type="dxa"/>
              <w:bottom w:w="72" w:type="dxa"/>
              <w:right w:w="115" w:type="dxa"/>
            </w:tcMar>
            <w:vAlign w:val="center"/>
          </w:tcPr>
          <w:p w14:paraId="0E30063B" w14:textId="77777777" w:rsidR="00CF5712" w:rsidRPr="003872CA" w:rsidRDefault="00CF5712" w:rsidP="00304B2F">
            <w:pPr>
              <w:rPr>
                <w:rFonts w:ascii="Times New Roman" w:hAnsi="Times New Roman" w:cs="Times New Roman"/>
                <w:sz w:val="20"/>
                <w:szCs w:val="20"/>
              </w:rPr>
            </w:pPr>
            <w:r w:rsidRPr="003872CA">
              <w:rPr>
                <w:rFonts w:ascii="Times New Roman" w:hAnsi="Times New Roman" w:cs="Times New Roman"/>
                <w:sz w:val="20"/>
                <w:szCs w:val="20"/>
              </w:rPr>
              <w:t>3.16</w:t>
            </w:r>
          </w:p>
          <w:p w14:paraId="636BBE14" w14:textId="77777777" w:rsidR="00CF5712" w:rsidRPr="003872CA" w:rsidRDefault="00CF5712" w:rsidP="00304B2F">
            <w:pPr>
              <w:rPr>
                <w:rFonts w:ascii="Times New Roman" w:hAnsi="Times New Roman" w:cs="Times New Roman"/>
                <w:sz w:val="20"/>
                <w:szCs w:val="20"/>
              </w:rPr>
            </w:pPr>
            <w:r w:rsidRPr="003872CA">
              <w:rPr>
                <w:rFonts w:ascii="Times New Roman" w:hAnsi="Times New Roman" w:cs="Times New Roman"/>
                <w:sz w:val="20"/>
                <w:szCs w:val="20"/>
              </w:rPr>
              <w:t>Scoring Criteria;</w:t>
            </w:r>
          </w:p>
          <w:p w14:paraId="3767EB65" w14:textId="77777777" w:rsidR="00CF5712" w:rsidRPr="003872CA" w:rsidRDefault="00CF5712" w:rsidP="00304B2F">
            <w:pPr>
              <w:rPr>
                <w:rFonts w:ascii="Times New Roman" w:hAnsi="Times New Roman" w:cs="Times New Roman"/>
                <w:sz w:val="20"/>
                <w:szCs w:val="20"/>
              </w:rPr>
            </w:pPr>
            <w:r w:rsidRPr="003872CA">
              <w:rPr>
                <w:rFonts w:ascii="Times New Roman" w:hAnsi="Times New Roman" w:cs="Times New Roman"/>
                <w:sz w:val="20"/>
                <w:szCs w:val="20"/>
              </w:rPr>
              <w:t>Internet Access</w:t>
            </w:r>
          </w:p>
        </w:tc>
        <w:tc>
          <w:tcPr>
            <w:tcW w:w="9590" w:type="dxa"/>
            <w:shd w:val="clear" w:color="auto" w:fill="auto"/>
            <w:tcMar>
              <w:top w:w="72" w:type="dxa"/>
              <w:left w:w="115" w:type="dxa"/>
              <w:bottom w:w="72" w:type="dxa"/>
              <w:right w:w="115" w:type="dxa"/>
            </w:tcMar>
            <w:vAlign w:val="center"/>
          </w:tcPr>
          <w:p w14:paraId="28BE4B46" w14:textId="77777777" w:rsidR="00CF5712" w:rsidRPr="003872CA" w:rsidRDefault="00CF5712" w:rsidP="000179D3">
            <w:pPr>
              <w:pStyle w:val="paragraph"/>
              <w:spacing w:before="0" w:beforeAutospacing="0" w:after="0" w:afterAutospacing="0"/>
              <w:textAlignment w:val="baseline"/>
              <w:rPr>
                <w:sz w:val="20"/>
                <w:szCs w:val="20"/>
              </w:rPr>
            </w:pPr>
            <w:r w:rsidRPr="003872CA">
              <w:rPr>
                <w:rStyle w:val="normaltextrun"/>
                <w:b/>
                <w:bCs/>
                <w:sz w:val="20"/>
                <w:szCs w:val="20"/>
              </w:rPr>
              <w:t>Question</w:t>
            </w:r>
            <w:r w:rsidRPr="003872CA">
              <w:rPr>
                <w:rStyle w:val="normaltextrun"/>
                <w:sz w:val="20"/>
                <w:szCs w:val="20"/>
              </w:rPr>
              <w:t>: Q22_0317_01 </w:t>
            </w:r>
            <w:r w:rsidRPr="003872CA">
              <w:rPr>
                <w:rStyle w:val="eop"/>
                <w:sz w:val="20"/>
                <w:szCs w:val="20"/>
              </w:rPr>
              <w:t> </w:t>
            </w:r>
          </w:p>
          <w:p w14:paraId="275A7E25" w14:textId="77777777" w:rsidR="00CF5712" w:rsidRPr="003872CA" w:rsidRDefault="00CF5712" w:rsidP="000179D3">
            <w:pPr>
              <w:pStyle w:val="paragraph"/>
              <w:spacing w:before="0" w:beforeAutospacing="0" w:after="0" w:afterAutospacing="0"/>
              <w:textAlignment w:val="baseline"/>
              <w:rPr>
                <w:sz w:val="20"/>
                <w:szCs w:val="20"/>
              </w:rPr>
            </w:pPr>
            <w:r w:rsidRPr="003872CA">
              <w:rPr>
                <w:rStyle w:val="normaltextrun"/>
                <w:color w:val="000000"/>
                <w:sz w:val="20"/>
                <w:szCs w:val="20"/>
              </w:rPr>
              <w:t xml:space="preserve">In the section </w:t>
            </w:r>
            <w:r w:rsidRPr="003872CA">
              <w:rPr>
                <w:rStyle w:val="normaltextrun"/>
                <w:b/>
                <w:bCs/>
                <w:color w:val="000000"/>
                <w:sz w:val="20"/>
                <w:szCs w:val="20"/>
              </w:rPr>
              <w:t>(Scoring) Internet Access</w:t>
            </w:r>
            <w:r w:rsidRPr="003872CA">
              <w:rPr>
                <w:rStyle w:val="normaltextrun"/>
                <w:color w:val="000000"/>
                <w:sz w:val="20"/>
                <w:szCs w:val="20"/>
              </w:rPr>
              <w:t xml:space="preserve">, it states that 1 point could be awarded for high-speed internet/broadband service for each unit or 2 points for high-speed internet/broadband service for each unit if the service will be Wi-Fi. Does this mean that each unit </w:t>
            </w:r>
            <w:r w:rsidRPr="003872CA">
              <w:rPr>
                <w:rStyle w:val="advancedproofingissue"/>
                <w:rFonts w:eastAsiaTheme="majorEastAsia"/>
                <w:color w:val="000000"/>
                <w:sz w:val="20"/>
                <w:szCs w:val="20"/>
              </w:rPr>
              <w:t>has to</w:t>
            </w:r>
            <w:r w:rsidRPr="003872CA">
              <w:rPr>
                <w:rStyle w:val="normaltextrun"/>
                <w:color w:val="000000"/>
                <w:sz w:val="20"/>
                <w:szCs w:val="20"/>
              </w:rPr>
              <w:t xml:space="preserve"> be wired for the capability to access free high-speed internet/broadband or </w:t>
            </w:r>
            <w:proofErr w:type="spellStart"/>
            <w:r w:rsidRPr="003872CA">
              <w:rPr>
                <w:rStyle w:val="spellingerror"/>
                <w:rFonts w:eastAsiaTheme="majorEastAsia"/>
                <w:color w:val="000000"/>
                <w:sz w:val="20"/>
                <w:szCs w:val="20"/>
              </w:rPr>
              <w:t>WiFi</w:t>
            </w:r>
            <w:proofErr w:type="spellEnd"/>
            <w:r w:rsidRPr="003872CA">
              <w:rPr>
                <w:rStyle w:val="normaltextrun"/>
                <w:color w:val="000000"/>
                <w:sz w:val="20"/>
                <w:szCs w:val="20"/>
              </w:rPr>
              <w:t>? Please provide the specifications for what is expected out of this scoring item. </w:t>
            </w:r>
            <w:r w:rsidRPr="003872CA">
              <w:rPr>
                <w:rStyle w:val="eop"/>
                <w:color w:val="000000"/>
                <w:sz w:val="20"/>
                <w:szCs w:val="20"/>
              </w:rPr>
              <w:t> </w:t>
            </w:r>
          </w:p>
          <w:p w14:paraId="55A61061" w14:textId="77777777" w:rsidR="00CF5712" w:rsidRPr="003872CA" w:rsidRDefault="00CF5712" w:rsidP="000179D3">
            <w:pPr>
              <w:pStyle w:val="paragraph"/>
              <w:spacing w:before="0" w:beforeAutospacing="0" w:after="0" w:afterAutospacing="0"/>
              <w:textAlignment w:val="baseline"/>
              <w:rPr>
                <w:sz w:val="20"/>
                <w:szCs w:val="20"/>
              </w:rPr>
            </w:pPr>
            <w:r w:rsidRPr="003872CA">
              <w:rPr>
                <w:rStyle w:val="eop"/>
                <w:sz w:val="20"/>
                <w:szCs w:val="20"/>
              </w:rPr>
              <w:t> </w:t>
            </w:r>
          </w:p>
          <w:p w14:paraId="5ECF4941" w14:textId="77777777" w:rsidR="00CF5712" w:rsidRPr="003872CA" w:rsidRDefault="00CF5712" w:rsidP="000179D3">
            <w:pPr>
              <w:pStyle w:val="paragraph"/>
              <w:spacing w:before="0" w:beforeAutospacing="0" w:after="0" w:afterAutospacing="0"/>
              <w:textAlignment w:val="baseline"/>
              <w:rPr>
                <w:sz w:val="20"/>
                <w:szCs w:val="20"/>
              </w:rPr>
            </w:pPr>
            <w:r w:rsidRPr="003872CA">
              <w:rPr>
                <w:rStyle w:val="normaltextrun"/>
                <w:b/>
                <w:bCs/>
                <w:sz w:val="20"/>
                <w:szCs w:val="20"/>
              </w:rPr>
              <w:t>Answer</w:t>
            </w:r>
            <w:r w:rsidRPr="003872CA">
              <w:rPr>
                <w:rStyle w:val="normaltextrun"/>
                <w:sz w:val="20"/>
                <w:szCs w:val="20"/>
              </w:rPr>
              <w:t>: </w:t>
            </w:r>
            <w:r w:rsidRPr="003872CA">
              <w:rPr>
                <w:rStyle w:val="eop"/>
                <w:sz w:val="20"/>
                <w:szCs w:val="20"/>
              </w:rPr>
              <w:t> </w:t>
            </w:r>
          </w:p>
          <w:p w14:paraId="513A31A8" w14:textId="77777777" w:rsidR="00CF5712" w:rsidRPr="003872CA" w:rsidRDefault="00CF5712" w:rsidP="000179D3">
            <w:pPr>
              <w:pStyle w:val="paragraph"/>
              <w:spacing w:before="0" w:beforeAutospacing="0" w:after="0" w:afterAutospacing="0"/>
              <w:textAlignment w:val="baseline"/>
              <w:rPr>
                <w:sz w:val="20"/>
                <w:szCs w:val="20"/>
              </w:rPr>
            </w:pPr>
            <w:r w:rsidRPr="003872CA">
              <w:rPr>
                <w:rStyle w:val="normaltextrun"/>
                <w:sz w:val="20"/>
                <w:szCs w:val="20"/>
              </w:rPr>
              <w:t xml:space="preserve">Applicants claiming points in this section are making a commitment to fully subsidize the cost of high-speed internet/broadband service for residents in all units, which is defined in </w:t>
            </w:r>
            <w:r w:rsidRPr="003872CA">
              <w:rPr>
                <w:rStyle w:val="normaltextrun"/>
                <w:b/>
                <w:bCs/>
                <w:sz w:val="20"/>
                <w:szCs w:val="20"/>
              </w:rPr>
              <w:t>(Threshold) Architectural Design and Quality Standards</w:t>
            </w:r>
            <w:r w:rsidRPr="003872CA">
              <w:rPr>
                <w:rStyle w:val="normaltextrun"/>
                <w:sz w:val="20"/>
                <w:szCs w:val="20"/>
              </w:rPr>
              <w:t xml:space="preserve"> as having “the capability to transmit at a rate of not less than 25 megabits per second in the downstream direction and at least 3 megabits per second in the upstream direction to end users.” </w:t>
            </w:r>
            <w:r w:rsidRPr="003872CA">
              <w:rPr>
                <w:rStyle w:val="scxw158413129"/>
                <w:sz w:val="20"/>
                <w:szCs w:val="20"/>
              </w:rPr>
              <w:t> </w:t>
            </w:r>
            <w:r w:rsidRPr="003872CA">
              <w:rPr>
                <w:sz w:val="20"/>
                <w:szCs w:val="20"/>
              </w:rPr>
              <w:br/>
            </w:r>
            <w:r w:rsidRPr="003872CA">
              <w:rPr>
                <w:rStyle w:val="eop"/>
                <w:sz w:val="20"/>
                <w:szCs w:val="20"/>
              </w:rPr>
              <w:t> </w:t>
            </w:r>
          </w:p>
          <w:p w14:paraId="408FDB37" w14:textId="77777777" w:rsidR="00CF5712" w:rsidRPr="003872CA" w:rsidRDefault="00CF5712" w:rsidP="000179D3">
            <w:pPr>
              <w:pStyle w:val="paragraph"/>
              <w:spacing w:before="0" w:beforeAutospacing="0" w:after="0" w:afterAutospacing="0"/>
              <w:textAlignment w:val="baseline"/>
              <w:rPr>
                <w:sz w:val="20"/>
                <w:szCs w:val="20"/>
              </w:rPr>
            </w:pPr>
            <w:r w:rsidRPr="003872CA">
              <w:rPr>
                <w:rStyle w:val="normaltextrun"/>
                <w:sz w:val="20"/>
                <w:szCs w:val="20"/>
              </w:rPr>
              <w:t>This requires applicants to:</w:t>
            </w:r>
            <w:r w:rsidRPr="003872CA">
              <w:rPr>
                <w:rStyle w:val="scxw158413129"/>
                <w:sz w:val="20"/>
                <w:szCs w:val="20"/>
              </w:rPr>
              <w:t> </w:t>
            </w:r>
            <w:r w:rsidRPr="003872CA">
              <w:rPr>
                <w:sz w:val="20"/>
                <w:szCs w:val="20"/>
              </w:rPr>
              <w:br/>
            </w:r>
            <w:r w:rsidRPr="003872CA">
              <w:rPr>
                <w:rStyle w:val="eop"/>
                <w:sz w:val="20"/>
                <w:szCs w:val="20"/>
              </w:rPr>
              <w:t> </w:t>
            </w:r>
          </w:p>
          <w:p w14:paraId="69D99702" w14:textId="77777777" w:rsidR="00CF5712" w:rsidRPr="003872CA" w:rsidRDefault="00CF5712" w:rsidP="000179D3">
            <w:pPr>
              <w:pStyle w:val="paragraph"/>
              <w:numPr>
                <w:ilvl w:val="0"/>
                <w:numId w:val="53"/>
              </w:numPr>
              <w:spacing w:before="0" w:beforeAutospacing="0" w:after="0" w:afterAutospacing="0"/>
              <w:ind w:left="1080" w:firstLine="0"/>
              <w:textAlignment w:val="baseline"/>
              <w:rPr>
                <w:rFonts w:eastAsia="MS Mincho"/>
                <w:sz w:val="20"/>
                <w:szCs w:val="20"/>
              </w:rPr>
            </w:pPr>
            <w:r w:rsidRPr="003872CA">
              <w:rPr>
                <w:rStyle w:val="normaltextrun"/>
                <w:rFonts w:eastAsia="MS Mincho"/>
                <w:sz w:val="20"/>
                <w:szCs w:val="20"/>
              </w:rPr>
              <w:t>Ensure each unit has the capability to access high-speed internet/broadband service (Wi-Fi if claiming 2 points); and </w:t>
            </w:r>
            <w:r w:rsidRPr="003872CA">
              <w:rPr>
                <w:rStyle w:val="eop"/>
                <w:rFonts w:eastAsia="MS Mincho"/>
                <w:sz w:val="20"/>
                <w:szCs w:val="20"/>
              </w:rPr>
              <w:t> </w:t>
            </w:r>
          </w:p>
          <w:p w14:paraId="5B83133F" w14:textId="77777777" w:rsidR="00CF5712" w:rsidRPr="003872CA" w:rsidRDefault="00CF5712" w:rsidP="000179D3">
            <w:pPr>
              <w:pStyle w:val="paragraph"/>
              <w:numPr>
                <w:ilvl w:val="0"/>
                <w:numId w:val="54"/>
              </w:numPr>
              <w:spacing w:before="0" w:beforeAutospacing="0" w:after="0" w:afterAutospacing="0"/>
              <w:ind w:left="1080" w:firstLine="0"/>
              <w:textAlignment w:val="baseline"/>
              <w:rPr>
                <w:sz w:val="20"/>
                <w:szCs w:val="20"/>
              </w:rPr>
            </w:pPr>
            <w:r w:rsidRPr="003872CA">
              <w:rPr>
                <w:rStyle w:val="normaltextrun"/>
                <w:sz w:val="20"/>
                <w:szCs w:val="20"/>
              </w:rPr>
              <w:lastRenderedPageBreak/>
              <w:t>Pay for the operating costs of residents having free access to high-speed internet/broadband service in each unit.</w:t>
            </w:r>
            <w:r w:rsidRPr="003872CA">
              <w:rPr>
                <w:rStyle w:val="eop"/>
                <w:sz w:val="20"/>
                <w:szCs w:val="20"/>
              </w:rPr>
              <w:t> </w:t>
            </w:r>
          </w:p>
          <w:p w14:paraId="4E864AD3" w14:textId="77777777" w:rsidR="00CF5712" w:rsidRPr="003872CA" w:rsidRDefault="00CF5712" w:rsidP="000179D3">
            <w:pPr>
              <w:pStyle w:val="paragraph"/>
              <w:spacing w:before="0" w:beforeAutospacing="0" w:after="0" w:afterAutospacing="0"/>
              <w:textAlignment w:val="baseline"/>
              <w:rPr>
                <w:sz w:val="20"/>
                <w:szCs w:val="20"/>
              </w:rPr>
            </w:pPr>
            <w:r w:rsidRPr="003872CA">
              <w:rPr>
                <w:rStyle w:val="eop"/>
                <w:sz w:val="20"/>
                <w:szCs w:val="20"/>
              </w:rPr>
              <w:t> </w:t>
            </w:r>
          </w:p>
          <w:p w14:paraId="10F172EC" w14:textId="77777777" w:rsidR="00CF5712" w:rsidRPr="003872CA" w:rsidRDefault="00CF5712" w:rsidP="000179D3">
            <w:pPr>
              <w:pStyle w:val="paragraph"/>
              <w:spacing w:before="0" w:beforeAutospacing="0" w:after="0" w:afterAutospacing="0"/>
              <w:textAlignment w:val="baseline"/>
              <w:rPr>
                <w:sz w:val="20"/>
                <w:szCs w:val="20"/>
              </w:rPr>
            </w:pPr>
            <w:r w:rsidRPr="003872CA">
              <w:rPr>
                <w:rStyle w:val="normaltextrun"/>
                <w:sz w:val="20"/>
                <w:szCs w:val="20"/>
              </w:rPr>
              <w:t>The Core Application prompts applicants claiming points in this section as follows: </w:t>
            </w:r>
            <w:r w:rsidRPr="003872CA">
              <w:rPr>
                <w:rStyle w:val="eop"/>
                <w:sz w:val="20"/>
                <w:szCs w:val="20"/>
              </w:rPr>
              <w:t> </w:t>
            </w:r>
          </w:p>
          <w:p w14:paraId="19D27B4A" w14:textId="77777777" w:rsidR="00CF5712" w:rsidRPr="003872CA" w:rsidRDefault="00CF5712" w:rsidP="000179D3">
            <w:pPr>
              <w:pStyle w:val="paragraph"/>
              <w:spacing w:before="0" w:beforeAutospacing="0" w:after="0" w:afterAutospacing="0"/>
              <w:textAlignment w:val="baseline"/>
              <w:rPr>
                <w:sz w:val="20"/>
                <w:szCs w:val="20"/>
              </w:rPr>
            </w:pPr>
            <w:r w:rsidRPr="003872CA">
              <w:rPr>
                <w:rStyle w:val="eop"/>
                <w:sz w:val="20"/>
                <w:szCs w:val="20"/>
              </w:rPr>
              <w:t> </w:t>
            </w:r>
          </w:p>
          <w:p w14:paraId="3AD07829" w14:textId="77777777" w:rsidR="00CF5712" w:rsidRPr="003872CA" w:rsidRDefault="00CF5712" w:rsidP="000179D3">
            <w:pPr>
              <w:pStyle w:val="paragraph"/>
              <w:numPr>
                <w:ilvl w:val="0"/>
                <w:numId w:val="55"/>
              </w:numPr>
              <w:spacing w:before="0" w:beforeAutospacing="0" w:after="0" w:afterAutospacing="0"/>
              <w:ind w:left="1080" w:firstLine="0"/>
              <w:textAlignment w:val="baseline"/>
              <w:rPr>
                <w:sz w:val="20"/>
                <w:szCs w:val="20"/>
              </w:rPr>
            </w:pPr>
            <w:r w:rsidRPr="003872CA">
              <w:rPr>
                <w:rStyle w:val="normaltextrun"/>
                <w:sz w:val="20"/>
                <w:szCs w:val="20"/>
              </w:rPr>
              <w:t>Revenues &amp; Expenses tab: input the projected expenses of paying for internet </w:t>
            </w:r>
            <w:r w:rsidRPr="003872CA">
              <w:rPr>
                <w:rStyle w:val="eop"/>
                <w:sz w:val="20"/>
                <w:szCs w:val="20"/>
              </w:rPr>
              <w:t> </w:t>
            </w:r>
          </w:p>
          <w:p w14:paraId="6A9E9229" w14:textId="77777777" w:rsidR="00CF5712" w:rsidRPr="003872CA" w:rsidRDefault="00CF5712" w:rsidP="00980872">
            <w:pPr>
              <w:pStyle w:val="paragraph"/>
              <w:numPr>
                <w:ilvl w:val="0"/>
                <w:numId w:val="56"/>
              </w:numPr>
              <w:spacing w:before="0" w:beforeAutospacing="0" w:after="0" w:afterAutospacing="0"/>
              <w:ind w:left="1080" w:firstLine="0"/>
              <w:textAlignment w:val="baseline"/>
              <w:rPr>
                <w:rStyle w:val="normaltextrun"/>
                <w:sz w:val="20"/>
                <w:szCs w:val="20"/>
              </w:rPr>
            </w:pPr>
            <w:r w:rsidRPr="003872CA">
              <w:rPr>
                <w:rStyle w:val="normaltextrun"/>
                <w:sz w:val="20"/>
                <w:szCs w:val="20"/>
              </w:rPr>
              <w:t>Scoring Criteria tab: Describe how the estimate was derived and reference any supporting documentation</w:t>
            </w:r>
            <w:r w:rsidRPr="003872CA">
              <w:rPr>
                <w:rStyle w:val="eop"/>
                <w:sz w:val="20"/>
                <w:szCs w:val="20"/>
              </w:rPr>
              <w:t> </w:t>
            </w:r>
          </w:p>
        </w:tc>
      </w:tr>
      <w:tr w:rsidR="00CF5712" w:rsidRPr="003872CA" w14:paraId="3590F46C" w14:textId="77777777" w:rsidTr="1995616E">
        <w:trPr>
          <w:jc w:val="center"/>
        </w:trPr>
        <w:tc>
          <w:tcPr>
            <w:tcW w:w="2157" w:type="dxa"/>
            <w:shd w:val="clear" w:color="auto" w:fill="auto"/>
            <w:tcMar>
              <w:top w:w="72" w:type="dxa"/>
              <w:left w:w="115" w:type="dxa"/>
              <w:bottom w:w="72" w:type="dxa"/>
              <w:right w:w="115" w:type="dxa"/>
            </w:tcMar>
            <w:vAlign w:val="center"/>
          </w:tcPr>
          <w:p w14:paraId="7D1E7726" w14:textId="19F03F29" w:rsidR="00CF5712" w:rsidRPr="003872CA" w:rsidRDefault="006B7E0B" w:rsidP="00304B2F">
            <w:pPr>
              <w:rPr>
                <w:rFonts w:ascii="Times New Roman" w:hAnsi="Times New Roman" w:cs="Times New Roman"/>
                <w:noProof/>
                <w:sz w:val="20"/>
                <w:szCs w:val="20"/>
              </w:rPr>
            </w:pPr>
            <w:r>
              <w:rPr>
                <w:rFonts w:ascii="Times New Roman" w:hAnsi="Times New Roman" w:cs="Times New Roman"/>
                <w:noProof/>
                <w:sz w:val="20"/>
                <w:szCs w:val="20"/>
              </w:rPr>
              <w:lastRenderedPageBreak/>
              <w:t>5/19</w:t>
            </w:r>
            <w:r w:rsidR="00CF5712">
              <w:rPr>
                <w:rFonts w:ascii="Times New Roman" w:hAnsi="Times New Roman" w:cs="Times New Roman"/>
                <w:noProof/>
                <w:sz w:val="20"/>
                <w:szCs w:val="20"/>
              </w:rPr>
              <w:t>/22</w:t>
            </w:r>
          </w:p>
        </w:tc>
        <w:tc>
          <w:tcPr>
            <w:tcW w:w="2198" w:type="dxa"/>
            <w:shd w:val="clear" w:color="auto" w:fill="auto"/>
            <w:tcMar>
              <w:top w:w="72" w:type="dxa"/>
              <w:left w:w="115" w:type="dxa"/>
              <w:bottom w:w="72" w:type="dxa"/>
              <w:right w:w="115" w:type="dxa"/>
            </w:tcMar>
            <w:vAlign w:val="center"/>
          </w:tcPr>
          <w:p w14:paraId="14CDF0E8" w14:textId="77777777" w:rsidR="00CF5712" w:rsidRPr="003872CA" w:rsidRDefault="00CF5712" w:rsidP="00304B2F">
            <w:pPr>
              <w:rPr>
                <w:rFonts w:ascii="Times New Roman" w:hAnsi="Times New Roman" w:cs="Times New Roman"/>
                <w:sz w:val="20"/>
                <w:szCs w:val="20"/>
              </w:rPr>
            </w:pPr>
            <w:r w:rsidRPr="003872CA">
              <w:rPr>
                <w:rFonts w:ascii="Times New Roman" w:hAnsi="Times New Roman" w:cs="Times New Roman"/>
                <w:sz w:val="20"/>
                <w:szCs w:val="20"/>
              </w:rPr>
              <w:t>3.18</w:t>
            </w:r>
          </w:p>
          <w:p w14:paraId="3B9FB0C0" w14:textId="77777777" w:rsidR="00CF5712" w:rsidRPr="003872CA" w:rsidRDefault="00CF5712" w:rsidP="00304B2F">
            <w:pPr>
              <w:rPr>
                <w:rFonts w:ascii="Times New Roman" w:hAnsi="Times New Roman" w:cs="Times New Roman"/>
                <w:sz w:val="20"/>
                <w:szCs w:val="20"/>
              </w:rPr>
            </w:pPr>
            <w:r w:rsidRPr="003872CA">
              <w:rPr>
                <w:rFonts w:ascii="Times New Roman" w:hAnsi="Times New Roman" w:cs="Times New Roman"/>
                <w:sz w:val="20"/>
                <w:szCs w:val="20"/>
              </w:rPr>
              <w:t>Scoring Criteria;</w:t>
            </w:r>
          </w:p>
          <w:p w14:paraId="784C7FA0" w14:textId="77777777" w:rsidR="00CF5712" w:rsidRPr="003872CA" w:rsidRDefault="00CF5712" w:rsidP="00304B2F">
            <w:pPr>
              <w:rPr>
                <w:rFonts w:ascii="Times New Roman" w:hAnsi="Times New Roman" w:cs="Times New Roman"/>
                <w:sz w:val="20"/>
                <w:szCs w:val="20"/>
              </w:rPr>
            </w:pPr>
            <w:r w:rsidRPr="003872CA">
              <w:rPr>
                <w:rFonts w:ascii="Times New Roman" w:hAnsi="Times New Roman" w:cs="Times New Roman"/>
                <w:sz w:val="20"/>
                <w:szCs w:val="20"/>
              </w:rPr>
              <w:t>Enriched Property Services</w:t>
            </w:r>
          </w:p>
        </w:tc>
        <w:tc>
          <w:tcPr>
            <w:tcW w:w="9590" w:type="dxa"/>
            <w:shd w:val="clear" w:color="auto" w:fill="auto"/>
            <w:tcMar>
              <w:top w:w="72" w:type="dxa"/>
              <w:left w:w="115" w:type="dxa"/>
              <w:bottom w:w="72" w:type="dxa"/>
              <w:right w:w="115" w:type="dxa"/>
            </w:tcMar>
            <w:vAlign w:val="center"/>
          </w:tcPr>
          <w:p w14:paraId="29C92113" w14:textId="77777777" w:rsidR="00CF5712" w:rsidRPr="003872CA" w:rsidRDefault="00CF5712" w:rsidP="000179D3">
            <w:pPr>
              <w:pStyle w:val="paragraph"/>
              <w:spacing w:before="0" w:beforeAutospacing="0" w:after="0" w:afterAutospacing="0"/>
              <w:textAlignment w:val="baseline"/>
              <w:rPr>
                <w:sz w:val="20"/>
                <w:szCs w:val="20"/>
              </w:rPr>
            </w:pPr>
            <w:r w:rsidRPr="003872CA">
              <w:rPr>
                <w:rStyle w:val="normaltextrun"/>
                <w:b/>
                <w:bCs/>
                <w:sz w:val="20"/>
                <w:szCs w:val="20"/>
              </w:rPr>
              <w:t>Question</w:t>
            </w:r>
            <w:r w:rsidRPr="003872CA">
              <w:rPr>
                <w:rStyle w:val="normaltextrun"/>
                <w:sz w:val="20"/>
                <w:szCs w:val="20"/>
              </w:rPr>
              <w:t>: Q22_0503_02</w:t>
            </w:r>
            <w:r w:rsidRPr="003872CA">
              <w:rPr>
                <w:rStyle w:val="eop"/>
                <w:sz w:val="20"/>
                <w:szCs w:val="20"/>
              </w:rPr>
              <w:t> </w:t>
            </w:r>
          </w:p>
          <w:p w14:paraId="2406AACC" w14:textId="77777777" w:rsidR="00CF5712" w:rsidRPr="003872CA" w:rsidRDefault="00CF5712" w:rsidP="000179D3">
            <w:pPr>
              <w:pStyle w:val="paragraph"/>
              <w:spacing w:before="0" w:beforeAutospacing="0" w:after="0" w:afterAutospacing="0"/>
              <w:textAlignment w:val="baseline"/>
              <w:rPr>
                <w:sz w:val="20"/>
                <w:szCs w:val="20"/>
              </w:rPr>
            </w:pPr>
            <w:r w:rsidRPr="003872CA">
              <w:rPr>
                <w:rStyle w:val="normaltextrun"/>
                <w:color w:val="000000"/>
                <w:sz w:val="20"/>
                <w:szCs w:val="20"/>
              </w:rPr>
              <w:t xml:space="preserve">Under Enriched Property Services, one of the options for 2 points is to commit to an entity certified as a "3rd Party Resident Services Coordination Contractor" by CORES or </w:t>
            </w:r>
            <w:r w:rsidRPr="003872CA">
              <w:rPr>
                <w:rStyle w:val="contextualspellingandgrammarerror"/>
                <w:rFonts w:eastAsiaTheme="majorEastAsia"/>
                <w:color w:val="000000"/>
                <w:sz w:val="20"/>
                <w:szCs w:val="20"/>
              </w:rPr>
              <w:t>other</w:t>
            </w:r>
            <w:r w:rsidRPr="003872CA">
              <w:rPr>
                <w:rStyle w:val="normaltextrun"/>
                <w:color w:val="000000"/>
                <w:sz w:val="20"/>
                <w:szCs w:val="20"/>
              </w:rPr>
              <w:t xml:space="preserve"> DCA-approved program. </w:t>
            </w:r>
            <w:r w:rsidRPr="003872CA">
              <w:rPr>
                <w:rStyle w:val="eop"/>
                <w:color w:val="000000"/>
                <w:sz w:val="20"/>
                <w:szCs w:val="20"/>
              </w:rPr>
              <w:t> </w:t>
            </w:r>
          </w:p>
          <w:p w14:paraId="2ED3263B" w14:textId="77777777" w:rsidR="00CF5712" w:rsidRPr="003872CA" w:rsidRDefault="00CF5712" w:rsidP="000179D3">
            <w:pPr>
              <w:pStyle w:val="paragraph"/>
              <w:spacing w:before="0" w:beforeAutospacing="0" w:after="0" w:afterAutospacing="0"/>
              <w:textAlignment w:val="baseline"/>
              <w:rPr>
                <w:sz w:val="20"/>
                <w:szCs w:val="20"/>
              </w:rPr>
            </w:pPr>
            <w:r w:rsidRPr="003872CA">
              <w:rPr>
                <w:rStyle w:val="eop"/>
                <w:color w:val="000000"/>
                <w:sz w:val="20"/>
                <w:szCs w:val="20"/>
              </w:rPr>
              <w:t> </w:t>
            </w:r>
          </w:p>
          <w:p w14:paraId="756E8244" w14:textId="77777777" w:rsidR="00CF5712" w:rsidRPr="003872CA" w:rsidRDefault="00CF5712" w:rsidP="000179D3">
            <w:pPr>
              <w:pStyle w:val="paragraph"/>
              <w:numPr>
                <w:ilvl w:val="0"/>
                <w:numId w:val="57"/>
              </w:numPr>
              <w:spacing w:before="0" w:beforeAutospacing="0" w:after="0" w:afterAutospacing="0"/>
              <w:ind w:left="1080" w:firstLine="0"/>
              <w:textAlignment w:val="baseline"/>
              <w:rPr>
                <w:sz w:val="20"/>
                <w:szCs w:val="20"/>
              </w:rPr>
            </w:pPr>
            <w:r w:rsidRPr="003872CA">
              <w:rPr>
                <w:rStyle w:val="normaltextrun"/>
                <w:color w:val="000000"/>
                <w:sz w:val="20"/>
                <w:szCs w:val="20"/>
              </w:rPr>
              <w:t>Is there a list of DCA-approved entities? It says “DCA will also publish information on Service Coordinators certified by DCA-approved programs.” …or is this something that the applicant commits to in the application and then works with DCA to approve their 3rd party contractor? We wanted to know if this approved list has already been published, so that we can know exactly what we are certifying.</w:t>
            </w:r>
            <w:r w:rsidRPr="003872CA">
              <w:rPr>
                <w:rStyle w:val="eop"/>
                <w:color w:val="000000"/>
                <w:sz w:val="20"/>
                <w:szCs w:val="20"/>
              </w:rPr>
              <w:t> </w:t>
            </w:r>
          </w:p>
          <w:p w14:paraId="2B886CEE" w14:textId="77777777" w:rsidR="00CF5712" w:rsidRPr="003872CA" w:rsidRDefault="00CF5712" w:rsidP="000179D3">
            <w:pPr>
              <w:pStyle w:val="paragraph"/>
              <w:spacing w:before="0" w:beforeAutospacing="0" w:after="0" w:afterAutospacing="0"/>
              <w:textAlignment w:val="baseline"/>
              <w:rPr>
                <w:sz w:val="20"/>
                <w:szCs w:val="20"/>
              </w:rPr>
            </w:pPr>
            <w:r w:rsidRPr="003872CA">
              <w:rPr>
                <w:rStyle w:val="eop"/>
                <w:color w:val="000000"/>
                <w:sz w:val="20"/>
                <w:szCs w:val="20"/>
              </w:rPr>
              <w:t> </w:t>
            </w:r>
          </w:p>
          <w:p w14:paraId="2BC7B49D" w14:textId="77777777" w:rsidR="00CF5712" w:rsidRPr="003872CA" w:rsidRDefault="00CF5712" w:rsidP="000179D3">
            <w:pPr>
              <w:pStyle w:val="paragraph"/>
              <w:numPr>
                <w:ilvl w:val="0"/>
                <w:numId w:val="58"/>
              </w:numPr>
              <w:spacing w:before="0" w:beforeAutospacing="0" w:after="0" w:afterAutospacing="0"/>
              <w:ind w:left="1080" w:firstLine="0"/>
              <w:textAlignment w:val="baseline"/>
              <w:rPr>
                <w:rStyle w:val="eop"/>
                <w:sz w:val="20"/>
                <w:szCs w:val="20"/>
              </w:rPr>
            </w:pPr>
            <w:r w:rsidRPr="003872CA">
              <w:rPr>
                <w:rStyle w:val="normaltextrun"/>
                <w:color w:val="000000"/>
                <w:sz w:val="20"/>
                <w:szCs w:val="20"/>
              </w:rPr>
              <w:t xml:space="preserve">It appears that maybe what we are </w:t>
            </w:r>
            <w:r w:rsidRPr="003872CA">
              <w:rPr>
                <w:rStyle w:val="advancedproofingissue"/>
                <w:color w:val="000000"/>
                <w:sz w:val="20"/>
                <w:szCs w:val="20"/>
              </w:rPr>
              <w:t>actually committing</w:t>
            </w:r>
            <w:r w:rsidRPr="003872CA">
              <w:rPr>
                <w:rStyle w:val="normaltextrun"/>
                <w:color w:val="000000"/>
                <w:sz w:val="20"/>
                <w:szCs w:val="20"/>
              </w:rPr>
              <w:t xml:space="preserve"> to do for subsection B. 3</w:t>
            </w:r>
            <w:r w:rsidRPr="003872CA">
              <w:rPr>
                <w:rStyle w:val="normaltextrun"/>
                <w:color w:val="000000"/>
                <w:sz w:val="20"/>
                <w:szCs w:val="20"/>
                <w:vertAlign w:val="superscript"/>
              </w:rPr>
              <w:t>rd</w:t>
            </w:r>
            <w:r w:rsidRPr="003872CA">
              <w:rPr>
                <w:rStyle w:val="normaltextrun"/>
                <w:color w:val="000000"/>
                <w:sz w:val="20"/>
                <w:szCs w:val="20"/>
              </w:rPr>
              <w:t xml:space="preserve"> Party Contractor is to make every effort to provide enriched property services to residents. However, if it is not in the financial budget for the property or the services are unavailable in the area, they are not responsible for providing them. Will you please confirm?</w:t>
            </w:r>
            <w:r w:rsidRPr="003872CA">
              <w:rPr>
                <w:rStyle w:val="eop"/>
                <w:color w:val="000000"/>
                <w:sz w:val="20"/>
                <w:szCs w:val="20"/>
              </w:rPr>
              <w:t> </w:t>
            </w:r>
          </w:p>
          <w:p w14:paraId="2768AFD2" w14:textId="77777777" w:rsidR="00CF5712" w:rsidRPr="003872CA" w:rsidRDefault="00CF5712" w:rsidP="000179D3">
            <w:pPr>
              <w:pStyle w:val="paragraph"/>
              <w:spacing w:before="0" w:beforeAutospacing="0" w:after="0" w:afterAutospacing="0"/>
              <w:ind w:left="1080"/>
              <w:textAlignment w:val="baseline"/>
              <w:rPr>
                <w:sz w:val="20"/>
                <w:szCs w:val="20"/>
              </w:rPr>
            </w:pPr>
          </w:p>
          <w:p w14:paraId="762DDB62" w14:textId="77777777" w:rsidR="00CF5712" w:rsidRPr="003872CA" w:rsidRDefault="00CF5712" w:rsidP="000179D3">
            <w:pPr>
              <w:pStyle w:val="paragraph"/>
              <w:spacing w:before="0" w:beforeAutospacing="0" w:after="0" w:afterAutospacing="0"/>
              <w:textAlignment w:val="baseline"/>
              <w:rPr>
                <w:sz w:val="20"/>
                <w:szCs w:val="20"/>
              </w:rPr>
            </w:pPr>
            <w:r w:rsidRPr="003872CA">
              <w:rPr>
                <w:rStyle w:val="normaltextrun"/>
                <w:b/>
                <w:bCs/>
                <w:sz w:val="20"/>
                <w:szCs w:val="20"/>
              </w:rPr>
              <w:t>Answer</w:t>
            </w:r>
            <w:r w:rsidRPr="003872CA">
              <w:rPr>
                <w:rStyle w:val="normaltextrun"/>
                <w:sz w:val="20"/>
                <w:szCs w:val="20"/>
              </w:rPr>
              <w:t>: </w:t>
            </w:r>
            <w:r w:rsidRPr="003872CA">
              <w:rPr>
                <w:rStyle w:val="eop"/>
                <w:sz w:val="20"/>
                <w:szCs w:val="20"/>
              </w:rPr>
              <w:t> </w:t>
            </w:r>
          </w:p>
          <w:p w14:paraId="58464579" w14:textId="77777777" w:rsidR="00CF5712" w:rsidRPr="003872CA" w:rsidRDefault="00CF5712" w:rsidP="000179D3">
            <w:pPr>
              <w:pStyle w:val="paragraph"/>
              <w:spacing w:before="0" w:beforeAutospacing="0" w:after="0" w:afterAutospacing="0"/>
              <w:textAlignment w:val="baseline"/>
              <w:rPr>
                <w:sz w:val="20"/>
                <w:szCs w:val="20"/>
              </w:rPr>
            </w:pPr>
            <w:r w:rsidRPr="003872CA">
              <w:rPr>
                <w:rStyle w:val="normaltextrun"/>
                <w:sz w:val="20"/>
                <w:szCs w:val="20"/>
              </w:rPr>
              <w:t>For the first question, DCA does not currently have a published list. Further, DCA does not approve entities. DCA approves certification programs. Subsection B. 3</w:t>
            </w:r>
            <w:r w:rsidRPr="003872CA">
              <w:rPr>
                <w:rStyle w:val="normaltextrun"/>
                <w:sz w:val="20"/>
                <w:szCs w:val="20"/>
                <w:vertAlign w:val="superscript"/>
              </w:rPr>
              <w:t>rd</w:t>
            </w:r>
            <w:r w:rsidRPr="003872CA">
              <w:rPr>
                <w:rStyle w:val="normaltextrun"/>
                <w:sz w:val="20"/>
                <w:szCs w:val="20"/>
              </w:rPr>
              <w:t xml:space="preserve"> Party Contractor states: </w:t>
            </w:r>
            <w:r w:rsidRPr="003872CA">
              <w:rPr>
                <w:rStyle w:val="eop"/>
                <w:sz w:val="20"/>
                <w:szCs w:val="20"/>
              </w:rPr>
              <w:t> </w:t>
            </w:r>
          </w:p>
          <w:p w14:paraId="1AE40B00" w14:textId="77777777" w:rsidR="00CF5712" w:rsidRPr="003872CA" w:rsidRDefault="00CF5712" w:rsidP="000179D3">
            <w:pPr>
              <w:pStyle w:val="paragraph"/>
              <w:spacing w:before="0" w:beforeAutospacing="0" w:after="0" w:afterAutospacing="0"/>
              <w:textAlignment w:val="baseline"/>
              <w:rPr>
                <w:sz w:val="20"/>
                <w:szCs w:val="20"/>
              </w:rPr>
            </w:pPr>
            <w:r w:rsidRPr="003872CA">
              <w:rPr>
                <w:rStyle w:val="eop"/>
                <w:sz w:val="20"/>
                <w:szCs w:val="20"/>
              </w:rPr>
              <w:t> </w:t>
            </w:r>
          </w:p>
          <w:p w14:paraId="3986C2E3" w14:textId="77777777" w:rsidR="00CF5712" w:rsidRPr="003872CA" w:rsidRDefault="00CF5712" w:rsidP="000179D3">
            <w:pPr>
              <w:pStyle w:val="paragraph"/>
              <w:spacing w:before="0" w:beforeAutospacing="0" w:after="0" w:afterAutospacing="0"/>
              <w:ind w:left="360"/>
              <w:textAlignment w:val="baseline"/>
              <w:rPr>
                <w:sz w:val="20"/>
                <w:szCs w:val="20"/>
              </w:rPr>
            </w:pPr>
            <w:r w:rsidRPr="003872CA">
              <w:rPr>
                <w:rStyle w:val="normaltextrun"/>
                <w:i/>
                <w:iCs/>
                <w:sz w:val="20"/>
                <w:szCs w:val="20"/>
              </w:rPr>
              <w:t>“Applicant commits to accept resident services coordination from an entity certified as a ‘3</w:t>
            </w:r>
            <w:r w:rsidRPr="003872CA">
              <w:rPr>
                <w:rStyle w:val="normaltextrun"/>
                <w:i/>
                <w:iCs/>
                <w:sz w:val="20"/>
                <w:szCs w:val="20"/>
                <w:vertAlign w:val="superscript"/>
              </w:rPr>
              <w:t>rd</w:t>
            </w:r>
            <w:r w:rsidRPr="003872CA">
              <w:rPr>
                <w:rStyle w:val="normaltextrun"/>
                <w:i/>
                <w:iCs/>
                <w:sz w:val="20"/>
                <w:szCs w:val="20"/>
              </w:rPr>
              <w:t xml:space="preserve"> Party Resident Services Coordination Contractor’ by CORES or </w:t>
            </w:r>
            <w:r w:rsidRPr="003872CA">
              <w:rPr>
                <w:rStyle w:val="contextualspellingandgrammarerror"/>
                <w:rFonts w:eastAsiaTheme="majorEastAsia"/>
                <w:i/>
                <w:iCs/>
                <w:sz w:val="20"/>
                <w:szCs w:val="20"/>
              </w:rPr>
              <w:t>other</w:t>
            </w:r>
            <w:r w:rsidRPr="003872CA">
              <w:rPr>
                <w:rStyle w:val="normaltextrun"/>
                <w:i/>
                <w:iCs/>
                <w:sz w:val="20"/>
                <w:szCs w:val="20"/>
              </w:rPr>
              <w:t xml:space="preserve"> DCA-approved program…” </w:t>
            </w:r>
            <w:r w:rsidRPr="003872CA">
              <w:rPr>
                <w:rStyle w:val="eop"/>
                <w:sz w:val="20"/>
                <w:szCs w:val="20"/>
              </w:rPr>
              <w:t> </w:t>
            </w:r>
          </w:p>
          <w:p w14:paraId="01EF47AD" w14:textId="77777777" w:rsidR="00CF5712" w:rsidRPr="003872CA" w:rsidRDefault="00CF5712" w:rsidP="000179D3">
            <w:pPr>
              <w:pStyle w:val="paragraph"/>
              <w:spacing w:before="0" w:beforeAutospacing="0" w:after="0" w:afterAutospacing="0"/>
              <w:textAlignment w:val="baseline"/>
              <w:rPr>
                <w:sz w:val="20"/>
                <w:szCs w:val="20"/>
              </w:rPr>
            </w:pPr>
            <w:r w:rsidRPr="003872CA">
              <w:rPr>
                <w:rStyle w:val="eop"/>
                <w:sz w:val="20"/>
                <w:szCs w:val="20"/>
              </w:rPr>
              <w:t> </w:t>
            </w:r>
          </w:p>
          <w:p w14:paraId="539D56B8" w14:textId="77777777" w:rsidR="00CF5712" w:rsidRPr="003872CA" w:rsidRDefault="00CF5712" w:rsidP="000179D3">
            <w:pPr>
              <w:pStyle w:val="paragraph"/>
              <w:spacing w:before="0" w:beforeAutospacing="0" w:after="0" w:afterAutospacing="0"/>
              <w:textAlignment w:val="baseline"/>
              <w:rPr>
                <w:sz w:val="20"/>
                <w:szCs w:val="20"/>
              </w:rPr>
            </w:pPr>
            <w:r w:rsidRPr="003872CA">
              <w:rPr>
                <w:rStyle w:val="normaltextrun"/>
                <w:sz w:val="20"/>
                <w:szCs w:val="20"/>
              </w:rPr>
              <w:t>Therefore, applicants who are interested in identifying at this time which entities operate in Georgia and are certified under the CORES “Third Party” model should view the list of certified organizations on the CORES website (</w:t>
            </w:r>
            <w:hyperlink r:id="rId18" w:tgtFrame="_blank" w:history="1">
              <w:r w:rsidRPr="003872CA">
                <w:rPr>
                  <w:rStyle w:val="normaltextrun"/>
                  <w:color w:val="0563C1"/>
                  <w:sz w:val="20"/>
                  <w:szCs w:val="20"/>
                  <w:u w:val="single"/>
                </w:rPr>
                <w:t>click here</w:t>
              </w:r>
            </w:hyperlink>
            <w:r w:rsidRPr="003872CA">
              <w:rPr>
                <w:rStyle w:val="normaltextrun"/>
                <w:sz w:val="20"/>
                <w:szCs w:val="20"/>
              </w:rPr>
              <w:t>). Some entities that operate in Georgia are not listed under Georgia specifically but are instead designated as “</w:t>
            </w:r>
            <w:r w:rsidRPr="003872CA">
              <w:rPr>
                <w:rStyle w:val="contextualspellingandgrammarerror"/>
                <w:rFonts w:eastAsiaTheme="majorEastAsia"/>
                <w:sz w:val="20"/>
                <w:szCs w:val="20"/>
              </w:rPr>
              <w:t>Multi-state</w:t>
            </w:r>
            <w:r w:rsidRPr="003872CA">
              <w:rPr>
                <w:rStyle w:val="normaltextrun"/>
                <w:sz w:val="20"/>
                <w:szCs w:val="20"/>
              </w:rPr>
              <w:t>.” </w:t>
            </w:r>
            <w:r w:rsidRPr="003872CA">
              <w:rPr>
                <w:rStyle w:val="eop"/>
                <w:sz w:val="20"/>
                <w:szCs w:val="20"/>
              </w:rPr>
              <w:t> </w:t>
            </w:r>
          </w:p>
          <w:p w14:paraId="5614A464" w14:textId="77777777" w:rsidR="00CF5712" w:rsidRPr="003872CA" w:rsidRDefault="00CF5712" w:rsidP="000179D3">
            <w:pPr>
              <w:pStyle w:val="paragraph"/>
              <w:spacing w:before="0" w:beforeAutospacing="0" w:after="0" w:afterAutospacing="0"/>
              <w:textAlignment w:val="baseline"/>
              <w:rPr>
                <w:sz w:val="20"/>
                <w:szCs w:val="20"/>
              </w:rPr>
            </w:pPr>
            <w:r w:rsidRPr="003872CA">
              <w:rPr>
                <w:rStyle w:val="eop"/>
                <w:sz w:val="20"/>
                <w:szCs w:val="20"/>
              </w:rPr>
              <w:t> </w:t>
            </w:r>
          </w:p>
          <w:p w14:paraId="70F36F1C" w14:textId="77777777" w:rsidR="00CF5712" w:rsidRPr="003872CA" w:rsidRDefault="00CF5712" w:rsidP="000179D3">
            <w:pPr>
              <w:pStyle w:val="paragraph"/>
              <w:spacing w:before="0" w:beforeAutospacing="0" w:after="0" w:afterAutospacing="0"/>
              <w:textAlignment w:val="baseline"/>
              <w:rPr>
                <w:sz w:val="20"/>
                <w:szCs w:val="20"/>
              </w:rPr>
            </w:pPr>
            <w:r w:rsidRPr="003872CA">
              <w:rPr>
                <w:rStyle w:val="normaltextrun"/>
                <w:sz w:val="20"/>
                <w:szCs w:val="20"/>
              </w:rPr>
              <w:t xml:space="preserve">Please note that DCA does not require any such research for purposes of 2022 9% Competitive Round. Applicants will only be required to indicate “Yes” or “No” to this commitment. </w:t>
            </w:r>
            <w:r w:rsidRPr="003872CA">
              <w:rPr>
                <w:rStyle w:val="scxw237298823"/>
                <w:sz w:val="20"/>
                <w:szCs w:val="20"/>
              </w:rPr>
              <w:t> </w:t>
            </w:r>
            <w:r w:rsidRPr="003872CA">
              <w:rPr>
                <w:sz w:val="20"/>
                <w:szCs w:val="20"/>
              </w:rPr>
              <w:br/>
            </w:r>
            <w:r w:rsidRPr="003872CA">
              <w:rPr>
                <w:rStyle w:val="eop"/>
                <w:sz w:val="20"/>
                <w:szCs w:val="20"/>
              </w:rPr>
              <w:t> </w:t>
            </w:r>
          </w:p>
          <w:p w14:paraId="45FA7CC2" w14:textId="76FAB587" w:rsidR="00CF5712" w:rsidRPr="003872CA" w:rsidRDefault="00CF5712" w:rsidP="00980872">
            <w:pPr>
              <w:pStyle w:val="paragraph"/>
              <w:spacing w:before="0" w:beforeAutospacing="0" w:after="0" w:afterAutospacing="0"/>
              <w:textAlignment w:val="baseline"/>
              <w:rPr>
                <w:rStyle w:val="normaltextrun"/>
                <w:sz w:val="20"/>
                <w:szCs w:val="20"/>
              </w:rPr>
            </w:pPr>
            <w:r w:rsidRPr="003872CA">
              <w:rPr>
                <w:rStyle w:val="normaltextrun"/>
                <w:sz w:val="20"/>
                <w:szCs w:val="20"/>
              </w:rPr>
              <w:lastRenderedPageBreak/>
              <w:t>For the second question, the statement that “if it is not in the financial budget for the property or the services are unavailable in the area, [owners] are not responsible for providing [services</w:t>
            </w:r>
            <w:r w:rsidR="006D0EA2">
              <w:rPr>
                <w:rStyle w:val="normaltextrun"/>
                <w:sz w:val="20"/>
                <w:szCs w:val="20"/>
              </w:rPr>
              <w:t xml:space="preserve"> </w:t>
            </w:r>
            <w:r w:rsidR="00BC1029">
              <w:rPr>
                <w:rStyle w:val="normaltextrun"/>
                <w:sz w:val="20"/>
                <w:szCs w:val="20"/>
              </w:rPr>
              <w:t xml:space="preserve">stemming from the </w:t>
            </w:r>
            <w:r w:rsidR="006D0EA2">
              <w:rPr>
                <w:rStyle w:val="normaltextrun"/>
                <w:sz w:val="20"/>
                <w:szCs w:val="20"/>
              </w:rPr>
              <w:t>Enriched Property Services</w:t>
            </w:r>
            <w:r w:rsidR="00BC1029">
              <w:rPr>
                <w:rStyle w:val="normaltextrun"/>
                <w:sz w:val="20"/>
                <w:szCs w:val="20"/>
              </w:rPr>
              <w:t xml:space="preserve"> </w:t>
            </w:r>
            <w:r w:rsidR="00276AF3">
              <w:rPr>
                <w:rStyle w:val="normaltextrun"/>
                <w:sz w:val="20"/>
                <w:szCs w:val="20"/>
              </w:rPr>
              <w:t>Scoring section</w:t>
            </w:r>
            <w:r w:rsidRPr="003872CA">
              <w:rPr>
                <w:rStyle w:val="normaltextrun"/>
                <w:sz w:val="20"/>
                <w:szCs w:val="20"/>
              </w:rPr>
              <w:t xml:space="preserve">]” is correct. More specific parameters regarding what information DCA may request and review from owners for purposes of assessing and enforcing cooperation are described under the “Compliance and Penalty Implications” of the </w:t>
            </w:r>
            <w:r w:rsidRPr="003872CA">
              <w:rPr>
                <w:rStyle w:val="normaltextrun"/>
                <w:b/>
                <w:bCs/>
                <w:sz w:val="20"/>
                <w:szCs w:val="20"/>
              </w:rPr>
              <w:t>Enforcement Clarifications</w:t>
            </w:r>
            <w:r w:rsidRPr="003872CA">
              <w:rPr>
                <w:rStyle w:val="normaltextrun"/>
                <w:sz w:val="20"/>
                <w:szCs w:val="20"/>
              </w:rPr>
              <w:t xml:space="preserve"> document.</w:t>
            </w:r>
          </w:p>
        </w:tc>
      </w:tr>
      <w:tr w:rsidR="00CF5712" w:rsidRPr="003872CA" w14:paraId="188DFAE1" w14:textId="77777777" w:rsidTr="1995616E">
        <w:trPr>
          <w:jc w:val="center"/>
        </w:trPr>
        <w:tc>
          <w:tcPr>
            <w:tcW w:w="2157" w:type="dxa"/>
            <w:shd w:val="clear" w:color="auto" w:fill="auto"/>
            <w:tcMar>
              <w:top w:w="72" w:type="dxa"/>
              <w:left w:w="115" w:type="dxa"/>
              <w:bottom w:w="72" w:type="dxa"/>
              <w:right w:w="115" w:type="dxa"/>
            </w:tcMar>
            <w:vAlign w:val="center"/>
          </w:tcPr>
          <w:p w14:paraId="14FD93D3" w14:textId="7B27D1AC" w:rsidR="00CF5712" w:rsidRDefault="006B7E0B" w:rsidP="00304B2F">
            <w:pPr>
              <w:rPr>
                <w:rFonts w:ascii="Times New Roman" w:hAnsi="Times New Roman" w:cs="Times New Roman"/>
                <w:noProof/>
                <w:sz w:val="20"/>
                <w:szCs w:val="20"/>
              </w:rPr>
            </w:pPr>
            <w:r>
              <w:rPr>
                <w:rFonts w:ascii="Times New Roman" w:hAnsi="Times New Roman" w:cs="Times New Roman"/>
                <w:noProof/>
                <w:sz w:val="20"/>
                <w:szCs w:val="20"/>
              </w:rPr>
              <w:lastRenderedPageBreak/>
              <w:t>5/19</w:t>
            </w:r>
            <w:r w:rsidR="00CF5712">
              <w:rPr>
                <w:rFonts w:ascii="Times New Roman" w:hAnsi="Times New Roman" w:cs="Times New Roman"/>
                <w:noProof/>
                <w:sz w:val="20"/>
                <w:szCs w:val="20"/>
              </w:rPr>
              <w:t>/22</w:t>
            </w:r>
          </w:p>
        </w:tc>
        <w:tc>
          <w:tcPr>
            <w:tcW w:w="2198" w:type="dxa"/>
            <w:shd w:val="clear" w:color="auto" w:fill="auto"/>
            <w:tcMar>
              <w:top w:w="72" w:type="dxa"/>
              <w:left w:w="115" w:type="dxa"/>
              <w:bottom w:w="72" w:type="dxa"/>
              <w:right w:w="115" w:type="dxa"/>
            </w:tcMar>
            <w:vAlign w:val="center"/>
          </w:tcPr>
          <w:p w14:paraId="5F1CCF28" w14:textId="77777777" w:rsidR="00CF5712" w:rsidRDefault="00CF5712" w:rsidP="00304B2F">
            <w:pPr>
              <w:rPr>
                <w:rFonts w:ascii="Times New Roman" w:hAnsi="Times New Roman" w:cs="Times New Roman"/>
                <w:sz w:val="20"/>
                <w:szCs w:val="20"/>
              </w:rPr>
            </w:pPr>
            <w:r>
              <w:rPr>
                <w:rFonts w:ascii="Times New Roman" w:hAnsi="Times New Roman" w:cs="Times New Roman"/>
                <w:sz w:val="20"/>
                <w:szCs w:val="20"/>
              </w:rPr>
              <w:t>7.00</w:t>
            </w:r>
          </w:p>
          <w:p w14:paraId="6F4412A3" w14:textId="77777777" w:rsidR="00CF5712" w:rsidRPr="003872CA" w:rsidRDefault="00CF5712" w:rsidP="00304B2F">
            <w:pPr>
              <w:rPr>
                <w:rFonts w:ascii="Times New Roman" w:hAnsi="Times New Roman" w:cs="Times New Roman"/>
                <w:sz w:val="20"/>
                <w:szCs w:val="20"/>
              </w:rPr>
            </w:pPr>
            <w:r>
              <w:rPr>
                <w:rFonts w:ascii="Times New Roman" w:hAnsi="Times New Roman" w:cs="Times New Roman"/>
                <w:sz w:val="20"/>
                <w:szCs w:val="20"/>
              </w:rPr>
              <w:t>Application Materials</w:t>
            </w:r>
          </w:p>
        </w:tc>
        <w:tc>
          <w:tcPr>
            <w:tcW w:w="9590" w:type="dxa"/>
            <w:shd w:val="clear" w:color="auto" w:fill="auto"/>
            <w:tcMar>
              <w:top w:w="72" w:type="dxa"/>
              <w:left w:w="115" w:type="dxa"/>
              <w:bottom w:w="72" w:type="dxa"/>
              <w:right w:w="115" w:type="dxa"/>
            </w:tcMar>
            <w:vAlign w:val="center"/>
          </w:tcPr>
          <w:p w14:paraId="218BE0A4" w14:textId="77777777" w:rsidR="00CF5712" w:rsidRPr="0069590D" w:rsidRDefault="00CF5712" w:rsidP="0069590D">
            <w:pPr>
              <w:textAlignment w:val="baseline"/>
              <w:rPr>
                <w:rFonts w:ascii="Times New Roman" w:eastAsia="Times New Roman" w:hAnsi="Times New Roman" w:cs="Times New Roman"/>
                <w:sz w:val="20"/>
                <w:szCs w:val="20"/>
              </w:rPr>
            </w:pPr>
            <w:r w:rsidRPr="0069590D">
              <w:rPr>
                <w:rFonts w:ascii="Times New Roman" w:eastAsia="Times New Roman" w:hAnsi="Times New Roman" w:cs="Times New Roman"/>
                <w:b/>
                <w:bCs/>
                <w:sz w:val="20"/>
                <w:szCs w:val="20"/>
              </w:rPr>
              <w:t>Question</w:t>
            </w:r>
            <w:r w:rsidRPr="0069590D">
              <w:rPr>
                <w:rFonts w:ascii="Times New Roman" w:eastAsia="Times New Roman" w:hAnsi="Times New Roman" w:cs="Times New Roman"/>
                <w:sz w:val="20"/>
                <w:szCs w:val="20"/>
              </w:rPr>
              <w:t>: Q22_0517_01 </w:t>
            </w:r>
          </w:p>
          <w:p w14:paraId="0E35BCF0" w14:textId="77777777" w:rsidR="00CF5712" w:rsidRPr="0069590D" w:rsidRDefault="00CF5712" w:rsidP="0069590D">
            <w:pPr>
              <w:textAlignment w:val="baseline"/>
              <w:rPr>
                <w:rFonts w:ascii="Times New Roman" w:eastAsia="Times New Roman" w:hAnsi="Times New Roman" w:cs="Times New Roman"/>
                <w:sz w:val="20"/>
                <w:szCs w:val="20"/>
              </w:rPr>
            </w:pPr>
            <w:r w:rsidRPr="0069590D">
              <w:rPr>
                <w:rFonts w:ascii="Times New Roman" w:eastAsia="Times New Roman" w:hAnsi="Times New Roman" w:cs="Times New Roman"/>
                <w:color w:val="000000"/>
                <w:sz w:val="20"/>
                <w:szCs w:val="20"/>
              </w:rPr>
              <w:t>When will the 2022 File Naming Instructions and 2022 Fee Calculation Worksheet be posted? </w:t>
            </w:r>
          </w:p>
          <w:p w14:paraId="3E9DEFFF" w14:textId="77777777" w:rsidR="00CF5712" w:rsidRPr="0069590D" w:rsidRDefault="00CF5712" w:rsidP="0069590D">
            <w:pPr>
              <w:textAlignment w:val="baseline"/>
              <w:rPr>
                <w:rFonts w:ascii="Times New Roman" w:eastAsia="Times New Roman" w:hAnsi="Times New Roman" w:cs="Times New Roman"/>
                <w:sz w:val="20"/>
                <w:szCs w:val="20"/>
              </w:rPr>
            </w:pPr>
            <w:r w:rsidRPr="0069590D">
              <w:rPr>
                <w:rFonts w:ascii="Times New Roman" w:eastAsia="Times New Roman" w:hAnsi="Times New Roman" w:cs="Times New Roman"/>
                <w:sz w:val="20"/>
                <w:szCs w:val="20"/>
              </w:rPr>
              <w:t> </w:t>
            </w:r>
          </w:p>
          <w:p w14:paraId="4C0CD4F0" w14:textId="77777777" w:rsidR="00CF5712" w:rsidRPr="0069590D" w:rsidRDefault="00CF5712" w:rsidP="0069590D">
            <w:pPr>
              <w:textAlignment w:val="baseline"/>
              <w:rPr>
                <w:rFonts w:ascii="Times New Roman" w:eastAsia="Times New Roman" w:hAnsi="Times New Roman" w:cs="Times New Roman"/>
                <w:sz w:val="20"/>
                <w:szCs w:val="20"/>
              </w:rPr>
            </w:pPr>
            <w:r w:rsidRPr="0069590D">
              <w:rPr>
                <w:rFonts w:ascii="Times New Roman" w:eastAsia="Times New Roman" w:hAnsi="Times New Roman" w:cs="Times New Roman"/>
                <w:b/>
                <w:bCs/>
                <w:sz w:val="20"/>
                <w:szCs w:val="20"/>
              </w:rPr>
              <w:t>Answer</w:t>
            </w:r>
            <w:r w:rsidRPr="0069590D">
              <w:rPr>
                <w:rFonts w:ascii="Times New Roman" w:eastAsia="Times New Roman" w:hAnsi="Times New Roman" w:cs="Times New Roman"/>
                <w:sz w:val="20"/>
                <w:szCs w:val="20"/>
              </w:rPr>
              <w:t>:  </w:t>
            </w:r>
          </w:p>
          <w:p w14:paraId="2351EA15" w14:textId="77777777" w:rsidR="00CF5712" w:rsidRPr="00C41C5F" w:rsidRDefault="00CF5712" w:rsidP="0069590D">
            <w:pPr>
              <w:textAlignment w:val="baseline"/>
              <w:rPr>
                <w:rFonts w:ascii="Segoe UI" w:eastAsia="Times New Roman" w:hAnsi="Segoe UI" w:cs="Segoe UI"/>
                <w:sz w:val="20"/>
                <w:szCs w:val="20"/>
              </w:rPr>
            </w:pPr>
            <w:r w:rsidRPr="0069590D">
              <w:rPr>
                <w:rFonts w:ascii="Times New Roman" w:eastAsia="Times New Roman" w:hAnsi="Times New Roman" w:cs="Times New Roman"/>
                <w:sz w:val="20"/>
                <w:szCs w:val="20"/>
              </w:rPr>
              <w:t>The 2022 File Naming Conventions and 2022 Fee Calculation Worksheet have been uploaded to the 2022 Core Application and Instructions page of the DCA website (</w:t>
            </w:r>
            <w:hyperlink r:id="rId19" w:tgtFrame="_blank" w:history="1">
              <w:r w:rsidRPr="0069590D">
                <w:rPr>
                  <w:rFonts w:ascii="Times New Roman" w:eastAsia="Times New Roman" w:hAnsi="Times New Roman" w:cs="Times New Roman"/>
                  <w:color w:val="0563C1"/>
                  <w:sz w:val="20"/>
                  <w:szCs w:val="20"/>
                  <w:u w:val="single"/>
                </w:rPr>
                <w:t>click here</w:t>
              </w:r>
            </w:hyperlink>
            <w:r w:rsidRPr="0069590D">
              <w:rPr>
                <w:rFonts w:ascii="Times New Roman" w:eastAsia="Times New Roman" w:hAnsi="Times New Roman" w:cs="Times New Roman"/>
                <w:sz w:val="20"/>
                <w:szCs w:val="20"/>
              </w:rPr>
              <w:t>).</w:t>
            </w:r>
          </w:p>
        </w:tc>
      </w:tr>
      <w:tr w:rsidR="00CF5712" w:rsidRPr="00FC6043" w14:paraId="6A749C10" w14:textId="77777777" w:rsidTr="1995616E">
        <w:trPr>
          <w:jc w:val="center"/>
        </w:trPr>
        <w:tc>
          <w:tcPr>
            <w:tcW w:w="2157" w:type="dxa"/>
            <w:shd w:val="clear" w:color="auto" w:fill="auto"/>
            <w:tcMar>
              <w:top w:w="72" w:type="dxa"/>
              <w:left w:w="115" w:type="dxa"/>
              <w:bottom w:w="72" w:type="dxa"/>
              <w:right w:w="115" w:type="dxa"/>
            </w:tcMar>
            <w:vAlign w:val="center"/>
          </w:tcPr>
          <w:p w14:paraId="19DE35A6"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5/16/22</w:t>
            </w:r>
          </w:p>
        </w:tc>
        <w:tc>
          <w:tcPr>
            <w:tcW w:w="2198" w:type="dxa"/>
            <w:shd w:val="clear" w:color="auto" w:fill="auto"/>
            <w:tcMar>
              <w:top w:w="72" w:type="dxa"/>
              <w:left w:w="115" w:type="dxa"/>
              <w:bottom w:w="72" w:type="dxa"/>
              <w:right w:w="115" w:type="dxa"/>
            </w:tcMar>
            <w:vAlign w:val="center"/>
          </w:tcPr>
          <w:p w14:paraId="7CBCE5B6"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2.17</w:t>
            </w:r>
          </w:p>
          <w:p w14:paraId="75C57119"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Threshold Criteria;</w:t>
            </w:r>
          </w:p>
          <w:p w14:paraId="3290C132"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Building Sustainability</w:t>
            </w:r>
          </w:p>
        </w:tc>
        <w:tc>
          <w:tcPr>
            <w:tcW w:w="9590" w:type="dxa"/>
            <w:shd w:val="clear" w:color="auto" w:fill="auto"/>
            <w:tcMar>
              <w:top w:w="72" w:type="dxa"/>
              <w:left w:w="115" w:type="dxa"/>
              <w:bottom w:w="72" w:type="dxa"/>
              <w:right w:w="115" w:type="dxa"/>
            </w:tcMar>
            <w:vAlign w:val="center"/>
          </w:tcPr>
          <w:p w14:paraId="76507167" w14:textId="77777777" w:rsidR="00CF5712" w:rsidRPr="00FC6043" w:rsidRDefault="00CF5712" w:rsidP="00980872">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Q22_0510_02</w:t>
            </w:r>
            <w:r w:rsidRPr="00FC6043">
              <w:rPr>
                <w:rStyle w:val="eop"/>
                <w:sz w:val="20"/>
                <w:szCs w:val="20"/>
              </w:rPr>
              <w:t> </w:t>
            </w:r>
          </w:p>
          <w:p w14:paraId="071B7F3F" w14:textId="77777777" w:rsidR="00CF5712" w:rsidRPr="00FC6043" w:rsidRDefault="00CF5712" w:rsidP="00980872">
            <w:pPr>
              <w:pStyle w:val="paragraph"/>
              <w:spacing w:before="0" w:beforeAutospacing="0" w:after="0" w:afterAutospacing="0"/>
              <w:textAlignment w:val="baseline"/>
              <w:rPr>
                <w:sz w:val="20"/>
                <w:szCs w:val="20"/>
              </w:rPr>
            </w:pPr>
            <w:r w:rsidRPr="00FC6043">
              <w:rPr>
                <w:rStyle w:val="normaltextrun"/>
                <w:color w:val="000000"/>
                <w:sz w:val="20"/>
                <w:szCs w:val="20"/>
              </w:rPr>
              <w:t>Can you confirm that the minimum standards listed below are applicable for both new construction and rehabilitation projects? </w:t>
            </w:r>
            <w:r w:rsidRPr="00FC6043">
              <w:rPr>
                <w:rStyle w:val="eop"/>
                <w:color w:val="000000"/>
                <w:sz w:val="20"/>
                <w:szCs w:val="20"/>
              </w:rPr>
              <w:t> </w:t>
            </w:r>
          </w:p>
          <w:p w14:paraId="44ED4D0F" w14:textId="77777777" w:rsidR="00CF5712" w:rsidRPr="00FC6043" w:rsidRDefault="00CF5712" w:rsidP="00980872">
            <w:pPr>
              <w:pStyle w:val="paragraph"/>
              <w:numPr>
                <w:ilvl w:val="0"/>
                <w:numId w:val="50"/>
              </w:numPr>
              <w:spacing w:before="0" w:beforeAutospacing="0" w:after="0" w:afterAutospacing="0"/>
              <w:ind w:left="1080" w:firstLine="0"/>
              <w:textAlignment w:val="baseline"/>
              <w:rPr>
                <w:sz w:val="20"/>
                <w:szCs w:val="20"/>
              </w:rPr>
            </w:pPr>
            <w:r w:rsidRPr="00FC6043">
              <w:rPr>
                <w:rStyle w:val="normaltextrun"/>
                <w:color w:val="000000"/>
                <w:sz w:val="20"/>
                <w:szCs w:val="20"/>
              </w:rPr>
              <w:t>Obtain a sustainable building certification</w:t>
            </w:r>
            <w:r w:rsidRPr="00FC6043">
              <w:rPr>
                <w:rStyle w:val="eop"/>
                <w:color w:val="000000"/>
                <w:sz w:val="20"/>
                <w:szCs w:val="20"/>
              </w:rPr>
              <w:t> </w:t>
            </w:r>
          </w:p>
          <w:p w14:paraId="5EB202A0" w14:textId="77777777" w:rsidR="00CF5712" w:rsidRPr="00FC6043" w:rsidRDefault="00CF5712" w:rsidP="00980872">
            <w:pPr>
              <w:pStyle w:val="paragraph"/>
              <w:numPr>
                <w:ilvl w:val="0"/>
                <w:numId w:val="50"/>
              </w:numPr>
              <w:spacing w:before="0" w:beforeAutospacing="0" w:after="0" w:afterAutospacing="0"/>
              <w:ind w:left="1080" w:firstLine="0"/>
              <w:textAlignment w:val="baseline"/>
              <w:rPr>
                <w:sz w:val="20"/>
                <w:szCs w:val="20"/>
              </w:rPr>
            </w:pPr>
            <w:r w:rsidRPr="00FC6043">
              <w:rPr>
                <w:rStyle w:val="normaltextrun"/>
                <w:color w:val="000000"/>
                <w:sz w:val="20"/>
                <w:szCs w:val="20"/>
              </w:rPr>
              <w:t>Low VOC interior wall/ceiling/finishing</w:t>
            </w:r>
            <w:r w:rsidRPr="00FC6043">
              <w:rPr>
                <w:rStyle w:val="eop"/>
                <w:color w:val="000000"/>
                <w:sz w:val="20"/>
                <w:szCs w:val="20"/>
              </w:rPr>
              <w:t> </w:t>
            </w:r>
          </w:p>
          <w:p w14:paraId="6E1BAD95" w14:textId="77777777" w:rsidR="00CF5712" w:rsidRPr="00FC6043" w:rsidRDefault="00CF5712" w:rsidP="00980872">
            <w:pPr>
              <w:pStyle w:val="paragraph"/>
              <w:numPr>
                <w:ilvl w:val="0"/>
                <w:numId w:val="51"/>
              </w:numPr>
              <w:spacing w:before="0" w:beforeAutospacing="0" w:after="0" w:afterAutospacing="0"/>
              <w:ind w:left="1080" w:firstLine="0"/>
              <w:textAlignment w:val="baseline"/>
              <w:rPr>
                <w:sz w:val="20"/>
                <w:szCs w:val="20"/>
              </w:rPr>
            </w:pPr>
            <w:r w:rsidRPr="00FC6043">
              <w:rPr>
                <w:rStyle w:val="normaltextrun"/>
                <w:color w:val="000000"/>
                <w:sz w:val="20"/>
                <w:szCs w:val="20"/>
              </w:rPr>
              <w:t>Energy STAR certified appliances</w:t>
            </w:r>
            <w:r w:rsidRPr="00FC6043">
              <w:rPr>
                <w:rStyle w:val="eop"/>
                <w:color w:val="000000"/>
                <w:sz w:val="20"/>
                <w:szCs w:val="20"/>
              </w:rPr>
              <w:t> </w:t>
            </w:r>
          </w:p>
          <w:p w14:paraId="36DF17D4" w14:textId="77777777" w:rsidR="00CF5712" w:rsidRPr="00FC6043" w:rsidRDefault="00CF5712" w:rsidP="00980872">
            <w:pPr>
              <w:pStyle w:val="paragraph"/>
              <w:spacing w:before="0" w:beforeAutospacing="0" w:after="0" w:afterAutospacing="0"/>
              <w:textAlignment w:val="baseline"/>
              <w:rPr>
                <w:sz w:val="20"/>
                <w:szCs w:val="20"/>
              </w:rPr>
            </w:pPr>
            <w:r w:rsidRPr="00FC6043">
              <w:rPr>
                <w:rStyle w:val="eop"/>
                <w:sz w:val="20"/>
                <w:szCs w:val="20"/>
              </w:rPr>
              <w:t> </w:t>
            </w:r>
          </w:p>
          <w:p w14:paraId="27A1ECAB" w14:textId="77777777" w:rsidR="00CF5712" w:rsidRPr="00FC6043" w:rsidRDefault="00CF5712" w:rsidP="00980872">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0A012EFF" w14:textId="77777777" w:rsidR="00CF5712" w:rsidRPr="00FC6043" w:rsidRDefault="00CF5712" w:rsidP="00980872">
            <w:pPr>
              <w:pStyle w:val="paragraph"/>
              <w:spacing w:before="0" w:beforeAutospacing="0" w:after="0" w:afterAutospacing="0"/>
              <w:textAlignment w:val="baseline"/>
              <w:rPr>
                <w:sz w:val="20"/>
                <w:szCs w:val="20"/>
              </w:rPr>
            </w:pPr>
            <w:r w:rsidRPr="00FC6043">
              <w:rPr>
                <w:rStyle w:val="normaltextrun"/>
                <w:b/>
                <w:bCs/>
                <w:sz w:val="20"/>
                <w:szCs w:val="20"/>
              </w:rPr>
              <w:t>(Threshold) Building Sustainability, Sustainability Standards</w:t>
            </w:r>
            <w:r w:rsidRPr="00FC6043">
              <w:rPr>
                <w:rStyle w:val="normaltextrun"/>
                <w:sz w:val="20"/>
                <w:szCs w:val="20"/>
              </w:rPr>
              <w:t xml:space="preserve"> states that “all dwelling units at all projects must comply with the requirements of this section. Historic properties may apply for a waiver when compliance means loss of historic character-defining features and finishes.”</w:t>
            </w:r>
            <w:r w:rsidRPr="00FC6043">
              <w:rPr>
                <w:rStyle w:val="eop"/>
                <w:sz w:val="20"/>
                <w:szCs w:val="20"/>
              </w:rPr>
              <w:t> </w:t>
            </w:r>
          </w:p>
        </w:tc>
      </w:tr>
      <w:tr w:rsidR="00CF5712" w:rsidRPr="00FC6043" w14:paraId="3673BFD9" w14:textId="77777777" w:rsidTr="1995616E">
        <w:trPr>
          <w:jc w:val="center"/>
        </w:trPr>
        <w:tc>
          <w:tcPr>
            <w:tcW w:w="2157" w:type="dxa"/>
            <w:shd w:val="clear" w:color="auto" w:fill="auto"/>
            <w:tcMar>
              <w:top w:w="72" w:type="dxa"/>
              <w:left w:w="115" w:type="dxa"/>
              <w:bottom w:w="72" w:type="dxa"/>
              <w:right w:w="115" w:type="dxa"/>
            </w:tcMar>
            <w:vAlign w:val="center"/>
          </w:tcPr>
          <w:p w14:paraId="16941132"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5/16/22</w:t>
            </w:r>
          </w:p>
        </w:tc>
        <w:tc>
          <w:tcPr>
            <w:tcW w:w="2198" w:type="dxa"/>
            <w:shd w:val="clear" w:color="auto" w:fill="auto"/>
            <w:tcMar>
              <w:top w:w="72" w:type="dxa"/>
              <w:left w:w="115" w:type="dxa"/>
              <w:bottom w:w="72" w:type="dxa"/>
              <w:right w:w="115" w:type="dxa"/>
            </w:tcMar>
            <w:vAlign w:val="center"/>
          </w:tcPr>
          <w:p w14:paraId="4964568C"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3.02</w:t>
            </w:r>
          </w:p>
          <w:p w14:paraId="29591938"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5A294372"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Applicability of Scoring Criteria</w:t>
            </w:r>
          </w:p>
          <w:p w14:paraId="7C0D5EE7" w14:textId="77777777" w:rsidR="00CF5712" w:rsidRPr="00FC6043" w:rsidRDefault="00CF5712" w:rsidP="00304B2F">
            <w:pPr>
              <w:rPr>
                <w:rFonts w:ascii="Times New Roman" w:hAnsi="Times New Roman" w:cs="Times New Roman"/>
                <w:sz w:val="20"/>
                <w:szCs w:val="20"/>
              </w:rPr>
            </w:pPr>
          </w:p>
          <w:p w14:paraId="27FEB2BD"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(also 2.21 Threshold; Eligibility for Credit Under the Preservation Set Asides)</w:t>
            </w:r>
          </w:p>
        </w:tc>
        <w:tc>
          <w:tcPr>
            <w:tcW w:w="9590" w:type="dxa"/>
            <w:shd w:val="clear" w:color="auto" w:fill="auto"/>
            <w:tcMar>
              <w:top w:w="72" w:type="dxa"/>
              <w:left w:w="115" w:type="dxa"/>
              <w:bottom w:w="72" w:type="dxa"/>
              <w:right w:w="115" w:type="dxa"/>
            </w:tcMar>
            <w:vAlign w:val="center"/>
          </w:tcPr>
          <w:p w14:paraId="711BC902" w14:textId="77777777" w:rsidR="00CF5712" w:rsidRPr="00FC6043" w:rsidRDefault="00CF5712" w:rsidP="0042153C">
            <w:pPr>
              <w:contextualSpacing/>
              <w:rPr>
                <w:rFonts w:ascii="Times New Roman" w:hAnsi="Times New Roman" w:cs="Times New Roman"/>
                <w:b/>
                <w:bCs/>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xml:space="preserve">: </w:t>
            </w:r>
            <w:r w:rsidRPr="00D330DE">
              <w:rPr>
                <w:rFonts w:ascii="Times New Roman" w:hAnsi="Times New Roman"/>
                <w:sz w:val="20"/>
              </w:rPr>
              <w:t>Q22_0422_16</w:t>
            </w:r>
          </w:p>
          <w:p w14:paraId="51FB5573" w14:textId="77777777" w:rsidR="00CF5712" w:rsidRPr="00FC6043" w:rsidRDefault="00CF5712" w:rsidP="0042153C">
            <w:pPr>
              <w:contextualSpacing/>
              <w:rPr>
                <w:rFonts w:ascii="Times New Roman" w:hAnsi="Times New Roman" w:cs="Times New Roman"/>
                <w:sz w:val="20"/>
                <w:szCs w:val="20"/>
              </w:rPr>
            </w:pPr>
            <w:r w:rsidRPr="00FC6043">
              <w:rPr>
                <w:rFonts w:ascii="Times New Roman" w:hAnsi="Times New Roman" w:cs="Times New Roman"/>
                <w:sz w:val="20"/>
                <w:szCs w:val="20"/>
              </w:rPr>
              <w:t xml:space="preserve">Is an Application proposing a new construction RAD conversion eligible for the RAD Preservation Set Aside? </w:t>
            </w:r>
          </w:p>
          <w:p w14:paraId="320A0335" w14:textId="77777777" w:rsidR="00CF5712" w:rsidRPr="00FC6043" w:rsidRDefault="00CF5712" w:rsidP="0042153C">
            <w:pPr>
              <w:rPr>
                <w:rFonts w:ascii="Times New Roman" w:hAnsi="Times New Roman" w:cs="Times New Roman"/>
                <w:sz w:val="20"/>
                <w:szCs w:val="20"/>
              </w:rPr>
            </w:pPr>
          </w:p>
          <w:p w14:paraId="4529C758" w14:textId="77777777" w:rsidR="00CF5712" w:rsidRPr="00FC6043" w:rsidRDefault="00CF5712" w:rsidP="0042153C">
            <w:pPr>
              <w:rPr>
                <w:rFonts w:ascii="Times New Roman" w:hAnsi="Times New Roman" w:cs="Times New Roman"/>
                <w:b/>
                <w:bCs/>
                <w:sz w:val="20"/>
                <w:szCs w:val="20"/>
              </w:rPr>
            </w:pPr>
            <w:r w:rsidRPr="00FC6043">
              <w:rPr>
                <w:rFonts w:ascii="Times New Roman" w:hAnsi="Times New Roman" w:cs="Times New Roman"/>
                <w:b/>
                <w:bCs/>
                <w:sz w:val="20"/>
                <w:szCs w:val="20"/>
              </w:rPr>
              <w:t>Answer:</w:t>
            </w:r>
          </w:p>
          <w:p w14:paraId="6ED1528F" w14:textId="77777777" w:rsidR="00CF5712" w:rsidRPr="00FC6043" w:rsidRDefault="00CF5712" w:rsidP="0042153C">
            <w:pPr>
              <w:rPr>
                <w:rFonts w:ascii="Times New Roman" w:hAnsi="Times New Roman" w:cs="Times New Roman"/>
                <w:sz w:val="20"/>
                <w:szCs w:val="20"/>
              </w:rPr>
            </w:pPr>
            <w:r w:rsidRPr="00FC6043">
              <w:rPr>
                <w:rFonts w:ascii="Times New Roman" w:hAnsi="Times New Roman" w:cs="Times New Roman"/>
                <w:sz w:val="20"/>
                <w:szCs w:val="20"/>
              </w:rPr>
              <w:t xml:space="preserve">The QAP states in </w:t>
            </w:r>
            <w:r w:rsidRPr="00FC6043">
              <w:rPr>
                <w:rFonts w:ascii="Times New Roman" w:hAnsi="Times New Roman" w:cs="Times New Roman"/>
                <w:b/>
                <w:bCs/>
                <w:sz w:val="20"/>
                <w:szCs w:val="20"/>
              </w:rPr>
              <w:t>(Scoring) Applicability of Scoring Criteria:</w:t>
            </w:r>
            <w:r w:rsidRPr="00FC6043">
              <w:rPr>
                <w:rFonts w:ascii="Times New Roman" w:hAnsi="Times New Roman" w:cs="Times New Roman"/>
                <w:b/>
                <w:bCs/>
                <w:sz w:val="20"/>
                <w:szCs w:val="20"/>
              </w:rPr>
              <w:br/>
            </w:r>
          </w:p>
          <w:p w14:paraId="6F591EC0" w14:textId="77777777" w:rsidR="00CF5712" w:rsidRPr="00FC6043" w:rsidRDefault="00CF5712" w:rsidP="0042153C">
            <w:pPr>
              <w:ind w:left="720"/>
              <w:rPr>
                <w:rFonts w:ascii="Times New Roman" w:hAnsi="Times New Roman" w:cs="Times New Roman"/>
                <w:i/>
                <w:iCs/>
                <w:sz w:val="20"/>
                <w:szCs w:val="20"/>
              </w:rPr>
            </w:pPr>
            <w:r w:rsidRPr="00FC6043">
              <w:rPr>
                <w:rFonts w:ascii="Times New Roman" w:hAnsi="Times New Roman" w:cs="Times New Roman"/>
                <w:i/>
                <w:iCs/>
                <w:sz w:val="20"/>
                <w:szCs w:val="20"/>
              </w:rPr>
              <w:t xml:space="preserve">“Application evaluation will comprise separate competitive rankings based on scoring criteria specific to each of the following: </w:t>
            </w:r>
          </w:p>
          <w:p w14:paraId="48FD8DAE" w14:textId="77777777" w:rsidR="00CF5712" w:rsidRPr="00FC6043" w:rsidRDefault="00CF5712" w:rsidP="0042153C">
            <w:pPr>
              <w:pStyle w:val="ListParagraph"/>
              <w:numPr>
                <w:ilvl w:val="0"/>
                <w:numId w:val="52"/>
              </w:numPr>
              <w:rPr>
                <w:rFonts w:ascii="Times New Roman" w:hAnsi="Times New Roman" w:cs="Times New Roman"/>
                <w:i/>
                <w:iCs/>
                <w:sz w:val="20"/>
                <w:szCs w:val="20"/>
              </w:rPr>
            </w:pPr>
            <w:r w:rsidRPr="00FC6043">
              <w:rPr>
                <w:rFonts w:ascii="Times New Roman" w:hAnsi="Times New Roman" w:cs="Times New Roman"/>
                <w:i/>
                <w:iCs/>
                <w:sz w:val="20"/>
                <w:szCs w:val="20"/>
              </w:rPr>
              <w:t>New Supply or Preservation (rehabilitation of existing housing)</w:t>
            </w:r>
          </w:p>
          <w:p w14:paraId="423135A3" w14:textId="77777777" w:rsidR="00CF5712" w:rsidRPr="00FC6043" w:rsidRDefault="00CF5712" w:rsidP="0042153C">
            <w:pPr>
              <w:rPr>
                <w:rFonts w:ascii="Times New Roman" w:hAnsi="Times New Roman" w:cs="Times New Roman"/>
                <w:sz w:val="20"/>
                <w:szCs w:val="20"/>
              </w:rPr>
            </w:pPr>
          </w:p>
          <w:p w14:paraId="74E3777E" w14:textId="77777777" w:rsidR="00CF5712" w:rsidRPr="00FC6043" w:rsidRDefault="00CF5712" w:rsidP="0042153C">
            <w:pPr>
              <w:ind w:left="720"/>
              <w:rPr>
                <w:rFonts w:ascii="Times New Roman" w:hAnsi="Times New Roman" w:cs="Times New Roman"/>
                <w:i/>
                <w:iCs/>
                <w:sz w:val="20"/>
                <w:szCs w:val="20"/>
              </w:rPr>
            </w:pPr>
            <w:r w:rsidRPr="00FC6043">
              <w:rPr>
                <w:rFonts w:ascii="Times New Roman" w:hAnsi="Times New Roman" w:cs="Times New Roman"/>
                <w:i/>
                <w:iCs/>
                <w:sz w:val="20"/>
                <w:szCs w:val="20"/>
              </w:rPr>
              <w:t>Applications proposing a mix of New Supply and Preservation will be assigned to a competitive ranking based upon which construction type applies to the majority of proposed units.”</w:t>
            </w:r>
          </w:p>
          <w:p w14:paraId="556C0F56" w14:textId="77777777" w:rsidR="00CF5712" w:rsidRPr="00FC6043" w:rsidRDefault="00CF5712" w:rsidP="0042153C">
            <w:pPr>
              <w:rPr>
                <w:rFonts w:ascii="Times New Roman" w:hAnsi="Times New Roman" w:cs="Times New Roman"/>
                <w:sz w:val="20"/>
                <w:szCs w:val="20"/>
              </w:rPr>
            </w:pPr>
          </w:p>
          <w:p w14:paraId="2D954C1B" w14:textId="77777777" w:rsidR="00CF5712" w:rsidRPr="00FC6043" w:rsidRDefault="00CF5712" w:rsidP="0042153C">
            <w:pPr>
              <w:rPr>
                <w:rFonts w:ascii="Times New Roman" w:hAnsi="Times New Roman" w:cs="Times New Roman"/>
                <w:sz w:val="20"/>
                <w:szCs w:val="20"/>
              </w:rPr>
            </w:pPr>
            <w:r w:rsidRPr="00FC6043">
              <w:rPr>
                <w:rFonts w:ascii="Times New Roman" w:hAnsi="Times New Roman" w:cs="Times New Roman"/>
                <w:sz w:val="20"/>
                <w:szCs w:val="20"/>
              </w:rPr>
              <w:t xml:space="preserve">An Application proposing a RAD conversion that qualifies as New Supply (defined as “Applications proposing new construction or Adaptive Reuse”) is not eligible to compete under the RAD preservation set aside competitive </w:t>
            </w:r>
            <w:r w:rsidRPr="00FC6043">
              <w:rPr>
                <w:rFonts w:ascii="Times New Roman" w:hAnsi="Times New Roman" w:cs="Times New Roman"/>
                <w:sz w:val="20"/>
                <w:szCs w:val="20"/>
              </w:rPr>
              <w:lastRenderedPageBreak/>
              <w:t>ranking. An Application must propose rehabilitation of existing housing for the majority of the proposed units to compete under the preservation set asides.</w:t>
            </w:r>
          </w:p>
          <w:p w14:paraId="539576EF" w14:textId="77777777" w:rsidR="00CF5712" w:rsidRPr="00FC6043" w:rsidRDefault="00CF5712" w:rsidP="0042153C">
            <w:pPr>
              <w:rPr>
                <w:rFonts w:ascii="Times New Roman" w:hAnsi="Times New Roman" w:cs="Times New Roman"/>
                <w:sz w:val="20"/>
                <w:szCs w:val="20"/>
              </w:rPr>
            </w:pPr>
          </w:p>
          <w:p w14:paraId="28008179" w14:textId="77777777" w:rsidR="00CF5712" w:rsidRPr="00FC6043" w:rsidRDefault="00CF5712" w:rsidP="0042153C">
            <w:pPr>
              <w:rPr>
                <w:rFonts w:ascii="Times New Roman" w:hAnsi="Times New Roman" w:cs="Times New Roman"/>
                <w:sz w:val="20"/>
                <w:szCs w:val="20"/>
              </w:rPr>
            </w:pPr>
            <w:r w:rsidRPr="00FC6043">
              <w:rPr>
                <w:rFonts w:ascii="Times New Roman" w:hAnsi="Times New Roman" w:cs="Times New Roman"/>
                <w:sz w:val="20"/>
                <w:szCs w:val="20"/>
              </w:rPr>
              <w:t xml:space="preserve">Disqualifying new construction RAD conversions from the RAD set aside was a policy shift from the 2021 to the 2022 QAP (see Applicability of Scoring Criteria in each year). The primary intent was that new construction RAD developments have the opportunity to be competitive in the New Supply competition, whereas RAD rehabilitation requires the set aside because site selection is not an option. DCA welcomes public input on this topic for subsequent QAPs. </w:t>
            </w:r>
          </w:p>
        </w:tc>
      </w:tr>
      <w:tr w:rsidR="00CF5712" w:rsidRPr="00FC6043" w14:paraId="7CC2A8EC" w14:textId="77777777" w:rsidTr="1995616E">
        <w:trPr>
          <w:jc w:val="center"/>
        </w:trPr>
        <w:tc>
          <w:tcPr>
            <w:tcW w:w="2157" w:type="dxa"/>
            <w:shd w:val="clear" w:color="auto" w:fill="auto"/>
            <w:tcMar>
              <w:top w:w="72" w:type="dxa"/>
              <w:left w:w="115" w:type="dxa"/>
              <w:bottom w:w="72" w:type="dxa"/>
              <w:right w:w="115" w:type="dxa"/>
            </w:tcMar>
            <w:vAlign w:val="center"/>
          </w:tcPr>
          <w:p w14:paraId="1193A6DA"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5/16/22</w:t>
            </w:r>
          </w:p>
        </w:tc>
        <w:tc>
          <w:tcPr>
            <w:tcW w:w="2198" w:type="dxa"/>
            <w:shd w:val="clear" w:color="auto" w:fill="auto"/>
            <w:tcMar>
              <w:top w:w="72" w:type="dxa"/>
              <w:left w:w="115" w:type="dxa"/>
              <w:bottom w:w="72" w:type="dxa"/>
              <w:right w:w="115" w:type="dxa"/>
            </w:tcMar>
            <w:vAlign w:val="center"/>
          </w:tcPr>
          <w:p w14:paraId="6874A374"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3.05</w:t>
            </w:r>
          </w:p>
          <w:p w14:paraId="5DAF8410"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316A3B5F"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14:paraId="53747205" w14:textId="77777777" w:rsidR="00CF5712" w:rsidRPr="00FC6043" w:rsidRDefault="00CF5712" w:rsidP="00693C6E">
            <w:pPr>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Q22_0503_01a</w:t>
            </w:r>
          </w:p>
          <w:p w14:paraId="354700BC" w14:textId="77777777" w:rsidR="00CF5712" w:rsidRPr="00FC6043" w:rsidRDefault="00CF5712" w:rsidP="00693C6E">
            <w:pPr>
              <w:rPr>
                <w:rFonts w:ascii="Times New Roman" w:eastAsia="Times New Roman" w:hAnsi="Times New Roman" w:cs="Times New Roman"/>
                <w:color w:val="000000"/>
                <w:sz w:val="20"/>
                <w:szCs w:val="20"/>
              </w:rPr>
            </w:pPr>
            <w:r w:rsidRPr="00FC6043">
              <w:rPr>
                <w:rFonts w:ascii="Times New Roman" w:eastAsia="Times New Roman" w:hAnsi="Times New Roman" w:cs="Times New Roman"/>
                <w:color w:val="000000"/>
                <w:sz w:val="20"/>
                <w:szCs w:val="20"/>
              </w:rPr>
              <w:t>Can applicants submit evidence of more than one business that would qualify for points in a particular category? For example, if there are two restaurants within a similar radius of our site, can we submit information for each? We realize only one could ultimately be counted, but in this current environment we are concerned about the possibility that one would have to shut its doors by the time DCA conducted its review.</w:t>
            </w:r>
          </w:p>
          <w:p w14:paraId="7FF3FABE" w14:textId="77777777" w:rsidR="00CF5712" w:rsidRPr="00FC6043" w:rsidRDefault="00CF5712" w:rsidP="00693C6E">
            <w:pPr>
              <w:rPr>
                <w:rFonts w:ascii="Times New Roman" w:eastAsia="Times New Roman" w:hAnsi="Times New Roman" w:cs="Times New Roman"/>
                <w:color w:val="000000"/>
                <w:sz w:val="20"/>
                <w:szCs w:val="20"/>
              </w:rPr>
            </w:pPr>
          </w:p>
          <w:p w14:paraId="4DE7520B" w14:textId="77777777" w:rsidR="00CF5712" w:rsidRPr="00FC6043" w:rsidRDefault="00CF5712" w:rsidP="00693C6E">
            <w:pPr>
              <w:contextualSpacing/>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 xml:space="preserve">: </w:t>
            </w:r>
          </w:p>
          <w:p w14:paraId="3E435620" w14:textId="77777777" w:rsidR="00CF5712" w:rsidRPr="00FC6043" w:rsidRDefault="00CF5712" w:rsidP="00EE3E4F">
            <w:pPr>
              <w:contextualSpacing/>
              <w:rPr>
                <w:rFonts w:ascii="Times New Roman" w:hAnsi="Times New Roman" w:cs="Times New Roman"/>
                <w:b/>
                <w:bCs/>
                <w:sz w:val="20"/>
                <w:szCs w:val="20"/>
              </w:rPr>
            </w:pPr>
            <w:r w:rsidRPr="00FC6043">
              <w:rPr>
                <w:rFonts w:ascii="Times New Roman" w:hAnsi="Times New Roman" w:cs="Times New Roman"/>
                <w:sz w:val="20"/>
                <w:szCs w:val="20"/>
              </w:rPr>
              <w:t xml:space="preserve">DCA provided the following guidance </w:t>
            </w:r>
            <w:r>
              <w:rPr>
                <w:rFonts w:ascii="Times New Roman" w:hAnsi="Times New Roman" w:cs="Times New Roman"/>
                <w:sz w:val="20"/>
                <w:szCs w:val="20"/>
              </w:rPr>
              <w:t>for a similar question</w:t>
            </w:r>
            <w:r w:rsidRPr="00FC6043">
              <w:rPr>
                <w:rFonts w:ascii="Times New Roman" w:hAnsi="Times New Roman" w:cs="Times New Roman"/>
                <w:sz w:val="20"/>
                <w:szCs w:val="20"/>
              </w:rPr>
              <w:t xml:space="preserve"> during the 2021 9% Competitive Round (see 2021 Q&amp;A </w:t>
            </w:r>
            <w:r w:rsidRPr="00FC6043">
              <w:rPr>
                <w:rFonts w:ascii="Times New Roman" w:hAnsi="Times New Roman" w:cs="Times New Roman"/>
                <w:b/>
                <w:bCs/>
                <w:sz w:val="20"/>
                <w:szCs w:val="20"/>
              </w:rPr>
              <w:t>Q0201_06</w:t>
            </w:r>
            <w:r w:rsidRPr="00FC6043">
              <w:rPr>
                <w:rFonts w:ascii="Times New Roman" w:hAnsi="Times New Roman" w:cs="Times New Roman"/>
                <w:sz w:val="20"/>
                <w:szCs w:val="20"/>
              </w:rPr>
              <w:t>). This guidance still holds for purposes of the 2022 9% Competitive Round:</w:t>
            </w:r>
          </w:p>
          <w:p w14:paraId="384BD335" w14:textId="77777777" w:rsidR="00CF5712" w:rsidRPr="00FC6043" w:rsidRDefault="00CF5712" w:rsidP="00EE3E4F">
            <w:pPr>
              <w:contextualSpacing/>
              <w:rPr>
                <w:rFonts w:ascii="Times New Roman" w:hAnsi="Times New Roman" w:cs="Times New Roman"/>
                <w:b/>
                <w:bCs/>
                <w:sz w:val="20"/>
                <w:szCs w:val="20"/>
              </w:rPr>
            </w:pPr>
          </w:p>
          <w:p w14:paraId="4FF259F7" w14:textId="77777777" w:rsidR="00CF5712" w:rsidRPr="00FC6043" w:rsidRDefault="00CF5712" w:rsidP="00EE3E4F">
            <w:pPr>
              <w:ind w:left="720"/>
              <w:rPr>
                <w:rFonts w:ascii="Times New Roman" w:hAnsi="Times New Roman" w:cs="Times New Roman"/>
                <w:sz w:val="20"/>
                <w:szCs w:val="20"/>
              </w:rPr>
            </w:pPr>
            <w:r w:rsidRPr="00FC6043">
              <w:rPr>
                <w:rFonts w:ascii="Times New Roman" w:hAnsi="Times New Roman" w:cs="Times New Roman"/>
                <w:sz w:val="20"/>
                <w:szCs w:val="20"/>
              </w:rPr>
              <w:t>“An establishment that an applicant certifies is operational as of the Application Submission deadline...will qualify for points under this section. This certification is covered by the relevant clauses in the “Applicant Certification Letter” required for all applications and requires no separate actions specific to this section. Relevant clauses are below:</w:t>
            </w:r>
          </w:p>
          <w:p w14:paraId="1F723E09" w14:textId="77777777" w:rsidR="00CF5712" w:rsidRPr="00241FB6" w:rsidRDefault="00CF5712" w:rsidP="00241FB6">
            <w:pPr>
              <w:ind w:left="720"/>
              <w:rPr>
                <w:rFonts w:ascii="Times New Roman" w:hAnsi="Times New Roman" w:cs="Times New Roman"/>
                <w:i/>
                <w:sz w:val="20"/>
                <w:szCs w:val="20"/>
              </w:rPr>
            </w:pPr>
            <w:r>
              <w:rPr>
                <w:rFonts w:ascii="Times New Roman" w:hAnsi="Times New Roman" w:cs="Times New Roman"/>
                <w:i/>
                <w:iCs/>
                <w:sz w:val="20"/>
                <w:szCs w:val="20"/>
              </w:rPr>
              <w:br/>
            </w:r>
            <w:r w:rsidRPr="00FC6043">
              <w:rPr>
                <w:rFonts w:ascii="Times New Roman" w:hAnsi="Times New Roman" w:cs="Times New Roman"/>
                <w:i/>
                <w:iCs/>
                <w:sz w:val="20"/>
                <w:szCs w:val="20"/>
              </w:rPr>
              <w:t>‘I understand that, in the event an allocation (or an allowance) for LIHTCs was obtained with false information supplied to the Georgia Department of Community Affairs ("DCA"), DCA will recapture the LIHTCs or request that the IRS deny tax credits to the Applicant entity.   Also, a supplier, including the developer or owner, who knowingly provides false information will be barred by DCA from program participation for a period of five (5) years from the date the false information was discovered, in accordance with a Memorandum of Understanding between the Internal Revenue Service and the Georgia Housing and Finance Authority.’</w:t>
            </w:r>
            <w:r>
              <w:rPr>
                <w:rFonts w:ascii="Times New Roman" w:hAnsi="Times New Roman" w:cs="Times New Roman"/>
                <w:i/>
                <w:iCs/>
                <w:sz w:val="20"/>
                <w:szCs w:val="20"/>
              </w:rPr>
              <w:br/>
            </w:r>
            <w:r>
              <w:rPr>
                <w:rFonts w:ascii="Times New Roman" w:hAnsi="Times New Roman" w:cs="Times New Roman"/>
                <w:i/>
                <w:iCs/>
                <w:sz w:val="20"/>
                <w:szCs w:val="20"/>
              </w:rPr>
              <w:br/>
            </w:r>
            <w:r w:rsidRPr="00FC6043">
              <w:rPr>
                <w:rFonts w:ascii="Times New Roman" w:hAnsi="Times New Roman" w:cs="Times New Roman"/>
                <w:i/>
                <w:iCs/>
                <w:sz w:val="20"/>
                <w:szCs w:val="20"/>
              </w:rPr>
              <w:t>‘I understand that any misrepresentations, which includes fraudulent, negligent, and/or innocent, in this Application or supporting documentation may result in a withdrawal of tax credits and/or HOME loan by DCA, my (and related parties) being barred from future program participation, and notification of the Internal Revenue Service and/or HUD.’</w:t>
            </w:r>
          </w:p>
        </w:tc>
      </w:tr>
      <w:tr w:rsidR="00CF5712" w:rsidRPr="00FC6043" w14:paraId="60E1E44E" w14:textId="77777777" w:rsidTr="1995616E">
        <w:trPr>
          <w:jc w:val="center"/>
        </w:trPr>
        <w:tc>
          <w:tcPr>
            <w:tcW w:w="2157" w:type="dxa"/>
            <w:shd w:val="clear" w:color="auto" w:fill="auto"/>
            <w:tcMar>
              <w:top w:w="72" w:type="dxa"/>
              <w:left w:w="115" w:type="dxa"/>
              <w:bottom w:w="72" w:type="dxa"/>
              <w:right w:w="115" w:type="dxa"/>
            </w:tcMar>
            <w:vAlign w:val="center"/>
          </w:tcPr>
          <w:p w14:paraId="52D754C7"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5/16/22</w:t>
            </w:r>
          </w:p>
        </w:tc>
        <w:tc>
          <w:tcPr>
            <w:tcW w:w="2198" w:type="dxa"/>
            <w:shd w:val="clear" w:color="auto" w:fill="auto"/>
            <w:tcMar>
              <w:top w:w="72" w:type="dxa"/>
              <w:left w:w="115" w:type="dxa"/>
              <w:bottom w:w="72" w:type="dxa"/>
              <w:right w:w="115" w:type="dxa"/>
            </w:tcMar>
            <w:vAlign w:val="center"/>
          </w:tcPr>
          <w:p w14:paraId="29DC37A0"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3.10</w:t>
            </w:r>
          </w:p>
          <w:p w14:paraId="004ECD18"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6A1ECEA2"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Stable Communities</w:t>
            </w:r>
          </w:p>
        </w:tc>
        <w:tc>
          <w:tcPr>
            <w:tcW w:w="9590" w:type="dxa"/>
            <w:shd w:val="clear" w:color="auto" w:fill="auto"/>
            <w:tcMar>
              <w:top w:w="72" w:type="dxa"/>
              <w:left w:w="115" w:type="dxa"/>
              <w:bottom w:w="72" w:type="dxa"/>
              <w:right w:w="115" w:type="dxa"/>
            </w:tcMar>
            <w:vAlign w:val="center"/>
          </w:tcPr>
          <w:p w14:paraId="3AEA108B" w14:textId="77777777" w:rsidR="00CF5712" w:rsidRPr="00A06F36" w:rsidRDefault="00CF5712" w:rsidP="00A06F36">
            <w:pPr>
              <w:textAlignment w:val="baseline"/>
              <w:rPr>
                <w:rFonts w:ascii="Times New Roman" w:eastAsia="Times New Roman" w:hAnsi="Times New Roman" w:cs="Times New Roman"/>
                <w:sz w:val="20"/>
                <w:szCs w:val="20"/>
              </w:rPr>
            </w:pPr>
            <w:r w:rsidRPr="00A06F36">
              <w:rPr>
                <w:rFonts w:ascii="Times New Roman" w:eastAsia="Times New Roman" w:hAnsi="Times New Roman" w:cs="Times New Roman"/>
                <w:b/>
                <w:bCs/>
                <w:sz w:val="20"/>
                <w:szCs w:val="20"/>
              </w:rPr>
              <w:t>Question</w:t>
            </w:r>
            <w:r w:rsidRPr="00A06F36">
              <w:rPr>
                <w:rFonts w:ascii="Times New Roman" w:eastAsia="Times New Roman" w:hAnsi="Times New Roman" w:cs="Times New Roman"/>
                <w:sz w:val="20"/>
                <w:szCs w:val="20"/>
              </w:rPr>
              <w:t xml:space="preserve">: </w:t>
            </w:r>
            <w:r w:rsidRPr="00A06F36">
              <w:rPr>
                <w:rFonts w:ascii="Times New Roman" w:eastAsia="Times New Roman" w:hAnsi="Times New Roman" w:cs="Times New Roman"/>
                <w:b/>
                <w:bCs/>
                <w:sz w:val="20"/>
                <w:szCs w:val="20"/>
              </w:rPr>
              <w:t>Q22_0510_15</w:t>
            </w:r>
            <w:r w:rsidRPr="00A06F36">
              <w:rPr>
                <w:rFonts w:ascii="Times New Roman" w:eastAsia="Times New Roman" w:hAnsi="Times New Roman" w:cs="Times New Roman"/>
                <w:sz w:val="20"/>
                <w:szCs w:val="20"/>
              </w:rPr>
              <w:t> </w:t>
            </w:r>
          </w:p>
          <w:p w14:paraId="408977BE" w14:textId="77777777" w:rsidR="00CF5712" w:rsidRPr="00A06F36" w:rsidRDefault="00CF5712" w:rsidP="00A06F36">
            <w:pPr>
              <w:textAlignment w:val="baseline"/>
              <w:rPr>
                <w:rFonts w:ascii="Times New Roman" w:eastAsia="Times New Roman" w:hAnsi="Times New Roman" w:cs="Times New Roman"/>
                <w:sz w:val="20"/>
                <w:szCs w:val="20"/>
              </w:rPr>
            </w:pPr>
            <w:r w:rsidRPr="00A06F36">
              <w:rPr>
                <w:rFonts w:ascii="Times New Roman" w:eastAsia="Times New Roman" w:hAnsi="Times New Roman" w:cs="Times New Roman"/>
                <w:color w:val="242424"/>
                <w:sz w:val="20"/>
                <w:szCs w:val="20"/>
                <w:shd w:val="clear" w:color="auto" w:fill="FFFFFF"/>
              </w:rPr>
              <w:t xml:space="preserve">I am having trouble figuring out how to get </w:t>
            </w:r>
            <w:r>
              <w:rPr>
                <w:rFonts w:ascii="Times New Roman" w:eastAsia="Times New Roman" w:hAnsi="Times New Roman" w:cs="Times New Roman"/>
                <w:color w:val="242424"/>
                <w:sz w:val="20"/>
                <w:szCs w:val="20"/>
                <w:shd w:val="clear" w:color="auto" w:fill="FFFFFF"/>
              </w:rPr>
              <w:t xml:space="preserve">scoring </w:t>
            </w:r>
            <w:r w:rsidRPr="00A06F36">
              <w:rPr>
                <w:rFonts w:ascii="Times New Roman" w:eastAsia="Times New Roman" w:hAnsi="Times New Roman" w:cs="Times New Roman"/>
                <w:color w:val="242424"/>
                <w:sz w:val="20"/>
                <w:szCs w:val="20"/>
                <w:shd w:val="clear" w:color="auto" w:fill="FFFFFF"/>
              </w:rPr>
              <w:t>information for a specific census tract. How can I get assistance for this? </w:t>
            </w:r>
            <w:r w:rsidRPr="00A06F36">
              <w:rPr>
                <w:rFonts w:ascii="Times New Roman" w:eastAsia="Times New Roman" w:hAnsi="Times New Roman" w:cs="Times New Roman"/>
                <w:color w:val="242424"/>
                <w:sz w:val="20"/>
                <w:szCs w:val="20"/>
              </w:rPr>
              <w:t> </w:t>
            </w:r>
          </w:p>
          <w:p w14:paraId="74C3864B" w14:textId="77777777" w:rsidR="00CF5712" w:rsidRPr="00A06F36" w:rsidRDefault="00CF5712" w:rsidP="00A06F36">
            <w:pPr>
              <w:textAlignment w:val="baseline"/>
              <w:rPr>
                <w:rFonts w:ascii="Times New Roman" w:eastAsia="Times New Roman" w:hAnsi="Times New Roman" w:cs="Times New Roman"/>
                <w:sz w:val="20"/>
                <w:szCs w:val="20"/>
              </w:rPr>
            </w:pPr>
            <w:r w:rsidRPr="00A06F36">
              <w:rPr>
                <w:rFonts w:ascii="Times New Roman" w:eastAsia="Times New Roman" w:hAnsi="Times New Roman" w:cs="Times New Roman"/>
                <w:sz w:val="20"/>
                <w:szCs w:val="20"/>
              </w:rPr>
              <w:lastRenderedPageBreak/>
              <w:t> </w:t>
            </w:r>
          </w:p>
          <w:p w14:paraId="0C03D606" w14:textId="77777777" w:rsidR="00CF5712" w:rsidRPr="00A06F36" w:rsidRDefault="00CF5712" w:rsidP="00A06F36">
            <w:pPr>
              <w:textAlignment w:val="baseline"/>
              <w:rPr>
                <w:rFonts w:ascii="Times New Roman" w:eastAsia="Times New Roman" w:hAnsi="Times New Roman" w:cs="Times New Roman"/>
                <w:sz w:val="20"/>
                <w:szCs w:val="20"/>
              </w:rPr>
            </w:pPr>
            <w:r w:rsidRPr="00A06F36">
              <w:rPr>
                <w:rFonts w:ascii="Times New Roman" w:eastAsia="Times New Roman" w:hAnsi="Times New Roman" w:cs="Times New Roman"/>
                <w:b/>
                <w:bCs/>
                <w:sz w:val="20"/>
                <w:szCs w:val="20"/>
              </w:rPr>
              <w:t>Answer</w:t>
            </w:r>
            <w:r w:rsidRPr="00A06F36">
              <w:rPr>
                <w:rFonts w:ascii="Times New Roman" w:eastAsia="Times New Roman" w:hAnsi="Times New Roman" w:cs="Times New Roman"/>
                <w:sz w:val="20"/>
                <w:szCs w:val="20"/>
              </w:rPr>
              <w:t>:  </w:t>
            </w:r>
          </w:p>
          <w:p w14:paraId="0A365184" w14:textId="77777777" w:rsidR="00CF5712" w:rsidRPr="00FC6043" w:rsidRDefault="00CF5712" w:rsidP="00304B2F">
            <w:pPr>
              <w:textAlignment w:val="baseline"/>
              <w:rPr>
                <w:rFonts w:ascii="Times New Roman" w:eastAsia="Times New Roman" w:hAnsi="Times New Roman" w:cs="Times New Roman"/>
                <w:sz w:val="20"/>
                <w:szCs w:val="20"/>
              </w:rPr>
            </w:pPr>
            <w:r w:rsidRPr="00A06F36">
              <w:rPr>
                <w:rFonts w:ascii="Times New Roman" w:eastAsia="Times New Roman" w:hAnsi="Times New Roman" w:cs="Times New Roman"/>
                <w:color w:val="242424"/>
                <w:sz w:val="20"/>
                <w:szCs w:val="20"/>
                <w:shd w:val="clear" w:color="auto" w:fill="FFFFFF"/>
              </w:rPr>
              <w:t>Please review </w:t>
            </w:r>
            <w:r w:rsidRPr="00A06F36">
              <w:rPr>
                <w:rFonts w:ascii="Times New Roman" w:eastAsia="Times New Roman" w:hAnsi="Times New Roman" w:cs="Times New Roman"/>
                <w:b/>
                <w:bCs/>
                <w:color w:val="242424"/>
                <w:sz w:val="20"/>
                <w:szCs w:val="20"/>
                <w:shd w:val="clear" w:color="auto" w:fill="FFFFFF"/>
              </w:rPr>
              <w:t>Q22_0419_03</w:t>
            </w:r>
            <w:r w:rsidRPr="00A06F36">
              <w:rPr>
                <w:rFonts w:ascii="Times New Roman" w:eastAsia="Times New Roman" w:hAnsi="Times New Roman" w:cs="Times New Roman"/>
                <w:color w:val="242424"/>
                <w:sz w:val="20"/>
                <w:szCs w:val="20"/>
                <w:shd w:val="clear" w:color="auto" w:fill="FFFFFF"/>
              </w:rPr>
              <w:t>. If you still are unable to confirm the information you're seeking for a specific census tract, please feel free to submit the census tract through our Q&amp;A survey (</w:t>
            </w:r>
            <w:hyperlink r:id="rId20" w:tgtFrame="_blank" w:history="1">
              <w:r w:rsidRPr="00A06F36">
                <w:rPr>
                  <w:rFonts w:ascii="Times New Roman" w:eastAsia="Times New Roman" w:hAnsi="Times New Roman" w:cs="Times New Roman"/>
                  <w:color w:val="0563C1"/>
                  <w:sz w:val="20"/>
                  <w:szCs w:val="20"/>
                  <w:u w:val="single"/>
                  <w:shd w:val="clear" w:color="auto" w:fill="FFFFFF"/>
                </w:rPr>
                <w:t>click here</w:t>
              </w:r>
            </w:hyperlink>
            <w:r w:rsidRPr="00A06F36">
              <w:rPr>
                <w:rFonts w:ascii="Times New Roman" w:eastAsia="Times New Roman" w:hAnsi="Times New Roman" w:cs="Times New Roman"/>
                <w:color w:val="242424"/>
                <w:sz w:val="20"/>
                <w:szCs w:val="20"/>
                <w:shd w:val="clear" w:color="auto" w:fill="FFFFFF"/>
              </w:rPr>
              <w:t>) with the issue you're having.</w:t>
            </w:r>
            <w:r w:rsidRPr="00A06F36">
              <w:rPr>
                <w:rFonts w:ascii="Times New Roman" w:eastAsia="Times New Roman" w:hAnsi="Times New Roman" w:cs="Times New Roman"/>
                <w:color w:val="242424"/>
                <w:sz w:val="20"/>
                <w:szCs w:val="20"/>
              </w:rPr>
              <w:t> </w:t>
            </w:r>
          </w:p>
        </w:tc>
      </w:tr>
      <w:tr w:rsidR="00CF5712" w:rsidRPr="00FC6043" w14:paraId="24DE9022" w14:textId="77777777" w:rsidTr="1995616E">
        <w:trPr>
          <w:jc w:val="center"/>
        </w:trPr>
        <w:tc>
          <w:tcPr>
            <w:tcW w:w="2157" w:type="dxa"/>
            <w:shd w:val="clear" w:color="auto" w:fill="auto"/>
            <w:tcMar>
              <w:top w:w="72" w:type="dxa"/>
              <w:left w:w="115" w:type="dxa"/>
              <w:bottom w:w="72" w:type="dxa"/>
              <w:right w:w="115" w:type="dxa"/>
            </w:tcMar>
            <w:vAlign w:val="center"/>
          </w:tcPr>
          <w:p w14:paraId="55007CBF"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5/16/22</w:t>
            </w:r>
          </w:p>
        </w:tc>
        <w:tc>
          <w:tcPr>
            <w:tcW w:w="2198" w:type="dxa"/>
            <w:shd w:val="clear" w:color="auto" w:fill="auto"/>
            <w:tcMar>
              <w:top w:w="72" w:type="dxa"/>
              <w:left w:w="115" w:type="dxa"/>
              <w:bottom w:w="72" w:type="dxa"/>
              <w:right w:w="115" w:type="dxa"/>
            </w:tcMar>
            <w:vAlign w:val="center"/>
          </w:tcPr>
          <w:p w14:paraId="0EBE8142" w14:textId="77777777" w:rsidR="00CF5712" w:rsidRPr="00FC6043" w:rsidRDefault="00CF5712" w:rsidP="00FC6043">
            <w:pPr>
              <w:rPr>
                <w:rFonts w:ascii="Times New Roman" w:hAnsi="Times New Roman" w:cs="Times New Roman"/>
                <w:sz w:val="20"/>
                <w:szCs w:val="20"/>
              </w:rPr>
            </w:pPr>
            <w:r w:rsidRPr="00FC6043">
              <w:rPr>
                <w:rFonts w:ascii="Times New Roman" w:hAnsi="Times New Roman" w:cs="Times New Roman"/>
                <w:sz w:val="20"/>
                <w:szCs w:val="20"/>
              </w:rPr>
              <w:t>3.10</w:t>
            </w:r>
          </w:p>
          <w:p w14:paraId="3D717A99" w14:textId="77777777" w:rsidR="00CF5712" w:rsidRPr="00FC6043" w:rsidRDefault="00CF5712" w:rsidP="00FC6043">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45790D35" w14:textId="77777777" w:rsidR="00CF5712" w:rsidRPr="00FC6043" w:rsidRDefault="00CF5712" w:rsidP="00FC6043">
            <w:pPr>
              <w:rPr>
                <w:rFonts w:ascii="Times New Roman" w:hAnsi="Times New Roman" w:cs="Times New Roman"/>
                <w:sz w:val="20"/>
                <w:szCs w:val="20"/>
              </w:rPr>
            </w:pPr>
            <w:r w:rsidRPr="00FC6043">
              <w:rPr>
                <w:rFonts w:ascii="Times New Roman" w:hAnsi="Times New Roman" w:cs="Times New Roman"/>
                <w:sz w:val="20"/>
                <w:szCs w:val="20"/>
              </w:rPr>
              <w:t>Stable Communities</w:t>
            </w:r>
          </w:p>
        </w:tc>
        <w:tc>
          <w:tcPr>
            <w:tcW w:w="9590" w:type="dxa"/>
            <w:shd w:val="clear" w:color="auto" w:fill="auto"/>
            <w:tcMar>
              <w:top w:w="72" w:type="dxa"/>
              <w:left w:w="115" w:type="dxa"/>
              <w:bottom w:w="72" w:type="dxa"/>
              <w:right w:w="115" w:type="dxa"/>
            </w:tcMar>
            <w:vAlign w:val="center"/>
          </w:tcPr>
          <w:p w14:paraId="4FFC8AFC" w14:textId="77777777" w:rsidR="00CF5712" w:rsidRPr="00CA3A13" w:rsidRDefault="00CF5712" w:rsidP="00CA3A13">
            <w:pPr>
              <w:textAlignment w:val="baseline"/>
              <w:rPr>
                <w:rFonts w:ascii="Times New Roman" w:eastAsia="Times New Roman" w:hAnsi="Times New Roman" w:cs="Times New Roman"/>
                <w:sz w:val="20"/>
                <w:szCs w:val="20"/>
              </w:rPr>
            </w:pPr>
            <w:r w:rsidRPr="00CA3A13">
              <w:rPr>
                <w:rFonts w:ascii="Times New Roman" w:eastAsia="Times New Roman" w:hAnsi="Times New Roman" w:cs="Times New Roman"/>
                <w:b/>
                <w:bCs/>
                <w:sz w:val="20"/>
                <w:szCs w:val="20"/>
              </w:rPr>
              <w:t>Question</w:t>
            </w:r>
            <w:r w:rsidRPr="00CA3A13">
              <w:rPr>
                <w:rFonts w:ascii="Times New Roman" w:eastAsia="Times New Roman" w:hAnsi="Times New Roman" w:cs="Times New Roman"/>
                <w:sz w:val="20"/>
                <w:szCs w:val="20"/>
              </w:rPr>
              <w:t>: Q22_0429_02 </w:t>
            </w:r>
          </w:p>
          <w:p w14:paraId="266CD27F" w14:textId="77777777" w:rsidR="00CF5712" w:rsidRPr="00CA3A13" w:rsidRDefault="00CF5712" w:rsidP="00CA3A13">
            <w:pPr>
              <w:textAlignment w:val="baseline"/>
              <w:rPr>
                <w:rFonts w:ascii="Times New Roman" w:eastAsia="Times New Roman" w:hAnsi="Times New Roman" w:cs="Times New Roman"/>
                <w:sz w:val="20"/>
                <w:szCs w:val="20"/>
              </w:rPr>
            </w:pPr>
            <w:r w:rsidRPr="00CA3A13">
              <w:rPr>
                <w:rFonts w:ascii="Times New Roman" w:eastAsia="Times New Roman" w:hAnsi="Times New Roman" w:cs="Times New Roman"/>
                <w:color w:val="000000"/>
                <w:sz w:val="20"/>
                <w:szCs w:val="20"/>
              </w:rPr>
              <w:t xml:space="preserve">If my application’s 2010 Census Tract is associated with multiple 2020 Census Tracts according to the </w:t>
            </w:r>
            <w:r w:rsidRPr="00CA3A13">
              <w:rPr>
                <w:rFonts w:ascii="Times New Roman" w:eastAsia="Times New Roman" w:hAnsi="Times New Roman" w:cs="Times New Roman"/>
                <w:i/>
                <w:iCs/>
                <w:color w:val="000000"/>
                <w:sz w:val="20"/>
                <w:szCs w:val="20"/>
              </w:rPr>
              <w:t>2010 to 2020 Census Tract Relationship File</w:t>
            </w:r>
            <w:r w:rsidRPr="00CA3A13">
              <w:rPr>
                <w:rFonts w:ascii="Times New Roman" w:eastAsia="Times New Roman" w:hAnsi="Times New Roman" w:cs="Times New Roman"/>
                <w:color w:val="000000"/>
                <w:sz w:val="20"/>
                <w:szCs w:val="20"/>
              </w:rPr>
              <w:t xml:space="preserve"> posted to the DCA website on 4/20/22, may I claim points using any of the associated 2020 Census Tracts? </w:t>
            </w:r>
          </w:p>
          <w:p w14:paraId="37D409A9" w14:textId="77777777" w:rsidR="00CF5712" w:rsidRPr="00CA3A13" w:rsidRDefault="00CF5712" w:rsidP="00CA3A13">
            <w:pPr>
              <w:textAlignment w:val="baseline"/>
              <w:rPr>
                <w:rFonts w:ascii="Times New Roman" w:eastAsia="Times New Roman" w:hAnsi="Times New Roman" w:cs="Times New Roman"/>
                <w:sz w:val="20"/>
                <w:szCs w:val="20"/>
              </w:rPr>
            </w:pPr>
            <w:r w:rsidRPr="00CA3A13">
              <w:rPr>
                <w:rFonts w:ascii="Times New Roman" w:eastAsia="Times New Roman" w:hAnsi="Times New Roman" w:cs="Times New Roman"/>
                <w:color w:val="000000"/>
                <w:sz w:val="20"/>
                <w:szCs w:val="20"/>
              </w:rPr>
              <w:t> </w:t>
            </w:r>
          </w:p>
          <w:p w14:paraId="5C8362B9" w14:textId="77777777" w:rsidR="00CF5712" w:rsidRPr="00CA3A13" w:rsidRDefault="00CF5712" w:rsidP="00CA3A13">
            <w:pPr>
              <w:textAlignment w:val="baseline"/>
              <w:rPr>
                <w:rFonts w:ascii="Times New Roman" w:eastAsia="Times New Roman" w:hAnsi="Times New Roman" w:cs="Times New Roman"/>
                <w:sz w:val="20"/>
                <w:szCs w:val="20"/>
              </w:rPr>
            </w:pPr>
            <w:r w:rsidRPr="00CA3A13">
              <w:rPr>
                <w:rFonts w:ascii="Times New Roman" w:eastAsia="Times New Roman" w:hAnsi="Times New Roman" w:cs="Times New Roman"/>
                <w:b/>
                <w:bCs/>
                <w:sz w:val="20"/>
                <w:szCs w:val="20"/>
              </w:rPr>
              <w:t>Answer</w:t>
            </w:r>
            <w:r w:rsidRPr="00CA3A13">
              <w:rPr>
                <w:rFonts w:ascii="Times New Roman" w:eastAsia="Times New Roman" w:hAnsi="Times New Roman" w:cs="Times New Roman"/>
                <w:sz w:val="20"/>
                <w:szCs w:val="20"/>
              </w:rPr>
              <w:t>:  </w:t>
            </w:r>
          </w:p>
          <w:p w14:paraId="376F343D" w14:textId="77777777" w:rsidR="00CF5712" w:rsidRPr="00CA3A13" w:rsidRDefault="00CF5712" w:rsidP="00CA3A13">
            <w:pPr>
              <w:textAlignment w:val="baseline"/>
              <w:rPr>
                <w:rFonts w:ascii="Times New Roman" w:eastAsia="Times New Roman" w:hAnsi="Times New Roman" w:cs="Times New Roman"/>
                <w:sz w:val="20"/>
                <w:szCs w:val="20"/>
              </w:rPr>
            </w:pPr>
            <w:r w:rsidRPr="00CA3A13">
              <w:rPr>
                <w:rFonts w:ascii="Times New Roman" w:eastAsia="Times New Roman" w:hAnsi="Times New Roman" w:cs="Times New Roman"/>
                <w:color w:val="000000"/>
                <w:sz w:val="20"/>
                <w:szCs w:val="20"/>
              </w:rPr>
              <w:t>No, applicants will not receive points related to a Census Tract that does not include the proposed development. Applicants are responsible for identifying their proposed development’s 2010 Census Tracts (where applicant is using 2018 or 2019 data) and 2020 Census Tracts (where applicable is using 2020 data). </w:t>
            </w:r>
          </w:p>
          <w:p w14:paraId="4033EA9E" w14:textId="77777777" w:rsidR="00CF5712" w:rsidRPr="00CA3A13" w:rsidRDefault="00CF5712" w:rsidP="00CA3A13">
            <w:pPr>
              <w:textAlignment w:val="baseline"/>
              <w:rPr>
                <w:rFonts w:ascii="Times New Roman" w:eastAsia="Times New Roman" w:hAnsi="Times New Roman" w:cs="Times New Roman"/>
                <w:sz w:val="20"/>
                <w:szCs w:val="20"/>
              </w:rPr>
            </w:pPr>
            <w:r w:rsidRPr="00CA3A13">
              <w:rPr>
                <w:rFonts w:ascii="Times New Roman" w:eastAsia="Times New Roman" w:hAnsi="Times New Roman" w:cs="Times New Roman"/>
                <w:color w:val="000000"/>
                <w:sz w:val="20"/>
                <w:szCs w:val="20"/>
              </w:rPr>
              <w:t> </w:t>
            </w:r>
          </w:p>
          <w:p w14:paraId="22BC7CCD" w14:textId="77777777" w:rsidR="00CF5712" w:rsidRPr="00CA3A13" w:rsidRDefault="00CF5712" w:rsidP="00CA3A13">
            <w:pPr>
              <w:textAlignment w:val="baseline"/>
              <w:rPr>
                <w:rFonts w:ascii="Times New Roman" w:eastAsia="Times New Roman" w:hAnsi="Times New Roman" w:cs="Times New Roman"/>
                <w:sz w:val="20"/>
                <w:szCs w:val="20"/>
              </w:rPr>
            </w:pPr>
            <w:r w:rsidRPr="00CA3A13">
              <w:rPr>
                <w:rFonts w:ascii="Times New Roman" w:eastAsia="Times New Roman" w:hAnsi="Times New Roman" w:cs="Times New Roman"/>
                <w:color w:val="000000"/>
                <w:sz w:val="20"/>
                <w:szCs w:val="20"/>
              </w:rPr>
              <w:t xml:space="preserve">A 2010 Tract may be associated with multiple 2020 Tracts, and vice versa, as some 2010 Tracts were split into multiple 2020 Tracts, and other 2010 Tracts were combined into one 2020 Tract. The </w:t>
            </w:r>
            <w:r w:rsidRPr="00CA3A13">
              <w:rPr>
                <w:rFonts w:ascii="Times New Roman" w:eastAsia="Times New Roman" w:hAnsi="Times New Roman" w:cs="Times New Roman"/>
                <w:i/>
                <w:iCs/>
                <w:color w:val="000000"/>
                <w:sz w:val="20"/>
                <w:szCs w:val="20"/>
              </w:rPr>
              <w:t>2010 to 2020 Census Tract Relationship File</w:t>
            </w:r>
            <w:r w:rsidRPr="00CA3A13">
              <w:rPr>
                <w:rFonts w:ascii="Times New Roman" w:eastAsia="Times New Roman" w:hAnsi="Times New Roman" w:cs="Times New Roman"/>
                <w:color w:val="000000"/>
                <w:sz w:val="20"/>
                <w:szCs w:val="20"/>
              </w:rPr>
              <w:t xml:space="preserve"> is solely intended to assist applicants in understanding how Census Tracts have changed from 2010 to 2020 and may not be used to claim points for a Census Tract which does not include the proposed development. </w:t>
            </w:r>
          </w:p>
          <w:p w14:paraId="340C904D" w14:textId="77777777" w:rsidR="00CF5712" w:rsidRPr="00CA3A13" w:rsidRDefault="00CF5712" w:rsidP="00CA3A13">
            <w:pPr>
              <w:textAlignment w:val="baseline"/>
              <w:rPr>
                <w:rFonts w:ascii="Times New Roman" w:eastAsia="Times New Roman" w:hAnsi="Times New Roman" w:cs="Times New Roman"/>
                <w:sz w:val="20"/>
                <w:szCs w:val="20"/>
              </w:rPr>
            </w:pPr>
            <w:r w:rsidRPr="00CA3A13">
              <w:rPr>
                <w:rFonts w:ascii="Times New Roman" w:eastAsia="Times New Roman" w:hAnsi="Times New Roman" w:cs="Times New Roman"/>
                <w:color w:val="000000"/>
                <w:sz w:val="20"/>
                <w:szCs w:val="20"/>
              </w:rPr>
              <w:t> </w:t>
            </w:r>
          </w:p>
          <w:p w14:paraId="6108ACEB" w14:textId="77777777" w:rsidR="00CF5712" w:rsidRPr="00FC6043" w:rsidRDefault="00CF5712" w:rsidP="00304B2F">
            <w:pPr>
              <w:textAlignment w:val="baseline"/>
              <w:rPr>
                <w:rFonts w:ascii="Times New Roman" w:eastAsia="Times New Roman" w:hAnsi="Times New Roman" w:cs="Times New Roman"/>
                <w:sz w:val="20"/>
                <w:szCs w:val="20"/>
              </w:rPr>
            </w:pPr>
            <w:r w:rsidRPr="00CA3A13">
              <w:rPr>
                <w:rFonts w:ascii="Times New Roman" w:eastAsia="Times New Roman" w:hAnsi="Times New Roman" w:cs="Times New Roman"/>
                <w:color w:val="000000"/>
                <w:sz w:val="20"/>
                <w:szCs w:val="20"/>
              </w:rPr>
              <w:t xml:space="preserve">DCA has also added “2010 Census Tracts” and “2020 Census Tracts” layers to the </w:t>
            </w:r>
            <w:r w:rsidRPr="00CA3A13">
              <w:rPr>
                <w:rFonts w:ascii="Times New Roman" w:eastAsia="Times New Roman" w:hAnsi="Times New Roman" w:cs="Times New Roman"/>
                <w:i/>
                <w:iCs/>
                <w:color w:val="000000"/>
                <w:sz w:val="20"/>
                <w:szCs w:val="20"/>
              </w:rPr>
              <w:t xml:space="preserve">Housing Tax Credit Properties Map </w:t>
            </w:r>
            <w:r w:rsidRPr="00CA3A13">
              <w:rPr>
                <w:rFonts w:ascii="Times New Roman" w:eastAsia="Times New Roman" w:hAnsi="Times New Roman" w:cs="Times New Roman"/>
                <w:color w:val="000000"/>
                <w:sz w:val="20"/>
                <w:szCs w:val="20"/>
              </w:rPr>
              <w:t>posted to the 2022 QAP Scoring Documents and Data page of the DCA website (</w:t>
            </w:r>
            <w:hyperlink r:id="rId21" w:tgtFrame="_blank" w:history="1">
              <w:r w:rsidRPr="00CA3A13">
                <w:rPr>
                  <w:rFonts w:ascii="Times New Roman" w:eastAsia="Times New Roman" w:hAnsi="Times New Roman" w:cs="Times New Roman"/>
                  <w:color w:val="0563C1"/>
                  <w:sz w:val="20"/>
                  <w:szCs w:val="20"/>
                  <w:u w:val="single"/>
                </w:rPr>
                <w:t>click here</w:t>
              </w:r>
            </w:hyperlink>
            <w:r w:rsidRPr="00CA3A13">
              <w:rPr>
                <w:rFonts w:ascii="Times New Roman" w:eastAsia="Times New Roman" w:hAnsi="Times New Roman" w:cs="Times New Roman"/>
                <w:color w:val="000000"/>
                <w:sz w:val="20"/>
                <w:szCs w:val="20"/>
              </w:rPr>
              <w:t xml:space="preserve">), allowing applicants to identify their proposed development’s Census Tract by entering the property location in the search bar. See the response to question </w:t>
            </w:r>
            <w:r w:rsidRPr="00CA3A13">
              <w:rPr>
                <w:rFonts w:ascii="Times New Roman" w:eastAsia="Times New Roman" w:hAnsi="Times New Roman" w:cs="Times New Roman"/>
                <w:b/>
                <w:bCs/>
                <w:color w:val="000000"/>
                <w:sz w:val="20"/>
                <w:szCs w:val="20"/>
              </w:rPr>
              <w:t>Q22_0419_03</w:t>
            </w:r>
            <w:r w:rsidRPr="00CA3A13">
              <w:rPr>
                <w:rFonts w:ascii="Times New Roman" w:eastAsia="Times New Roman" w:hAnsi="Times New Roman" w:cs="Times New Roman"/>
                <w:color w:val="000000"/>
                <w:sz w:val="20"/>
                <w:szCs w:val="20"/>
              </w:rPr>
              <w:t xml:space="preserve"> added to the </w:t>
            </w:r>
            <w:r w:rsidRPr="00CA3A13">
              <w:rPr>
                <w:rFonts w:ascii="Times New Roman" w:eastAsia="Times New Roman" w:hAnsi="Times New Roman" w:cs="Times New Roman"/>
                <w:i/>
                <w:iCs/>
                <w:color w:val="000000"/>
                <w:sz w:val="20"/>
                <w:szCs w:val="20"/>
              </w:rPr>
              <w:t>Q&amp;A Instructions and DCA Responses</w:t>
            </w:r>
            <w:r w:rsidRPr="00CA3A13">
              <w:rPr>
                <w:rFonts w:ascii="Times New Roman" w:eastAsia="Times New Roman" w:hAnsi="Times New Roman" w:cs="Times New Roman"/>
                <w:color w:val="000000"/>
                <w:sz w:val="20"/>
                <w:szCs w:val="20"/>
              </w:rPr>
              <w:t xml:space="preserve"> document on 4/21/22 for detailed instructions. </w:t>
            </w:r>
          </w:p>
        </w:tc>
      </w:tr>
      <w:tr w:rsidR="00CF5712" w:rsidRPr="00FC6043" w14:paraId="5739807E" w14:textId="77777777" w:rsidTr="1995616E">
        <w:trPr>
          <w:jc w:val="center"/>
        </w:trPr>
        <w:tc>
          <w:tcPr>
            <w:tcW w:w="2157" w:type="dxa"/>
            <w:shd w:val="clear" w:color="auto" w:fill="auto"/>
            <w:tcMar>
              <w:top w:w="72" w:type="dxa"/>
              <w:left w:w="115" w:type="dxa"/>
              <w:bottom w:w="72" w:type="dxa"/>
              <w:right w:w="115" w:type="dxa"/>
            </w:tcMar>
            <w:vAlign w:val="center"/>
          </w:tcPr>
          <w:p w14:paraId="094C3D40" w14:textId="77777777" w:rsidR="00CF5712" w:rsidRPr="00FC6043" w:rsidRDefault="00CF5712" w:rsidP="00304B2F">
            <w:pPr>
              <w:rPr>
                <w:rFonts w:ascii="Times New Roman" w:hAnsi="Times New Roman" w:cs="Times New Roman"/>
                <w:noProof/>
                <w:sz w:val="20"/>
                <w:szCs w:val="20"/>
              </w:rPr>
            </w:pPr>
            <w:r>
              <w:rPr>
                <w:rFonts w:ascii="Times New Roman" w:hAnsi="Times New Roman" w:cs="Times New Roman"/>
                <w:noProof/>
                <w:sz w:val="20"/>
                <w:szCs w:val="20"/>
              </w:rPr>
              <w:t>5/16/22</w:t>
            </w:r>
          </w:p>
        </w:tc>
        <w:tc>
          <w:tcPr>
            <w:tcW w:w="2198" w:type="dxa"/>
            <w:shd w:val="clear" w:color="auto" w:fill="auto"/>
            <w:tcMar>
              <w:top w:w="72" w:type="dxa"/>
              <w:left w:w="115" w:type="dxa"/>
              <w:bottom w:w="72" w:type="dxa"/>
              <w:right w:w="115" w:type="dxa"/>
            </w:tcMar>
            <w:vAlign w:val="center"/>
          </w:tcPr>
          <w:p w14:paraId="4CD66C02"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7.00</w:t>
            </w:r>
          </w:p>
          <w:p w14:paraId="58FA6590"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Application Materials</w:t>
            </w:r>
          </w:p>
          <w:p w14:paraId="1917212D" w14:textId="77777777" w:rsidR="00CF5712" w:rsidRPr="00FC6043" w:rsidRDefault="00CF5712" w:rsidP="00304B2F">
            <w:pPr>
              <w:rPr>
                <w:rFonts w:ascii="Times New Roman" w:hAnsi="Times New Roman" w:cs="Times New Roman"/>
                <w:sz w:val="20"/>
                <w:szCs w:val="20"/>
              </w:rPr>
            </w:pPr>
          </w:p>
        </w:tc>
        <w:tc>
          <w:tcPr>
            <w:tcW w:w="9590" w:type="dxa"/>
            <w:shd w:val="clear" w:color="auto" w:fill="auto"/>
            <w:tcMar>
              <w:top w:w="72" w:type="dxa"/>
              <w:left w:w="115" w:type="dxa"/>
              <w:bottom w:w="72" w:type="dxa"/>
              <w:right w:w="115" w:type="dxa"/>
            </w:tcMar>
            <w:vAlign w:val="center"/>
          </w:tcPr>
          <w:p w14:paraId="2760895A" w14:textId="77777777" w:rsidR="00CF5712" w:rsidRPr="004A0D46" w:rsidRDefault="00CF5712" w:rsidP="004A0D46">
            <w:pPr>
              <w:textAlignment w:val="baseline"/>
              <w:rPr>
                <w:rFonts w:ascii="Times New Roman" w:eastAsia="Times New Roman" w:hAnsi="Times New Roman" w:cs="Times New Roman"/>
                <w:sz w:val="20"/>
                <w:szCs w:val="20"/>
              </w:rPr>
            </w:pPr>
            <w:r w:rsidRPr="004A0D46">
              <w:rPr>
                <w:rFonts w:ascii="Times New Roman" w:eastAsia="Times New Roman" w:hAnsi="Times New Roman" w:cs="Times New Roman"/>
                <w:b/>
                <w:bCs/>
                <w:sz w:val="20"/>
                <w:szCs w:val="20"/>
              </w:rPr>
              <w:t>Question</w:t>
            </w:r>
            <w:r w:rsidRPr="004A0D46">
              <w:rPr>
                <w:rFonts w:ascii="Times New Roman" w:eastAsia="Times New Roman" w:hAnsi="Times New Roman" w:cs="Times New Roman"/>
                <w:sz w:val="20"/>
                <w:szCs w:val="20"/>
              </w:rPr>
              <w:t>: </w:t>
            </w:r>
            <w:r w:rsidRPr="003872CA">
              <w:rPr>
                <w:rFonts w:ascii="Times New Roman" w:eastAsia="Times New Roman" w:hAnsi="Times New Roman" w:cs="Times New Roman"/>
                <w:sz w:val="20"/>
                <w:szCs w:val="20"/>
              </w:rPr>
              <w:t>Q22_0513_15</w:t>
            </w:r>
            <w:r w:rsidRPr="004A0D46">
              <w:rPr>
                <w:rFonts w:ascii="Times New Roman" w:eastAsia="Times New Roman" w:hAnsi="Times New Roman" w:cs="Times New Roman"/>
                <w:sz w:val="20"/>
                <w:szCs w:val="20"/>
              </w:rPr>
              <w:t> </w:t>
            </w:r>
          </w:p>
          <w:p w14:paraId="3D81F88B" w14:textId="77777777" w:rsidR="00CF5712" w:rsidRPr="004A0D46" w:rsidRDefault="00CF5712" w:rsidP="004A0D46">
            <w:pPr>
              <w:textAlignment w:val="baseline"/>
              <w:rPr>
                <w:rFonts w:ascii="Times New Roman" w:eastAsia="Times New Roman" w:hAnsi="Times New Roman" w:cs="Times New Roman"/>
                <w:sz w:val="20"/>
                <w:szCs w:val="20"/>
              </w:rPr>
            </w:pPr>
            <w:r w:rsidRPr="004A0D46">
              <w:rPr>
                <w:rFonts w:ascii="Times New Roman" w:eastAsia="Times New Roman" w:hAnsi="Times New Roman" w:cs="Times New Roman"/>
                <w:color w:val="000000"/>
                <w:sz w:val="20"/>
                <w:szCs w:val="20"/>
              </w:rPr>
              <w:t>I see that the Tabs Checklist was updated on Friday, May 13. What changes were included in this update? </w:t>
            </w:r>
          </w:p>
          <w:p w14:paraId="3E28C4D6" w14:textId="77777777" w:rsidR="00CF5712" w:rsidRPr="004A0D46" w:rsidRDefault="00CF5712" w:rsidP="004A0D46">
            <w:pPr>
              <w:textAlignment w:val="baseline"/>
              <w:rPr>
                <w:rFonts w:ascii="Times New Roman" w:eastAsia="Times New Roman" w:hAnsi="Times New Roman" w:cs="Times New Roman"/>
                <w:sz w:val="20"/>
                <w:szCs w:val="20"/>
              </w:rPr>
            </w:pPr>
            <w:r w:rsidRPr="004A0D46">
              <w:rPr>
                <w:rFonts w:ascii="Times New Roman" w:eastAsia="Times New Roman" w:hAnsi="Times New Roman" w:cs="Times New Roman"/>
                <w:sz w:val="20"/>
                <w:szCs w:val="20"/>
              </w:rPr>
              <w:t> </w:t>
            </w:r>
          </w:p>
          <w:p w14:paraId="3D142580" w14:textId="77777777" w:rsidR="00CF5712" w:rsidRPr="004A0D46" w:rsidRDefault="00CF5712" w:rsidP="004A0D46">
            <w:pPr>
              <w:textAlignment w:val="baseline"/>
              <w:rPr>
                <w:rFonts w:ascii="Times New Roman" w:eastAsia="Times New Roman" w:hAnsi="Times New Roman" w:cs="Times New Roman"/>
                <w:sz w:val="20"/>
                <w:szCs w:val="20"/>
              </w:rPr>
            </w:pPr>
            <w:r w:rsidRPr="004A0D46">
              <w:rPr>
                <w:rFonts w:ascii="Times New Roman" w:eastAsia="Times New Roman" w:hAnsi="Times New Roman" w:cs="Times New Roman"/>
                <w:b/>
                <w:bCs/>
                <w:sz w:val="20"/>
                <w:szCs w:val="20"/>
              </w:rPr>
              <w:t>Answer</w:t>
            </w:r>
            <w:r w:rsidRPr="004A0D46">
              <w:rPr>
                <w:rFonts w:ascii="Times New Roman" w:eastAsia="Times New Roman" w:hAnsi="Times New Roman" w:cs="Times New Roman"/>
                <w:sz w:val="20"/>
                <w:szCs w:val="20"/>
              </w:rPr>
              <w:t xml:space="preserve">: </w:t>
            </w:r>
          </w:p>
          <w:p w14:paraId="48EF7E95" w14:textId="77777777" w:rsidR="00CF5712" w:rsidRPr="004A0D46" w:rsidRDefault="00CF5712" w:rsidP="004A0D46">
            <w:pPr>
              <w:textAlignment w:val="baseline"/>
              <w:rPr>
                <w:rFonts w:ascii="Times New Roman" w:eastAsia="Times New Roman" w:hAnsi="Times New Roman" w:cs="Times New Roman"/>
                <w:sz w:val="20"/>
                <w:szCs w:val="20"/>
              </w:rPr>
            </w:pPr>
            <w:r w:rsidRPr="004A0D46">
              <w:rPr>
                <w:rFonts w:ascii="Times New Roman" w:eastAsia="Times New Roman" w:hAnsi="Times New Roman" w:cs="Times New Roman"/>
                <w:sz w:val="20"/>
                <w:szCs w:val="20"/>
              </w:rPr>
              <w:t>Changes are indicated by yellow highlights over the adjusted rows. For those who have already downloaded a version from May 13th, please note that the final update of the day was posted around 5:00 pm.  </w:t>
            </w:r>
          </w:p>
          <w:p w14:paraId="26D8073A" w14:textId="77777777" w:rsidR="00CF5712" w:rsidRPr="004A0D46" w:rsidRDefault="00CF5712" w:rsidP="004A0D46">
            <w:pPr>
              <w:textAlignment w:val="baseline"/>
              <w:rPr>
                <w:rFonts w:ascii="Times New Roman" w:eastAsia="Times New Roman" w:hAnsi="Times New Roman" w:cs="Times New Roman"/>
                <w:sz w:val="20"/>
                <w:szCs w:val="20"/>
              </w:rPr>
            </w:pPr>
            <w:r w:rsidRPr="004A0D46">
              <w:rPr>
                <w:rFonts w:ascii="Times New Roman" w:eastAsia="Times New Roman" w:hAnsi="Times New Roman" w:cs="Times New Roman"/>
                <w:sz w:val="20"/>
                <w:szCs w:val="20"/>
              </w:rPr>
              <w:t> </w:t>
            </w:r>
          </w:p>
          <w:p w14:paraId="489A0187" w14:textId="77777777" w:rsidR="00CF5712" w:rsidRPr="00FC6043" w:rsidRDefault="00CF5712" w:rsidP="00304B2F">
            <w:pPr>
              <w:textAlignment w:val="baseline"/>
              <w:rPr>
                <w:rFonts w:ascii="Times New Roman" w:eastAsia="Times New Roman" w:hAnsi="Times New Roman" w:cs="Times New Roman"/>
                <w:sz w:val="20"/>
                <w:szCs w:val="20"/>
              </w:rPr>
            </w:pPr>
            <w:r w:rsidRPr="004A0D46">
              <w:rPr>
                <w:rFonts w:ascii="Times New Roman" w:eastAsia="Times New Roman" w:hAnsi="Times New Roman" w:cs="Times New Roman"/>
                <w:sz w:val="20"/>
                <w:szCs w:val="20"/>
              </w:rPr>
              <w:t>Applicants seeking clarification around any further items in the Tabs Checklist can submit the question through the Q&amp;A survey (</w:t>
            </w:r>
            <w:hyperlink r:id="rId22" w:tgtFrame="_blank" w:history="1">
              <w:r w:rsidRPr="004A0D46">
                <w:rPr>
                  <w:rFonts w:ascii="Times New Roman" w:eastAsia="Times New Roman" w:hAnsi="Times New Roman" w:cs="Times New Roman"/>
                  <w:color w:val="0563C1"/>
                  <w:sz w:val="20"/>
                  <w:szCs w:val="20"/>
                  <w:u w:val="single"/>
                </w:rPr>
                <w:t>click here</w:t>
              </w:r>
            </w:hyperlink>
            <w:r w:rsidRPr="004A0D46">
              <w:rPr>
                <w:rFonts w:ascii="Times New Roman" w:eastAsia="Times New Roman" w:hAnsi="Times New Roman" w:cs="Times New Roman"/>
                <w:sz w:val="20"/>
                <w:szCs w:val="20"/>
              </w:rPr>
              <w:t>). </w:t>
            </w:r>
          </w:p>
        </w:tc>
      </w:tr>
      <w:tr w:rsidR="00CF5712" w:rsidRPr="00FC6043" w14:paraId="228D73AD" w14:textId="77777777" w:rsidTr="1995616E">
        <w:trPr>
          <w:jc w:val="center"/>
        </w:trPr>
        <w:tc>
          <w:tcPr>
            <w:tcW w:w="2157" w:type="dxa"/>
            <w:shd w:val="clear" w:color="auto" w:fill="auto"/>
            <w:tcMar>
              <w:top w:w="72" w:type="dxa"/>
              <w:left w:w="115" w:type="dxa"/>
              <w:bottom w:w="72" w:type="dxa"/>
              <w:right w:w="115" w:type="dxa"/>
            </w:tcMar>
            <w:vAlign w:val="center"/>
          </w:tcPr>
          <w:p w14:paraId="5403438E"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1C437A00"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1.13</w:t>
            </w:r>
          </w:p>
          <w:p w14:paraId="63AC1C8D"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Core Plan;</w:t>
            </w:r>
          </w:p>
          <w:p w14:paraId="5CD04329"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lastRenderedPageBreak/>
              <w:t xml:space="preserve">Submission </w:t>
            </w:r>
            <w:r w:rsidRPr="003872CA">
              <w:rPr>
                <w:rFonts w:ascii="Times New Roman" w:hAnsi="Times New Roman" w:cs="Times New Roman"/>
                <w:sz w:val="20"/>
                <w:szCs w:val="20"/>
              </w:rPr>
              <w:t>Requirements</w:t>
            </w:r>
            <w:r w:rsidRPr="00FC6043">
              <w:rPr>
                <w:rFonts w:ascii="Times New Roman" w:hAnsi="Times New Roman" w:cs="Times New Roman"/>
                <w:sz w:val="20"/>
                <w:szCs w:val="20"/>
              </w:rPr>
              <w:t xml:space="preserve"> and Award Limitations</w:t>
            </w:r>
          </w:p>
        </w:tc>
        <w:tc>
          <w:tcPr>
            <w:tcW w:w="9590" w:type="dxa"/>
            <w:shd w:val="clear" w:color="auto" w:fill="auto"/>
            <w:tcMar>
              <w:top w:w="72" w:type="dxa"/>
              <w:left w:w="115" w:type="dxa"/>
              <w:bottom w:w="72" w:type="dxa"/>
              <w:right w:w="115" w:type="dxa"/>
            </w:tcMar>
            <w:vAlign w:val="center"/>
          </w:tcPr>
          <w:p w14:paraId="3CAD51FD" w14:textId="77777777" w:rsidR="00CF5712" w:rsidRPr="00FC6043" w:rsidRDefault="00CF5712" w:rsidP="001656CB">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lastRenderedPageBreak/>
              <w:t>Question</w:t>
            </w:r>
            <w:r w:rsidRPr="00FC6043">
              <w:rPr>
                <w:rFonts w:ascii="Times New Roman" w:eastAsia="Times New Roman" w:hAnsi="Times New Roman" w:cs="Times New Roman"/>
                <w:sz w:val="20"/>
                <w:szCs w:val="20"/>
              </w:rPr>
              <w:t>: Q22_0506_17 </w:t>
            </w:r>
          </w:p>
          <w:p w14:paraId="602F256F" w14:textId="77777777" w:rsidR="00CF5712" w:rsidRPr="00FC6043" w:rsidRDefault="00CF5712" w:rsidP="001656CB">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lastRenderedPageBreak/>
              <w:t xml:space="preserve">(Core Plan) Submission Requirements and Award Limitations </w:t>
            </w:r>
            <w:r w:rsidRPr="00FC6043">
              <w:rPr>
                <w:rFonts w:ascii="Times New Roman" w:eastAsia="Times New Roman" w:hAnsi="Times New Roman" w:cs="Times New Roman"/>
                <w:sz w:val="20"/>
                <w:szCs w:val="20"/>
              </w:rPr>
              <w:t>states that “DCA will not fund any Application with an Owner and/or Developer that has a DCA property funded in the 2020 round or earlier that has not closed their financing and started construction on that property as of Application Submission.”  </w:t>
            </w:r>
          </w:p>
          <w:p w14:paraId="0BBBFAF4" w14:textId="77777777" w:rsidR="00CF5712" w:rsidRPr="00FC6043" w:rsidRDefault="00CF5712" w:rsidP="001656CB">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45971E22" w14:textId="77777777" w:rsidR="00CF5712" w:rsidRPr="00FC6043" w:rsidRDefault="00CF5712" w:rsidP="001656CB">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What is meaning of DCA not funding any Application and does this apply to the 4% deals that were given allocations in the different tranches in 2020?  </w:t>
            </w:r>
          </w:p>
          <w:p w14:paraId="516BE0BB" w14:textId="77777777" w:rsidR="00CF5712" w:rsidRPr="00FC6043" w:rsidRDefault="00CF5712" w:rsidP="001656CB">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329952BB" w14:textId="77777777" w:rsidR="00CF5712" w:rsidRPr="00FC6043" w:rsidRDefault="00CF5712" w:rsidP="001656CB">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3F079FE2" w14:textId="77777777" w:rsidR="00CF5712" w:rsidRPr="00FC6043" w:rsidRDefault="00CF5712" w:rsidP="001656CB">
            <w:pPr>
              <w:textAlignment w:val="baseline"/>
              <w:rPr>
                <w:rStyle w:val="normaltextrun"/>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No, 4% deals do not relate to this rule. “2020 round or earlier” refers to 9% Competitive Rounds. </w:t>
            </w:r>
          </w:p>
        </w:tc>
      </w:tr>
      <w:tr w:rsidR="00CF5712" w:rsidRPr="00FC6043" w14:paraId="3D6AE67B" w14:textId="77777777" w:rsidTr="1995616E">
        <w:trPr>
          <w:jc w:val="center"/>
        </w:trPr>
        <w:tc>
          <w:tcPr>
            <w:tcW w:w="2157" w:type="dxa"/>
            <w:shd w:val="clear" w:color="auto" w:fill="auto"/>
            <w:tcMar>
              <w:top w:w="72" w:type="dxa"/>
              <w:left w:w="115" w:type="dxa"/>
              <w:bottom w:w="72" w:type="dxa"/>
              <w:right w:w="115" w:type="dxa"/>
            </w:tcMar>
            <w:vAlign w:val="center"/>
          </w:tcPr>
          <w:p w14:paraId="279B6DC5"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5/11/22</w:t>
            </w:r>
          </w:p>
        </w:tc>
        <w:tc>
          <w:tcPr>
            <w:tcW w:w="2198" w:type="dxa"/>
            <w:shd w:val="clear" w:color="auto" w:fill="auto"/>
            <w:tcMar>
              <w:top w:w="72" w:type="dxa"/>
              <w:left w:w="115" w:type="dxa"/>
              <w:bottom w:w="72" w:type="dxa"/>
              <w:right w:w="115" w:type="dxa"/>
            </w:tcMar>
            <w:vAlign w:val="center"/>
          </w:tcPr>
          <w:p w14:paraId="10CEE1B5"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2.02</w:t>
            </w:r>
          </w:p>
          <w:p w14:paraId="6BB586A3"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Threshold Criteria;</w:t>
            </w:r>
          </w:p>
          <w:p w14:paraId="2DFB09A9"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Project Feasibility, Viability Analysis &amp; Conformance with Plan</w:t>
            </w:r>
          </w:p>
        </w:tc>
        <w:tc>
          <w:tcPr>
            <w:tcW w:w="9590" w:type="dxa"/>
            <w:shd w:val="clear" w:color="auto" w:fill="auto"/>
            <w:tcMar>
              <w:top w:w="72" w:type="dxa"/>
              <w:left w:w="115" w:type="dxa"/>
              <w:bottom w:w="72" w:type="dxa"/>
              <w:right w:w="115" w:type="dxa"/>
            </w:tcMar>
            <w:vAlign w:val="center"/>
          </w:tcPr>
          <w:p w14:paraId="12AE6859" w14:textId="77777777" w:rsidR="00CF5712" w:rsidRPr="00FC6043" w:rsidRDefault="00CF5712" w:rsidP="00C01DFA">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Q22_0426_03</w:t>
            </w:r>
            <w:r w:rsidRPr="00FC6043">
              <w:rPr>
                <w:rStyle w:val="eop"/>
                <w:sz w:val="20"/>
                <w:szCs w:val="20"/>
              </w:rPr>
              <w:t> </w:t>
            </w:r>
          </w:p>
          <w:p w14:paraId="47E5CA8A" w14:textId="77777777" w:rsidR="00CF5712" w:rsidRPr="00FC6043" w:rsidRDefault="00CF5712" w:rsidP="00C01DFA">
            <w:pPr>
              <w:pStyle w:val="paragraph"/>
              <w:spacing w:before="0" w:beforeAutospacing="0" w:after="0" w:afterAutospacing="0"/>
              <w:textAlignment w:val="baseline"/>
              <w:rPr>
                <w:sz w:val="20"/>
                <w:szCs w:val="20"/>
              </w:rPr>
            </w:pPr>
            <w:r w:rsidRPr="00FC6043">
              <w:rPr>
                <w:rStyle w:val="normaltextrun"/>
                <w:sz w:val="20"/>
                <w:szCs w:val="20"/>
              </w:rPr>
              <w:t>How/where do we find the DCA published utility allowances that should be used in the 2022 applications? </w:t>
            </w:r>
            <w:r w:rsidRPr="00FC6043">
              <w:rPr>
                <w:rStyle w:val="eop"/>
                <w:sz w:val="20"/>
                <w:szCs w:val="20"/>
              </w:rPr>
              <w:t> </w:t>
            </w:r>
          </w:p>
          <w:p w14:paraId="5597F06A" w14:textId="77777777" w:rsidR="00CF5712" w:rsidRPr="00FC6043" w:rsidRDefault="00CF5712" w:rsidP="00C01DFA">
            <w:pPr>
              <w:pStyle w:val="paragraph"/>
              <w:spacing w:before="0" w:beforeAutospacing="0" w:after="0" w:afterAutospacing="0"/>
              <w:textAlignment w:val="baseline"/>
              <w:rPr>
                <w:sz w:val="20"/>
                <w:szCs w:val="20"/>
              </w:rPr>
            </w:pPr>
            <w:r w:rsidRPr="00FC6043">
              <w:rPr>
                <w:rStyle w:val="eop"/>
                <w:sz w:val="20"/>
                <w:szCs w:val="20"/>
              </w:rPr>
              <w:t> </w:t>
            </w:r>
          </w:p>
          <w:p w14:paraId="40EEFC02" w14:textId="77777777" w:rsidR="00CF5712" w:rsidRPr="00FC6043" w:rsidRDefault="00CF5712" w:rsidP="00C01DFA">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2B46A8FA" w14:textId="77777777" w:rsidR="00CF5712" w:rsidRPr="00FC6043" w:rsidRDefault="00CF5712" w:rsidP="00C01DFA">
            <w:pPr>
              <w:pStyle w:val="paragraph"/>
              <w:spacing w:before="0" w:beforeAutospacing="0" w:after="0" w:afterAutospacing="0"/>
              <w:textAlignment w:val="baseline"/>
              <w:rPr>
                <w:sz w:val="20"/>
                <w:szCs w:val="20"/>
              </w:rPr>
            </w:pPr>
            <w:r w:rsidRPr="00FC6043">
              <w:rPr>
                <w:rStyle w:val="normaltextrun"/>
                <w:sz w:val="20"/>
                <w:szCs w:val="20"/>
              </w:rPr>
              <w:t xml:space="preserve">See </w:t>
            </w:r>
            <w:r w:rsidRPr="00FC6043">
              <w:rPr>
                <w:rStyle w:val="normaltextrun"/>
                <w:b/>
                <w:bCs/>
                <w:sz w:val="20"/>
                <w:szCs w:val="20"/>
              </w:rPr>
              <w:t xml:space="preserve">(Threshold) Project Feasibility, Viability Analysis &amp; Conformance with Plan, Operating Utility Allowance (UA) </w:t>
            </w:r>
            <w:r w:rsidRPr="00FC6043">
              <w:rPr>
                <w:rStyle w:val="normaltextrun"/>
                <w:sz w:val="20"/>
                <w:szCs w:val="20"/>
              </w:rPr>
              <w:t xml:space="preserve">and the </w:t>
            </w:r>
            <w:r w:rsidRPr="00FC6043">
              <w:rPr>
                <w:rStyle w:val="normaltextrun"/>
                <w:i/>
                <w:iCs/>
                <w:sz w:val="20"/>
                <w:szCs w:val="20"/>
              </w:rPr>
              <w:t>DCA Utility Allowance Map</w:t>
            </w:r>
            <w:r w:rsidRPr="00FC6043">
              <w:rPr>
                <w:rStyle w:val="normaltextrun"/>
                <w:sz w:val="20"/>
                <w:szCs w:val="20"/>
              </w:rPr>
              <w:t xml:space="preserve"> to determine which method(s) and Utility Allowance schedule(s) applies to your application. </w:t>
            </w:r>
            <w:r w:rsidRPr="00FC6043">
              <w:rPr>
                <w:rStyle w:val="eop"/>
                <w:sz w:val="20"/>
                <w:szCs w:val="20"/>
              </w:rPr>
              <w:t> </w:t>
            </w:r>
          </w:p>
          <w:p w14:paraId="50CD46E7" w14:textId="77777777" w:rsidR="00CF5712" w:rsidRPr="00FC6043" w:rsidRDefault="00CF5712" w:rsidP="00C01DFA">
            <w:pPr>
              <w:pStyle w:val="paragraph"/>
              <w:spacing w:before="0" w:beforeAutospacing="0" w:after="0" w:afterAutospacing="0"/>
              <w:textAlignment w:val="baseline"/>
              <w:rPr>
                <w:sz w:val="20"/>
                <w:szCs w:val="20"/>
              </w:rPr>
            </w:pPr>
            <w:r w:rsidRPr="00FC6043">
              <w:rPr>
                <w:rStyle w:val="eop"/>
                <w:sz w:val="20"/>
                <w:szCs w:val="20"/>
              </w:rPr>
              <w:t> </w:t>
            </w:r>
          </w:p>
          <w:p w14:paraId="6E25DBB7" w14:textId="77777777" w:rsidR="00CF5712" w:rsidRPr="00FC6043" w:rsidRDefault="00CF5712" w:rsidP="0053282B">
            <w:pPr>
              <w:pStyle w:val="paragraph"/>
              <w:spacing w:before="0" w:beforeAutospacing="0" w:after="0" w:afterAutospacing="0"/>
              <w:textAlignment w:val="baseline"/>
              <w:rPr>
                <w:rStyle w:val="normaltextrun"/>
                <w:sz w:val="20"/>
                <w:szCs w:val="20"/>
              </w:rPr>
            </w:pPr>
            <w:r w:rsidRPr="00FC6043">
              <w:rPr>
                <w:rStyle w:val="normaltextrun"/>
                <w:sz w:val="20"/>
                <w:szCs w:val="20"/>
              </w:rPr>
              <w:t xml:space="preserve">The </w:t>
            </w:r>
            <w:r w:rsidRPr="00FC6043">
              <w:rPr>
                <w:rStyle w:val="normaltextrun"/>
                <w:i/>
                <w:iCs/>
                <w:sz w:val="20"/>
                <w:szCs w:val="20"/>
              </w:rPr>
              <w:t>DCA Utility Allowance Map</w:t>
            </w:r>
            <w:r w:rsidRPr="00FC6043">
              <w:rPr>
                <w:rStyle w:val="normaltextrun"/>
                <w:sz w:val="20"/>
                <w:szCs w:val="20"/>
              </w:rPr>
              <w:t xml:space="preserve"> and </w:t>
            </w:r>
            <w:r w:rsidRPr="00FC6043">
              <w:rPr>
                <w:rStyle w:val="normaltextrun"/>
                <w:i/>
                <w:iCs/>
                <w:sz w:val="20"/>
                <w:szCs w:val="20"/>
              </w:rPr>
              <w:t>DCA Utility Allowance Schedule</w:t>
            </w:r>
            <w:r w:rsidRPr="00FC6043">
              <w:rPr>
                <w:rStyle w:val="normaltextrun"/>
                <w:sz w:val="20"/>
                <w:szCs w:val="20"/>
              </w:rPr>
              <w:t xml:space="preserve"> are posted to the Rental Housing Development – Compliance Monitoring page of the DCA website (</w:t>
            </w:r>
            <w:hyperlink r:id="rId23" w:history="1">
              <w:r w:rsidRPr="003872CA">
                <w:rPr>
                  <w:rStyle w:val="Hyperlink"/>
                  <w:sz w:val="20"/>
                  <w:szCs w:val="20"/>
                </w:rPr>
                <w:t>click here</w:t>
              </w:r>
            </w:hyperlink>
            <w:r w:rsidRPr="003872CA">
              <w:rPr>
                <w:rStyle w:val="normaltextrun"/>
                <w:sz w:val="20"/>
                <w:szCs w:val="20"/>
              </w:rPr>
              <w:t>).</w:t>
            </w:r>
          </w:p>
        </w:tc>
      </w:tr>
      <w:tr w:rsidR="00CF5712" w:rsidRPr="00FC6043" w14:paraId="7E8DCFF0" w14:textId="77777777" w:rsidTr="1995616E">
        <w:trPr>
          <w:jc w:val="center"/>
        </w:trPr>
        <w:tc>
          <w:tcPr>
            <w:tcW w:w="2157" w:type="dxa"/>
            <w:shd w:val="clear" w:color="auto" w:fill="auto"/>
            <w:tcMar>
              <w:top w:w="72" w:type="dxa"/>
              <w:left w:w="115" w:type="dxa"/>
              <w:bottom w:w="72" w:type="dxa"/>
              <w:right w:w="115" w:type="dxa"/>
            </w:tcMar>
            <w:vAlign w:val="center"/>
          </w:tcPr>
          <w:p w14:paraId="4918BED8"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555E4D38"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2.02</w:t>
            </w:r>
          </w:p>
          <w:p w14:paraId="1DC534A3" w14:textId="77777777" w:rsidR="00CF5712" w:rsidRPr="00FC6043" w:rsidRDefault="00CF5712" w:rsidP="00E26BA7">
            <w:pPr>
              <w:rPr>
                <w:rFonts w:ascii="Times New Roman" w:hAnsi="Times New Roman" w:cs="Times New Roman"/>
                <w:sz w:val="20"/>
                <w:szCs w:val="20"/>
              </w:rPr>
            </w:pPr>
            <w:r w:rsidRPr="00FC6043">
              <w:rPr>
                <w:rFonts w:ascii="Times New Roman" w:hAnsi="Times New Roman" w:cs="Times New Roman"/>
                <w:sz w:val="20"/>
                <w:szCs w:val="20"/>
              </w:rPr>
              <w:t>Threshold Criteria;</w:t>
            </w:r>
          </w:p>
          <w:p w14:paraId="31811C25" w14:textId="77777777" w:rsidR="00CF5712" w:rsidRPr="003872CA" w:rsidRDefault="00CF5712" w:rsidP="00E26BA7">
            <w:pPr>
              <w:rPr>
                <w:rFonts w:ascii="Times New Roman" w:hAnsi="Times New Roman" w:cs="Times New Roman"/>
                <w:sz w:val="20"/>
                <w:szCs w:val="20"/>
              </w:rPr>
            </w:pPr>
            <w:r w:rsidRPr="00FC6043">
              <w:rPr>
                <w:rFonts w:ascii="Times New Roman" w:hAnsi="Times New Roman" w:cs="Times New Roman"/>
                <w:sz w:val="20"/>
                <w:szCs w:val="20"/>
              </w:rPr>
              <w:t>Project Feasibility, Viability Analysis &amp; Conformance with Plan</w:t>
            </w:r>
          </w:p>
          <w:p w14:paraId="4121837E" w14:textId="77777777" w:rsidR="00CF5712" w:rsidRPr="003872CA" w:rsidRDefault="00CF5712" w:rsidP="00E26BA7">
            <w:pPr>
              <w:rPr>
                <w:rFonts w:ascii="Times New Roman" w:hAnsi="Times New Roman" w:cs="Times New Roman"/>
                <w:sz w:val="20"/>
                <w:szCs w:val="20"/>
              </w:rPr>
            </w:pPr>
          </w:p>
          <w:p w14:paraId="3DBE60A0" w14:textId="77777777" w:rsidR="00CF5712" w:rsidRPr="003872CA" w:rsidRDefault="00CF5712" w:rsidP="00E26BA7">
            <w:pPr>
              <w:rPr>
                <w:rFonts w:ascii="Times New Roman" w:hAnsi="Times New Roman" w:cs="Times New Roman"/>
                <w:sz w:val="20"/>
                <w:szCs w:val="20"/>
              </w:rPr>
            </w:pPr>
          </w:p>
          <w:p w14:paraId="4B8DAA86" w14:textId="77777777" w:rsidR="00CF5712" w:rsidRPr="00FC6043" w:rsidRDefault="00CF5712" w:rsidP="00E26BA7">
            <w:pPr>
              <w:rPr>
                <w:rFonts w:ascii="Times New Roman" w:hAnsi="Times New Roman" w:cs="Times New Roman"/>
                <w:sz w:val="20"/>
                <w:szCs w:val="20"/>
              </w:rPr>
            </w:pPr>
            <w:r w:rsidRPr="003872CA">
              <w:rPr>
                <w:rFonts w:ascii="Times New Roman" w:hAnsi="Times New Roman" w:cs="Times New Roman"/>
                <w:sz w:val="20"/>
                <w:szCs w:val="20"/>
              </w:rPr>
              <w:t>(also 3.04 Scoring; Deeper Targeting)</w:t>
            </w:r>
          </w:p>
        </w:tc>
        <w:tc>
          <w:tcPr>
            <w:tcW w:w="9590" w:type="dxa"/>
            <w:shd w:val="clear" w:color="auto" w:fill="auto"/>
            <w:tcMar>
              <w:top w:w="72" w:type="dxa"/>
              <w:left w:w="115" w:type="dxa"/>
              <w:bottom w:w="72" w:type="dxa"/>
              <w:right w:w="115" w:type="dxa"/>
            </w:tcMar>
            <w:vAlign w:val="center"/>
          </w:tcPr>
          <w:p w14:paraId="14D3ACB3" w14:textId="77777777" w:rsidR="00CF5712" w:rsidRPr="00FC6043" w:rsidRDefault="00CF5712" w:rsidP="00142424">
            <w:pPr>
              <w:pStyle w:val="paragraph"/>
              <w:spacing w:before="0" w:beforeAutospacing="0" w:after="0" w:afterAutospacing="0"/>
              <w:textAlignment w:val="baseline"/>
              <w:rPr>
                <w:rFonts w:eastAsia="MS Mincho"/>
                <w:sz w:val="20"/>
                <w:szCs w:val="20"/>
              </w:rPr>
            </w:pPr>
            <w:r w:rsidRPr="00FC6043">
              <w:rPr>
                <w:rStyle w:val="normaltextrun"/>
                <w:rFonts w:eastAsia="MS Mincho"/>
                <w:b/>
                <w:bCs/>
                <w:sz w:val="20"/>
                <w:szCs w:val="20"/>
              </w:rPr>
              <w:t>Question</w:t>
            </w:r>
            <w:r w:rsidRPr="00FC6043">
              <w:rPr>
                <w:rStyle w:val="normaltextrun"/>
                <w:rFonts w:eastAsia="MS Mincho"/>
                <w:sz w:val="20"/>
                <w:szCs w:val="20"/>
              </w:rPr>
              <w:t xml:space="preserve">: </w:t>
            </w:r>
            <w:r w:rsidRPr="00FC6043">
              <w:rPr>
                <w:rStyle w:val="normaltextrun"/>
                <w:rFonts w:eastAsia="MS Mincho"/>
                <w:b/>
                <w:bCs/>
                <w:sz w:val="20"/>
                <w:szCs w:val="20"/>
              </w:rPr>
              <w:t>Q22_0418_15</w:t>
            </w:r>
            <w:r w:rsidRPr="00FC6043">
              <w:rPr>
                <w:rStyle w:val="eop"/>
                <w:rFonts w:eastAsia="MS Mincho"/>
                <w:sz w:val="20"/>
                <w:szCs w:val="20"/>
              </w:rPr>
              <w:t> </w:t>
            </w:r>
          </w:p>
          <w:p w14:paraId="17951696" w14:textId="77777777" w:rsidR="00CF5712" w:rsidRPr="00FC6043" w:rsidRDefault="00CF5712" w:rsidP="00142424">
            <w:pPr>
              <w:pStyle w:val="paragraph"/>
              <w:spacing w:before="0" w:beforeAutospacing="0" w:after="0" w:afterAutospacing="0"/>
              <w:textAlignment w:val="baseline"/>
              <w:rPr>
                <w:rFonts w:eastAsia="MS Mincho"/>
                <w:sz w:val="20"/>
                <w:szCs w:val="20"/>
              </w:rPr>
            </w:pPr>
            <w:r w:rsidRPr="00FC6043">
              <w:rPr>
                <w:rStyle w:val="normaltextrun"/>
                <w:rFonts w:eastAsia="MS Mincho"/>
                <w:sz w:val="20"/>
                <w:szCs w:val="20"/>
              </w:rPr>
              <w:t>Our proposed development plans to utilize the RAD/Section 18 blends opportunity for our rent structure. HUD does not provide a commitment for the non-RAD PBV HAP contract until all other financing is in place, including the tax credit award.</w:t>
            </w:r>
            <w:r w:rsidRPr="00FC6043">
              <w:rPr>
                <w:rStyle w:val="eop"/>
                <w:rFonts w:eastAsia="MS Mincho"/>
                <w:sz w:val="20"/>
                <w:szCs w:val="20"/>
              </w:rPr>
              <w:t> </w:t>
            </w:r>
          </w:p>
          <w:p w14:paraId="4D903DE0" w14:textId="77777777" w:rsidR="00CF5712" w:rsidRPr="00FC6043" w:rsidRDefault="00CF5712" w:rsidP="00142424">
            <w:pPr>
              <w:pStyle w:val="paragraph"/>
              <w:spacing w:before="0" w:beforeAutospacing="0" w:after="0" w:afterAutospacing="0"/>
              <w:textAlignment w:val="baseline"/>
              <w:rPr>
                <w:rFonts w:eastAsia="MS Mincho"/>
                <w:sz w:val="20"/>
                <w:szCs w:val="20"/>
              </w:rPr>
            </w:pPr>
            <w:r w:rsidRPr="00FC6043">
              <w:rPr>
                <w:rStyle w:val="eop"/>
                <w:rFonts w:eastAsia="MS Mincho"/>
                <w:sz w:val="20"/>
                <w:szCs w:val="20"/>
              </w:rPr>
              <w:t> </w:t>
            </w:r>
          </w:p>
          <w:p w14:paraId="31A29BDC" w14:textId="77777777" w:rsidR="00CF5712" w:rsidRPr="00FC6043" w:rsidRDefault="00CF5712" w:rsidP="00142424">
            <w:pPr>
              <w:pStyle w:val="paragraph"/>
              <w:spacing w:before="0" w:beforeAutospacing="0" w:after="0" w:afterAutospacing="0"/>
              <w:textAlignment w:val="baseline"/>
              <w:rPr>
                <w:rFonts w:eastAsia="MS Mincho"/>
                <w:sz w:val="20"/>
                <w:szCs w:val="20"/>
              </w:rPr>
            </w:pPr>
            <w:r w:rsidRPr="00FC6043">
              <w:rPr>
                <w:rStyle w:val="normaltextrun"/>
                <w:rFonts w:eastAsia="MS Mincho"/>
                <w:sz w:val="20"/>
                <w:szCs w:val="20"/>
              </w:rPr>
              <w:t xml:space="preserve">How can applicants meet documentation requirements under the QAP for </w:t>
            </w:r>
            <w:r w:rsidRPr="00FC6043">
              <w:rPr>
                <w:rStyle w:val="normaltextrun"/>
                <w:rFonts w:eastAsia="MS Mincho"/>
                <w:b/>
                <w:bCs/>
                <w:sz w:val="20"/>
                <w:szCs w:val="20"/>
              </w:rPr>
              <w:t>(Threshold Criteria) Project Feasibility</w:t>
            </w:r>
            <w:r w:rsidRPr="00FC6043">
              <w:rPr>
                <w:rStyle w:val="normaltextrun"/>
                <w:rFonts w:eastAsia="MS Mincho"/>
                <w:sz w:val="20"/>
                <w:szCs w:val="20"/>
              </w:rPr>
              <w:t xml:space="preserve"> and </w:t>
            </w:r>
            <w:r w:rsidRPr="00FC6043">
              <w:rPr>
                <w:rStyle w:val="normaltextrun"/>
                <w:rFonts w:eastAsia="MS Mincho"/>
                <w:b/>
                <w:bCs/>
                <w:sz w:val="20"/>
                <w:szCs w:val="20"/>
              </w:rPr>
              <w:t>(Scoring Criteria) Deeper Targeting</w:t>
            </w:r>
            <w:r w:rsidRPr="00FC6043">
              <w:rPr>
                <w:rStyle w:val="normaltextrun"/>
                <w:rFonts w:eastAsia="MS Mincho"/>
                <w:sz w:val="20"/>
                <w:szCs w:val="20"/>
              </w:rPr>
              <w:t xml:space="preserve"> in this circumstance?</w:t>
            </w:r>
            <w:r w:rsidRPr="00FC6043">
              <w:rPr>
                <w:rStyle w:val="eop"/>
                <w:rFonts w:eastAsia="MS Mincho"/>
                <w:sz w:val="20"/>
                <w:szCs w:val="20"/>
              </w:rPr>
              <w:t> </w:t>
            </w:r>
          </w:p>
          <w:p w14:paraId="46420676" w14:textId="77777777" w:rsidR="00CF5712" w:rsidRPr="00FC6043" w:rsidRDefault="00CF5712" w:rsidP="00142424">
            <w:pPr>
              <w:pStyle w:val="paragraph"/>
              <w:spacing w:before="0" w:beforeAutospacing="0" w:after="0" w:afterAutospacing="0"/>
              <w:textAlignment w:val="baseline"/>
              <w:rPr>
                <w:rFonts w:eastAsia="MS Mincho"/>
                <w:sz w:val="20"/>
                <w:szCs w:val="20"/>
              </w:rPr>
            </w:pPr>
            <w:r w:rsidRPr="00FC6043">
              <w:rPr>
                <w:rStyle w:val="eop"/>
                <w:rFonts w:eastAsia="MS Mincho"/>
                <w:sz w:val="20"/>
                <w:szCs w:val="20"/>
              </w:rPr>
              <w:t> </w:t>
            </w:r>
          </w:p>
          <w:p w14:paraId="6DFEB7E7" w14:textId="77777777" w:rsidR="00CF5712" w:rsidRPr="00FC6043" w:rsidRDefault="00CF5712" w:rsidP="00142424">
            <w:pPr>
              <w:pStyle w:val="paragraph"/>
              <w:spacing w:before="0" w:beforeAutospacing="0" w:after="0" w:afterAutospacing="0"/>
              <w:textAlignment w:val="baseline"/>
              <w:rPr>
                <w:rFonts w:eastAsia="MS Mincho"/>
                <w:sz w:val="20"/>
                <w:szCs w:val="20"/>
              </w:rPr>
            </w:pPr>
            <w:r w:rsidRPr="00FC6043">
              <w:rPr>
                <w:rStyle w:val="normaltextrun"/>
                <w:rFonts w:eastAsia="MS Mincho"/>
                <w:b/>
                <w:bCs/>
                <w:sz w:val="20"/>
                <w:szCs w:val="20"/>
              </w:rPr>
              <w:t>Answer</w:t>
            </w:r>
            <w:r w:rsidRPr="00FC6043">
              <w:rPr>
                <w:rStyle w:val="normaltextrun"/>
                <w:rFonts w:eastAsia="MS Mincho"/>
                <w:sz w:val="20"/>
                <w:szCs w:val="20"/>
              </w:rPr>
              <w:t>: </w:t>
            </w:r>
            <w:r w:rsidRPr="00FC6043">
              <w:rPr>
                <w:rStyle w:val="eop"/>
                <w:rFonts w:eastAsia="MS Mincho"/>
                <w:sz w:val="20"/>
                <w:szCs w:val="20"/>
              </w:rPr>
              <w:t> </w:t>
            </w:r>
          </w:p>
          <w:p w14:paraId="5FE20D5B" w14:textId="77777777" w:rsidR="00CF5712" w:rsidRPr="00FC6043" w:rsidRDefault="00CF5712" w:rsidP="00142424">
            <w:pPr>
              <w:pStyle w:val="paragraph"/>
              <w:spacing w:before="0" w:beforeAutospacing="0" w:after="0" w:afterAutospacing="0"/>
              <w:textAlignment w:val="baseline"/>
              <w:rPr>
                <w:rFonts w:eastAsia="MS Mincho"/>
                <w:sz w:val="20"/>
                <w:szCs w:val="20"/>
              </w:rPr>
            </w:pPr>
            <w:r w:rsidRPr="00FC6043">
              <w:rPr>
                <w:rStyle w:val="normaltextrun"/>
                <w:rFonts w:eastAsia="MS Mincho"/>
                <w:sz w:val="20"/>
                <w:szCs w:val="20"/>
              </w:rPr>
              <w:t xml:space="preserve">Applicants can submit the following documentation for purposes of both </w:t>
            </w:r>
            <w:r w:rsidRPr="00FC6043">
              <w:rPr>
                <w:rStyle w:val="normaltextrun"/>
                <w:rFonts w:eastAsia="MS Mincho"/>
                <w:b/>
                <w:bCs/>
                <w:sz w:val="20"/>
                <w:szCs w:val="20"/>
              </w:rPr>
              <w:t>Threshold</w:t>
            </w:r>
            <w:r w:rsidRPr="00FC6043">
              <w:rPr>
                <w:rStyle w:val="normaltextrun"/>
                <w:rFonts w:eastAsia="MS Mincho"/>
                <w:sz w:val="20"/>
                <w:szCs w:val="20"/>
              </w:rPr>
              <w:t xml:space="preserve"> and </w:t>
            </w:r>
            <w:r w:rsidRPr="00FC6043">
              <w:rPr>
                <w:rStyle w:val="normaltextrun"/>
                <w:rFonts w:eastAsia="MS Mincho"/>
                <w:b/>
                <w:bCs/>
                <w:sz w:val="20"/>
                <w:szCs w:val="20"/>
              </w:rPr>
              <w:t>Scoring</w:t>
            </w:r>
            <w:r w:rsidRPr="00FC6043">
              <w:rPr>
                <w:rStyle w:val="normaltextrun"/>
                <w:rFonts w:eastAsia="MS Mincho"/>
                <w:sz w:val="20"/>
                <w:szCs w:val="20"/>
              </w:rPr>
              <w:t>:</w:t>
            </w:r>
            <w:r w:rsidRPr="00FC6043">
              <w:rPr>
                <w:rStyle w:val="scxw127031168"/>
                <w:rFonts w:eastAsia="MS Mincho"/>
                <w:sz w:val="20"/>
                <w:szCs w:val="20"/>
              </w:rPr>
              <w:t> </w:t>
            </w:r>
            <w:r w:rsidRPr="00FC6043">
              <w:rPr>
                <w:rFonts w:eastAsia="MS Mincho"/>
                <w:sz w:val="20"/>
                <w:szCs w:val="20"/>
              </w:rPr>
              <w:br/>
            </w:r>
            <w:r w:rsidRPr="00FC6043">
              <w:rPr>
                <w:rStyle w:val="eop"/>
                <w:rFonts w:eastAsia="MS Mincho"/>
                <w:sz w:val="20"/>
                <w:szCs w:val="20"/>
              </w:rPr>
              <w:t> </w:t>
            </w:r>
          </w:p>
          <w:p w14:paraId="7E274062" w14:textId="77777777" w:rsidR="00CF5712" w:rsidRPr="00FC6043" w:rsidRDefault="00CF5712" w:rsidP="00142424">
            <w:pPr>
              <w:pStyle w:val="paragraph"/>
              <w:numPr>
                <w:ilvl w:val="0"/>
                <w:numId w:val="46"/>
              </w:numPr>
              <w:spacing w:before="0" w:beforeAutospacing="0" w:after="0" w:afterAutospacing="0"/>
              <w:ind w:left="1080" w:firstLine="0"/>
              <w:textAlignment w:val="baseline"/>
              <w:rPr>
                <w:rFonts w:eastAsia="MS Mincho"/>
                <w:sz w:val="20"/>
                <w:szCs w:val="20"/>
              </w:rPr>
            </w:pPr>
            <w:r w:rsidRPr="00FC6043">
              <w:rPr>
                <w:rStyle w:val="normaltextrun"/>
                <w:rFonts w:eastAsia="MS Mincho"/>
                <w:sz w:val="20"/>
                <w:szCs w:val="20"/>
              </w:rPr>
              <w:t>A signed letter from HUD confirming that the development will be eligible for the RAD/Section 18 blends rent structure, pending a review of the overall financing plan.</w:t>
            </w:r>
            <w:r w:rsidRPr="00FC6043">
              <w:rPr>
                <w:rStyle w:val="eop"/>
                <w:rFonts w:eastAsia="MS Mincho"/>
                <w:sz w:val="20"/>
                <w:szCs w:val="20"/>
              </w:rPr>
              <w:t> </w:t>
            </w:r>
          </w:p>
          <w:p w14:paraId="42DDF81F" w14:textId="77777777" w:rsidR="00CF5712" w:rsidRPr="00FC6043" w:rsidRDefault="00CF5712" w:rsidP="00142424">
            <w:pPr>
              <w:pStyle w:val="paragraph"/>
              <w:numPr>
                <w:ilvl w:val="0"/>
                <w:numId w:val="47"/>
              </w:numPr>
              <w:spacing w:before="0" w:beforeAutospacing="0" w:after="0" w:afterAutospacing="0"/>
              <w:ind w:left="1800" w:firstLine="0"/>
              <w:textAlignment w:val="baseline"/>
              <w:rPr>
                <w:rFonts w:eastAsia="MS Mincho"/>
                <w:sz w:val="20"/>
                <w:szCs w:val="20"/>
              </w:rPr>
            </w:pPr>
            <w:r w:rsidRPr="00FC6043">
              <w:rPr>
                <w:rStyle w:val="normaltextrun"/>
                <w:rFonts w:eastAsia="MS Mincho"/>
                <w:sz w:val="20"/>
                <w:szCs w:val="20"/>
              </w:rPr>
              <w:t>HUD has provided to DCA a template letter that applicants can send to HUD for signature confirming HUD’s approval of the development, the PHA’s and Owner’s decision regarding how many years the anticipated PBV contract will last, etc. This letter can be submitted as documentation in the application. </w:t>
            </w:r>
            <w:r w:rsidRPr="00FC6043">
              <w:rPr>
                <w:rStyle w:val="eop"/>
                <w:rFonts w:eastAsia="MS Mincho"/>
                <w:sz w:val="20"/>
                <w:szCs w:val="20"/>
              </w:rPr>
              <w:t> </w:t>
            </w:r>
          </w:p>
          <w:p w14:paraId="5884954D" w14:textId="77777777" w:rsidR="00CF5712" w:rsidRPr="00FC6043" w:rsidRDefault="00CF5712" w:rsidP="0000639B">
            <w:pPr>
              <w:pStyle w:val="paragraph"/>
              <w:numPr>
                <w:ilvl w:val="0"/>
                <w:numId w:val="47"/>
              </w:numPr>
              <w:spacing w:before="0" w:beforeAutospacing="0" w:after="0" w:afterAutospacing="0"/>
              <w:ind w:left="1800" w:firstLine="0"/>
              <w:textAlignment w:val="baseline"/>
              <w:rPr>
                <w:rFonts w:eastAsia="MS Mincho"/>
                <w:sz w:val="20"/>
                <w:szCs w:val="20"/>
              </w:rPr>
            </w:pPr>
            <w:r w:rsidRPr="00FC6043">
              <w:rPr>
                <w:rStyle w:val="normaltextrun"/>
                <w:rFonts w:eastAsia="MS Mincho"/>
                <w:sz w:val="20"/>
                <w:szCs w:val="20"/>
              </w:rPr>
              <w:lastRenderedPageBreak/>
              <w:t>The template HUD letter is posted to the DCA website under: “Application Manuals, Forms, and Scoring Documents” / “Other Manuals and forms” / “Template HUD Letter for RAD-Section 18 Blends” (</w:t>
            </w:r>
            <w:hyperlink r:id="rId24" w:tgtFrame="_blank" w:history="1">
              <w:r w:rsidRPr="00FC6043">
                <w:rPr>
                  <w:rStyle w:val="normaltextrun"/>
                  <w:rFonts w:eastAsia="MS Mincho"/>
                  <w:color w:val="0563C1"/>
                  <w:sz w:val="20"/>
                  <w:szCs w:val="20"/>
                  <w:u w:val="single"/>
                </w:rPr>
                <w:t>click here</w:t>
              </w:r>
            </w:hyperlink>
            <w:r w:rsidRPr="00FC6043">
              <w:rPr>
                <w:rStyle w:val="normaltextrun"/>
                <w:rFonts w:eastAsia="MS Mincho"/>
                <w:sz w:val="20"/>
                <w:szCs w:val="20"/>
              </w:rPr>
              <w:t>). </w:t>
            </w:r>
            <w:r w:rsidRPr="00FC6043">
              <w:rPr>
                <w:rStyle w:val="eop"/>
                <w:rFonts w:eastAsia="MS Mincho"/>
                <w:sz w:val="20"/>
                <w:szCs w:val="20"/>
              </w:rPr>
              <w:t> </w:t>
            </w:r>
          </w:p>
          <w:p w14:paraId="71609538" w14:textId="77777777" w:rsidR="00CF5712" w:rsidRPr="00FC6043" w:rsidRDefault="00CF5712" w:rsidP="00142424">
            <w:pPr>
              <w:pStyle w:val="paragraph"/>
              <w:numPr>
                <w:ilvl w:val="0"/>
                <w:numId w:val="47"/>
              </w:numPr>
              <w:spacing w:before="0" w:beforeAutospacing="0" w:after="0" w:afterAutospacing="0"/>
              <w:ind w:left="1800" w:firstLine="0"/>
              <w:textAlignment w:val="baseline"/>
              <w:rPr>
                <w:rFonts w:eastAsia="MS Mincho"/>
                <w:sz w:val="20"/>
                <w:szCs w:val="20"/>
              </w:rPr>
            </w:pPr>
            <w:r w:rsidRPr="00FC6043">
              <w:rPr>
                <w:rStyle w:val="normaltextrun"/>
                <w:rFonts w:eastAsia="MS Mincho"/>
                <w:sz w:val="20"/>
                <w:szCs w:val="20"/>
              </w:rPr>
              <w:t>Please note that HUD requires at least 7 business days to sign and return a PDF copy of the letter. </w:t>
            </w:r>
            <w:r w:rsidRPr="00FC6043">
              <w:rPr>
                <w:rStyle w:val="eop"/>
                <w:rFonts w:eastAsia="MS Mincho"/>
                <w:sz w:val="20"/>
                <w:szCs w:val="20"/>
              </w:rPr>
              <w:t> </w:t>
            </w:r>
          </w:p>
          <w:p w14:paraId="214974EA" w14:textId="77777777" w:rsidR="00CF5712" w:rsidRPr="00FC6043" w:rsidRDefault="00CF5712" w:rsidP="00142424">
            <w:pPr>
              <w:pStyle w:val="paragraph"/>
              <w:numPr>
                <w:ilvl w:val="0"/>
                <w:numId w:val="48"/>
              </w:numPr>
              <w:spacing w:before="0" w:beforeAutospacing="0" w:after="0" w:afterAutospacing="0"/>
              <w:ind w:left="1080" w:firstLine="0"/>
              <w:textAlignment w:val="baseline"/>
              <w:rPr>
                <w:rFonts w:eastAsia="MS Mincho"/>
                <w:sz w:val="20"/>
                <w:szCs w:val="20"/>
              </w:rPr>
            </w:pPr>
            <w:r w:rsidRPr="00FC6043">
              <w:rPr>
                <w:rStyle w:val="normaltextrun"/>
                <w:rFonts w:eastAsia="MS Mincho"/>
                <w:sz w:val="20"/>
                <w:szCs w:val="20"/>
              </w:rPr>
              <w:t>Evidence from HUD’s website substantiating which Fair Market Rents (FMRs) are applicable to the proposed development. </w:t>
            </w:r>
            <w:r w:rsidRPr="00FC6043">
              <w:rPr>
                <w:rStyle w:val="eop"/>
                <w:rFonts w:eastAsia="MS Mincho"/>
                <w:sz w:val="20"/>
                <w:szCs w:val="20"/>
              </w:rPr>
              <w:t> </w:t>
            </w:r>
          </w:p>
          <w:p w14:paraId="1A16FA52" w14:textId="77777777" w:rsidR="00CF5712" w:rsidRPr="00FC6043" w:rsidRDefault="00CF5712" w:rsidP="0042235D">
            <w:pPr>
              <w:pStyle w:val="paragraph"/>
              <w:numPr>
                <w:ilvl w:val="0"/>
                <w:numId w:val="49"/>
              </w:numPr>
              <w:spacing w:before="0" w:beforeAutospacing="0" w:after="0" w:afterAutospacing="0"/>
              <w:ind w:left="1080" w:firstLine="0"/>
              <w:textAlignment w:val="baseline"/>
              <w:rPr>
                <w:rStyle w:val="normaltextrun"/>
                <w:rFonts w:eastAsia="MS Mincho"/>
                <w:sz w:val="20"/>
                <w:szCs w:val="20"/>
              </w:rPr>
            </w:pPr>
            <w:r w:rsidRPr="00FC6043">
              <w:rPr>
                <w:rStyle w:val="normaltextrun"/>
                <w:rFonts w:eastAsia="MS Mincho"/>
                <w:sz w:val="20"/>
                <w:szCs w:val="20"/>
              </w:rPr>
              <w:t>A brief description of how the rents in the Core Application are derived from the FMRs (e.g., the following statement would suffice: “Non-RAD PBV rents are based on 110% of the FMRs”). </w:t>
            </w:r>
            <w:r w:rsidRPr="00FC6043">
              <w:rPr>
                <w:rStyle w:val="eop"/>
                <w:rFonts w:eastAsia="MS Mincho"/>
                <w:sz w:val="20"/>
                <w:szCs w:val="20"/>
              </w:rPr>
              <w:t> </w:t>
            </w:r>
          </w:p>
        </w:tc>
      </w:tr>
      <w:tr w:rsidR="00CF5712" w:rsidRPr="00FC6043" w14:paraId="4B2471D7" w14:textId="77777777" w:rsidTr="1995616E">
        <w:trPr>
          <w:jc w:val="center"/>
        </w:trPr>
        <w:tc>
          <w:tcPr>
            <w:tcW w:w="2157" w:type="dxa"/>
            <w:shd w:val="clear" w:color="auto" w:fill="auto"/>
            <w:tcMar>
              <w:top w:w="72" w:type="dxa"/>
              <w:left w:w="115" w:type="dxa"/>
              <w:bottom w:w="72" w:type="dxa"/>
              <w:right w:w="115" w:type="dxa"/>
            </w:tcMar>
            <w:vAlign w:val="center"/>
          </w:tcPr>
          <w:p w14:paraId="216F1437"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5/11/22</w:t>
            </w:r>
          </w:p>
        </w:tc>
        <w:tc>
          <w:tcPr>
            <w:tcW w:w="2198" w:type="dxa"/>
            <w:shd w:val="clear" w:color="auto" w:fill="auto"/>
            <w:tcMar>
              <w:top w:w="72" w:type="dxa"/>
              <w:left w:w="115" w:type="dxa"/>
              <w:bottom w:w="72" w:type="dxa"/>
              <w:right w:w="115" w:type="dxa"/>
            </w:tcMar>
            <w:vAlign w:val="center"/>
          </w:tcPr>
          <w:p w14:paraId="3D67365B"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2.12</w:t>
            </w:r>
          </w:p>
          <w:p w14:paraId="3B9D19A0"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Threshold Criteria;</w:t>
            </w:r>
          </w:p>
          <w:p w14:paraId="14ECDD6E"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Public Water/Sanitary Sewer</w:t>
            </w:r>
          </w:p>
        </w:tc>
        <w:tc>
          <w:tcPr>
            <w:tcW w:w="9590" w:type="dxa"/>
            <w:shd w:val="clear" w:color="auto" w:fill="auto"/>
            <w:tcMar>
              <w:top w:w="72" w:type="dxa"/>
              <w:left w:w="115" w:type="dxa"/>
              <w:bottom w:w="72" w:type="dxa"/>
              <w:right w:w="115" w:type="dxa"/>
            </w:tcMar>
            <w:vAlign w:val="center"/>
          </w:tcPr>
          <w:p w14:paraId="5DF77151" w14:textId="77777777" w:rsidR="00CF5712" w:rsidRPr="00FC6043" w:rsidRDefault="00CF5712" w:rsidP="00D34442">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Q22_0419_01</w:t>
            </w:r>
            <w:r w:rsidRPr="00FC6043">
              <w:rPr>
                <w:rStyle w:val="eop"/>
                <w:sz w:val="20"/>
                <w:szCs w:val="20"/>
              </w:rPr>
              <w:t> </w:t>
            </w:r>
          </w:p>
          <w:p w14:paraId="78C31EA4" w14:textId="77777777" w:rsidR="00CF5712" w:rsidRPr="00FC6043" w:rsidRDefault="00CF5712" w:rsidP="00D34442">
            <w:pPr>
              <w:pStyle w:val="paragraph"/>
              <w:spacing w:before="0" w:beforeAutospacing="0" w:after="0" w:afterAutospacing="0"/>
              <w:textAlignment w:val="baseline"/>
              <w:rPr>
                <w:sz w:val="20"/>
                <w:szCs w:val="20"/>
              </w:rPr>
            </w:pPr>
            <w:r w:rsidRPr="00FC6043">
              <w:rPr>
                <w:rStyle w:val="normaltextrun"/>
                <w:sz w:val="20"/>
                <w:szCs w:val="20"/>
              </w:rPr>
              <w:t xml:space="preserve">In PUBLIC WATER/SANITARY SEWER under minimum documentation </w:t>
            </w:r>
            <w:r w:rsidRPr="00FC6043">
              <w:rPr>
                <w:rStyle w:val="contextualspellingandgrammarerror"/>
                <w:rFonts w:eastAsiaTheme="majorEastAsia"/>
                <w:sz w:val="20"/>
                <w:szCs w:val="20"/>
              </w:rPr>
              <w:t>states :</w:t>
            </w:r>
            <w:r w:rsidRPr="00FC6043">
              <w:rPr>
                <w:rStyle w:val="normaltextrun"/>
                <w:sz w:val="20"/>
                <w:szCs w:val="20"/>
              </w:rPr>
              <w:t xml:space="preserve"> ""Letter(s) of commitment from verifiable public water/sanitary sewer authority that includes project name, address, or parcel ID and confirms that utilities will be available.""||The 2022 QAP was modified to add ""of commitment"" implying that DCA is now requiring a commitment of water/sanitary sewer (W/S) availability from local W/S authorities.  Local W/S authorities, especially larger ones will not issue a ""commitment"" of availability of W/S services due to the time lag between the issuance of the letter and the issuance of building permits which can be 18-24 months.  ||A commitment is asking the local W/S authority to commit to availability at some point in the future which most authorities will not </w:t>
            </w:r>
            <w:r w:rsidRPr="00FC6043">
              <w:rPr>
                <w:rStyle w:val="contextualspellingandgrammarerror"/>
                <w:rFonts w:eastAsiaTheme="majorEastAsia"/>
                <w:sz w:val="20"/>
                <w:szCs w:val="20"/>
              </w:rPr>
              <w:t>do.|</w:t>
            </w:r>
            <w:r w:rsidRPr="00FC6043">
              <w:rPr>
                <w:rStyle w:val="normaltextrun"/>
                <w:sz w:val="20"/>
                <w:szCs w:val="20"/>
              </w:rPr>
              <w:t xml:space="preserve">|Historically, DCA has required W/S sewer availability letters which state required W/S infrastructure is available to the development </w:t>
            </w:r>
            <w:r w:rsidRPr="00FC6043">
              <w:rPr>
                <w:rStyle w:val="contextualspellingandgrammarerror"/>
                <w:rFonts w:eastAsiaTheme="majorEastAsia"/>
                <w:sz w:val="20"/>
                <w:szCs w:val="20"/>
              </w:rPr>
              <w:t>site.|</w:t>
            </w:r>
            <w:r w:rsidRPr="00FC6043">
              <w:rPr>
                <w:rStyle w:val="normaltextrun"/>
                <w:sz w:val="20"/>
                <w:szCs w:val="20"/>
              </w:rPr>
              <w:t xml:space="preserve">|Will letters that confirm W/S availability without language stating the letter is a commitment pass threshold in this </w:t>
            </w:r>
            <w:r w:rsidRPr="00FC6043">
              <w:rPr>
                <w:rStyle w:val="contextualspellingandgrammarerror"/>
                <w:rFonts w:eastAsiaTheme="majorEastAsia"/>
                <w:sz w:val="20"/>
                <w:szCs w:val="20"/>
              </w:rPr>
              <w:t>section?|</w:t>
            </w:r>
            <w:r w:rsidRPr="00FC6043">
              <w:rPr>
                <w:rStyle w:val="eop"/>
                <w:sz w:val="20"/>
                <w:szCs w:val="20"/>
              </w:rPr>
              <w:t> </w:t>
            </w:r>
          </w:p>
          <w:p w14:paraId="707B8132" w14:textId="77777777" w:rsidR="00CF5712" w:rsidRPr="00FC6043" w:rsidRDefault="00CF5712" w:rsidP="00D34442">
            <w:pPr>
              <w:pStyle w:val="paragraph"/>
              <w:spacing w:before="0" w:beforeAutospacing="0" w:after="0" w:afterAutospacing="0"/>
              <w:textAlignment w:val="baseline"/>
              <w:rPr>
                <w:sz w:val="20"/>
                <w:szCs w:val="20"/>
              </w:rPr>
            </w:pPr>
            <w:r w:rsidRPr="00FC6043">
              <w:rPr>
                <w:rStyle w:val="eop"/>
                <w:sz w:val="20"/>
                <w:szCs w:val="20"/>
              </w:rPr>
              <w:t> </w:t>
            </w:r>
          </w:p>
          <w:p w14:paraId="4D1852AD" w14:textId="77777777" w:rsidR="00CF5712" w:rsidRPr="00FC6043" w:rsidRDefault="00CF5712" w:rsidP="00D34442">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392885E6" w14:textId="77777777" w:rsidR="00CF5712" w:rsidRPr="00FC6043" w:rsidRDefault="00CF5712" w:rsidP="00D34442">
            <w:pPr>
              <w:pStyle w:val="paragraph"/>
              <w:spacing w:before="0" w:beforeAutospacing="0" w:after="0" w:afterAutospacing="0"/>
              <w:textAlignment w:val="baseline"/>
              <w:rPr>
                <w:sz w:val="20"/>
                <w:szCs w:val="20"/>
              </w:rPr>
            </w:pPr>
            <w:r w:rsidRPr="00FC6043">
              <w:rPr>
                <w:rStyle w:val="normaltextrun"/>
                <w:sz w:val="20"/>
                <w:szCs w:val="20"/>
              </w:rPr>
              <w:t>The above-referenced edit, to include the word “commitment,” was not intended to substantively change this documentation requirement. </w:t>
            </w:r>
            <w:r w:rsidRPr="00FC6043">
              <w:rPr>
                <w:rStyle w:val="eop"/>
                <w:sz w:val="20"/>
                <w:szCs w:val="20"/>
              </w:rPr>
              <w:t> </w:t>
            </w:r>
          </w:p>
          <w:p w14:paraId="62A5943B" w14:textId="77777777" w:rsidR="00CF5712" w:rsidRPr="00FC6043" w:rsidRDefault="00CF5712" w:rsidP="00D34442">
            <w:pPr>
              <w:pStyle w:val="paragraph"/>
              <w:spacing w:before="0" w:beforeAutospacing="0" w:after="0" w:afterAutospacing="0"/>
              <w:textAlignment w:val="baseline"/>
              <w:rPr>
                <w:sz w:val="20"/>
                <w:szCs w:val="20"/>
              </w:rPr>
            </w:pPr>
            <w:r w:rsidRPr="00FC6043">
              <w:rPr>
                <w:rStyle w:val="eop"/>
                <w:sz w:val="20"/>
                <w:szCs w:val="20"/>
              </w:rPr>
              <w:t> </w:t>
            </w:r>
          </w:p>
          <w:p w14:paraId="053486CF" w14:textId="77777777" w:rsidR="00CF5712" w:rsidRPr="00FC6043" w:rsidRDefault="00CF5712" w:rsidP="0053282B">
            <w:pPr>
              <w:pStyle w:val="paragraph"/>
              <w:spacing w:before="0" w:beforeAutospacing="0" w:after="0" w:afterAutospacing="0"/>
              <w:textAlignment w:val="baseline"/>
              <w:rPr>
                <w:rStyle w:val="normaltextrun"/>
                <w:sz w:val="20"/>
                <w:szCs w:val="20"/>
              </w:rPr>
            </w:pPr>
            <w:r w:rsidRPr="00FC6043">
              <w:rPr>
                <w:rStyle w:val="normaltextrun"/>
                <w:b/>
                <w:bCs/>
                <w:sz w:val="20"/>
                <w:szCs w:val="20"/>
              </w:rPr>
              <w:t>(Threshold) Public Water/Sanitary Sewer</w:t>
            </w:r>
            <w:r w:rsidRPr="00FC6043">
              <w:rPr>
                <w:rStyle w:val="normaltextrun"/>
                <w:sz w:val="20"/>
                <w:szCs w:val="20"/>
              </w:rPr>
              <w:t xml:space="preserve"> provides the following examples of the type of “letter(s) of commitment” that should be requested from the verifiable public water/sanitary sewer authority: “letters from public water/sanitary sewer authority, copies of easements necessary for water and sewer authorities to extend water and sewer to the property.”  Per this QAP section, “letters from the local public water and sewer authorities must document the availability of the existing public water and sewer service to the site”.  Therefore the “Letter(s) of commitment” as requested in minimum documentation refers to the documentation of the availability of existing public water and sanitary sewer.</w:t>
            </w:r>
          </w:p>
        </w:tc>
      </w:tr>
      <w:tr w:rsidR="00CF5712" w:rsidRPr="00FC6043" w14:paraId="0F3625CA" w14:textId="77777777" w:rsidTr="1995616E">
        <w:trPr>
          <w:jc w:val="center"/>
        </w:trPr>
        <w:tc>
          <w:tcPr>
            <w:tcW w:w="2157" w:type="dxa"/>
            <w:shd w:val="clear" w:color="auto" w:fill="auto"/>
            <w:tcMar>
              <w:top w:w="72" w:type="dxa"/>
              <w:left w:w="115" w:type="dxa"/>
              <w:bottom w:w="72" w:type="dxa"/>
              <w:right w:w="115" w:type="dxa"/>
            </w:tcMar>
            <w:vAlign w:val="center"/>
          </w:tcPr>
          <w:p w14:paraId="50301940"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6045856A"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2.17</w:t>
            </w:r>
          </w:p>
          <w:p w14:paraId="661C1330"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Threshold Criteria;</w:t>
            </w:r>
          </w:p>
          <w:p w14:paraId="5E1916EA"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Building Sustainability</w:t>
            </w:r>
          </w:p>
        </w:tc>
        <w:tc>
          <w:tcPr>
            <w:tcW w:w="9590" w:type="dxa"/>
            <w:shd w:val="clear" w:color="auto" w:fill="auto"/>
            <w:tcMar>
              <w:top w:w="72" w:type="dxa"/>
              <w:left w:w="115" w:type="dxa"/>
              <w:bottom w:w="72" w:type="dxa"/>
              <w:right w:w="115" w:type="dxa"/>
            </w:tcMar>
            <w:vAlign w:val="center"/>
          </w:tcPr>
          <w:p w14:paraId="0391003A" w14:textId="77777777" w:rsidR="00CF5712" w:rsidRPr="00FC6043" w:rsidRDefault="00CF5712" w:rsidP="00DF62AB">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Q22_0129_01</w:t>
            </w:r>
            <w:r w:rsidRPr="00FC6043">
              <w:rPr>
                <w:rStyle w:val="eop"/>
                <w:sz w:val="20"/>
                <w:szCs w:val="20"/>
              </w:rPr>
              <w:t> </w:t>
            </w:r>
          </w:p>
          <w:p w14:paraId="6CC27627" w14:textId="77777777" w:rsidR="00CF5712" w:rsidRPr="00FC6043" w:rsidRDefault="00CF5712" w:rsidP="00DF62AB">
            <w:pPr>
              <w:pStyle w:val="paragraph"/>
              <w:spacing w:before="0" w:beforeAutospacing="0" w:after="0" w:afterAutospacing="0"/>
              <w:textAlignment w:val="baseline"/>
              <w:rPr>
                <w:sz w:val="20"/>
                <w:szCs w:val="20"/>
              </w:rPr>
            </w:pPr>
            <w:r w:rsidRPr="00FC6043">
              <w:rPr>
                <w:rStyle w:val="normaltextrun"/>
                <w:sz w:val="20"/>
                <w:szCs w:val="20"/>
              </w:rPr>
              <w:t>Regarding (</w:t>
            </w:r>
            <w:r w:rsidRPr="00FC6043">
              <w:rPr>
                <w:rStyle w:val="normaltextrun"/>
                <w:b/>
                <w:bCs/>
                <w:sz w:val="20"/>
                <w:szCs w:val="20"/>
              </w:rPr>
              <w:t>Threshold) Building Sustainability, A. Sustainability Standards, 2. Measured duct and building envelope leakage</w:t>
            </w:r>
            <w:r w:rsidRPr="00FC6043">
              <w:rPr>
                <w:rStyle w:val="normaltextrun"/>
                <w:sz w:val="20"/>
                <w:szCs w:val="20"/>
              </w:rPr>
              <w:t xml:space="preserve">, the QAP states that performance testing must be performed on a </w:t>
            </w:r>
            <w:r w:rsidRPr="00FC6043">
              <w:rPr>
                <w:rStyle w:val="normaltextrun"/>
                <w:i/>
                <w:iCs/>
                <w:sz w:val="20"/>
                <w:szCs w:val="20"/>
              </w:rPr>
              <w:t>"sampling of units...utilizing RESNET-approved performance testing methodologies..."</w:t>
            </w:r>
            <w:r w:rsidRPr="00FC6043">
              <w:rPr>
                <w:rStyle w:val="normaltextrun"/>
                <w:sz w:val="20"/>
                <w:szCs w:val="20"/>
              </w:rPr>
              <w:t>.</w:t>
            </w:r>
            <w:r w:rsidRPr="00FC6043">
              <w:rPr>
                <w:rStyle w:val="eop"/>
                <w:sz w:val="20"/>
                <w:szCs w:val="20"/>
              </w:rPr>
              <w:t> </w:t>
            </w:r>
          </w:p>
          <w:p w14:paraId="7B3BA223" w14:textId="77777777" w:rsidR="00CF5712" w:rsidRPr="00FC6043" w:rsidRDefault="00CF5712" w:rsidP="00DF62AB">
            <w:pPr>
              <w:pStyle w:val="paragraph"/>
              <w:spacing w:before="0" w:beforeAutospacing="0" w:after="0" w:afterAutospacing="0"/>
              <w:textAlignment w:val="baseline"/>
              <w:rPr>
                <w:sz w:val="20"/>
                <w:szCs w:val="20"/>
              </w:rPr>
            </w:pPr>
            <w:r w:rsidRPr="00FC6043">
              <w:rPr>
                <w:rStyle w:val="eop"/>
                <w:sz w:val="20"/>
                <w:szCs w:val="20"/>
              </w:rPr>
              <w:t> </w:t>
            </w:r>
          </w:p>
          <w:p w14:paraId="39C80F2D" w14:textId="77777777" w:rsidR="00CF5712" w:rsidRPr="00FC6043" w:rsidRDefault="00CF5712" w:rsidP="00DF62AB">
            <w:pPr>
              <w:pStyle w:val="paragraph"/>
              <w:spacing w:before="0" w:beforeAutospacing="0" w:after="0" w:afterAutospacing="0"/>
              <w:textAlignment w:val="baseline"/>
              <w:rPr>
                <w:sz w:val="20"/>
                <w:szCs w:val="20"/>
              </w:rPr>
            </w:pPr>
            <w:r w:rsidRPr="00FC6043">
              <w:rPr>
                <w:rStyle w:val="normaltextrun"/>
                <w:sz w:val="20"/>
                <w:szCs w:val="20"/>
              </w:rPr>
              <w:lastRenderedPageBreak/>
              <w:t>Does this mean the RESNET sampling procedures must be followed or just the procedures for individual unit testing?</w:t>
            </w:r>
            <w:r w:rsidRPr="00FC6043">
              <w:rPr>
                <w:rStyle w:val="eop"/>
                <w:sz w:val="20"/>
                <w:szCs w:val="20"/>
              </w:rPr>
              <w:t> </w:t>
            </w:r>
          </w:p>
          <w:p w14:paraId="4AFB11EE" w14:textId="77777777" w:rsidR="00CF5712" w:rsidRPr="00FC6043" w:rsidRDefault="00CF5712" w:rsidP="00DF62AB">
            <w:pPr>
              <w:pStyle w:val="paragraph"/>
              <w:spacing w:before="0" w:beforeAutospacing="0" w:after="0" w:afterAutospacing="0"/>
              <w:textAlignment w:val="baseline"/>
              <w:rPr>
                <w:sz w:val="20"/>
                <w:szCs w:val="20"/>
              </w:rPr>
            </w:pPr>
            <w:r w:rsidRPr="00FC6043">
              <w:rPr>
                <w:rStyle w:val="eop"/>
                <w:sz w:val="20"/>
                <w:szCs w:val="20"/>
              </w:rPr>
              <w:t> </w:t>
            </w:r>
          </w:p>
          <w:p w14:paraId="1CEBB679" w14:textId="77777777" w:rsidR="00CF5712" w:rsidRPr="00FC6043" w:rsidRDefault="00CF5712" w:rsidP="00DF62AB">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19C3FFB9" w14:textId="77777777" w:rsidR="00CF5712" w:rsidRPr="00FC6043" w:rsidRDefault="00CF5712" w:rsidP="0053282B">
            <w:pPr>
              <w:pStyle w:val="paragraph"/>
              <w:spacing w:before="0" w:beforeAutospacing="0" w:after="0" w:afterAutospacing="0"/>
              <w:textAlignment w:val="baseline"/>
              <w:rPr>
                <w:rStyle w:val="normaltextrun"/>
                <w:sz w:val="20"/>
                <w:szCs w:val="20"/>
              </w:rPr>
            </w:pPr>
            <w:r w:rsidRPr="00FC6043">
              <w:rPr>
                <w:rStyle w:val="normaltextrun"/>
                <w:sz w:val="20"/>
                <w:szCs w:val="20"/>
              </w:rPr>
              <w:t>RESNET procedures must be followed for individual unit testing.  In the parenthesis within the same sentence, DCA defines the “sampling of units” to use as including “one of each unit type in its various configurations within the property”.</w:t>
            </w:r>
            <w:r w:rsidRPr="00FC6043">
              <w:rPr>
                <w:rStyle w:val="eop"/>
                <w:sz w:val="20"/>
                <w:szCs w:val="20"/>
              </w:rPr>
              <w:t> </w:t>
            </w:r>
          </w:p>
        </w:tc>
      </w:tr>
      <w:tr w:rsidR="00CF5712" w:rsidRPr="00FC6043" w14:paraId="7FC6676C" w14:textId="77777777" w:rsidTr="1995616E">
        <w:trPr>
          <w:jc w:val="center"/>
        </w:trPr>
        <w:tc>
          <w:tcPr>
            <w:tcW w:w="2157" w:type="dxa"/>
            <w:shd w:val="clear" w:color="auto" w:fill="auto"/>
            <w:tcMar>
              <w:top w:w="72" w:type="dxa"/>
              <w:left w:w="115" w:type="dxa"/>
              <w:bottom w:w="72" w:type="dxa"/>
              <w:right w:w="115" w:type="dxa"/>
            </w:tcMar>
            <w:vAlign w:val="center"/>
          </w:tcPr>
          <w:p w14:paraId="2B547819"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5/11/22</w:t>
            </w:r>
          </w:p>
        </w:tc>
        <w:tc>
          <w:tcPr>
            <w:tcW w:w="2198" w:type="dxa"/>
            <w:shd w:val="clear" w:color="auto" w:fill="auto"/>
            <w:tcMar>
              <w:top w:w="72" w:type="dxa"/>
              <w:left w:w="115" w:type="dxa"/>
              <w:bottom w:w="72" w:type="dxa"/>
              <w:right w:w="115" w:type="dxa"/>
            </w:tcMar>
            <w:vAlign w:val="center"/>
          </w:tcPr>
          <w:p w14:paraId="62901605" w14:textId="77777777" w:rsidR="00CF5712" w:rsidRPr="00FC6043" w:rsidRDefault="00CF5712" w:rsidP="000345FC">
            <w:pPr>
              <w:rPr>
                <w:rFonts w:ascii="Times New Roman" w:hAnsi="Times New Roman" w:cs="Times New Roman"/>
                <w:sz w:val="20"/>
                <w:szCs w:val="20"/>
              </w:rPr>
            </w:pPr>
            <w:r w:rsidRPr="00FC6043">
              <w:rPr>
                <w:rFonts w:ascii="Times New Roman" w:hAnsi="Times New Roman" w:cs="Times New Roman"/>
                <w:sz w:val="20"/>
                <w:szCs w:val="20"/>
              </w:rPr>
              <w:t>2.20</w:t>
            </w:r>
          </w:p>
          <w:p w14:paraId="4CA9ADD5" w14:textId="77777777" w:rsidR="00CF5712" w:rsidRPr="00FC6043" w:rsidRDefault="00CF5712" w:rsidP="000345FC">
            <w:pPr>
              <w:rPr>
                <w:rFonts w:ascii="Times New Roman" w:hAnsi="Times New Roman" w:cs="Times New Roman"/>
                <w:sz w:val="20"/>
                <w:szCs w:val="20"/>
              </w:rPr>
            </w:pPr>
            <w:r w:rsidRPr="00FC6043">
              <w:rPr>
                <w:rFonts w:ascii="Times New Roman" w:hAnsi="Times New Roman" w:cs="Times New Roman"/>
                <w:sz w:val="20"/>
                <w:szCs w:val="20"/>
              </w:rPr>
              <w:t>Threshold Criteria;</w:t>
            </w:r>
          </w:p>
          <w:p w14:paraId="247EB36D" w14:textId="77777777" w:rsidR="00CF5712" w:rsidRPr="00FC6043" w:rsidRDefault="00CF5712" w:rsidP="000345FC">
            <w:pPr>
              <w:rPr>
                <w:rFonts w:ascii="Times New Roman" w:hAnsi="Times New Roman" w:cs="Times New Roman"/>
                <w:sz w:val="20"/>
                <w:szCs w:val="20"/>
              </w:rPr>
            </w:pPr>
            <w:r w:rsidRPr="00FC6043">
              <w:rPr>
                <w:rFonts w:ascii="Times New Roman" w:hAnsi="Times New Roman" w:cs="Times New Roman"/>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2BB6176B" w14:textId="77777777" w:rsidR="00CF5712" w:rsidRPr="00FC6043" w:rsidRDefault="00CF5712" w:rsidP="00A31C5D">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Q22_0505_01 </w:t>
            </w:r>
          </w:p>
          <w:p w14:paraId="03AD2DE7" w14:textId="77777777" w:rsidR="00CF5712" w:rsidRPr="00FC6043" w:rsidRDefault="00CF5712" w:rsidP="00A31C5D">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During the pre-application/qualification determination process DCA mandated that a pre-application must have a specific deal name and could not be left as "TBD". ||We have now received a determination of "qualified" but it is listed with the submitted proposed development name. ||If we are submitting a second application with the exact same project team, can we include the qualification determination we received within the second application even though the deal names will be different?  </w:t>
            </w:r>
          </w:p>
          <w:p w14:paraId="25C6BC14" w14:textId="77777777" w:rsidR="00CF5712" w:rsidRPr="00FC6043" w:rsidRDefault="00CF5712" w:rsidP="00A31C5D">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542A17D7" w14:textId="77777777" w:rsidR="00CF5712" w:rsidRPr="00FC6043" w:rsidRDefault="00CF5712" w:rsidP="00A31C5D">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6DE1855E" w14:textId="77777777" w:rsidR="00CF5712" w:rsidRPr="00FC6043" w:rsidRDefault="00CF5712" w:rsidP="00A31C5D">
            <w:pPr>
              <w:textAlignment w:val="baseline"/>
              <w:rPr>
                <w:rStyle w:val="normaltextrun"/>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If the project team is identical to that of a pre-application that received a qualified determination, Applicants may use the 2022 QD Letter, even if a proposed development has a different name than the pre-application. Applicants should indicate this in the comments box in the Threshold tab of the Core Application under the section for Experience, Capacity and Performance Requirements for General Partner and Developer Entities. </w:t>
            </w:r>
          </w:p>
        </w:tc>
      </w:tr>
      <w:tr w:rsidR="00CF5712" w:rsidRPr="00FC6043" w14:paraId="7830EC9A" w14:textId="77777777" w:rsidTr="1995616E">
        <w:trPr>
          <w:jc w:val="center"/>
        </w:trPr>
        <w:tc>
          <w:tcPr>
            <w:tcW w:w="2157" w:type="dxa"/>
            <w:shd w:val="clear" w:color="auto" w:fill="auto"/>
            <w:tcMar>
              <w:top w:w="72" w:type="dxa"/>
              <w:left w:w="115" w:type="dxa"/>
              <w:bottom w:w="72" w:type="dxa"/>
              <w:right w:w="115" w:type="dxa"/>
            </w:tcMar>
            <w:vAlign w:val="center"/>
          </w:tcPr>
          <w:p w14:paraId="797A993C"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6F558E80"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2.21</w:t>
            </w:r>
          </w:p>
          <w:p w14:paraId="4048C082"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Threshold Criteria;</w:t>
            </w:r>
          </w:p>
          <w:p w14:paraId="420E0661"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Eligibility for Credit Under the Preservation Set Asides</w:t>
            </w:r>
          </w:p>
          <w:p w14:paraId="2F179832" w14:textId="77777777" w:rsidR="00CF5712" w:rsidRPr="00FC6043" w:rsidRDefault="00CF5712" w:rsidP="002E5CCF">
            <w:pPr>
              <w:rPr>
                <w:rFonts w:ascii="Times New Roman" w:hAnsi="Times New Roman" w:cs="Times New Roman"/>
                <w:sz w:val="20"/>
                <w:szCs w:val="20"/>
              </w:rPr>
            </w:pPr>
          </w:p>
          <w:p w14:paraId="373691A7"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(also Core, Submission Requirements and Award Limitations)</w:t>
            </w:r>
          </w:p>
        </w:tc>
        <w:tc>
          <w:tcPr>
            <w:tcW w:w="9590" w:type="dxa"/>
            <w:shd w:val="clear" w:color="auto" w:fill="auto"/>
            <w:tcMar>
              <w:top w:w="72" w:type="dxa"/>
              <w:left w:w="115" w:type="dxa"/>
              <w:bottom w:w="72" w:type="dxa"/>
              <w:right w:w="115" w:type="dxa"/>
            </w:tcMar>
            <w:vAlign w:val="center"/>
          </w:tcPr>
          <w:p w14:paraId="437E8531" w14:textId="77777777" w:rsidR="00CF5712" w:rsidRPr="00FC6043" w:rsidRDefault="00CF5712" w:rsidP="00587081">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Q22_0425_01 </w:t>
            </w:r>
          </w:p>
          <w:p w14:paraId="67C87440" w14:textId="77777777" w:rsidR="00CF5712" w:rsidRPr="00FC6043" w:rsidRDefault="00CF5712" w:rsidP="00587081">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Q&amp;A ID number Q22_0405_01 states that “a project team interested in submitting the same development for multiple Preservation Set Asides can submit multiple applications and associated fees.” </w:t>
            </w:r>
          </w:p>
          <w:p w14:paraId="1020B815" w14:textId="77777777" w:rsidR="00CF5712" w:rsidRPr="00FC6043" w:rsidRDefault="00CF5712" w:rsidP="00587081">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5242C8A2" w14:textId="77777777" w:rsidR="00CF5712" w:rsidRPr="00FC6043" w:rsidRDefault="00CF5712" w:rsidP="00587081">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Is it possible to further clarify if two sets of Applications would have had to be submitted at the time of Pre-Application? Or are we still able to submit two Applications for a project with only 1 Pre-Application? </w:t>
            </w:r>
          </w:p>
          <w:p w14:paraId="6717C1DF" w14:textId="77777777" w:rsidR="00CF5712" w:rsidRPr="00FC6043" w:rsidRDefault="00CF5712" w:rsidP="00587081">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15756BBF" w14:textId="77777777" w:rsidR="00CF5712" w:rsidRPr="00FC6043" w:rsidRDefault="00CF5712" w:rsidP="00587081">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54B328CC" w14:textId="77777777" w:rsidR="00CF5712" w:rsidRPr="00FC6043" w:rsidRDefault="00CF5712" w:rsidP="00587081">
            <w:pPr>
              <w:textAlignment w:val="baseline"/>
              <w:rPr>
                <w:rStyle w:val="normaltextrun"/>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The </w:t>
            </w:r>
            <w:r w:rsidRPr="003872CA">
              <w:rPr>
                <w:rFonts w:ascii="Times New Roman" w:eastAsia="Times New Roman" w:hAnsi="Times New Roman" w:cs="Times New Roman"/>
                <w:sz w:val="20"/>
                <w:szCs w:val="20"/>
              </w:rPr>
              <w:t>purpose</w:t>
            </w:r>
            <w:r w:rsidRPr="00FC6043">
              <w:rPr>
                <w:rFonts w:ascii="Times New Roman" w:eastAsia="Times New Roman" w:hAnsi="Times New Roman" w:cs="Times New Roman"/>
                <w:sz w:val="20"/>
                <w:szCs w:val="20"/>
              </w:rPr>
              <w:t xml:space="preserve"> of the Pre-Application process is to receive approvals in advance of the application deadline for specific circumstances. Because those circumstances would have been approved already for the proposed development, there was no need to submit multiple Pre-Applications just because the same development might be later assessed as multiple applications under multiple set asides.</w:t>
            </w:r>
          </w:p>
        </w:tc>
      </w:tr>
      <w:tr w:rsidR="00CF5712" w:rsidRPr="00FC6043" w14:paraId="1C04F100" w14:textId="77777777" w:rsidTr="1995616E">
        <w:trPr>
          <w:jc w:val="center"/>
        </w:trPr>
        <w:tc>
          <w:tcPr>
            <w:tcW w:w="2157" w:type="dxa"/>
            <w:shd w:val="clear" w:color="auto" w:fill="auto"/>
            <w:tcMar>
              <w:top w:w="72" w:type="dxa"/>
              <w:left w:w="115" w:type="dxa"/>
              <w:bottom w:w="72" w:type="dxa"/>
              <w:right w:w="115" w:type="dxa"/>
            </w:tcMar>
            <w:vAlign w:val="center"/>
          </w:tcPr>
          <w:p w14:paraId="07F1CFA0"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62B6F461"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3.05</w:t>
            </w:r>
          </w:p>
          <w:p w14:paraId="1FCA237A"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28BFCAED"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14:paraId="60D8A423" w14:textId="77777777" w:rsidR="00CF5712" w:rsidRPr="00FC6043" w:rsidRDefault="00CF5712" w:rsidP="002260E9">
            <w:pPr>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Q22_0504_01</w:t>
            </w:r>
          </w:p>
          <w:p w14:paraId="721DBBD6" w14:textId="77777777" w:rsidR="00CF5712" w:rsidRPr="00FC6043" w:rsidRDefault="00CF5712" w:rsidP="002260E9">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In </w:t>
            </w:r>
            <w:r w:rsidRPr="00FC6043">
              <w:rPr>
                <w:rFonts w:ascii="Times New Roman" w:eastAsia="Times New Roman" w:hAnsi="Times New Roman" w:cs="Times New Roman"/>
                <w:b/>
                <w:bCs/>
                <w:sz w:val="20"/>
                <w:szCs w:val="20"/>
              </w:rPr>
              <w:t>(Scoring) Desirable/Undesirable Activities, Undesirable/Inefficient Site Activities/Characteristics, Exceptions to Undesirable Deductions</w:t>
            </w:r>
            <w:r w:rsidRPr="00FC6043">
              <w:rPr>
                <w:rFonts w:ascii="Times New Roman" w:eastAsia="Times New Roman" w:hAnsi="Times New Roman" w:cs="Times New Roman"/>
                <w:sz w:val="20"/>
                <w:szCs w:val="20"/>
              </w:rPr>
              <w:t>, what is the definition of the word “site control” in the below bullet point?</w:t>
            </w:r>
          </w:p>
          <w:p w14:paraId="79BBFADF" w14:textId="77777777" w:rsidR="00CF5712" w:rsidRPr="00FC6043" w:rsidRDefault="00CF5712" w:rsidP="002260E9">
            <w:pPr>
              <w:rPr>
                <w:rFonts w:ascii="Times New Roman" w:eastAsia="Times New Roman" w:hAnsi="Times New Roman" w:cs="Times New Roman"/>
                <w:sz w:val="20"/>
                <w:szCs w:val="20"/>
              </w:rPr>
            </w:pPr>
          </w:p>
          <w:p w14:paraId="3B944036" w14:textId="77777777" w:rsidR="00CF5712" w:rsidRPr="00FC6043" w:rsidRDefault="00CF5712" w:rsidP="002260E9">
            <w:pPr>
              <w:pStyle w:val="ListParagraph"/>
              <w:numPr>
                <w:ilvl w:val="0"/>
                <w:numId w:val="45"/>
              </w:numPr>
              <w:rPr>
                <w:rFonts w:ascii="Times New Roman" w:eastAsia="Times New Roman" w:hAnsi="Times New Roman" w:cs="Times New Roman"/>
                <w:i/>
                <w:iCs/>
                <w:sz w:val="20"/>
                <w:szCs w:val="20"/>
              </w:rPr>
            </w:pPr>
            <w:r w:rsidRPr="00FC6043">
              <w:rPr>
                <w:rFonts w:ascii="Times New Roman" w:eastAsia="Times New Roman" w:hAnsi="Times New Roman" w:cs="Times New Roman"/>
                <w:i/>
                <w:iCs/>
                <w:sz w:val="20"/>
                <w:szCs w:val="20"/>
              </w:rPr>
              <w:t>Mitigation by the Applicant or a Local Government must be completed by the placed in-service date.</w:t>
            </w:r>
          </w:p>
          <w:p w14:paraId="4170338E" w14:textId="77777777" w:rsidR="00CF5712" w:rsidRPr="00FC6043" w:rsidRDefault="00CF5712" w:rsidP="002260E9">
            <w:pPr>
              <w:pStyle w:val="ListParagraph"/>
              <w:numPr>
                <w:ilvl w:val="1"/>
                <w:numId w:val="45"/>
              </w:numPr>
              <w:rPr>
                <w:rFonts w:ascii="Times New Roman" w:eastAsia="Times New Roman" w:hAnsi="Times New Roman" w:cs="Times New Roman"/>
                <w:sz w:val="20"/>
                <w:szCs w:val="20"/>
              </w:rPr>
            </w:pPr>
            <w:r w:rsidRPr="00FC6043">
              <w:rPr>
                <w:rFonts w:ascii="Times New Roman" w:eastAsia="Times New Roman" w:hAnsi="Times New Roman" w:cs="Times New Roman"/>
                <w:i/>
                <w:sz w:val="20"/>
                <w:szCs w:val="20"/>
              </w:rPr>
              <w:lastRenderedPageBreak/>
              <w:t>Applicants must provide documentation of the site control and resources to complete the mitigation.</w:t>
            </w:r>
          </w:p>
          <w:p w14:paraId="0876A38F" w14:textId="77777777" w:rsidR="00CF5712" w:rsidRPr="00FC6043" w:rsidRDefault="00CF5712" w:rsidP="002260E9">
            <w:pPr>
              <w:rPr>
                <w:rFonts w:ascii="Times New Roman" w:eastAsia="Times New Roman" w:hAnsi="Times New Roman" w:cs="Times New Roman"/>
                <w:sz w:val="20"/>
                <w:szCs w:val="20"/>
              </w:rPr>
            </w:pPr>
          </w:p>
          <w:p w14:paraId="4A6D57AD" w14:textId="77777777" w:rsidR="00CF5712" w:rsidRPr="00FC6043" w:rsidRDefault="00CF5712" w:rsidP="002260E9">
            <w:pPr>
              <w:contextualSpacing/>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 xml:space="preserve">: </w:t>
            </w:r>
          </w:p>
          <w:p w14:paraId="5FC96090" w14:textId="77777777" w:rsidR="00CF5712" w:rsidRPr="00FC6043" w:rsidRDefault="00CF5712" w:rsidP="002260E9">
            <w:pPr>
              <w:rPr>
                <w:rFonts w:ascii="Times New Roman" w:eastAsia="Segoe UI" w:hAnsi="Times New Roman" w:cs="Times New Roman"/>
                <w:sz w:val="20"/>
                <w:szCs w:val="20"/>
              </w:rPr>
            </w:pPr>
            <w:r w:rsidRPr="00FC6043">
              <w:rPr>
                <w:rFonts w:ascii="Times New Roman" w:eastAsia="Segoe UI" w:hAnsi="Times New Roman" w:cs="Times New Roman"/>
                <w:sz w:val="20"/>
                <w:szCs w:val="20"/>
              </w:rPr>
              <w:t xml:space="preserve">Documentation of site control to complete the mitigation of an undesirable activity/characteristic should show either of the following: </w:t>
            </w:r>
          </w:p>
          <w:p w14:paraId="4B8A508D" w14:textId="77777777" w:rsidR="00CF5712" w:rsidRPr="00FC6043" w:rsidRDefault="00CF5712" w:rsidP="002260E9">
            <w:pPr>
              <w:pStyle w:val="ListParagraph"/>
              <w:numPr>
                <w:ilvl w:val="0"/>
                <w:numId w:val="45"/>
              </w:numPr>
              <w:rPr>
                <w:rFonts w:ascii="Times New Roman" w:eastAsia="Segoe UI" w:hAnsi="Times New Roman" w:cs="Times New Roman"/>
                <w:sz w:val="20"/>
                <w:szCs w:val="20"/>
              </w:rPr>
            </w:pPr>
            <w:r w:rsidRPr="00FC6043">
              <w:rPr>
                <w:rFonts w:ascii="Times New Roman" w:eastAsia="Segoe UI" w:hAnsi="Times New Roman" w:cs="Times New Roman"/>
                <w:sz w:val="20"/>
                <w:szCs w:val="20"/>
              </w:rPr>
              <w:t xml:space="preserve">there is explicit authorization from the owner of the undesirable to perform the mitigation, or </w:t>
            </w:r>
          </w:p>
          <w:p w14:paraId="1440FBB4" w14:textId="77777777" w:rsidR="00CF5712" w:rsidRPr="00FC6043" w:rsidRDefault="00CF5712" w:rsidP="002260E9">
            <w:pPr>
              <w:pStyle w:val="ListParagraph"/>
              <w:numPr>
                <w:ilvl w:val="0"/>
                <w:numId w:val="45"/>
              </w:numPr>
              <w:rPr>
                <w:rStyle w:val="normaltextrun"/>
                <w:rFonts w:ascii="Times New Roman" w:eastAsia="Segoe UI" w:hAnsi="Times New Roman" w:cs="Times New Roman"/>
                <w:sz w:val="20"/>
                <w:szCs w:val="20"/>
              </w:rPr>
            </w:pPr>
            <w:r w:rsidRPr="00FC6043">
              <w:rPr>
                <w:rFonts w:ascii="Times New Roman" w:eastAsia="Segoe UI" w:hAnsi="Times New Roman" w:cs="Times New Roman"/>
                <w:sz w:val="20"/>
                <w:szCs w:val="20"/>
              </w:rPr>
              <w:t>there is a legal right for the entity performing the mitigation (e.g., Applicant, owner of the undesirable) to perform mitigation by the date(s) indicated in the QAP.</w:t>
            </w:r>
          </w:p>
        </w:tc>
      </w:tr>
      <w:tr w:rsidR="00CF5712" w:rsidRPr="00FC6043" w14:paraId="3608A91A" w14:textId="77777777" w:rsidTr="1995616E">
        <w:trPr>
          <w:jc w:val="center"/>
        </w:trPr>
        <w:tc>
          <w:tcPr>
            <w:tcW w:w="2157" w:type="dxa"/>
            <w:shd w:val="clear" w:color="auto" w:fill="auto"/>
            <w:tcMar>
              <w:top w:w="72" w:type="dxa"/>
              <w:left w:w="115" w:type="dxa"/>
              <w:bottom w:w="72" w:type="dxa"/>
              <w:right w:w="115" w:type="dxa"/>
            </w:tcMar>
            <w:vAlign w:val="center"/>
          </w:tcPr>
          <w:p w14:paraId="049E40DB"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5/11/22</w:t>
            </w:r>
          </w:p>
        </w:tc>
        <w:tc>
          <w:tcPr>
            <w:tcW w:w="2198" w:type="dxa"/>
            <w:shd w:val="clear" w:color="auto" w:fill="auto"/>
            <w:tcMar>
              <w:top w:w="72" w:type="dxa"/>
              <w:left w:w="115" w:type="dxa"/>
              <w:bottom w:w="72" w:type="dxa"/>
              <w:right w:w="115" w:type="dxa"/>
            </w:tcMar>
            <w:vAlign w:val="center"/>
          </w:tcPr>
          <w:p w14:paraId="462AB958"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3.07</w:t>
            </w:r>
          </w:p>
          <w:p w14:paraId="7015501D"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7CAF5EFE"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Quality Education Areas</w:t>
            </w:r>
          </w:p>
        </w:tc>
        <w:tc>
          <w:tcPr>
            <w:tcW w:w="9590" w:type="dxa"/>
            <w:shd w:val="clear" w:color="auto" w:fill="auto"/>
            <w:tcMar>
              <w:top w:w="72" w:type="dxa"/>
              <w:left w:w="115" w:type="dxa"/>
              <w:bottom w:w="72" w:type="dxa"/>
              <w:right w:w="115" w:type="dxa"/>
            </w:tcMar>
            <w:vAlign w:val="center"/>
          </w:tcPr>
          <w:p w14:paraId="6EDC3D37" w14:textId="77777777" w:rsidR="00CF5712" w:rsidRPr="00FC6043" w:rsidRDefault="00CF5712" w:rsidP="00403A61">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Q22_0427_01</w:t>
            </w:r>
            <w:r w:rsidRPr="00FC6043">
              <w:rPr>
                <w:rStyle w:val="eop"/>
                <w:sz w:val="20"/>
                <w:szCs w:val="20"/>
              </w:rPr>
              <w:t> </w:t>
            </w:r>
          </w:p>
          <w:p w14:paraId="12256C6E" w14:textId="77777777" w:rsidR="00CF5712" w:rsidRPr="00FC6043" w:rsidRDefault="00CF5712" w:rsidP="00403A61">
            <w:pPr>
              <w:pStyle w:val="paragraph"/>
              <w:spacing w:before="0" w:beforeAutospacing="0" w:after="0" w:afterAutospacing="0"/>
              <w:textAlignment w:val="baseline"/>
              <w:rPr>
                <w:sz w:val="20"/>
                <w:szCs w:val="20"/>
              </w:rPr>
            </w:pPr>
            <w:r w:rsidRPr="00FC6043">
              <w:rPr>
                <w:rStyle w:val="normaltextrun"/>
                <w:sz w:val="20"/>
                <w:szCs w:val="20"/>
              </w:rPr>
              <w:t xml:space="preserve">In </w:t>
            </w:r>
            <w:r w:rsidRPr="00FC6043">
              <w:rPr>
                <w:rStyle w:val="normaltextrun"/>
                <w:b/>
                <w:bCs/>
                <w:sz w:val="20"/>
                <w:szCs w:val="20"/>
              </w:rPr>
              <w:t>(Scoring)</w:t>
            </w:r>
            <w:r w:rsidRPr="00FC6043">
              <w:rPr>
                <w:rStyle w:val="normaltextrun"/>
                <w:sz w:val="20"/>
                <w:szCs w:val="20"/>
              </w:rPr>
              <w:t xml:space="preserve"> </w:t>
            </w:r>
            <w:r w:rsidRPr="00FC6043">
              <w:rPr>
                <w:rStyle w:val="normaltextrun"/>
                <w:b/>
                <w:bCs/>
                <w:sz w:val="20"/>
                <w:szCs w:val="20"/>
              </w:rPr>
              <w:t>Quality Education Areas</w:t>
            </w:r>
            <w:r w:rsidRPr="00FC6043">
              <w:rPr>
                <w:rStyle w:val="normaltextrun"/>
                <w:sz w:val="20"/>
                <w:szCs w:val="20"/>
              </w:rPr>
              <w:t>, school district maps showing the site location and full attendance zone boundaries, published by an official school district source, are required.  In past years for this scoring category, we provided attendance zone maps obtained from greatschools.org.  Is it acceptable to use the attendance zone boundary maps from greatschools.org?</w:t>
            </w:r>
            <w:r w:rsidRPr="00FC6043">
              <w:rPr>
                <w:rStyle w:val="eop"/>
                <w:sz w:val="20"/>
                <w:szCs w:val="20"/>
              </w:rPr>
              <w:t> </w:t>
            </w:r>
          </w:p>
          <w:p w14:paraId="40BD7EC5" w14:textId="77777777" w:rsidR="00CF5712" w:rsidRPr="00FC6043" w:rsidRDefault="00CF5712" w:rsidP="00403A61">
            <w:pPr>
              <w:pStyle w:val="paragraph"/>
              <w:spacing w:before="0" w:beforeAutospacing="0" w:after="0" w:afterAutospacing="0"/>
              <w:textAlignment w:val="baseline"/>
              <w:rPr>
                <w:sz w:val="20"/>
                <w:szCs w:val="20"/>
              </w:rPr>
            </w:pPr>
            <w:r w:rsidRPr="00FC6043">
              <w:rPr>
                <w:rStyle w:val="eop"/>
                <w:sz w:val="20"/>
                <w:szCs w:val="20"/>
              </w:rPr>
              <w:t> </w:t>
            </w:r>
          </w:p>
          <w:p w14:paraId="40B517FE" w14:textId="77777777" w:rsidR="00CF5712" w:rsidRPr="00FC6043" w:rsidRDefault="00CF5712" w:rsidP="00403A61">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7E664F99" w14:textId="77777777" w:rsidR="00CF5712" w:rsidRPr="00FC6043" w:rsidRDefault="00CF5712" w:rsidP="0053282B">
            <w:pPr>
              <w:pStyle w:val="paragraph"/>
              <w:spacing w:before="0" w:beforeAutospacing="0" w:after="0" w:afterAutospacing="0"/>
              <w:textAlignment w:val="baseline"/>
              <w:rPr>
                <w:rStyle w:val="normaltextrun"/>
                <w:sz w:val="20"/>
                <w:szCs w:val="20"/>
              </w:rPr>
            </w:pPr>
            <w:r w:rsidRPr="00FC6043">
              <w:rPr>
                <w:rStyle w:val="normaltextrun"/>
                <w:sz w:val="20"/>
                <w:szCs w:val="20"/>
              </w:rPr>
              <w:t>Per this section in the 2022 QAP, “Maps must be published by official school district source.” Maps from greatschools.org will not qualify. However, per the QAP, “If the school district map is unavailable or unobtainable, a letter from a school district representative evidencing that the proposed site is within the school district boundaries (must include the project location).”</w:t>
            </w:r>
          </w:p>
        </w:tc>
      </w:tr>
      <w:tr w:rsidR="00CF5712" w:rsidRPr="00FC6043" w14:paraId="2E0C607C" w14:textId="77777777" w:rsidTr="1995616E">
        <w:trPr>
          <w:jc w:val="center"/>
        </w:trPr>
        <w:tc>
          <w:tcPr>
            <w:tcW w:w="2157" w:type="dxa"/>
            <w:shd w:val="clear" w:color="auto" w:fill="auto"/>
            <w:tcMar>
              <w:top w:w="72" w:type="dxa"/>
              <w:left w:w="115" w:type="dxa"/>
              <w:bottom w:w="72" w:type="dxa"/>
              <w:right w:w="115" w:type="dxa"/>
            </w:tcMar>
            <w:vAlign w:val="center"/>
          </w:tcPr>
          <w:p w14:paraId="054C227D"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54D3D94B"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3.08</w:t>
            </w:r>
          </w:p>
          <w:p w14:paraId="5E4401D0"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72067428"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Revitalization/Redevelopment Plans</w:t>
            </w:r>
          </w:p>
        </w:tc>
        <w:tc>
          <w:tcPr>
            <w:tcW w:w="9590" w:type="dxa"/>
            <w:shd w:val="clear" w:color="auto" w:fill="auto"/>
            <w:tcMar>
              <w:top w:w="72" w:type="dxa"/>
              <w:left w:w="115" w:type="dxa"/>
              <w:bottom w:w="72" w:type="dxa"/>
              <w:right w:w="115" w:type="dxa"/>
            </w:tcMar>
            <w:vAlign w:val="center"/>
          </w:tcPr>
          <w:p w14:paraId="7CA31C70" w14:textId="77777777" w:rsidR="00CF5712" w:rsidRPr="00FC6043" w:rsidRDefault="00CF5712" w:rsidP="002816B8">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Q22_0428_02</w:t>
            </w:r>
            <w:r w:rsidRPr="00FC6043">
              <w:rPr>
                <w:rStyle w:val="eop"/>
                <w:sz w:val="20"/>
                <w:szCs w:val="20"/>
              </w:rPr>
              <w:t> </w:t>
            </w:r>
          </w:p>
          <w:p w14:paraId="1886E2E9" w14:textId="77777777" w:rsidR="00CF5712" w:rsidRPr="00FC6043" w:rsidRDefault="00CF5712" w:rsidP="002816B8">
            <w:pPr>
              <w:pStyle w:val="paragraph"/>
              <w:spacing w:before="0" w:beforeAutospacing="0" w:after="0" w:afterAutospacing="0"/>
              <w:textAlignment w:val="baseline"/>
              <w:rPr>
                <w:sz w:val="20"/>
                <w:szCs w:val="20"/>
              </w:rPr>
            </w:pPr>
            <w:r w:rsidRPr="00FC6043">
              <w:rPr>
                <w:rStyle w:val="normaltextrun"/>
                <w:sz w:val="20"/>
                <w:szCs w:val="20"/>
              </w:rPr>
              <w:t xml:space="preserve">Under </w:t>
            </w:r>
            <w:r w:rsidRPr="00FC6043">
              <w:rPr>
                <w:rStyle w:val="normaltextrun"/>
                <w:b/>
                <w:bCs/>
                <w:sz w:val="20"/>
                <w:szCs w:val="20"/>
              </w:rPr>
              <w:t>(Scoring) Revitalization/Redevelopment Plans, Third-Party Capital Investment</w:t>
            </w:r>
            <w:r w:rsidRPr="00FC6043">
              <w:rPr>
                <w:rStyle w:val="normaltextrun"/>
                <w:sz w:val="20"/>
                <w:szCs w:val="20"/>
              </w:rPr>
              <w:t xml:space="preserve">, would DCA be able to grant an exception to the third-party capital project completion date of January 1, </w:t>
            </w:r>
            <w:r w:rsidRPr="00FC6043">
              <w:rPr>
                <w:rStyle w:val="contextualspellingandgrammarerror"/>
                <w:rFonts w:eastAsiaTheme="majorEastAsia"/>
                <w:sz w:val="20"/>
                <w:szCs w:val="20"/>
              </w:rPr>
              <w:t>2025</w:t>
            </w:r>
            <w:r w:rsidRPr="00FC6043">
              <w:rPr>
                <w:rStyle w:val="normaltextrun"/>
                <w:sz w:val="20"/>
                <w:szCs w:val="20"/>
              </w:rPr>
              <w:t xml:space="preserve"> if the project is a very large, </w:t>
            </w:r>
            <w:r w:rsidRPr="00FC6043">
              <w:rPr>
                <w:rStyle w:val="contextualspellingandgrammarerror"/>
                <w:rFonts w:eastAsiaTheme="majorEastAsia"/>
                <w:sz w:val="20"/>
                <w:szCs w:val="20"/>
              </w:rPr>
              <w:t>fully-funded</w:t>
            </w:r>
            <w:r w:rsidRPr="00FC6043">
              <w:rPr>
                <w:rStyle w:val="normaltextrun"/>
                <w:sz w:val="20"/>
                <w:szCs w:val="20"/>
              </w:rPr>
              <w:t xml:space="preserve"> and approved, multi-year project with a planned completion date later in 2025?</w:t>
            </w:r>
            <w:r w:rsidRPr="00FC6043">
              <w:rPr>
                <w:rStyle w:val="eop"/>
                <w:sz w:val="20"/>
                <w:szCs w:val="20"/>
              </w:rPr>
              <w:t> </w:t>
            </w:r>
          </w:p>
          <w:p w14:paraId="09BBBF9E" w14:textId="77777777" w:rsidR="00CF5712" w:rsidRPr="00FC6043" w:rsidRDefault="00CF5712" w:rsidP="002816B8">
            <w:pPr>
              <w:pStyle w:val="paragraph"/>
              <w:spacing w:before="0" w:beforeAutospacing="0" w:after="0" w:afterAutospacing="0"/>
              <w:textAlignment w:val="baseline"/>
              <w:rPr>
                <w:sz w:val="20"/>
                <w:szCs w:val="20"/>
              </w:rPr>
            </w:pPr>
            <w:r w:rsidRPr="00FC6043">
              <w:rPr>
                <w:rStyle w:val="eop"/>
                <w:sz w:val="20"/>
                <w:szCs w:val="20"/>
              </w:rPr>
              <w:t> </w:t>
            </w:r>
          </w:p>
          <w:p w14:paraId="02B2C201" w14:textId="77777777" w:rsidR="00CF5712" w:rsidRPr="00FC6043" w:rsidRDefault="00CF5712" w:rsidP="002816B8">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1EC95D48" w14:textId="77777777" w:rsidR="00CF5712" w:rsidRPr="00FC6043" w:rsidRDefault="00CF5712" w:rsidP="0053282B">
            <w:pPr>
              <w:pStyle w:val="paragraph"/>
              <w:spacing w:before="0" w:beforeAutospacing="0" w:after="0" w:afterAutospacing="0"/>
              <w:textAlignment w:val="baseline"/>
              <w:rPr>
                <w:rStyle w:val="normaltextrun"/>
                <w:sz w:val="20"/>
                <w:szCs w:val="20"/>
              </w:rPr>
            </w:pPr>
            <w:r w:rsidRPr="00FC6043">
              <w:rPr>
                <w:rStyle w:val="normaltextrun"/>
                <w:sz w:val="20"/>
                <w:szCs w:val="20"/>
              </w:rPr>
              <w:t>Under the 2022 QAP, the off-site improvement must have an expected completion date before January 1, 2025, without exception.</w:t>
            </w:r>
            <w:r w:rsidRPr="00FC6043">
              <w:rPr>
                <w:rStyle w:val="eop"/>
                <w:sz w:val="20"/>
                <w:szCs w:val="20"/>
              </w:rPr>
              <w:t> </w:t>
            </w:r>
          </w:p>
        </w:tc>
      </w:tr>
      <w:tr w:rsidR="00CF5712" w:rsidRPr="00FC6043" w14:paraId="10EE0756" w14:textId="77777777" w:rsidTr="1995616E">
        <w:trPr>
          <w:jc w:val="center"/>
        </w:trPr>
        <w:tc>
          <w:tcPr>
            <w:tcW w:w="2157" w:type="dxa"/>
            <w:shd w:val="clear" w:color="auto" w:fill="auto"/>
            <w:tcMar>
              <w:top w:w="72" w:type="dxa"/>
              <w:left w:w="115" w:type="dxa"/>
              <w:bottom w:w="72" w:type="dxa"/>
              <w:right w:w="115" w:type="dxa"/>
            </w:tcMar>
            <w:vAlign w:val="center"/>
          </w:tcPr>
          <w:p w14:paraId="2BDE50E9"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0AD2C8A6"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3.16</w:t>
            </w:r>
          </w:p>
          <w:p w14:paraId="53683F27"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614B9382"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Internet Access</w:t>
            </w:r>
          </w:p>
          <w:p w14:paraId="2B66C1FD" w14:textId="77777777" w:rsidR="00CF5712" w:rsidRPr="00FC6043" w:rsidRDefault="00CF5712" w:rsidP="002E5CCF">
            <w:pPr>
              <w:rPr>
                <w:rFonts w:ascii="Times New Roman" w:hAnsi="Times New Roman" w:cs="Times New Roman"/>
                <w:sz w:val="20"/>
                <w:szCs w:val="20"/>
              </w:rPr>
            </w:pPr>
          </w:p>
          <w:p w14:paraId="202CBFA2"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 xml:space="preserve">(also </w:t>
            </w:r>
            <w:r w:rsidRPr="003872CA">
              <w:rPr>
                <w:rFonts w:ascii="Times New Roman" w:hAnsi="Times New Roman" w:cs="Times New Roman"/>
                <w:sz w:val="20"/>
                <w:szCs w:val="20"/>
              </w:rPr>
              <w:t xml:space="preserve">3.02 </w:t>
            </w:r>
            <w:r w:rsidRPr="00FC6043">
              <w:rPr>
                <w:rFonts w:ascii="Times New Roman" w:hAnsi="Times New Roman" w:cs="Times New Roman"/>
                <w:sz w:val="20"/>
                <w:szCs w:val="20"/>
              </w:rPr>
              <w:t>Scoring</w:t>
            </w:r>
            <w:r w:rsidRPr="003872CA">
              <w:rPr>
                <w:rFonts w:ascii="Times New Roman" w:hAnsi="Times New Roman" w:cs="Times New Roman"/>
                <w:sz w:val="20"/>
                <w:szCs w:val="20"/>
              </w:rPr>
              <w:t>;</w:t>
            </w:r>
            <w:r w:rsidRPr="00FC6043">
              <w:rPr>
                <w:rFonts w:ascii="Times New Roman" w:hAnsi="Times New Roman" w:cs="Times New Roman"/>
                <w:sz w:val="20"/>
                <w:szCs w:val="20"/>
              </w:rPr>
              <w:t xml:space="preserve"> Applicability of Scoring Criteria)</w:t>
            </w:r>
          </w:p>
        </w:tc>
        <w:tc>
          <w:tcPr>
            <w:tcW w:w="9590" w:type="dxa"/>
            <w:shd w:val="clear" w:color="auto" w:fill="auto"/>
            <w:tcMar>
              <w:top w:w="72" w:type="dxa"/>
              <w:left w:w="115" w:type="dxa"/>
              <w:bottom w:w="72" w:type="dxa"/>
              <w:right w:w="115" w:type="dxa"/>
            </w:tcMar>
            <w:vAlign w:val="center"/>
          </w:tcPr>
          <w:p w14:paraId="6FC07095" w14:textId="77777777" w:rsidR="00CF5712" w:rsidRPr="00FC6043" w:rsidRDefault="00CF5712" w:rsidP="00D70121">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Q22_0427_02</w:t>
            </w:r>
            <w:r w:rsidRPr="00FC6043">
              <w:rPr>
                <w:rStyle w:val="eop"/>
                <w:sz w:val="20"/>
                <w:szCs w:val="20"/>
              </w:rPr>
              <w:t> </w:t>
            </w:r>
          </w:p>
          <w:p w14:paraId="44ABEFF3" w14:textId="77777777" w:rsidR="00CF5712" w:rsidRPr="00FC6043" w:rsidRDefault="00CF5712" w:rsidP="00D70121">
            <w:pPr>
              <w:pStyle w:val="paragraph"/>
              <w:spacing w:before="0" w:beforeAutospacing="0" w:after="0" w:afterAutospacing="0"/>
              <w:textAlignment w:val="baseline"/>
              <w:rPr>
                <w:sz w:val="20"/>
                <w:szCs w:val="20"/>
              </w:rPr>
            </w:pPr>
            <w:r w:rsidRPr="00FC6043">
              <w:rPr>
                <w:rStyle w:val="normaltextrun"/>
                <w:sz w:val="20"/>
                <w:szCs w:val="20"/>
              </w:rPr>
              <w:t xml:space="preserve">I noticed in the QAP that for Rehabs it is allowing 2 points for internet access.  If we are not in the Atlanta </w:t>
            </w:r>
            <w:r w:rsidRPr="00FC6043">
              <w:rPr>
                <w:rStyle w:val="contextualspellingandgrammarerror"/>
                <w:rFonts w:eastAsiaTheme="majorEastAsia"/>
                <w:sz w:val="20"/>
                <w:szCs w:val="20"/>
              </w:rPr>
              <w:t>Metro</w:t>
            </w:r>
            <w:r w:rsidRPr="00FC6043">
              <w:rPr>
                <w:rStyle w:val="normaltextrun"/>
                <w:sz w:val="20"/>
                <w:szCs w:val="20"/>
              </w:rPr>
              <w:t xml:space="preserve"> can we not qualify for those points? </w:t>
            </w:r>
            <w:r w:rsidRPr="00FC6043">
              <w:rPr>
                <w:rStyle w:val="contextualspellingandgrammarerror"/>
                <w:rFonts w:eastAsiaTheme="majorEastAsia"/>
                <w:sz w:val="20"/>
                <w:szCs w:val="20"/>
              </w:rPr>
              <w:t>Otherwise</w:t>
            </w:r>
            <w:r w:rsidRPr="00FC6043">
              <w:rPr>
                <w:rStyle w:val="normaltextrun"/>
                <w:sz w:val="20"/>
                <w:szCs w:val="20"/>
              </w:rPr>
              <w:t xml:space="preserve"> all Atlanta Metro rehab deals will have a </w:t>
            </w:r>
            <w:r w:rsidRPr="00FC6043">
              <w:rPr>
                <w:rStyle w:val="contextualspellingandgrammarerror"/>
                <w:rFonts w:eastAsiaTheme="majorEastAsia"/>
                <w:sz w:val="20"/>
                <w:szCs w:val="20"/>
              </w:rPr>
              <w:t>2 point</w:t>
            </w:r>
            <w:r w:rsidRPr="00FC6043">
              <w:rPr>
                <w:rStyle w:val="normaltextrun"/>
                <w:sz w:val="20"/>
                <w:szCs w:val="20"/>
              </w:rPr>
              <w:t xml:space="preserve"> advantage over everything else just for being in one of those 4 counties which doesn't seem correct.  </w:t>
            </w:r>
            <w:r w:rsidRPr="00FC6043">
              <w:rPr>
                <w:rStyle w:val="eop"/>
                <w:sz w:val="20"/>
                <w:szCs w:val="20"/>
              </w:rPr>
              <w:t> </w:t>
            </w:r>
          </w:p>
          <w:p w14:paraId="132125CE" w14:textId="77777777" w:rsidR="00CF5712" w:rsidRPr="00FC6043" w:rsidRDefault="00CF5712" w:rsidP="00D70121">
            <w:pPr>
              <w:pStyle w:val="paragraph"/>
              <w:spacing w:before="0" w:beforeAutospacing="0" w:after="0" w:afterAutospacing="0"/>
              <w:textAlignment w:val="baseline"/>
              <w:rPr>
                <w:sz w:val="20"/>
                <w:szCs w:val="20"/>
              </w:rPr>
            </w:pPr>
            <w:r w:rsidRPr="00FC6043">
              <w:rPr>
                <w:rStyle w:val="eop"/>
                <w:sz w:val="20"/>
                <w:szCs w:val="20"/>
              </w:rPr>
              <w:t> </w:t>
            </w:r>
          </w:p>
          <w:p w14:paraId="79B41238" w14:textId="77777777" w:rsidR="00CF5712" w:rsidRPr="00FC6043" w:rsidRDefault="00CF5712" w:rsidP="00D70121">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0C2BEC01" w14:textId="77777777" w:rsidR="00CF5712" w:rsidRPr="00FC6043" w:rsidRDefault="00CF5712" w:rsidP="00D70121">
            <w:pPr>
              <w:pStyle w:val="paragraph"/>
              <w:spacing w:before="0" w:beforeAutospacing="0" w:after="0" w:afterAutospacing="0"/>
              <w:textAlignment w:val="baseline"/>
              <w:rPr>
                <w:sz w:val="20"/>
                <w:szCs w:val="20"/>
              </w:rPr>
            </w:pPr>
            <w:r w:rsidRPr="00FC6043">
              <w:rPr>
                <w:rStyle w:val="normaltextrun"/>
                <w:sz w:val="20"/>
                <w:szCs w:val="20"/>
              </w:rPr>
              <w:t xml:space="preserve">The sentence “This section only applies to proposed developments in the Atlanta Metro Pool” in </w:t>
            </w:r>
            <w:r w:rsidRPr="00FC6043">
              <w:rPr>
                <w:rStyle w:val="normaltextrun"/>
                <w:b/>
                <w:bCs/>
                <w:sz w:val="20"/>
                <w:szCs w:val="20"/>
              </w:rPr>
              <w:t>(Scoring Criteria) Internet Access</w:t>
            </w:r>
            <w:r w:rsidRPr="00FC6043">
              <w:rPr>
                <w:rStyle w:val="normaltextrun"/>
                <w:sz w:val="20"/>
                <w:szCs w:val="20"/>
              </w:rPr>
              <w:t xml:space="preserve"> only applies to the 9% New Supply competition, for which geographic pools result in separate sub-competitions. </w:t>
            </w:r>
            <w:r w:rsidRPr="00FC6043">
              <w:rPr>
                <w:rStyle w:val="eop"/>
                <w:sz w:val="20"/>
                <w:szCs w:val="20"/>
              </w:rPr>
              <w:t> </w:t>
            </w:r>
          </w:p>
          <w:p w14:paraId="0C098702" w14:textId="77777777" w:rsidR="00CF5712" w:rsidRPr="00FC6043" w:rsidRDefault="00CF5712" w:rsidP="00D70121">
            <w:pPr>
              <w:pStyle w:val="paragraph"/>
              <w:spacing w:before="0" w:beforeAutospacing="0" w:after="0" w:afterAutospacing="0"/>
              <w:textAlignment w:val="baseline"/>
              <w:rPr>
                <w:sz w:val="20"/>
                <w:szCs w:val="20"/>
              </w:rPr>
            </w:pPr>
            <w:r w:rsidRPr="00FC6043">
              <w:rPr>
                <w:rStyle w:val="eop"/>
                <w:sz w:val="20"/>
                <w:szCs w:val="20"/>
              </w:rPr>
              <w:lastRenderedPageBreak/>
              <w:t> </w:t>
            </w:r>
          </w:p>
          <w:p w14:paraId="648D0462" w14:textId="77777777" w:rsidR="00CF5712" w:rsidRPr="00FC6043" w:rsidRDefault="00CF5712" w:rsidP="0053282B">
            <w:pPr>
              <w:pStyle w:val="paragraph"/>
              <w:spacing w:before="0" w:beforeAutospacing="0" w:after="0" w:afterAutospacing="0"/>
              <w:textAlignment w:val="baseline"/>
              <w:rPr>
                <w:rStyle w:val="normaltextrun"/>
                <w:sz w:val="20"/>
                <w:szCs w:val="20"/>
              </w:rPr>
            </w:pPr>
            <w:r w:rsidRPr="00FC6043">
              <w:rPr>
                <w:rStyle w:val="normaltextrun"/>
                <w:sz w:val="20"/>
                <w:szCs w:val="20"/>
              </w:rPr>
              <w:t xml:space="preserve">Per </w:t>
            </w:r>
            <w:r w:rsidRPr="00FC6043">
              <w:rPr>
                <w:rStyle w:val="normaltextrun"/>
                <w:b/>
                <w:bCs/>
                <w:sz w:val="20"/>
                <w:szCs w:val="20"/>
              </w:rPr>
              <w:t>(Scoring Criteria) Applicability of Scoring Criteria</w:t>
            </w:r>
            <w:r w:rsidRPr="00FC6043">
              <w:rPr>
                <w:rStyle w:val="normaltextrun"/>
                <w:sz w:val="20"/>
                <w:szCs w:val="20"/>
              </w:rPr>
              <w:t>, scoring criteria is “specific to” the various sub-competitions (e.g., 9% New Supply vs 4% New Supply). This section does not permit that applicability of a Scoring section could be restricted to one application but open to another within the same competition.</w:t>
            </w:r>
          </w:p>
        </w:tc>
      </w:tr>
      <w:tr w:rsidR="00CF5712" w:rsidRPr="00FC6043" w14:paraId="76CAA8E6" w14:textId="77777777" w:rsidTr="1995616E">
        <w:trPr>
          <w:jc w:val="center"/>
        </w:trPr>
        <w:tc>
          <w:tcPr>
            <w:tcW w:w="2157" w:type="dxa"/>
            <w:shd w:val="clear" w:color="auto" w:fill="auto"/>
            <w:tcMar>
              <w:top w:w="72" w:type="dxa"/>
              <w:left w:w="115" w:type="dxa"/>
              <w:bottom w:w="72" w:type="dxa"/>
              <w:right w:w="115" w:type="dxa"/>
            </w:tcMar>
            <w:vAlign w:val="center"/>
          </w:tcPr>
          <w:p w14:paraId="169C18A8"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5/11/22</w:t>
            </w:r>
          </w:p>
        </w:tc>
        <w:tc>
          <w:tcPr>
            <w:tcW w:w="2198" w:type="dxa"/>
            <w:shd w:val="clear" w:color="auto" w:fill="auto"/>
            <w:tcMar>
              <w:top w:w="72" w:type="dxa"/>
              <w:left w:w="115" w:type="dxa"/>
              <w:bottom w:w="72" w:type="dxa"/>
              <w:right w:w="115" w:type="dxa"/>
            </w:tcMar>
            <w:vAlign w:val="center"/>
          </w:tcPr>
          <w:p w14:paraId="7D6A9129"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3.19</w:t>
            </w:r>
          </w:p>
          <w:p w14:paraId="7C4FD192"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1D27BBA9"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Exceptional Nonprofit/Public Housing Authority</w:t>
            </w:r>
          </w:p>
        </w:tc>
        <w:tc>
          <w:tcPr>
            <w:tcW w:w="9590" w:type="dxa"/>
            <w:shd w:val="clear" w:color="auto" w:fill="auto"/>
            <w:tcMar>
              <w:top w:w="72" w:type="dxa"/>
              <w:left w:w="115" w:type="dxa"/>
              <w:bottom w:w="72" w:type="dxa"/>
              <w:right w:w="115" w:type="dxa"/>
            </w:tcMar>
            <w:vAlign w:val="center"/>
          </w:tcPr>
          <w:p w14:paraId="18571259" w14:textId="77777777" w:rsidR="00CF5712" w:rsidRPr="00FC6043" w:rsidRDefault="00CF5712" w:rsidP="0042235D">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Q22_0419_05</w:t>
            </w:r>
            <w:r w:rsidRPr="00FC6043">
              <w:rPr>
                <w:rStyle w:val="eop"/>
                <w:sz w:val="20"/>
                <w:szCs w:val="20"/>
              </w:rPr>
              <w:t> </w:t>
            </w:r>
          </w:p>
          <w:p w14:paraId="5F678C8A" w14:textId="77777777" w:rsidR="00CF5712" w:rsidRPr="00FC6043" w:rsidRDefault="00CF5712" w:rsidP="0042235D">
            <w:pPr>
              <w:pStyle w:val="paragraph"/>
              <w:spacing w:before="0" w:beforeAutospacing="0" w:after="0" w:afterAutospacing="0"/>
              <w:textAlignment w:val="baseline"/>
              <w:rPr>
                <w:sz w:val="20"/>
                <w:szCs w:val="20"/>
              </w:rPr>
            </w:pPr>
            <w:r w:rsidRPr="00FC6043">
              <w:rPr>
                <w:rStyle w:val="normaltextrun"/>
                <w:sz w:val="20"/>
                <w:szCs w:val="20"/>
              </w:rPr>
              <w:t>When will the Exceptional/Non-Exceptional PHA Assessment form be available? And will you also be posting the rubric? </w:t>
            </w:r>
            <w:r w:rsidRPr="00FC6043">
              <w:rPr>
                <w:rStyle w:val="eop"/>
                <w:sz w:val="20"/>
                <w:szCs w:val="20"/>
              </w:rPr>
              <w:t> </w:t>
            </w:r>
          </w:p>
          <w:p w14:paraId="22876A6B" w14:textId="77777777" w:rsidR="00CF5712" w:rsidRPr="00FC6043" w:rsidRDefault="00CF5712" w:rsidP="0042235D">
            <w:pPr>
              <w:pStyle w:val="paragraph"/>
              <w:spacing w:before="0" w:beforeAutospacing="0" w:after="0" w:afterAutospacing="0"/>
              <w:textAlignment w:val="baseline"/>
              <w:rPr>
                <w:sz w:val="20"/>
                <w:szCs w:val="20"/>
              </w:rPr>
            </w:pPr>
            <w:r w:rsidRPr="00FC6043">
              <w:rPr>
                <w:rStyle w:val="eop"/>
                <w:sz w:val="20"/>
                <w:szCs w:val="20"/>
              </w:rPr>
              <w:t> </w:t>
            </w:r>
          </w:p>
          <w:p w14:paraId="400A4E02" w14:textId="77777777" w:rsidR="00CF5712" w:rsidRPr="00FC6043" w:rsidRDefault="00CF5712" w:rsidP="0042235D">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665F72F9" w14:textId="77777777" w:rsidR="00CF5712" w:rsidRPr="00FC6043" w:rsidRDefault="00CF5712" w:rsidP="0053282B">
            <w:pPr>
              <w:pStyle w:val="paragraph"/>
              <w:spacing w:before="0" w:beforeAutospacing="0" w:after="0" w:afterAutospacing="0"/>
              <w:textAlignment w:val="baseline"/>
              <w:rPr>
                <w:rStyle w:val="normaltextrun"/>
                <w:sz w:val="20"/>
                <w:szCs w:val="20"/>
              </w:rPr>
            </w:pPr>
            <w:r w:rsidRPr="00FC6043">
              <w:rPr>
                <w:rStyle w:val="normaltextrun"/>
                <w:sz w:val="20"/>
                <w:szCs w:val="20"/>
              </w:rPr>
              <w:t>The DCA Exceptional Nonprofit/PHA Assessment Form and rubrics have been posted to the Scoring Documents and Data page of the DCA website (</w:t>
            </w:r>
            <w:hyperlink r:id="rId25" w:tgtFrame="_blank" w:history="1">
              <w:r w:rsidRPr="00FC6043">
                <w:rPr>
                  <w:rStyle w:val="normaltextrun"/>
                  <w:sz w:val="20"/>
                  <w:szCs w:val="20"/>
                  <w:u w:val="single"/>
                </w:rPr>
                <w:t>click here</w:t>
              </w:r>
            </w:hyperlink>
            <w:r w:rsidRPr="00FC6043">
              <w:rPr>
                <w:rStyle w:val="normaltextrun"/>
                <w:sz w:val="20"/>
                <w:szCs w:val="20"/>
              </w:rPr>
              <w:t>).</w:t>
            </w:r>
            <w:r w:rsidRPr="00FC6043">
              <w:rPr>
                <w:rStyle w:val="eop"/>
                <w:sz w:val="20"/>
                <w:szCs w:val="20"/>
              </w:rPr>
              <w:t> </w:t>
            </w:r>
          </w:p>
        </w:tc>
      </w:tr>
      <w:tr w:rsidR="00CF5712" w:rsidRPr="00FC6043" w14:paraId="33CFEA7A" w14:textId="77777777" w:rsidTr="1995616E">
        <w:trPr>
          <w:jc w:val="center"/>
        </w:trPr>
        <w:tc>
          <w:tcPr>
            <w:tcW w:w="2157" w:type="dxa"/>
            <w:shd w:val="clear" w:color="auto" w:fill="auto"/>
            <w:tcMar>
              <w:top w:w="72" w:type="dxa"/>
              <w:left w:w="115" w:type="dxa"/>
              <w:bottom w:w="72" w:type="dxa"/>
              <w:right w:w="115" w:type="dxa"/>
            </w:tcMar>
            <w:vAlign w:val="center"/>
          </w:tcPr>
          <w:p w14:paraId="57BE75B7"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5/6/22</w:t>
            </w:r>
          </w:p>
        </w:tc>
        <w:tc>
          <w:tcPr>
            <w:tcW w:w="2198" w:type="dxa"/>
            <w:shd w:val="clear" w:color="auto" w:fill="auto"/>
            <w:tcMar>
              <w:top w:w="72" w:type="dxa"/>
              <w:left w:w="115" w:type="dxa"/>
              <w:bottom w:w="72" w:type="dxa"/>
              <w:right w:w="115" w:type="dxa"/>
            </w:tcMar>
            <w:vAlign w:val="center"/>
          </w:tcPr>
          <w:p w14:paraId="40B6D88E"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2.02</w:t>
            </w:r>
          </w:p>
          <w:p w14:paraId="419E88B7"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Threshold Criteria;</w:t>
            </w:r>
          </w:p>
          <w:p w14:paraId="79EFB91B"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Project Feasibility, Viability Analysis &amp; Conformance with Plan</w:t>
            </w:r>
          </w:p>
          <w:p w14:paraId="7C9D3ED6" w14:textId="77777777" w:rsidR="00CF5712" w:rsidRPr="00FC6043" w:rsidRDefault="00CF5712" w:rsidP="002E5CCF">
            <w:pPr>
              <w:rPr>
                <w:rFonts w:ascii="Times New Roman" w:hAnsi="Times New Roman" w:cs="Times New Roman"/>
                <w:sz w:val="20"/>
                <w:szCs w:val="20"/>
              </w:rPr>
            </w:pPr>
          </w:p>
          <w:p w14:paraId="378085AA"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 xml:space="preserve">(also </w:t>
            </w:r>
            <w:r w:rsidRPr="003872CA">
              <w:rPr>
                <w:rFonts w:ascii="Times New Roman" w:hAnsi="Times New Roman" w:cs="Times New Roman"/>
                <w:sz w:val="20"/>
                <w:szCs w:val="20"/>
              </w:rPr>
              <w:t xml:space="preserve">3.04 </w:t>
            </w:r>
            <w:r w:rsidRPr="00FC6043">
              <w:rPr>
                <w:rFonts w:ascii="Times New Roman" w:hAnsi="Times New Roman" w:cs="Times New Roman"/>
                <w:sz w:val="20"/>
                <w:szCs w:val="20"/>
              </w:rPr>
              <w:t>Scoring</w:t>
            </w:r>
            <w:r w:rsidRPr="003872CA">
              <w:rPr>
                <w:rFonts w:ascii="Times New Roman" w:hAnsi="Times New Roman" w:cs="Times New Roman"/>
                <w:sz w:val="20"/>
                <w:szCs w:val="20"/>
              </w:rPr>
              <w:t>;</w:t>
            </w:r>
            <w:r w:rsidRPr="00FC6043">
              <w:rPr>
                <w:rFonts w:ascii="Times New Roman" w:hAnsi="Times New Roman" w:cs="Times New Roman"/>
                <w:sz w:val="20"/>
                <w:szCs w:val="20"/>
              </w:rPr>
              <w:t xml:space="preserve"> Deeper Targeting) </w:t>
            </w:r>
          </w:p>
        </w:tc>
        <w:tc>
          <w:tcPr>
            <w:tcW w:w="9590" w:type="dxa"/>
            <w:shd w:val="clear" w:color="auto" w:fill="auto"/>
            <w:tcMar>
              <w:top w:w="72" w:type="dxa"/>
              <w:left w:w="115" w:type="dxa"/>
              <w:bottom w:w="72" w:type="dxa"/>
              <w:right w:w="115" w:type="dxa"/>
            </w:tcMar>
            <w:vAlign w:val="center"/>
          </w:tcPr>
          <w:p w14:paraId="58949037" w14:textId="77777777" w:rsidR="00CF5712" w:rsidRPr="00FC6043" w:rsidRDefault="00CF5712" w:rsidP="0053282B">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Q22_0419_02</w:t>
            </w:r>
            <w:r w:rsidRPr="00FC6043">
              <w:rPr>
                <w:rStyle w:val="eop"/>
                <w:sz w:val="20"/>
                <w:szCs w:val="20"/>
              </w:rPr>
              <w:t> </w:t>
            </w:r>
          </w:p>
          <w:p w14:paraId="566D766E" w14:textId="77777777" w:rsidR="00CF5712" w:rsidRPr="00FC6043" w:rsidRDefault="00CF5712" w:rsidP="0053282B">
            <w:pPr>
              <w:pStyle w:val="paragraph"/>
              <w:spacing w:before="0" w:beforeAutospacing="0" w:after="0" w:afterAutospacing="0"/>
              <w:textAlignment w:val="baseline"/>
              <w:rPr>
                <w:sz w:val="20"/>
                <w:szCs w:val="20"/>
              </w:rPr>
            </w:pPr>
            <w:r w:rsidRPr="00FC6043">
              <w:rPr>
                <w:rStyle w:val="normaltextrun"/>
                <w:sz w:val="20"/>
                <w:szCs w:val="20"/>
              </w:rPr>
              <w:t>If we apply and receive project-based vouchers through DCA's request for proposals due on May 5th - can those be used to claim points in the 2022 9% competitive round? </w:t>
            </w:r>
            <w:r w:rsidRPr="00FC6043">
              <w:rPr>
                <w:rStyle w:val="eop"/>
                <w:sz w:val="20"/>
                <w:szCs w:val="20"/>
              </w:rPr>
              <w:t> </w:t>
            </w:r>
          </w:p>
          <w:p w14:paraId="40653BBE" w14:textId="77777777" w:rsidR="00CF5712" w:rsidRPr="00FC6043" w:rsidRDefault="00CF5712" w:rsidP="0053282B">
            <w:pPr>
              <w:pStyle w:val="paragraph"/>
              <w:spacing w:before="0" w:beforeAutospacing="0" w:after="0" w:afterAutospacing="0"/>
              <w:textAlignment w:val="baseline"/>
              <w:rPr>
                <w:sz w:val="20"/>
                <w:szCs w:val="20"/>
              </w:rPr>
            </w:pPr>
            <w:r w:rsidRPr="00FC6043">
              <w:rPr>
                <w:rStyle w:val="eop"/>
                <w:sz w:val="20"/>
                <w:szCs w:val="20"/>
              </w:rPr>
              <w:t> </w:t>
            </w:r>
          </w:p>
          <w:p w14:paraId="06B1C371" w14:textId="77777777" w:rsidR="00CF5712" w:rsidRPr="00FC6043" w:rsidRDefault="00CF5712" w:rsidP="0053282B">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6CA36A3D" w14:textId="77777777" w:rsidR="00CF5712" w:rsidRPr="00FC6043" w:rsidRDefault="00CF5712" w:rsidP="0053282B">
            <w:pPr>
              <w:pStyle w:val="paragraph"/>
              <w:spacing w:before="0" w:beforeAutospacing="0" w:after="0" w:afterAutospacing="0"/>
              <w:textAlignment w:val="baseline"/>
              <w:rPr>
                <w:sz w:val="20"/>
                <w:szCs w:val="20"/>
              </w:rPr>
            </w:pPr>
            <w:r w:rsidRPr="00FC6043">
              <w:rPr>
                <w:rStyle w:val="normaltextrun"/>
                <w:sz w:val="20"/>
                <w:szCs w:val="20"/>
              </w:rPr>
              <w:t xml:space="preserve">DCA-awarded PBRA will not be treated any differently than non-DCA PBRA. Per </w:t>
            </w:r>
            <w:r w:rsidRPr="00FC6043">
              <w:rPr>
                <w:rStyle w:val="normaltextrun"/>
                <w:b/>
                <w:bCs/>
                <w:sz w:val="20"/>
                <w:szCs w:val="20"/>
              </w:rPr>
              <w:t>(Threshold Criteria) Project Feasibility</w:t>
            </w:r>
            <w:r w:rsidRPr="00FC6043">
              <w:rPr>
                <w:rStyle w:val="normaltextrun"/>
                <w:sz w:val="20"/>
                <w:szCs w:val="20"/>
              </w:rPr>
              <w:t xml:space="preserve">, subsection </w:t>
            </w:r>
            <w:r w:rsidRPr="00FC6043">
              <w:rPr>
                <w:rStyle w:val="normaltextrun"/>
                <w:b/>
                <w:bCs/>
                <w:sz w:val="20"/>
                <w:szCs w:val="20"/>
              </w:rPr>
              <w:t xml:space="preserve">11. </w:t>
            </w:r>
            <w:r w:rsidRPr="00FC6043">
              <w:rPr>
                <w:rStyle w:val="contextualspellingandgrammarerror"/>
                <w:rFonts w:eastAsiaTheme="majorEastAsia"/>
                <w:b/>
                <w:bCs/>
                <w:sz w:val="20"/>
                <w:szCs w:val="20"/>
              </w:rPr>
              <w:t>Commitments</w:t>
            </w:r>
            <w:r w:rsidRPr="00FC6043">
              <w:rPr>
                <w:rStyle w:val="contextualspellingandgrammarerror"/>
                <w:rFonts w:eastAsiaTheme="majorEastAsia"/>
                <w:sz w:val="20"/>
                <w:szCs w:val="20"/>
              </w:rPr>
              <w:t>,</w:t>
            </w:r>
            <w:r w:rsidRPr="00FC6043">
              <w:rPr>
                <w:rStyle w:val="normaltextrun"/>
                <w:sz w:val="20"/>
                <w:szCs w:val="20"/>
              </w:rPr>
              <w:t xml:space="preserve"> competitively awarded PBRA would need to be secured by the Alternate Financing Deadline (July 21, 2022). If DCA’s award notice comes after July 21, then that is too late for the DCA PBRA to be considered for purposes of 9% Competitive Round review. </w:t>
            </w:r>
            <w:r w:rsidRPr="00FC6043">
              <w:rPr>
                <w:rStyle w:val="eop"/>
                <w:sz w:val="20"/>
                <w:szCs w:val="20"/>
              </w:rPr>
              <w:t> </w:t>
            </w:r>
          </w:p>
          <w:p w14:paraId="542F9C19" w14:textId="77777777" w:rsidR="00CF5712" w:rsidRPr="00FC6043" w:rsidRDefault="00CF5712" w:rsidP="0053282B">
            <w:pPr>
              <w:pStyle w:val="paragraph"/>
              <w:spacing w:before="0" w:beforeAutospacing="0" w:after="0" w:afterAutospacing="0"/>
              <w:textAlignment w:val="baseline"/>
              <w:rPr>
                <w:sz w:val="20"/>
                <w:szCs w:val="20"/>
              </w:rPr>
            </w:pPr>
            <w:r w:rsidRPr="00FC6043">
              <w:rPr>
                <w:rStyle w:val="eop"/>
                <w:sz w:val="20"/>
                <w:szCs w:val="20"/>
              </w:rPr>
              <w:t> </w:t>
            </w:r>
          </w:p>
          <w:p w14:paraId="41844153" w14:textId="77777777" w:rsidR="00CF5712" w:rsidRPr="00FC6043" w:rsidRDefault="00CF5712" w:rsidP="0053282B">
            <w:pPr>
              <w:pStyle w:val="paragraph"/>
              <w:spacing w:before="0" w:beforeAutospacing="0" w:after="0" w:afterAutospacing="0"/>
              <w:textAlignment w:val="baseline"/>
              <w:rPr>
                <w:sz w:val="20"/>
                <w:szCs w:val="20"/>
              </w:rPr>
            </w:pPr>
            <w:r w:rsidRPr="00FC6043">
              <w:rPr>
                <w:rStyle w:val="normaltextrun"/>
                <w:sz w:val="20"/>
                <w:szCs w:val="20"/>
              </w:rPr>
              <w:t>In the absence of a finalized PBRA commitment after the Alternate Financing Deadline, DCA staff will underwrite the application based on the information provided in the application, the lower of:</w:t>
            </w:r>
            <w:r w:rsidRPr="00FC6043">
              <w:rPr>
                <w:rStyle w:val="scxw124215723"/>
                <w:sz w:val="20"/>
                <w:szCs w:val="20"/>
              </w:rPr>
              <w:t> </w:t>
            </w:r>
            <w:r w:rsidRPr="00FC6043">
              <w:rPr>
                <w:sz w:val="20"/>
                <w:szCs w:val="20"/>
              </w:rPr>
              <w:br/>
            </w:r>
            <w:r w:rsidRPr="00FC6043">
              <w:rPr>
                <w:rStyle w:val="eop"/>
                <w:sz w:val="20"/>
                <w:szCs w:val="20"/>
              </w:rPr>
              <w:t> </w:t>
            </w:r>
          </w:p>
          <w:p w14:paraId="09CAE99E" w14:textId="77777777" w:rsidR="00CF5712" w:rsidRPr="00FC6043" w:rsidRDefault="00CF5712" w:rsidP="0053282B">
            <w:pPr>
              <w:pStyle w:val="paragraph"/>
              <w:numPr>
                <w:ilvl w:val="0"/>
                <w:numId w:val="44"/>
              </w:numPr>
              <w:spacing w:before="0" w:beforeAutospacing="0" w:after="0" w:afterAutospacing="0"/>
              <w:ind w:left="1125" w:firstLine="0"/>
              <w:textAlignment w:val="baseline"/>
              <w:rPr>
                <w:sz w:val="20"/>
                <w:szCs w:val="20"/>
              </w:rPr>
            </w:pPr>
            <w:r w:rsidRPr="00FC6043">
              <w:rPr>
                <w:rStyle w:val="normaltextrun"/>
                <w:sz w:val="20"/>
                <w:szCs w:val="20"/>
              </w:rPr>
              <w:t>Achievable market rents (from the market study) </w:t>
            </w:r>
            <w:r w:rsidRPr="00FC6043">
              <w:rPr>
                <w:rStyle w:val="eop"/>
                <w:sz w:val="20"/>
                <w:szCs w:val="20"/>
              </w:rPr>
              <w:t> </w:t>
            </w:r>
          </w:p>
          <w:p w14:paraId="48710B6B" w14:textId="77777777" w:rsidR="00CF5712" w:rsidRPr="00FC6043" w:rsidRDefault="00CF5712" w:rsidP="002E5CCF">
            <w:pPr>
              <w:pStyle w:val="paragraph"/>
              <w:numPr>
                <w:ilvl w:val="0"/>
                <w:numId w:val="44"/>
              </w:numPr>
              <w:spacing w:before="0" w:beforeAutospacing="0" w:after="0" w:afterAutospacing="0"/>
              <w:ind w:left="1125" w:firstLine="0"/>
              <w:textAlignment w:val="baseline"/>
              <w:rPr>
                <w:rStyle w:val="normaltextrun"/>
                <w:sz w:val="20"/>
                <w:szCs w:val="20"/>
              </w:rPr>
            </w:pPr>
            <w:r w:rsidRPr="00FC6043">
              <w:rPr>
                <w:rStyle w:val="normaltextrun"/>
                <w:sz w:val="20"/>
                <w:szCs w:val="20"/>
              </w:rPr>
              <w:t>The rent limit based on the unit’s restriction designation</w:t>
            </w:r>
          </w:p>
        </w:tc>
      </w:tr>
      <w:tr w:rsidR="00CF5712" w:rsidRPr="00FC6043" w14:paraId="10768E19" w14:textId="77777777" w:rsidTr="1995616E">
        <w:trPr>
          <w:jc w:val="center"/>
        </w:trPr>
        <w:tc>
          <w:tcPr>
            <w:tcW w:w="2157" w:type="dxa"/>
            <w:shd w:val="clear" w:color="auto" w:fill="auto"/>
            <w:tcMar>
              <w:top w:w="72" w:type="dxa"/>
              <w:left w:w="115" w:type="dxa"/>
              <w:bottom w:w="72" w:type="dxa"/>
              <w:right w:w="115" w:type="dxa"/>
            </w:tcMar>
            <w:vAlign w:val="center"/>
          </w:tcPr>
          <w:p w14:paraId="4A6325A8"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5/6/22</w:t>
            </w:r>
          </w:p>
        </w:tc>
        <w:tc>
          <w:tcPr>
            <w:tcW w:w="2198" w:type="dxa"/>
            <w:shd w:val="clear" w:color="auto" w:fill="auto"/>
            <w:tcMar>
              <w:top w:w="72" w:type="dxa"/>
              <w:left w:w="115" w:type="dxa"/>
              <w:bottom w:w="72" w:type="dxa"/>
              <w:right w:w="115" w:type="dxa"/>
            </w:tcMar>
            <w:vAlign w:val="center"/>
          </w:tcPr>
          <w:p w14:paraId="58A887FB"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2.06</w:t>
            </w:r>
          </w:p>
          <w:p w14:paraId="54757BE1"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Threshold Criteria;</w:t>
            </w:r>
          </w:p>
          <w:p w14:paraId="3A1E3C75"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Appraisals</w:t>
            </w:r>
          </w:p>
        </w:tc>
        <w:tc>
          <w:tcPr>
            <w:tcW w:w="9590" w:type="dxa"/>
            <w:shd w:val="clear" w:color="auto" w:fill="auto"/>
            <w:tcMar>
              <w:top w:w="72" w:type="dxa"/>
              <w:left w:w="115" w:type="dxa"/>
              <w:bottom w:w="72" w:type="dxa"/>
              <w:right w:w="115" w:type="dxa"/>
            </w:tcMar>
            <w:vAlign w:val="center"/>
          </w:tcPr>
          <w:p w14:paraId="3502268D" w14:textId="77777777" w:rsidR="00CF5712" w:rsidRPr="00FC6043" w:rsidRDefault="00CF5712" w:rsidP="00F059EC">
            <w:pPr>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Q22_0422_01</w:t>
            </w:r>
          </w:p>
          <w:p w14:paraId="2E8DC518" w14:textId="77777777" w:rsidR="00CF5712" w:rsidRPr="00FC6043" w:rsidRDefault="00CF5712" w:rsidP="00F059EC">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For our proposed project, the Applicant will enter into an Option for a Ground Lease at a nominal value with the local housing authority, which owns the land and will also serve as one of the General Partners and developers in the project. Although there is an identity-of-interest, the ground lease will be conveyed at a nominal value, so in previous years DCA has not required an appraisal to justify the land value. Could DCA please confirm that this still holds true for 2022? </w:t>
            </w:r>
          </w:p>
          <w:p w14:paraId="0FCEE358" w14:textId="77777777" w:rsidR="00CF5712" w:rsidRPr="00FC6043" w:rsidRDefault="00CF5712" w:rsidP="00F059EC">
            <w:pPr>
              <w:contextualSpacing/>
              <w:rPr>
                <w:rFonts w:ascii="Times New Roman" w:hAnsi="Times New Roman" w:cs="Times New Roman"/>
                <w:sz w:val="20"/>
                <w:szCs w:val="20"/>
              </w:rPr>
            </w:pPr>
          </w:p>
          <w:p w14:paraId="0EF44E3C" w14:textId="77777777" w:rsidR="00CF5712" w:rsidRPr="00FC6043" w:rsidRDefault="00CF5712" w:rsidP="00F059EC">
            <w:pPr>
              <w:contextualSpacing/>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 xml:space="preserve">: </w:t>
            </w:r>
          </w:p>
          <w:p w14:paraId="4D6A0E2A" w14:textId="77777777" w:rsidR="00CF5712" w:rsidRPr="00FC6043" w:rsidRDefault="00CF5712" w:rsidP="00F059EC">
            <w:pPr>
              <w:rPr>
                <w:rFonts w:ascii="Times New Roman" w:hAnsi="Times New Roman" w:cs="Times New Roman"/>
                <w:sz w:val="20"/>
                <w:szCs w:val="20"/>
              </w:rPr>
            </w:pPr>
            <w:r w:rsidRPr="00FC6043">
              <w:rPr>
                <w:rFonts w:ascii="Times New Roman" w:hAnsi="Times New Roman" w:cs="Times New Roman"/>
                <w:sz w:val="20"/>
                <w:szCs w:val="20"/>
              </w:rPr>
              <w:t>The 2022 Appraisal Manual states (</w:t>
            </w:r>
            <w:hyperlink r:id="rId26" w:history="1">
              <w:r w:rsidRPr="00FC6043">
                <w:rPr>
                  <w:rStyle w:val="Hyperlink"/>
                  <w:rFonts w:ascii="Times New Roman" w:hAnsi="Times New Roman" w:cs="Times New Roman"/>
                  <w:color w:val="auto"/>
                  <w:sz w:val="20"/>
                  <w:szCs w:val="20"/>
                </w:rPr>
                <w:t>click here</w:t>
              </w:r>
            </w:hyperlink>
            <w:r w:rsidRPr="00FC6043">
              <w:rPr>
                <w:rFonts w:ascii="Times New Roman" w:hAnsi="Times New Roman" w:cs="Times New Roman"/>
                <w:sz w:val="20"/>
                <w:szCs w:val="20"/>
              </w:rPr>
              <w:t>):</w:t>
            </w:r>
          </w:p>
          <w:p w14:paraId="78AE4E33" w14:textId="77777777" w:rsidR="00CF5712" w:rsidRPr="00FC6043" w:rsidRDefault="00CF5712" w:rsidP="00F059EC">
            <w:pPr>
              <w:rPr>
                <w:rFonts w:ascii="Times New Roman" w:hAnsi="Times New Roman" w:cs="Times New Roman"/>
                <w:sz w:val="20"/>
                <w:szCs w:val="20"/>
              </w:rPr>
            </w:pPr>
          </w:p>
          <w:p w14:paraId="51FAFEC6" w14:textId="77777777" w:rsidR="00CF5712" w:rsidRPr="00FC6043" w:rsidRDefault="00CF5712" w:rsidP="00F059EC">
            <w:pPr>
              <w:ind w:left="720"/>
              <w:rPr>
                <w:rFonts w:ascii="Times New Roman" w:eastAsia="Calibri" w:hAnsi="Times New Roman" w:cs="Times New Roman"/>
                <w:i/>
                <w:iCs/>
                <w:sz w:val="20"/>
                <w:szCs w:val="20"/>
              </w:rPr>
            </w:pPr>
            <w:r w:rsidRPr="00FC6043">
              <w:rPr>
                <w:rFonts w:ascii="Times New Roman" w:hAnsi="Times New Roman" w:cs="Times New Roman"/>
                <w:i/>
                <w:iCs/>
                <w:sz w:val="20"/>
                <w:szCs w:val="20"/>
              </w:rPr>
              <w:lastRenderedPageBreak/>
              <w:t>“</w:t>
            </w:r>
            <w:r w:rsidRPr="00FC6043">
              <w:rPr>
                <w:rFonts w:ascii="Times New Roman" w:eastAsia="Calibri" w:hAnsi="Times New Roman" w:cs="Times New Roman"/>
                <w:i/>
                <w:iCs/>
                <w:sz w:val="20"/>
                <w:szCs w:val="20"/>
              </w:rPr>
              <w:t>Land values are required for all appraisals except when a ground lease will be in place and the rent will be a nominal amount of $100 or less. If there is an upfront payment, the land value will be required.”</w:t>
            </w:r>
          </w:p>
          <w:p w14:paraId="250CE2B3" w14:textId="77777777" w:rsidR="00CF5712" w:rsidRPr="00FC6043" w:rsidRDefault="00CF5712" w:rsidP="00F059EC">
            <w:pPr>
              <w:ind w:left="720"/>
              <w:rPr>
                <w:rFonts w:ascii="Times New Roman" w:eastAsia="Calibri" w:hAnsi="Times New Roman" w:cs="Times New Roman"/>
                <w:i/>
                <w:iCs/>
                <w:sz w:val="20"/>
                <w:szCs w:val="20"/>
              </w:rPr>
            </w:pPr>
          </w:p>
          <w:p w14:paraId="7A61AEA9" w14:textId="77777777" w:rsidR="00CF5712" w:rsidRPr="00FC6043" w:rsidRDefault="00CF5712" w:rsidP="00F059EC">
            <w:pPr>
              <w:rPr>
                <w:rStyle w:val="normaltextrun"/>
                <w:rFonts w:ascii="Times New Roman" w:eastAsia="Calibri" w:hAnsi="Times New Roman" w:cs="Times New Roman"/>
                <w:i/>
                <w:iCs/>
                <w:sz w:val="20"/>
                <w:szCs w:val="20"/>
              </w:rPr>
            </w:pPr>
            <w:r w:rsidRPr="00FC6043">
              <w:rPr>
                <w:rFonts w:ascii="Times New Roman" w:eastAsia="Calibri" w:hAnsi="Times New Roman" w:cs="Times New Roman"/>
                <w:sz w:val="20"/>
                <w:szCs w:val="20"/>
              </w:rPr>
              <w:t xml:space="preserve">DCA will not require an appraisal to justify the land value where a ground lease will be in place and the rent will be $100 or less. Also please note that if the ground lease is structured such that a large upfront payment is required, then it will be considered similar to acquisition and an appraisal will be required. Applications without an appraisal that include an upfront payment greater than the nominal amount may fail </w:t>
            </w:r>
            <w:r w:rsidRPr="00FC6043">
              <w:rPr>
                <w:rFonts w:ascii="Times New Roman" w:eastAsia="Calibri" w:hAnsi="Times New Roman" w:cs="Times New Roman"/>
                <w:b/>
                <w:bCs/>
                <w:sz w:val="20"/>
                <w:szCs w:val="20"/>
              </w:rPr>
              <w:t>(Threshold Criteria) Appraisals</w:t>
            </w:r>
            <w:r w:rsidRPr="00FC6043">
              <w:rPr>
                <w:rFonts w:ascii="Times New Roman" w:eastAsia="Calibri" w:hAnsi="Times New Roman" w:cs="Times New Roman"/>
                <w:sz w:val="20"/>
                <w:szCs w:val="20"/>
              </w:rPr>
              <w:t>.</w:t>
            </w:r>
          </w:p>
        </w:tc>
      </w:tr>
      <w:tr w:rsidR="00CF5712" w:rsidRPr="00FC6043" w14:paraId="079A9E70" w14:textId="77777777" w:rsidTr="1995616E">
        <w:trPr>
          <w:jc w:val="center"/>
        </w:trPr>
        <w:tc>
          <w:tcPr>
            <w:tcW w:w="2157" w:type="dxa"/>
            <w:shd w:val="clear" w:color="auto" w:fill="auto"/>
            <w:tcMar>
              <w:top w:w="72" w:type="dxa"/>
              <w:left w:w="115" w:type="dxa"/>
              <w:bottom w:w="72" w:type="dxa"/>
              <w:right w:w="115" w:type="dxa"/>
            </w:tcMar>
            <w:vAlign w:val="center"/>
          </w:tcPr>
          <w:p w14:paraId="2F35FC92"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5/6/22</w:t>
            </w:r>
          </w:p>
        </w:tc>
        <w:tc>
          <w:tcPr>
            <w:tcW w:w="2198" w:type="dxa"/>
            <w:shd w:val="clear" w:color="auto" w:fill="auto"/>
            <w:tcMar>
              <w:top w:w="72" w:type="dxa"/>
              <w:left w:w="115" w:type="dxa"/>
              <w:bottom w:w="72" w:type="dxa"/>
              <w:right w:w="115" w:type="dxa"/>
            </w:tcMar>
            <w:vAlign w:val="center"/>
          </w:tcPr>
          <w:p w14:paraId="45273C50"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2.15</w:t>
            </w:r>
          </w:p>
          <w:p w14:paraId="0D41A9A6"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Threshold Criteria;</w:t>
            </w:r>
          </w:p>
          <w:p w14:paraId="2B15FDF4"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Rehabilitation Standards</w:t>
            </w:r>
          </w:p>
        </w:tc>
        <w:tc>
          <w:tcPr>
            <w:tcW w:w="9590" w:type="dxa"/>
            <w:shd w:val="clear" w:color="auto" w:fill="auto"/>
            <w:tcMar>
              <w:top w:w="72" w:type="dxa"/>
              <w:left w:w="115" w:type="dxa"/>
              <w:bottom w:w="72" w:type="dxa"/>
              <w:right w:w="115" w:type="dxa"/>
            </w:tcMar>
            <w:vAlign w:val="center"/>
          </w:tcPr>
          <w:p w14:paraId="05BC3969" w14:textId="77777777" w:rsidR="00CF5712" w:rsidRPr="00FC6043" w:rsidRDefault="00CF5712" w:rsidP="00677A81">
            <w:pPr>
              <w:pStyle w:val="paragraph"/>
              <w:spacing w:before="0" w:beforeAutospacing="0" w:after="0" w:afterAutospacing="0"/>
              <w:textAlignment w:val="baseline"/>
              <w:rPr>
                <w:rStyle w:val="normaltextrun"/>
                <w:sz w:val="20"/>
                <w:szCs w:val="20"/>
              </w:rPr>
            </w:pPr>
            <w:r w:rsidRPr="00FC6043">
              <w:rPr>
                <w:rStyle w:val="normaltextrun"/>
                <w:b/>
                <w:bCs/>
                <w:sz w:val="20"/>
                <w:szCs w:val="20"/>
              </w:rPr>
              <w:t>Question</w:t>
            </w:r>
            <w:r w:rsidRPr="00FC6043">
              <w:rPr>
                <w:rStyle w:val="normaltextrun"/>
                <w:sz w:val="20"/>
                <w:szCs w:val="20"/>
              </w:rPr>
              <w:t>: Q22_0414_01</w:t>
            </w:r>
          </w:p>
          <w:p w14:paraId="20F3145D" w14:textId="77777777" w:rsidR="00CF5712" w:rsidRPr="00FC6043" w:rsidRDefault="00CF5712" w:rsidP="00677A81">
            <w:pPr>
              <w:pStyle w:val="paragraph"/>
              <w:spacing w:before="0" w:beforeAutospacing="0" w:after="0" w:afterAutospacing="0"/>
              <w:textAlignment w:val="baseline"/>
              <w:rPr>
                <w:rStyle w:val="normaltextrun"/>
                <w:sz w:val="20"/>
                <w:szCs w:val="20"/>
              </w:rPr>
            </w:pPr>
            <w:r w:rsidRPr="00FC6043">
              <w:rPr>
                <w:rStyle w:val="normaltextrun"/>
                <w:sz w:val="20"/>
                <w:szCs w:val="20"/>
              </w:rPr>
              <w:t>The 2021 Application Tabs Checklist included an item for "Architect Rehab Work Scope Certification Statement" in the Rehab Standards Tab. Will this be included in the 2022 Application Tabs Checklist for submittal with the Tax Credit Application?  If so, is there a form document that the applicant should use, or should the project architect simply draft his own statement on his own letterhead indicating review of the Work Scope?</w:t>
            </w:r>
          </w:p>
          <w:p w14:paraId="2860F580" w14:textId="77777777" w:rsidR="00CF5712" w:rsidRPr="00FC6043" w:rsidRDefault="00CF5712" w:rsidP="00677A81">
            <w:pPr>
              <w:pStyle w:val="paragraph"/>
              <w:spacing w:before="0" w:beforeAutospacing="0" w:after="0" w:afterAutospacing="0"/>
              <w:textAlignment w:val="baseline"/>
              <w:rPr>
                <w:rStyle w:val="normaltextrun"/>
                <w:sz w:val="20"/>
                <w:szCs w:val="20"/>
              </w:rPr>
            </w:pPr>
          </w:p>
          <w:p w14:paraId="2AB6EE71" w14:textId="77777777" w:rsidR="00CF5712" w:rsidRPr="00FC6043" w:rsidRDefault="00CF5712" w:rsidP="00677A81">
            <w:pPr>
              <w:pStyle w:val="paragraph"/>
              <w:spacing w:before="0" w:beforeAutospacing="0" w:after="0" w:afterAutospacing="0"/>
              <w:textAlignment w:val="baseline"/>
              <w:rPr>
                <w:rStyle w:val="normaltextrun"/>
                <w:sz w:val="20"/>
                <w:szCs w:val="20"/>
              </w:rPr>
            </w:pPr>
            <w:r w:rsidRPr="00FC6043">
              <w:rPr>
                <w:rStyle w:val="normaltextrun"/>
                <w:b/>
                <w:bCs/>
                <w:sz w:val="20"/>
                <w:szCs w:val="20"/>
              </w:rPr>
              <w:t>Answer</w:t>
            </w:r>
            <w:r w:rsidRPr="00FC6043">
              <w:rPr>
                <w:rStyle w:val="normaltextrun"/>
                <w:sz w:val="20"/>
                <w:szCs w:val="20"/>
              </w:rPr>
              <w:t xml:space="preserve">: </w:t>
            </w:r>
          </w:p>
          <w:p w14:paraId="46E62EB5" w14:textId="77777777" w:rsidR="00CF5712" w:rsidRPr="00FC6043" w:rsidRDefault="00CF5712" w:rsidP="00677A81">
            <w:pPr>
              <w:pStyle w:val="paragraph"/>
              <w:spacing w:before="0" w:beforeAutospacing="0" w:after="0" w:afterAutospacing="0"/>
              <w:textAlignment w:val="baseline"/>
              <w:rPr>
                <w:rStyle w:val="normaltextrun"/>
                <w:b/>
                <w:bCs/>
                <w:sz w:val="20"/>
                <w:szCs w:val="20"/>
              </w:rPr>
            </w:pPr>
            <w:r w:rsidRPr="00FC6043">
              <w:rPr>
                <w:rStyle w:val="normaltextrun"/>
                <w:sz w:val="20"/>
                <w:szCs w:val="20"/>
              </w:rPr>
              <w:t xml:space="preserve">Yes, the Architect Rehab Work Scope Certification Statement is a Minimum Document under </w:t>
            </w:r>
            <w:r w:rsidRPr="00FC6043">
              <w:rPr>
                <w:rStyle w:val="normaltextrun"/>
                <w:b/>
                <w:bCs/>
                <w:sz w:val="20"/>
                <w:szCs w:val="20"/>
              </w:rPr>
              <w:t>(Threshold Criteria) Rehabilitation Standards</w:t>
            </w:r>
            <w:r w:rsidRPr="00FC6043">
              <w:rPr>
                <w:rStyle w:val="normaltextrun"/>
                <w:sz w:val="20"/>
                <w:szCs w:val="20"/>
              </w:rPr>
              <w:t xml:space="preserve"> and is included in the 2022 Application Tabs Checklist for submittal with the 2022 application. At this time, DCA does not have an official form or document for the applicant to use and requires the project Architect to draft his or her own statement on letterhead.</w:t>
            </w:r>
          </w:p>
        </w:tc>
      </w:tr>
      <w:tr w:rsidR="00CF5712" w:rsidRPr="00FC6043" w14:paraId="1073A284" w14:textId="77777777" w:rsidTr="1995616E">
        <w:trPr>
          <w:jc w:val="center"/>
        </w:trPr>
        <w:tc>
          <w:tcPr>
            <w:tcW w:w="2157" w:type="dxa"/>
            <w:shd w:val="clear" w:color="auto" w:fill="auto"/>
            <w:tcMar>
              <w:top w:w="72" w:type="dxa"/>
              <w:left w:w="115" w:type="dxa"/>
              <w:bottom w:w="72" w:type="dxa"/>
              <w:right w:w="115" w:type="dxa"/>
            </w:tcMar>
            <w:vAlign w:val="center"/>
          </w:tcPr>
          <w:p w14:paraId="51BCE981"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5/6/22</w:t>
            </w:r>
          </w:p>
        </w:tc>
        <w:tc>
          <w:tcPr>
            <w:tcW w:w="2198" w:type="dxa"/>
            <w:shd w:val="clear" w:color="auto" w:fill="auto"/>
            <w:tcMar>
              <w:top w:w="72" w:type="dxa"/>
              <w:left w:w="115" w:type="dxa"/>
              <w:bottom w:w="72" w:type="dxa"/>
              <w:right w:w="115" w:type="dxa"/>
            </w:tcMar>
            <w:vAlign w:val="center"/>
          </w:tcPr>
          <w:p w14:paraId="5756EA41"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3.05</w:t>
            </w:r>
          </w:p>
          <w:p w14:paraId="3C65AB23"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23632A4B" w14:textId="77777777" w:rsidR="00CF5712" w:rsidRPr="003872CA"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Desirable/Undesirable Activities</w:t>
            </w:r>
          </w:p>
          <w:p w14:paraId="2E5A4B26" w14:textId="77777777" w:rsidR="00CF5712" w:rsidRPr="003872CA" w:rsidRDefault="00CF5712" w:rsidP="002E5CCF">
            <w:pPr>
              <w:rPr>
                <w:rFonts w:ascii="Times New Roman" w:hAnsi="Times New Roman" w:cs="Times New Roman"/>
                <w:sz w:val="20"/>
                <w:szCs w:val="20"/>
              </w:rPr>
            </w:pPr>
          </w:p>
          <w:p w14:paraId="5901CAB8" w14:textId="77777777" w:rsidR="00CF5712" w:rsidRPr="00FC6043" w:rsidRDefault="00CF5712" w:rsidP="002E5CCF">
            <w:pPr>
              <w:rPr>
                <w:rFonts w:ascii="Times New Roman" w:hAnsi="Times New Roman" w:cs="Times New Roman"/>
                <w:sz w:val="20"/>
                <w:szCs w:val="20"/>
              </w:rPr>
            </w:pPr>
            <w:r w:rsidRPr="003872CA">
              <w:rPr>
                <w:rFonts w:ascii="Times New Roman" w:hAnsi="Times New Roman" w:cs="Times New Roman"/>
                <w:sz w:val="20"/>
                <w:szCs w:val="20"/>
              </w:rPr>
              <w:t>(also 3.02 Scoring; Applicability of Scoring Criteria)</w:t>
            </w:r>
          </w:p>
        </w:tc>
        <w:tc>
          <w:tcPr>
            <w:tcW w:w="9590" w:type="dxa"/>
            <w:shd w:val="clear" w:color="auto" w:fill="auto"/>
            <w:tcMar>
              <w:top w:w="72" w:type="dxa"/>
              <w:left w:w="115" w:type="dxa"/>
              <w:bottom w:w="72" w:type="dxa"/>
              <w:right w:w="115" w:type="dxa"/>
            </w:tcMar>
            <w:vAlign w:val="center"/>
          </w:tcPr>
          <w:p w14:paraId="34CACD7C" w14:textId="77777777" w:rsidR="00CF5712" w:rsidRPr="00FC6043" w:rsidRDefault="00CF5712" w:rsidP="001128EA">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Q22_0426_01 </w:t>
            </w:r>
          </w:p>
          <w:p w14:paraId="6339E350" w14:textId="77777777" w:rsidR="00CF5712" w:rsidRPr="00FC6043" w:rsidRDefault="00CF5712" w:rsidP="001128EA">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Per the instructions on the 2022 Desirable/Undesirable Cert it is required for all submissions. However, per the 2022 QAP, Preservation does not require the Desirable/Undesirable section to be scored.  Please advise if this form needs to be completed for the 9% Preservation application. </w:t>
            </w:r>
          </w:p>
          <w:p w14:paraId="3ED26907" w14:textId="77777777" w:rsidR="00CF5712" w:rsidRPr="00FC6043" w:rsidRDefault="00CF5712" w:rsidP="001128EA">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2913F9C7" w14:textId="77777777" w:rsidR="00CF5712" w:rsidRPr="00FC6043" w:rsidRDefault="00CF5712" w:rsidP="001128EA">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7E61FEA9" w14:textId="77777777" w:rsidR="00CF5712" w:rsidRPr="00FC6043" w:rsidRDefault="00CF5712" w:rsidP="001128EA">
            <w:pPr>
              <w:textAlignment w:val="baseline"/>
              <w:rPr>
                <w:rStyle w:val="normaltextrun"/>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The QAP guidance in </w:t>
            </w:r>
            <w:r w:rsidRPr="00FC6043">
              <w:rPr>
                <w:rFonts w:ascii="Times New Roman" w:eastAsia="Times New Roman" w:hAnsi="Times New Roman" w:cs="Times New Roman"/>
                <w:b/>
                <w:bCs/>
                <w:sz w:val="20"/>
                <w:szCs w:val="20"/>
              </w:rPr>
              <w:t xml:space="preserve">(Scoring Criteria) Applicability of Scoring Criteria </w:t>
            </w:r>
            <w:r w:rsidRPr="00FC6043">
              <w:rPr>
                <w:rFonts w:ascii="Times New Roman" w:eastAsia="Times New Roman" w:hAnsi="Times New Roman" w:cs="Times New Roman"/>
                <w:sz w:val="20"/>
                <w:szCs w:val="20"/>
              </w:rPr>
              <w:t xml:space="preserve">that this form is not needed except for those applications seeking points under </w:t>
            </w:r>
            <w:r w:rsidRPr="00FC6043">
              <w:rPr>
                <w:rFonts w:ascii="Times New Roman" w:eastAsia="Times New Roman" w:hAnsi="Times New Roman" w:cs="Times New Roman"/>
                <w:b/>
                <w:bCs/>
                <w:sz w:val="20"/>
                <w:szCs w:val="20"/>
              </w:rPr>
              <w:t>(Scoring Criteria) Desirable Activities/Undesirable Activities</w:t>
            </w:r>
            <w:r w:rsidRPr="00FC6043">
              <w:rPr>
                <w:rFonts w:ascii="Times New Roman" w:eastAsia="Times New Roman" w:hAnsi="Times New Roman" w:cs="Times New Roman"/>
                <w:sz w:val="20"/>
                <w:szCs w:val="20"/>
              </w:rPr>
              <w:t xml:space="preserve"> is correct. Applicants not claiming points in that section, including preservation applications, do not need to utilize this form.</w:t>
            </w:r>
          </w:p>
        </w:tc>
      </w:tr>
      <w:tr w:rsidR="00CF5712" w:rsidRPr="00FC6043" w14:paraId="3B72B0F2" w14:textId="77777777" w:rsidTr="1995616E">
        <w:trPr>
          <w:jc w:val="center"/>
        </w:trPr>
        <w:tc>
          <w:tcPr>
            <w:tcW w:w="2157" w:type="dxa"/>
            <w:shd w:val="clear" w:color="auto" w:fill="auto"/>
            <w:tcMar>
              <w:top w:w="72" w:type="dxa"/>
              <w:left w:w="115" w:type="dxa"/>
              <w:bottom w:w="72" w:type="dxa"/>
              <w:right w:w="115" w:type="dxa"/>
            </w:tcMar>
            <w:vAlign w:val="center"/>
          </w:tcPr>
          <w:p w14:paraId="3F2E6504"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5/6/22</w:t>
            </w:r>
          </w:p>
        </w:tc>
        <w:tc>
          <w:tcPr>
            <w:tcW w:w="2198" w:type="dxa"/>
            <w:shd w:val="clear" w:color="auto" w:fill="auto"/>
            <w:tcMar>
              <w:top w:w="72" w:type="dxa"/>
              <w:left w:w="115" w:type="dxa"/>
              <w:bottom w:w="72" w:type="dxa"/>
              <w:right w:w="115" w:type="dxa"/>
            </w:tcMar>
            <w:vAlign w:val="center"/>
          </w:tcPr>
          <w:p w14:paraId="71E613BB"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3.18</w:t>
            </w:r>
          </w:p>
          <w:p w14:paraId="228FDF80"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047E0101"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Enriched Property Services</w:t>
            </w:r>
          </w:p>
        </w:tc>
        <w:tc>
          <w:tcPr>
            <w:tcW w:w="9590" w:type="dxa"/>
            <w:shd w:val="clear" w:color="auto" w:fill="auto"/>
            <w:tcMar>
              <w:top w:w="72" w:type="dxa"/>
              <w:left w:w="115" w:type="dxa"/>
              <w:bottom w:w="72" w:type="dxa"/>
              <w:right w:w="115" w:type="dxa"/>
            </w:tcMar>
            <w:vAlign w:val="center"/>
          </w:tcPr>
          <w:p w14:paraId="70F92C1F" w14:textId="77777777" w:rsidR="00CF5712" w:rsidRPr="00FC6043" w:rsidRDefault="00CF5712" w:rsidP="00073E59">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Q22_0412_02</w:t>
            </w:r>
            <w:r w:rsidRPr="00FC6043">
              <w:rPr>
                <w:rStyle w:val="eop"/>
                <w:sz w:val="20"/>
                <w:szCs w:val="20"/>
              </w:rPr>
              <w:t> </w:t>
            </w:r>
          </w:p>
          <w:p w14:paraId="221E9A46" w14:textId="77777777" w:rsidR="00CF5712" w:rsidRPr="00FC6043" w:rsidRDefault="00CF5712" w:rsidP="00073E59">
            <w:pPr>
              <w:pStyle w:val="paragraph"/>
              <w:spacing w:before="0" w:beforeAutospacing="0" w:after="0" w:afterAutospacing="0"/>
              <w:textAlignment w:val="baseline"/>
              <w:rPr>
                <w:sz w:val="20"/>
                <w:szCs w:val="20"/>
              </w:rPr>
            </w:pPr>
            <w:r w:rsidRPr="00FC6043">
              <w:rPr>
                <w:rStyle w:val="normaltextrun"/>
                <w:sz w:val="20"/>
                <w:szCs w:val="20"/>
              </w:rPr>
              <w:t>Appendix II (Scoring), Section XVIII (Enriched Property Services) - is there an essential advantage to electing Option A (Owner-Provided Services) over Option B (3rd Party Contractor), since the scoring is the same?</w:t>
            </w:r>
            <w:r w:rsidRPr="00FC6043">
              <w:rPr>
                <w:rStyle w:val="eop"/>
                <w:sz w:val="20"/>
                <w:szCs w:val="20"/>
              </w:rPr>
              <w:t> </w:t>
            </w:r>
          </w:p>
          <w:p w14:paraId="0B113065" w14:textId="77777777" w:rsidR="00CF5712" w:rsidRPr="00FC6043" w:rsidRDefault="00CF5712" w:rsidP="00073E59">
            <w:pPr>
              <w:pStyle w:val="paragraph"/>
              <w:spacing w:before="0" w:beforeAutospacing="0" w:after="0" w:afterAutospacing="0"/>
              <w:textAlignment w:val="baseline"/>
              <w:rPr>
                <w:sz w:val="20"/>
                <w:szCs w:val="20"/>
              </w:rPr>
            </w:pPr>
            <w:r w:rsidRPr="00FC6043">
              <w:rPr>
                <w:rStyle w:val="eop"/>
                <w:sz w:val="20"/>
                <w:szCs w:val="20"/>
              </w:rPr>
              <w:t> </w:t>
            </w:r>
          </w:p>
          <w:p w14:paraId="2D7A58AD" w14:textId="77777777" w:rsidR="00CF5712" w:rsidRPr="00FC6043" w:rsidRDefault="00CF5712" w:rsidP="00073E59">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49A8B159" w14:textId="77777777" w:rsidR="00CF5712" w:rsidRPr="00FC6043" w:rsidRDefault="00CF5712" w:rsidP="00073E59">
            <w:pPr>
              <w:pStyle w:val="paragraph"/>
              <w:spacing w:before="0" w:beforeAutospacing="0" w:after="0" w:afterAutospacing="0"/>
              <w:textAlignment w:val="baseline"/>
              <w:rPr>
                <w:sz w:val="20"/>
                <w:szCs w:val="20"/>
              </w:rPr>
            </w:pPr>
            <w:r w:rsidRPr="00FC6043">
              <w:rPr>
                <w:rStyle w:val="normaltextrun"/>
                <w:sz w:val="20"/>
                <w:szCs w:val="20"/>
              </w:rPr>
              <w:t>Where there is a tie between applications, the second-level tiebreaker is “Application receives points under Scoring Criteria, Enriched Property Services, subsection A. Owner-provided Services.” </w:t>
            </w:r>
            <w:r w:rsidRPr="00FC6043">
              <w:rPr>
                <w:rStyle w:val="eop"/>
                <w:sz w:val="20"/>
                <w:szCs w:val="20"/>
              </w:rPr>
              <w:t> </w:t>
            </w:r>
          </w:p>
          <w:p w14:paraId="67A88EA1" w14:textId="77777777" w:rsidR="00CF5712" w:rsidRPr="00FC6043" w:rsidRDefault="00CF5712" w:rsidP="00073E59">
            <w:pPr>
              <w:pStyle w:val="paragraph"/>
              <w:spacing w:before="0" w:beforeAutospacing="0" w:after="0" w:afterAutospacing="0"/>
              <w:textAlignment w:val="baseline"/>
              <w:rPr>
                <w:sz w:val="20"/>
                <w:szCs w:val="20"/>
              </w:rPr>
            </w:pPr>
            <w:r w:rsidRPr="00FC6043">
              <w:rPr>
                <w:rStyle w:val="eop"/>
                <w:sz w:val="20"/>
                <w:szCs w:val="20"/>
              </w:rPr>
              <w:t> </w:t>
            </w:r>
          </w:p>
          <w:p w14:paraId="48749486" w14:textId="77777777" w:rsidR="00CF5712" w:rsidRPr="00FC6043" w:rsidRDefault="00CF5712" w:rsidP="002E5CCF">
            <w:pPr>
              <w:pStyle w:val="paragraph"/>
              <w:spacing w:before="0" w:beforeAutospacing="0" w:after="0" w:afterAutospacing="0"/>
              <w:textAlignment w:val="baseline"/>
              <w:rPr>
                <w:rStyle w:val="normaltextrun"/>
                <w:sz w:val="20"/>
                <w:szCs w:val="20"/>
              </w:rPr>
            </w:pPr>
            <w:r w:rsidRPr="00FC6043">
              <w:rPr>
                <w:rStyle w:val="normaltextrun"/>
                <w:sz w:val="20"/>
                <w:szCs w:val="20"/>
              </w:rPr>
              <w:t xml:space="preserve">See </w:t>
            </w:r>
            <w:r w:rsidRPr="00FC6043">
              <w:rPr>
                <w:rStyle w:val="normaltextrun"/>
                <w:b/>
                <w:bCs/>
                <w:sz w:val="20"/>
                <w:szCs w:val="20"/>
              </w:rPr>
              <w:t>(Core Plan) Evaluation of 9% Tax Credit Competitive Applications</w:t>
            </w:r>
            <w:r w:rsidRPr="00FC6043">
              <w:rPr>
                <w:rStyle w:val="normaltextrun"/>
                <w:sz w:val="20"/>
                <w:szCs w:val="20"/>
              </w:rPr>
              <w:t xml:space="preserve">, subsection </w:t>
            </w:r>
            <w:r w:rsidRPr="00FC6043">
              <w:rPr>
                <w:rStyle w:val="normaltextrun"/>
                <w:b/>
                <w:bCs/>
                <w:sz w:val="20"/>
                <w:szCs w:val="20"/>
              </w:rPr>
              <w:t>D. Selection</w:t>
            </w:r>
            <w:r w:rsidRPr="00FC6043">
              <w:rPr>
                <w:rStyle w:val="normaltextrun"/>
                <w:sz w:val="20"/>
                <w:szCs w:val="20"/>
              </w:rPr>
              <w:t xml:space="preserve">, </w:t>
            </w:r>
            <w:r w:rsidRPr="00FC6043">
              <w:rPr>
                <w:rStyle w:val="normaltextrun"/>
                <w:b/>
                <w:bCs/>
                <w:sz w:val="20"/>
                <w:szCs w:val="20"/>
              </w:rPr>
              <w:t xml:space="preserve">4. </w:t>
            </w:r>
            <w:r w:rsidRPr="00FC6043">
              <w:rPr>
                <w:rStyle w:val="contextualspellingandgrammarerror"/>
                <w:rFonts w:eastAsiaTheme="majorEastAsia"/>
                <w:b/>
                <w:bCs/>
                <w:sz w:val="20"/>
                <w:szCs w:val="20"/>
              </w:rPr>
              <w:t>Tie-breaker</w:t>
            </w:r>
            <w:r w:rsidRPr="00FC6043">
              <w:rPr>
                <w:rStyle w:val="normaltextrun"/>
                <w:sz w:val="20"/>
                <w:szCs w:val="20"/>
              </w:rPr>
              <w:t xml:space="preserve"> for more information. </w:t>
            </w:r>
          </w:p>
        </w:tc>
      </w:tr>
      <w:tr w:rsidR="00CF5712" w:rsidRPr="00FC6043" w14:paraId="263C647A" w14:textId="77777777" w:rsidTr="1995616E">
        <w:trPr>
          <w:jc w:val="center"/>
        </w:trPr>
        <w:tc>
          <w:tcPr>
            <w:tcW w:w="2157" w:type="dxa"/>
            <w:shd w:val="clear" w:color="auto" w:fill="auto"/>
            <w:tcMar>
              <w:top w:w="72" w:type="dxa"/>
              <w:left w:w="115" w:type="dxa"/>
              <w:bottom w:w="72" w:type="dxa"/>
              <w:right w:w="115" w:type="dxa"/>
            </w:tcMar>
            <w:vAlign w:val="center"/>
          </w:tcPr>
          <w:p w14:paraId="39FB0CB4"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5/6/22</w:t>
            </w:r>
          </w:p>
        </w:tc>
        <w:tc>
          <w:tcPr>
            <w:tcW w:w="2198" w:type="dxa"/>
            <w:shd w:val="clear" w:color="auto" w:fill="auto"/>
            <w:tcMar>
              <w:top w:w="72" w:type="dxa"/>
              <w:left w:w="115" w:type="dxa"/>
              <w:bottom w:w="72" w:type="dxa"/>
              <w:right w:w="115" w:type="dxa"/>
            </w:tcMar>
            <w:vAlign w:val="center"/>
          </w:tcPr>
          <w:p w14:paraId="6F233898"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3.22</w:t>
            </w:r>
          </w:p>
          <w:p w14:paraId="353F0BF1"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4EB9E59B"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Historic Preservation</w:t>
            </w:r>
          </w:p>
        </w:tc>
        <w:tc>
          <w:tcPr>
            <w:tcW w:w="9590" w:type="dxa"/>
            <w:shd w:val="clear" w:color="auto" w:fill="auto"/>
            <w:tcMar>
              <w:top w:w="72" w:type="dxa"/>
              <w:left w:w="115" w:type="dxa"/>
              <w:bottom w:w="72" w:type="dxa"/>
              <w:right w:w="115" w:type="dxa"/>
            </w:tcMar>
            <w:vAlign w:val="center"/>
          </w:tcPr>
          <w:p w14:paraId="4CAA48F8" w14:textId="77777777" w:rsidR="00CF5712" w:rsidRPr="00FC6043" w:rsidRDefault="00CF5712" w:rsidP="00BD5017">
            <w:pPr>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Q22_0414_02</w:t>
            </w:r>
          </w:p>
          <w:p w14:paraId="3BBE2DE2" w14:textId="77777777" w:rsidR="00CF5712" w:rsidRPr="00FC6043" w:rsidRDefault="00CF5712" w:rsidP="00BD5017">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In QAP Appendix II (Scoring), Part B under Section XXII (Historic Preservation) states that "DCA will award points if a property is either a certified historic structure or is deemed historic (as both are defined above)[; t]he historic structure must house at least 50% of the total units."  Part B does not specifically indicate that this pertains solely to Adaptive Reuse (which is considered "New Supply" under the QAP), as does Part A. However, under Section II (Applicability of Scoring Criteria), the entire Section XXII only applies to New Supply.  Are we correct in interpreting this that a 9% HTC Preservation project will not be eligible for these points, even if it pertains to a historic building under the definition above?</w:t>
            </w:r>
          </w:p>
          <w:p w14:paraId="09F2FE23" w14:textId="77777777" w:rsidR="00CF5712" w:rsidRPr="00FC6043" w:rsidRDefault="00CF5712" w:rsidP="00BD5017">
            <w:pPr>
              <w:rPr>
                <w:rFonts w:ascii="Times New Roman" w:eastAsia="Times New Roman" w:hAnsi="Times New Roman" w:cs="Times New Roman"/>
                <w:sz w:val="20"/>
                <w:szCs w:val="20"/>
              </w:rPr>
            </w:pPr>
          </w:p>
          <w:p w14:paraId="4A0C3FAF" w14:textId="77777777" w:rsidR="00CF5712" w:rsidRPr="00FC6043" w:rsidRDefault="00CF5712" w:rsidP="00BD5017">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Assuming this interpretation is correct, would DCA anticipate that the work scope for 9% HTC Preservation project that is in fact also a historic building will require historic preservation-type protocols and therefore be monitoring for that?  Or would that strictly be determined by NPS or other requirements as verified by the Physical Needs Assessment, Work Scope form, and architect's certification thereof?</w:t>
            </w:r>
          </w:p>
          <w:p w14:paraId="52F3F48A" w14:textId="77777777" w:rsidR="00CF5712" w:rsidRPr="00FC6043" w:rsidRDefault="00CF5712" w:rsidP="00BD5017">
            <w:pPr>
              <w:contextualSpacing/>
              <w:rPr>
                <w:rFonts w:ascii="Times New Roman" w:hAnsi="Times New Roman" w:cs="Times New Roman"/>
                <w:sz w:val="20"/>
                <w:szCs w:val="20"/>
              </w:rPr>
            </w:pPr>
          </w:p>
          <w:p w14:paraId="73F93569" w14:textId="77777777" w:rsidR="00CF5712" w:rsidRPr="00FC6043" w:rsidRDefault="00CF5712" w:rsidP="00BD5017">
            <w:pPr>
              <w:spacing w:line="257" w:lineRule="auto"/>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 xml:space="preserve">: </w:t>
            </w:r>
          </w:p>
          <w:p w14:paraId="3A82F0D6" w14:textId="77777777" w:rsidR="00CF5712" w:rsidRPr="00FC6043" w:rsidRDefault="00CF5712" w:rsidP="00BD5017">
            <w:pPr>
              <w:spacing w:line="257" w:lineRule="auto"/>
              <w:rPr>
                <w:rFonts w:ascii="Times New Roman" w:eastAsia="Calibri" w:hAnsi="Times New Roman" w:cs="Times New Roman"/>
                <w:sz w:val="20"/>
                <w:szCs w:val="20"/>
              </w:rPr>
            </w:pPr>
            <w:r w:rsidRPr="00FC6043">
              <w:rPr>
                <w:rFonts w:ascii="Times New Roman" w:hAnsi="Times New Roman" w:cs="Times New Roman"/>
                <w:sz w:val="20"/>
                <w:szCs w:val="20"/>
              </w:rPr>
              <w:t xml:space="preserve">For the first question, </w:t>
            </w:r>
            <w:r w:rsidRPr="00FC6043">
              <w:rPr>
                <w:rFonts w:ascii="Times New Roman" w:eastAsia="Calibri" w:hAnsi="Times New Roman" w:cs="Times New Roman"/>
                <w:sz w:val="20"/>
                <w:szCs w:val="20"/>
              </w:rPr>
              <w:t xml:space="preserve">the interpretation is correct: per </w:t>
            </w:r>
            <w:r w:rsidRPr="00FC6043">
              <w:rPr>
                <w:rFonts w:ascii="Times New Roman" w:eastAsia="Calibri" w:hAnsi="Times New Roman" w:cs="Times New Roman"/>
                <w:b/>
                <w:bCs/>
                <w:sz w:val="20"/>
                <w:szCs w:val="20"/>
              </w:rPr>
              <w:t>(Scoring Criteria) Applicability of Scoring Criteria</w:t>
            </w:r>
            <w:r w:rsidRPr="00FC6043">
              <w:rPr>
                <w:rFonts w:ascii="Times New Roman" w:eastAsia="Calibri" w:hAnsi="Times New Roman" w:cs="Times New Roman"/>
                <w:sz w:val="20"/>
                <w:szCs w:val="20"/>
              </w:rPr>
              <w:t xml:space="preserve">, </w:t>
            </w:r>
            <w:r w:rsidRPr="00FC6043">
              <w:rPr>
                <w:rFonts w:ascii="Times New Roman" w:eastAsia="Calibri" w:hAnsi="Times New Roman" w:cs="Times New Roman"/>
                <w:b/>
                <w:bCs/>
                <w:sz w:val="20"/>
                <w:szCs w:val="20"/>
              </w:rPr>
              <w:t>(Scoring Criteria)</w:t>
            </w:r>
            <w:r w:rsidRPr="00FC6043">
              <w:rPr>
                <w:rFonts w:ascii="Times New Roman" w:eastAsia="Calibri" w:hAnsi="Times New Roman" w:cs="Times New Roman"/>
                <w:sz w:val="20"/>
                <w:szCs w:val="20"/>
              </w:rPr>
              <w:t xml:space="preserve"> </w:t>
            </w:r>
            <w:r w:rsidRPr="00FC6043">
              <w:rPr>
                <w:rFonts w:ascii="Times New Roman" w:eastAsia="Calibri" w:hAnsi="Times New Roman" w:cs="Times New Roman"/>
                <w:b/>
                <w:bCs/>
                <w:sz w:val="20"/>
                <w:szCs w:val="20"/>
              </w:rPr>
              <w:t>Historic Preservation</w:t>
            </w:r>
            <w:r w:rsidRPr="00FC6043">
              <w:rPr>
                <w:rFonts w:ascii="Times New Roman" w:eastAsia="Calibri" w:hAnsi="Times New Roman" w:cs="Times New Roman"/>
                <w:sz w:val="20"/>
                <w:szCs w:val="20"/>
              </w:rPr>
              <w:t xml:space="preserve"> does not apply to any of the Preservation Set Asides.</w:t>
            </w:r>
          </w:p>
          <w:p w14:paraId="4C5E069A" w14:textId="77777777" w:rsidR="00CF5712" w:rsidRPr="00FC6043" w:rsidRDefault="00CF5712" w:rsidP="00BD5017">
            <w:pPr>
              <w:spacing w:line="257" w:lineRule="auto"/>
              <w:rPr>
                <w:rFonts w:ascii="Times New Roman" w:hAnsi="Times New Roman" w:cs="Times New Roman"/>
                <w:sz w:val="20"/>
                <w:szCs w:val="20"/>
              </w:rPr>
            </w:pPr>
            <w:r w:rsidRPr="00FC6043">
              <w:rPr>
                <w:rFonts w:ascii="Times New Roman" w:eastAsia="Calibri" w:hAnsi="Times New Roman" w:cs="Times New Roman"/>
                <w:sz w:val="20"/>
                <w:szCs w:val="20"/>
              </w:rPr>
              <w:t xml:space="preserve"> </w:t>
            </w:r>
          </w:p>
          <w:p w14:paraId="4E301903" w14:textId="77777777" w:rsidR="00CF5712" w:rsidRPr="00FC6043" w:rsidRDefault="00CF5712" w:rsidP="00BD5017">
            <w:pPr>
              <w:pStyle w:val="paragraph"/>
              <w:spacing w:before="0" w:beforeAutospacing="0" w:after="0" w:afterAutospacing="0"/>
              <w:textAlignment w:val="baseline"/>
              <w:rPr>
                <w:rStyle w:val="normaltextrun"/>
                <w:b/>
                <w:bCs/>
                <w:sz w:val="20"/>
                <w:szCs w:val="20"/>
              </w:rPr>
            </w:pPr>
            <w:r w:rsidRPr="00FC6043">
              <w:rPr>
                <w:rFonts w:eastAsia="Calibri"/>
                <w:sz w:val="20"/>
                <w:szCs w:val="20"/>
              </w:rPr>
              <w:t xml:space="preserve">If a building associated with a Preservation Set Aside application is historic in nature and its historic nature impacts the work scope and monitoring, these impacts would stem from other sections in the QAP (e.g., </w:t>
            </w:r>
            <w:r w:rsidRPr="00FC6043">
              <w:rPr>
                <w:rFonts w:eastAsia="Calibri"/>
                <w:b/>
                <w:bCs/>
                <w:sz w:val="20"/>
                <w:szCs w:val="20"/>
              </w:rPr>
              <w:t>Threshold Criteria</w:t>
            </w:r>
            <w:r w:rsidRPr="00FC6043">
              <w:rPr>
                <w:rFonts w:eastAsia="Calibri"/>
                <w:sz w:val="20"/>
                <w:szCs w:val="20"/>
              </w:rPr>
              <w:t xml:space="preserve"> requirements), not (</w:t>
            </w:r>
            <w:r w:rsidRPr="00FC6043">
              <w:rPr>
                <w:rFonts w:eastAsia="Calibri"/>
                <w:b/>
                <w:bCs/>
                <w:sz w:val="20"/>
                <w:szCs w:val="20"/>
              </w:rPr>
              <w:t>Scoring Criteria) Historic Preservation</w:t>
            </w:r>
            <w:r w:rsidRPr="00FC6043">
              <w:rPr>
                <w:rFonts w:eastAsia="Calibri"/>
                <w:sz w:val="20"/>
                <w:szCs w:val="20"/>
              </w:rPr>
              <w:t>.</w:t>
            </w:r>
          </w:p>
        </w:tc>
      </w:tr>
      <w:tr w:rsidR="00CF5712" w:rsidRPr="00FC6043" w14:paraId="06EF46E1" w14:textId="77777777" w:rsidTr="1995616E">
        <w:trPr>
          <w:jc w:val="center"/>
        </w:trPr>
        <w:tc>
          <w:tcPr>
            <w:tcW w:w="2157" w:type="dxa"/>
            <w:shd w:val="clear" w:color="auto" w:fill="auto"/>
            <w:tcMar>
              <w:top w:w="72" w:type="dxa"/>
              <w:left w:w="115" w:type="dxa"/>
              <w:bottom w:w="72" w:type="dxa"/>
              <w:right w:w="115" w:type="dxa"/>
            </w:tcMar>
            <w:vAlign w:val="center"/>
          </w:tcPr>
          <w:p w14:paraId="75E774BC"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4/27/22</w:t>
            </w:r>
          </w:p>
        </w:tc>
        <w:tc>
          <w:tcPr>
            <w:tcW w:w="2198" w:type="dxa"/>
            <w:shd w:val="clear" w:color="auto" w:fill="auto"/>
            <w:tcMar>
              <w:top w:w="72" w:type="dxa"/>
              <w:left w:w="115" w:type="dxa"/>
              <w:bottom w:w="72" w:type="dxa"/>
              <w:right w:w="115" w:type="dxa"/>
            </w:tcMar>
            <w:vAlign w:val="center"/>
          </w:tcPr>
          <w:p w14:paraId="4B763706"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3.17</w:t>
            </w:r>
          </w:p>
          <w:p w14:paraId="1129BC39"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09267E6C" w14:textId="77777777" w:rsidR="00CF5712" w:rsidRPr="00FC6043" w:rsidRDefault="00CF5712" w:rsidP="002E5CCF">
            <w:pPr>
              <w:rPr>
                <w:rFonts w:ascii="Times New Roman" w:hAnsi="Times New Roman" w:cs="Times New Roman"/>
                <w:sz w:val="20"/>
                <w:szCs w:val="20"/>
              </w:rPr>
            </w:pPr>
            <w:r w:rsidRPr="00FC6043">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24CCB30D" w14:textId="77777777" w:rsidR="00CF5712" w:rsidRPr="00FC6043" w:rsidRDefault="00CF5712" w:rsidP="002E5CCF">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Q22_0221_08</w:t>
            </w:r>
            <w:r w:rsidRPr="00FC6043">
              <w:rPr>
                <w:rStyle w:val="eop"/>
                <w:sz w:val="20"/>
                <w:szCs w:val="20"/>
              </w:rPr>
              <w:t> </w:t>
            </w:r>
          </w:p>
          <w:p w14:paraId="5BFDCDF1" w14:textId="77777777" w:rsidR="00CF5712" w:rsidRPr="00FC6043" w:rsidRDefault="00CF5712" w:rsidP="002E5CCF">
            <w:pPr>
              <w:pStyle w:val="paragraph"/>
              <w:spacing w:before="0" w:beforeAutospacing="0" w:after="0" w:afterAutospacing="0"/>
              <w:textAlignment w:val="baseline"/>
              <w:rPr>
                <w:sz w:val="20"/>
                <w:szCs w:val="20"/>
              </w:rPr>
            </w:pPr>
            <w:r w:rsidRPr="00FC6043">
              <w:rPr>
                <w:rStyle w:val="normaltextrun"/>
                <w:sz w:val="20"/>
                <w:szCs w:val="20"/>
              </w:rPr>
              <w:t xml:space="preserve">XVII. Minority and Women Owned Business </w:t>
            </w:r>
            <w:r w:rsidRPr="00FC6043">
              <w:rPr>
                <w:rStyle w:val="contextualspellingandgrammarerror"/>
                <w:rFonts w:eastAsiaTheme="majorEastAsia"/>
                <w:sz w:val="20"/>
                <w:szCs w:val="20"/>
              </w:rPr>
              <w:t>Engagement.|</w:t>
            </w:r>
            <w:r w:rsidRPr="00FC6043">
              <w:rPr>
                <w:rStyle w:val="normaltextrun"/>
                <w:sz w:val="20"/>
                <w:szCs w:val="20"/>
              </w:rPr>
              <w:t xml:space="preserve">|DCA has a separate policy document about this scoring item that references multiple NAICS codes that can be listed on </w:t>
            </w:r>
            <w:r w:rsidRPr="00FC6043">
              <w:rPr>
                <w:rStyle w:val="contextualspellingandgrammarerror"/>
                <w:rFonts w:eastAsiaTheme="majorEastAsia"/>
                <w:sz w:val="20"/>
                <w:szCs w:val="20"/>
              </w:rPr>
              <w:t>a</w:t>
            </w:r>
            <w:r w:rsidRPr="00FC6043">
              <w:rPr>
                <w:rStyle w:val="normaltextrun"/>
                <w:sz w:val="20"/>
                <w:szCs w:val="20"/>
              </w:rPr>
              <w:t xml:space="preserve"> MBE/WBE's certification to qualify for points.  Some of these include construction, real estate, finance &amp; insurance, architectural services, land development agencies, redevelopment authorities, etc. ||Within this scoring section of the QAP, it states that the QB must conduct business in housing or real estate, evidenced by the respective NAICS codes. The separate policy document states the QB must show intent to regularly conduct business related to the housing finance, housing development, affordable housing and property management industry by listing at least one of the following NAICS codes on the certification when the application is submitted. </w:t>
            </w:r>
            <w:r w:rsidRPr="00FC6043">
              <w:rPr>
                <w:rStyle w:val="eop"/>
                <w:sz w:val="20"/>
                <w:szCs w:val="20"/>
              </w:rPr>
              <w:t> </w:t>
            </w:r>
          </w:p>
          <w:p w14:paraId="32D276AF" w14:textId="77777777" w:rsidR="00CF5712" w:rsidRPr="00FC6043" w:rsidRDefault="00CF5712" w:rsidP="002E5CCF">
            <w:pPr>
              <w:pStyle w:val="paragraph"/>
              <w:spacing w:before="0" w:beforeAutospacing="0" w:after="0" w:afterAutospacing="0"/>
              <w:textAlignment w:val="baseline"/>
              <w:rPr>
                <w:sz w:val="20"/>
                <w:szCs w:val="20"/>
              </w:rPr>
            </w:pPr>
            <w:r w:rsidRPr="00FC6043">
              <w:rPr>
                <w:rStyle w:val="eop"/>
                <w:sz w:val="20"/>
                <w:szCs w:val="20"/>
              </w:rPr>
              <w:t> </w:t>
            </w:r>
          </w:p>
          <w:p w14:paraId="4F1FF323" w14:textId="77777777" w:rsidR="00CF5712" w:rsidRPr="00FC6043" w:rsidRDefault="00CF5712" w:rsidP="002E5CCF">
            <w:pPr>
              <w:pStyle w:val="paragraph"/>
              <w:spacing w:before="0" w:beforeAutospacing="0" w:after="0" w:afterAutospacing="0"/>
              <w:textAlignment w:val="baseline"/>
              <w:rPr>
                <w:sz w:val="20"/>
                <w:szCs w:val="20"/>
              </w:rPr>
            </w:pPr>
            <w:r w:rsidRPr="00FC6043">
              <w:rPr>
                <w:rStyle w:val="normaltextrun"/>
                <w:sz w:val="20"/>
                <w:szCs w:val="20"/>
              </w:rPr>
              <w:t>These statements seem to conflict with one another (something the QB must do vs something the QB intends to do).  Could you provide more clarity regarding this issue?</w:t>
            </w:r>
            <w:r w:rsidRPr="00FC6043">
              <w:rPr>
                <w:rStyle w:val="eop"/>
                <w:sz w:val="20"/>
                <w:szCs w:val="20"/>
              </w:rPr>
              <w:t> </w:t>
            </w:r>
          </w:p>
          <w:p w14:paraId="17BF5E35" w14:textId="77777777" w:rsidR="00CF5712" w:rsidRPr="00FC6043" w:rsidRDefault="00CF5712" w:rsidP="002E5CCF">
            <w:pPr>
              <w:pStyle w:val="paragraph"/>
              <w:spacing w:before="0" w:beforeAutospacing="0" w:after="0" w:afterAutospacing="0"/>
              <w:textAlignment w:val="baseline"/>
              <w:rPr>
                <w:sz w:val="20"/>
                <w:szCs w:val="20"/>
              </w:rPr>
            </w:pPr>
            <w:r w:rsidRPr="00FC6043">
              <w:rPr>
                <w:rStyle w:val="eop"/>
                <w:sz w:val="20"/>
                <w:szCs w:val="20"/>
              </w:rPr>
              <w:t> </w:t>
            </w:r>
          </w:p>
          <w:p w14:paraId="238DDE96" w14:textId="77777777" w:rsidR="00CF5712" w:rsidRPr="00FC6043" w:rsidRDefault="00CF5712" w:rsidP="002E5CC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14A0F756" w14:textId="77777777" w:rsidR="00CF5712" w:rsidRPr="00FC6043" w:rsidRDefault="00CF5712" w:rsidP="002E5CCF">
            <w:pPr>
              <w:pStyle w:val="paragraph"/>
              <w:spacing w:before="0" w:beforeAutospacing="0" w:after="0" w:afterAutospacing="0"/>
              <w:textAlignment w:val="baseline"/>
              <w:rPr>
                <w:sz w:val="20"/>
                <w:szCs w:val="20"/>
              </w:rPr>
            </w:pPr>
            <w:r w:rsidRPr="00FC6043">
              <w:rPr>
                <w:rStyle w:val="normaltextrun"/>
                <w:sz w:val="20"/>
                <w:szCs w:val="20"/>
              </w:rPr>
              <w:t>The language comparison referred to in this question is the following:</w:t>
            </w:r>
            <w:r w:rsidRPr="00FC6043">
              <w:rPr>
                <w:rStyle w:val="eop"/>
                <w:sz w:val="20"/>
                <w:szCs w:val="20"/>
              </w:rPr>
              <w:t> </w:t>
            </w:r>
          </w:p>
          <w:p w14:paraId="7E3D65B8" w14:textId="77777777" w:rsidR="00CF5712" w:rsidRPr="00FC6043" w:rsidRDefault="00CF5712" w:rsidP="002E5CCF">
            <w:pPr>
              <w:pStyle w:val="paragraph"/>
              <w:spacing w:before="0" w:beforeAutospacing="0" w:after="0" w:afterAutospacing="0"/>
              <w:textAlignment w:val="baseline"/>
              <w:rPr>
                <w:sz w:val="20"/>
                <w:szCs w:val="20"/>
              </w:rPr>
            </w:pPr>
            <w:r w:rsidRPr="00FC6043">
              <w:rPr>
                <w:rStyle w:val="eop"/>
                <w:sz w:val="20"/>
                <w:szCs w:val="20"/>
              </w:rPr>
              <w:t> </w:t>
            </w:r>
          </w:p>
          <w:p w14:paraId="14744EFD" w14:textId="77777777" w:rsidR="00CF5712" w:rsidRPr="00FC6043" w:rsidRDefault="00CF5712" w:rsidP="002E5CCF">
            <w:pPr>
              <w:pStyle w:val="paragraph"/>
              <w:numPr>
                <w:ilvl w:val="0"/>
                <w:numId w:val="43"/>
              </w:numPr>
              <w:spacing w:before="0" w:beforeAutospacing="0" w:after="0" w:afterAutospacing="0"/>
              <w:ind w:left="1080" w:firstLine="0"/>
              <w:textAlignment w:val="baseline"/>
              <w:rPr>
                <w:sz w:val="20"/>
                <w:szCs w:val="20"/>
              </w:rPr>
            </w:pPr>
            <w:r w:rsidRPr="00FC6043">
              <w:rPr>
                <w:rStyle w:val="normaltextrun"/>
                <w:sz w:val="20"/>
                <w:szCs w:val="20"/>
              </w:rPr>
              <w:t>(QAP) “QB conducts business in housing or real estate”</w:t>
            </w:r>
            <w:r w:rsidRPr="00FC6043">
              <w:rPr>
                <w:rStyle w:val="eop"/>
                <w:sz w:val="20"/>
                <w:szCs w:val="20"/>
              </w:rPr>
              <w:t> </w:t>
            </w:r>
          </w:p>
          <w:p w14:paraId="4D06FF39" w14:textId="77777777" w:rsidR="00CF5712" w:rsidRPr="00FC6043" w:rsidRDefault="00CF5712" w:rsidP="002E5CCF">
            <w:pPr>
              <w:pStyle w:val="paragraph"/>
              <w:numPr>
                <w:ilvl w:val="0"/>
                <w:numId w:val="43"/>
              </w:numPr>
              <w:spacing w:before="0" w:beforeAutospacing="0" w:after="0" w:afterAutospacing="0"/>
              <w:ind w:left="1080" w:firstLine="0"/>
              <w:textAlignment w:val="baseline"/>
              <w:rPr>
                <w:sz w:val="20"/>
                <w:szCs w:val="20"/>
              </w:rPr>
            </w:pPr>
            <w:r w:rsidRPr="00FC6043">
              <w:rPr>
                <w:rStyle w:val="normaltextrun"/>
                <w:sz w:val="20"/>
                <w:szCs w:val="20"/>
              </w:rPr>
              <w:lastRenderedPageBreak/>
              <w:t xml:space="preserve">(Policy Statement, </w:t>
            </w:r>
            <w:hyperlink r:id="rId27" w:tgtFrame="_blank" w:history="1">
              <w:r w:rsidRPr="00FC6043">
                <w:rPr>
                  <w:rStyle w:val="normaltextrun"/>
                  <w:sz w:val="20"/>
                  <w:szCs w:val="20"/>
                  <w:u w:val="single"/>
                </w:rPr>
                <w:t>click here</w:t>
              </w:r>
            </w:hyperlink>
            <w:r w:rsidRPr="00FC6043">
              <w:rPr>
                <w:rStyle w:val="normaltextrun"/>
                <w:sz w:val="20"/>
                <w:szCs w:val="20"/>
              </w:rPr>
              <w:t xml:space="preserve">) “[QB] must show intent to regularly conduct business related to [housing or real </w:t>
            </w:r>
            <w:r w:rsidRPr="00FC6043">
              <w:rPr>
                <w:rStyle w:val="contextualspellingandgrammarerror"/>
                <w:rFonts w:eastAsiaTheme="majorEastAsia"/>
                <w:sz w:val="20"/>
                <w:szCs w:val="20"/>
              </w:rPr>
              <w:t>estate]…</w:t>
            </w:r>
            <w:r w:rsidRPr="00FC6043">
              <w:rPr>
                <w:rStyle w:val="normaltextrun"/>
                <w:sz w:val="20"/>
                <w:szCs w:val="20"/>
              </w:rPr>
              <w:t>”</w:t>
            </w:r>
            <w:r w:rsidRPr="00FC6043">
              <w:rPr>
                <w:rStyle w:val="eop"/>
                <w:sz w:val="20"/>
                <w:szCs w:val="20"/>
              </w:rPr>
              <w:t> </w:t>
            </w:r>
          </w:p>
          <w:p w14:paraId="207A1A35" w14:textId="77777777" w:rsidR="00CF5712" w:rsidRPr="00FC6043" w:rsidRDefault="00CF5712" w:rsidP="002E5CCF">
            <w:pPr>
              <w:pStyle w:val="paragraph"/>
              <w:spacing w:before="0" w:beforeAutospacing="0" w:after="0" w:afterAutospacing="0"/>
              <w:textAlignment w:val="baseline"/>
              <w:rPr>
                <w:sz w:val="20"/>
                <w:szCs w:val="20"/>
              </w:rPr>
            </w:pPr>
            <w:r w:rsidRPr="00FC6043">
              <w:rPr>
                <w:rStyle w:val="eop"/>
                <w:sz w:val="20"/>
                <w:szCs w:val="20"/>
              </w:rPr>
              <w:t> </w:t>
            </w:r>
          </w:p>
          <w:p w14:paraId="074C1755" w14:textId="77777777" w:rsidR="00CF5712" w:rsidRPr="00FC6043" w:rsidRDefault="00CF5712" w:rsidP="002E5CCF">
            <w:pPr>
              <w:pStyle w:val="paragraph"/>
              <w:spacing w:before="0" w:beforeAutospacing="0" w:after="0" w:afterAutospacing="0"/>
              <w:textAlignment w:val="baseline"/>
              <w:rPr>
                <w:sz w:val="20"/>
                <w:szCs w:val="20"/>
              </w:rPr>
            </w:pPr>
            <w:r w:rsidRPr="00FC6043">
              <w:rPr>
                <w:rStyle w:val="normaltextrun"/>
                <w:sz w:val="20"/>
                <w:szCs w:val="20"/>
              </w:rPr>
              <w:t>Where there is a conflict in language between the QAP and another document, the QAP holds. However, in this instance DCA does not believe this represents a language conflict. A QB that “conducts business in housing” will also “[intend] to regularly conduct business related to housing.” </w:t>
            </w:r>
            <w:r w:rsidRPr="00FC6043">
              <w:rPr>
                <w:rStyle w:val="eop"/>
                <w:sz w:val="20"/>
                <w:szCs w:val="20"/>
              </w:rPr>
              <w:t> </w:t>
            </w:r>
          </w:p>
          <w:p w14:paraId="0D27D493" w14:textId="77777777" w:rsidR="00CF5712" w:rsidRPr="00FC6043" w:rsidRDefault="00CF5712" w:rsidP="002E5CCF">
            <w:pPr>
              <w:pStyle w:val="paragraph"/>
              <w:spacing w:before="0" w:beforeAutospacing="0" w:after="0" w:afterAutospacing="0"/>
              <w:textAlignment w:val="baseline"/>
              <w:rPr>
                <w:sz w:val="20"/>
                <w:szCs w:val="20"/>
              </w:rPr>
            </w:pPr>
            <w:r w:rsidRPr="00FC6043">
              <w:rPr>
                <w:rStyle w:val="eop"/>
                <w:sz w:val="20"/>
                <w:szCs w:val="20"/>
              </w:rPr>
              <w:t> </w:t>
            </w:r>
          </w:p>
          <w:p w14:paraId="4C12C3D3" w14:textId="77777777" w:rsidR="00CF5712" w:rsidRPr="00FC6043" w:rsidRDefault="00CF5712" w:rsidP="002E5CCF">
            <w:pPr>
              <w:pStyle w:val="paragraph"/>
              <w:spacing w:before="0" w:beforeAutospacing="0" w:after="0" w:afterAutospacing="0"/>
              <w:textAlignment w:val="baseline"/>
              <w:rPr>
                <w:sz w:val="20"/>
                <w:szCs w:val="20"/>
              </w:rPr>
            </w:pPr>
            <w:r w:rsidRPr="00FC6043">
              <w:rPr>
                <w:rStyle w:val="normaltextrun"/>
                <w:sz w:val="20"/>
                <w:szCs w:val="20"/>
              </w:rPr>
              <w:t>Regardless of which sentence is referenced, both documents convey that what DCA staff will be confirming is the NAICS code. Specifically, as stated in the Policy Statement, that the QB “</w:t>
            </w:r>
            <w:r w:rsidRPr="00FC6043">
              <w:rPr>
                <w:rStyle w:val="normaltextrun"/>
                <w:i/>
                <w:iCs/>
                <w:sz w:val="20"/>
                <w:szCs w:val="20"/>
              </w:rPr>
              <w:t>[listed] at least (1) of the following North American Industry Classification System (NAICS) codes on the certification when the application is submitted…</w:t>
            </w:r>
            <w:r w:rsidRPr="00FC6043">
              <w:rPr>
                <w:rStyle w:val="normaltextrun"/>
                <w:sz w:val="20"/>
                <w:szCs w:val="20"/>
              </w:rPr>
              <w:t>”</w:t>
            </w:r>
            <w:r w:rsidRPr="00FC6043">
              <w:rPr>
                <w:rStyle w:val="eop"/>
                <w:sz w:val="20"/>
                <w:szCs w:val="20"/>
              </w:rPr>
              <w:t> </w:t>
            </w:r>
          </w:p>
        </w:tc>
      </w:tr>
      <w:tr w:rsidR="00CF5712" w:rsidRPr="00FC6043" w14:paraId="579858CD" w14:textId="77777777" w:rsidTr="1995616E">
        <w:trPr>
          <w:jc w:val="center"/>
        </w:trPr>
        <w:tc>
          <w:tcPr>
            <w:tcW w:w="2157" w:type="dxa"/>
            <w:shd w:val="clear" w:color="auto" w:fill="auto"/>
            <w:tcMar>
              <w:top w:w="72" w:type="dxa"/>
              <w:left w:w="115" w:type="dxa"/>
              <w:bottom w:w="72" w:type="dxa"/>
              <w:right w:w="115" w:type="dxa"/>
            </w:tcMar>
            <w:vAlign w:val="center"/>
          </w:tcPr>
          <w:p w14:paraId="247ED552"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4/27/22</w:t>
            </w:r>
          </w:p>
        </w:tc>
        <w:tc>
          <w:tcPr>
            <w:tcW w:w="2198" w:type="dxa"/>
            <w:shd w:val="clear" w:color="auto" w:fill="auto"/>
            <w:tcMar>
              <w:top w:w="72" w:type="dxa"/>
              <w:left w:w="115" w:type="dxa"/>
              <w:bottom w:w="72" w:type="dxa"/>
              <w:right w:w="115" w:type="dxa"/>
            </w:tcMar>
            <w:vAlign w:val="center"/>
          </w:tcPr>
          <w:p w14:paraId="30CA6B61" w14:textId="77777777" w:rsidR="00CF5712" w:rsidRPr="00FC6043" w:rsidRDefault="00CF5712" w:rsidP="00056CE9">
            <w:pPr>
              <w:rPr>
                <w:rFonts w:ascii="Times New Roman" w:hAnsi="Times New Roman" w:cs="Times New Roman"/>
                <w:sz w:val="20"/>
                <w:szCs w:val="20"/>
              </w:rPr>
            </w:pPr>
            <w:r w:rsidRPr="00FC6043">
              <w:rPr>
                <w:rFonts w:ascii="Times New Roman" w:hAnsi="Times New Roman" w:cs="Times New Roman"/>
                <w:sz w:val="20"/>
                <w:szCs w:val="20"/>
              </w:rPr>
              <w:t>3.17</w:t>
            </w:r>
          </w:p>
          <w:p w14:paraId="608631BE" w14:textId="77777777" w:rsidR="00CF5712" w:rsidRPr="00FC6043" w:rsidRDefault="00CF5712" w:rsidP="00056CE9">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172F2722" w14:textId="77777777" w:rsidR="00CF5712" w:rsidRPr="00FC6043" w:rsidRDefault="00CF5712" w:rsidP="00056CE9">
            <w:pPr>
              <w:rPr>
                <w:rFonts w:ascii="Times New Roman" w:hAnsi="Times New Roman" w:cs="Times New Roman"/>
                <w:sz w:val="20"/>
                <w:szCs w:val="20"/>
              </w:rPr>
            </w:pPr>
            <w:r w:rsidRPr="00FC6043">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06FD066B" w14:textId="77777777" w:rsidR="00CF5712" w:rsidRPr="00FC6043" w:rsidRDefault="00CF5712" w:rsidP="00056CE9">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Q22_0411_15 </w:t>
            </w:r>
          </w:p>
          <w:p w14:paraId="33EBD9CA" w14:textId="77777777" w:rsidR="00CF5712" w:rsidRPr="00FC6043" w:rsidRDefault="00CF5712" w:rsidP="00056CE9">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Regarding Minority-and Women-owned Business Engagement: the minimum expenses to minority- and women-owned “Qualified Business” (QBs) is 5% of total construction hard costs. Can the sum of multiple contracts to QBs that are each less than 5% meet this requirement, or does at least one QB contract need to involve at least 5% worth of expenses?  </w:t>
            </w:r>
          </w:p>
          <w:p w14:paraId="7A0EE695" w14:textId="77777777" w:rsidR="00CF5712" w:rsidRPr="00FC6043" w:rsidRDefault="00CF5712" w:rsidP="00056CE9">
            <w:pPr>
              <w:textAlignment w:val="baseline"/>
              <w:rPr>
                <w:rFonts w:ascii="Times New Roman" w:eastAsia="Times New Roman" w:hAnsi="Times New Roman" w:cs="Times New Roman"/>
                <w:sz w:val="20"/>
                <w:szCs w:val="20"/>
              </w:rPr>
            </w:pPr>
          </w:p>
          <w:p w14:paraId="28B0D7EB" w14:textId="77777777" w:rsidR="00CF5712" w:rsidRPr="00FC6043" w:rsidRDefault="00CF5712" w:rsidP="00056CE9">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23581A87" w14:textId="77777777" w:rsidR="00CF5712" w:rsidRPr="00FC6043" w:rsidRDefault="00CF5712" w:rsidP="00056CE9">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The QAP states that the project team must “Engage QBs in the development or operation of the proposed property in amounts equal to approximately 5% of total construction hard costs…” </w:t>
            </w:r>
          </w:p>
          <w:p w14:paraId="05FE83D0" w14:textId="77777777" w:rsidR="00CF5712" w:rsidRPr="00FC6043" w:rsidRDefault="00CF5712" w:rsidP="00056CE9">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10138314" w14:textId="77777777" w:rsidR="00CF5712" w:rsidRPr="00FC6043" w:rsidRDefault="00CF5712" w:rsidP="005C45B6">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The QAP states that “amounts” (plural) must reach 5%. Therefore, the expenses paid can be cumulative. For example, if three QBs are each paid 2% of total construction hard costs each, the 6% cumulative amount would meet the minimum 5% requirement in the QAP.  </w:t>
            </w:r>
          </w:p>
        </w:tc>
      </w:tr>
      <w:tr w:rsidR="00CF5712" w:rsidRPr="00FC6043" w14:paraId="4BD86687" w14:textId="77777777" w:rsidTr="1995616E">
        <w:trPr>
          <w:jc w:val="center"/>
        </w:trPr>
        <w:tc>
          <w:tcPr>
            <w:tcW w:w="2157" w:type="dxa"/>
            <w:shd w:val="clear" w:color="auto" w:fill="auto"/>
            <w:tcMar>
              <w:top w:w="72" w:type="dxa"/>
              <w:left w:w="115" w:type="dxa"/>
              <w:bottom w:w="72" w:type="dxa"/>
              <w:right w:w="115" w:type="dxa"/>
            </w:tcMar>
            <w:vAlign w:val="center"/>
          </w:tcPr>
          <w:p w14:paraId="0A9395B4"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4/27/22</w:t>
            </w:r>
          </w:p>
        </w:tc>
        <w:tc>
          <w:tcPr>
            <w:tcW w:w="2198" w:type="dxa"/>
            <w:shd w:val="clear" w:color="auto" w:fill="auto"/>
            <w:tcMar>
              <w:top w:w="72" w:type="dxa"/>
              <w:left w:w="115" w:type="dxa"/>
              <w:bottom w:w="72" w:type="dxa"/>
              <w:right w:w="115" w:type="dxa"/>
            </w:tcMar>
            <w:vAlign w:val="center"/>
          </w:tcPr>
          <w:p w14:paraId="5AE2DD13" w14:textId="77777777" w:rsidR="00CF5712" w:rsidRPr="00FC6043" w:rsidRDefault="00CF5712" w:rsidP="005C45B6">
            <w:pPr>
              <w:rPr>
                <w:rFonts w:ascii="Times New Roman" w:hAnsi="Times New Roman" w:cs="Times New Roman"/>
                <w:sz w:val="20"/>
                <w:szCs w:val="20"/>
              </w:rPr>
            </w:pPr>
            <w:r w:rsidRPr="00FC6043">
              <w:rPr>
                <w:rFonts w:ascii="Times New Roman" w:hAnsi="Times New Roman" w:cs="Times New Roman"/>
                <w:sz w:val="20"/>
                <w:szCs w:val="20"/>
              </w:rPr>
              <w:t>3.17</w:t>
            </w:r>
          </w:p>
          <w:p w14:paraId="4C481511" w14:textId="77777777" w:rsidR="00CF5712" w:rsidRPr="00FC6043" w:rsidRDefault="00CF5712" w:rsidP="005C45B6">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045D0DFD" w14:textId="77777777" w:rsidR="00CF5712" w:rsidRPr="00FC6043" w:rsidRDefault="00CF5712" w:rsidP="005C45B6">
            <w:pPr>
              <w:rPr>
                <w:rFonts w:ascii="Times New Roman" w:hAnsi="Times New Roman" w:cs="Times New Roman"/>
                <w:sz w:val="20"/>
                <w:szCs w:val="20"/>
              </w:rPr>
            </w:pPr>
            <w:r w:rsidRPr="00FC6043">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00EE4A1A" w14:textId="77777777" w:rsidR="00CF5712" w:rsidRPr="00FC6043" w:rsidRDefault="00CF5712" w:rsidP="005C45B6">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Q22_0425_15 </w:t>
            </w:r>
          </w:p>
          <w:p w14:paraId="509D7AD8" w14:textId="77777777" w:rsidR="00CF5712" w:rsidRPr="00FC6043" w:rsidRDefault="00CF5712" w:rsidP="005C45B6">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The QAP states under </w:t>
            </w:r>
            <w:r w:rsidRPr="00FC6043">
              <w:rPr>
                <w:rFonts w:ascii="Times New Roman" w:eastAsia="Times New Roman" w:hAnsi="Times New Roman" w:cs="Times New Roman"/>
                <w:b/>
                <w:bCs/>
                <w:sz w:val="20"/>
                <w:szCs w:val="20"/>
              </w:rPr>
              <w:t>(Scoring Criteria) Minority- and Women-Owned Business Engagement</w:t>
            </w:r>
            <w:r w:rsidRPr="00FC6043">
              <w:rPr>
                <w:rFonts w:ascii="Times New Roman" w:eastAsia="Times New Roman" w:hAnsi="Times New Roman" w:cs="Times New Roman"/>
                <w:sz w:val="20"/>
                <w:szCs w:val="20"/>
              </w:rPr>
              <w:t xml:space="preserve">, subsection </w:t>
            </w:r>
            <w:r w:rsidRPr="00FC6043">
              <w:rPr>
                <w:rFonts w:ascii="Times New Roman" w:eastAsia="Times New Roman" w:hAnsi="Times New Roman" w:cs="Times New Roman"/>
                <w:b/>
                <w:bCs/>
                <w:sz w:val="20"/>
                <w:szCs w:val="20"/>
              </w:rPr>
              <w:t>A. Engagement Commitment and Reporting</w:t>
            </w:r>
            <w:r w:rsidRPr="00FC6043">
              <w:rPr>
                <w:rFonts w:ascii="Times New Roman" w:eastAsia="Times New Roman" w:hAnsi="Times New Roman" w:cs="Times New Roman"/>
                <w:sz w:val="20"/>
                <w:szCs w:val="20"/>
              </w:rPr>
              <w:t xml:space="preserve"> that owners can “Engage QBs in the development </w:t>
            </w:r>
            <w:r w:rsidRPr="00FC6043">
              <w:rPr>
                <w:rFonts w:ascii="Times New Roman" w:eastAsia="Times New Roman" w:hAnsi="Times New Roman" w:cs="Times New Roman"/>
                <w:sz w:val="20"/>
                <w:szCs w:val="20"/>
                <w:u w:val="single"/>
              </w:rPr>
              <w:t>or operation</w:t>
            </w:r>
            <w:r w:rsidRPr="00FC6043">
              <w:rPr>
                <w:rFonts w:ascii="Times New Roman" w:eastAsia="Times New Roman" w:hAnsi="Times New Roman" w:cs="Times New Roman"/>
                <w:sz w:val="20"/>
                <w:szCs w:val="20"/>
              </w:rPr>
              <w:t xml:space="preserve"> of the proposed property… as certified by the Independent Auditor Report in the Final Allocation Application.” </w:t>
            </w:r>
          </w:p>
          <w:p w14:paraId="447EA189" w14:textId="77777777" w:rsidR="00CF5712" w:rsidRPr="00FC6043" w:rsidRDefault="00CF5712" w:rsidP="005C45B6">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4907EDBE" w14:textId="77777777" w:rsidR="00CF5712" w:rsidRPr="00FC6043" w:rsidRDefault="00CF5712" w:rsidP="005C45B6">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Operational expenses will not be included in the baseline independent auditor report, since it is not a development cost. Are contracts to QB management companies for operational expenses eligible under this section?  </w:t>
            </w:r>
          </w:p>
          <w:p w14:paraId="50387E38" w14:textId="77777777" w:rsidR="00CF5712" w:rsidRPr="00FC6043" w:rsidRDefault="00CF5712" w:rsidP="005C45B6">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224F0F46" w14:textId="77777777" w:rsidR="00CF5712" w:rsidRPr="00FC6043" w:rsidRDefault="00CF5712" w:rsidP="005C45B6">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4E09BD9B" w14:textId="77777777" w:rsidR="00CF5712" w:rsidRPr="00FC6043" w:rsidRDefault="00CF5712" w:rsidP="005C45B6">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For any expense that is allowable under this section but not by default included in the baseline independent auditor report included with the Final Allocation Application for 8609s, applicants can have the expense verified by an independent auditor and include that evidence in the Final Allocation Application. Such expenses to management companies are eligible.  </w:t>
            </w:r>
          </w:p>
          <w:p w14:paraId="66BBC098" w14:textId="77777777" w:rsidR="00CF5712" w:rsidRPr="00FC6043" w:rsidRDefault="00CF5712" w:rsidP="00304B2F">
            <w:pPr>
              <w:textAlignment w:val="baseline"/>
              <w:rPr>
                <w:rFonts w:ascii="Times New Roman" w:eastAsia="Times New Roman" w:hAnsi="Times New Roman" w:cs="Times New Roman"/>
                <w:b/>
                <w:bCs/>
                <w:sz w:val="20"/>
                <w:szCs w:val="20"/>
              </w:rPr>
            </w:pPr>
          </w:p>
        </w:tc>
      </w:tr>
      <w:tr w:rsidR="00CF5712" w:rsidRPr="00FC6043" w14:paraId="1BDBB37B" w14:textId="77777777" w:rsidTr="1995616E">
        <w:trPr>
          <w:jc w:val="center"/>
        </w:trPr>
        <w:tc>
          <w:tcPr>
            <w:tcW w:w="2157" w:type="dxa"/>
            <w:shd w:val="clear" w:color="auto" w:fill="auto"/>
            <w:tcMar>
              <w:top w:w="72" w:type="dxa"/>
              <w:left w:w="115" w:type="dxa"/>
              <w:bottom w:w="72" w:type="dxa"/>
              <w:right w:w="115" w:type="dxa"/>
            </w:tcMar>
            <w:vAlign w:val="center"/>
          </w:tcPr>
          <w:p w14:paraId="47E224AE"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4/27/22</w:t>
            </w:r>
          </w:p>
        </w:tc>
        <w:tc>
          <w:tcPr>
            <w:tcW w:w="2198" w:type="dxa"/>
            <w:shd w:val="clear" w:color="auto" w:fill="auto"/>
            <w:tcMar>
              <w:top w:w="72" w:type="dxa"/>
              <w:left w:w="115" w:type="dxa"/>
              <w:bottom w:w="72" w:type="dxa"/>
              <w:right w:w="115" w:type="dxa"/>
            </w:tcMar>
            <w:vAlign w:val="center"/>
          </w:tcPr>
          <w:p w14:paraId="49A606AB"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3.18</w:t>
            </w:r>
          </w:p>
          <w:p w14:paraId="015AB7B3"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1045FEE2"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Enriched Property Services</w:t>
            </w:r>
          </w:p>
        </w:tc>
        <w:tc>
          <w:tcPr>
            <w:tcW w:w="9590" w:type="dxa"/>
            <w:shd w:val="clear" w:color="auto" w:fill="auto"/>
            <w:tcMar>
              <w:top w:w="72" w:type="dxa"/>
              <w:left w:w="115" w:type="dxa"/>
              <w:bottom w:w="72" w:type="dxa"/>
              <w:right w:w="115" w:type="dxa"/>
            </w:tcMar>
            <w:vAlign w:val="center"/>
          </w:tcPr>
          <w:p w14:paraId="684FE810"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Q22_0303_03 </w:t>
            </w:r>
          </w:p>
          <w:p w14:paraId="5C86897C"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Regarding Enriched Property Services - B. 3rd-Party Contractor: are there any requirements for the scope of services or how often they are provided (weekly/monthly/annually)? </w:t>
            </w:r>
          </w:p>
          <w:p w14:paraId="30555023"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53F00C61"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3B17D1E3"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The scope, cost, and frequency will all vary based on the provider and property circumstances. The intent of the 3</w:t>
            </w:r>
            <w:r w:rsidRPr="00FC6043">
              <w:rPr>
                <w:rFonts w:ascii="Times New Roman" w:eastAsia="Times New Roman" w:hAnsi="Times New Roman" w:cs="Times New Roman"/>
                <w:sz w:val="20"/>
                <w:szCs w:val="20"/>
                <w:vertAlign w:val="superscript"/>
              </w:rPr>
              <w:t>rd</w:t>
            </w:r>
            <w:r w:rsidRPr="00FC6043">
              <w:rPr>
                <w:rFonts w:ascii="Times New Roman" w:eastAsia="Times New Roman" w:hAnsi="Times New Roman" w:cs="Times New Roman"/>
                <w:sz w:val="20"/>
                <w:szCs w:val="20"/>
              </w:rPr>
              <w:t xml:space="preserve"> party contracting option is to incentivize financial and logistical cooperation with certified service coordinators who will be better positioned to assess what is appropriate at that time, rather than outlining specific minimum requirements.  </w:t>
            </w:r>
          </w:p>
        </w:tc>
      </w:tr>
      <w:tr w:rsidR="00CF5712" w:rsidRPr="00FC6043" w14:paraId="2F63A267" w14:textId="77777777" w:rsidTr="1995616E">
        <w:trPr>
          <w:jc w:val="center"/>
        </w:trPr>
        <w:tc>
          <w:tcPr>
            <w:tcW w:w="2157" w:type="dxa"/>
            <w:shd w:val="clear" w:color="auto" w:fill="auto"/>
            <w:tcMar>
              <w:top w:w="72" w:type="dxa"/>
              <w:left w:w="115" w:type="dxa"/>
              <w:bottom w:w="72" w:type="dxa"/>
              <w:right w:w="115" w:type="dxa"/>
            </w:tcMar>
            <w:vAlign w:val="center"/>
          </w:tcPr>
          <w:p w14:paraId="56812A22"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4/27/22</w:t>
            </w:r>
          </w:p>
        </w:tc>
        <w:tc>
          <w:tcPr>
            <w:tcW w:w="2198" w:type="dxa"/>
            <w:shd w:val="clear" w:color="auto" w:fill="auto"/>
            <w:tcMar>
              <w:top w:w="72" w:type="dxa"/>
              <w:left w:w="115" w:type="dxa"/>
              <w:bottom w:w="72" w:type="dxa"/>
              <w:right w:w="115" w:type="dxa"/>
            </w:tcMar>
            <w:vAlign w:val="center"/>
          </w:tcPr>
          <w:p w14:paraId="343A39E3"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3.18</w:t>
            </w:r>
          </w:p>
          <w:p w14:paraId="38CB83A5"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72862409"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Enriched Property Services</w:t>
            </w:r>
          </w:p>
        </w:tc>
        <w:tc>
          <w:tcPr>
            <w:tcW w:w="9590" w:type="dxa"/>
            <w:shd w:val="clear" w:color="auto" w:fill="auto"/>
            <w:tcMar>
              <w:top w:w="72" w:type="dxa"/>
              <w:left w:w="115" w:type="dxa"/>
              <w:bottom w:w="72" w:type="dxa"/>
              <w:right w:w="115" w:type="dxa"/>
            </w:tcMar>
            <w:vAlign w:val="center"/>
          </w:tcPr>
          <w:p w14:paraId="1F2157F8"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Q22_0412_03 </w:t>
            </w:r>
          </w:p>
          <w:p w14:paraId="5D3891BE"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This question concerns CORES certification. The QAP reads that 2 points are awarded if the agency is certified, with the required documentation is proof of CORES certification. However, in the QAP Workshop, QAP Manager breakout session (https://www.youtube.com/watch?v=C8ONEk_afYw) DCA stated at 42:45  that "it is merely committing to accept". Please clarify.  </w:t>
            </w:r>
          </w:p>
          <w:p w14:paraId="5E3C1F42"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4387FCC5"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52F8EA95"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Enriched Property Services has two options for providing resident services at the proposed development. Under subsection</w:t>
            </w:r>
            <w:r w:rsidRPr="00FC6043">
              <w:rPr>
                <w:rFonts w:ascii="Times New Roman" w:eastAsia="Times New Roman" w:hAnsi="Times New Roman" w:cs="Times New Roman"/>
                <w:b/>
                <w:bCs/>
                <w:sz w:val="20"/>
                <w:szCs w:val="20"/>
              </w:rPr>
              <w:t xml:space="preserve"> A. Owner-provided Services</w:t>
            </w:r>
            <w:r w:rsidRPr="00FC6043">
              <w:rPr>
                <w:rFonts w:ascii="Times New Roman" w:eastAsia="Times New Roman" w:hAnsi="Times New Roman" w:cs="Times New Roman"/>
                <w:sz w:val="20"/>
                <w:szCs w:val="20"/>
              </w:rPr>
              <w:t>, resident services are to be provided by an entity in the General Partnership. Under subsection</w:t>
            </w:r>
            <w:r w:rsidRPr="00FC6043">
              <w:rPr>
                <w:rFonts w:ascii="Times New Roman" w:eastAsia="Times New Roman" w:hAnsi="Times New Roman" w:cs="Times New Roman"/>
                <w:b/>
                <w:bCs/>
                <w:sz w:val="20"/>
                <w:szCs w:val="20"/>
              </w:rPr>
              <w:t xml:space="preserve"> B. 3</w:t>
            </w:r>
            <w:r w:rsidRPr="00FC6043">
              <w:rPr>
                <w:rFonts w:ascii="Times New Roman" w:eastAsia="Times New Roman" w:hAnsi="Times New Roman" w:cs="Times New Roman"/>
                <w:b/>
                <w:bCs/>
                <w:sz w:val="20"/>
                <w:szCs w:val="20"/>
                <w:vertAlign w:val="superscript"/>
              </w:rPr>
              <w:t>rd</w:t>
            </w:r>
            <w:r w:rsidRPr="00FC6043">
              <w:rPr>
                <w:rFonts w:ascii="Times New Roman" w:eastAsia="Times New Roman" w:hAnsi="Times New Roman" w:cs="Times New Roman"/>
                <w:b/>
                <w:bCs/>
                <w:sz w:val="20"/>
                <w:szCs w:val="20"/>
              </w:rPr>
              <w:t xml:space="preserve"> Party Contractor</w:t>
            </w:r>
            <w:r w:rsidRPr="00FC6043">
              <w:rPr>
                <w:rFonts w:ascii="Times New Roman" w:eastAsia="Times New Roman" w:hAnsi="Times New Roman" w:cs="Times New Roman"/>
                <w:sz w:val="20"/>
                <w:szCs w:val="20"/>
              </w:rPr>
              <w:t>, resident services are to be provided by a 3</w:t>
            </w:r>
            <w:r w:rsidRPr="00FC6043">
              <w:rPr>
                <w:rFonts w:ascii="Times New Roman" w:eastAsia="Times New Roman" w:hAnsi="Times New Roman" w:cs="Times New Roman"/>
                <w:sz w:val="20"/>
                <w:szCs w:val="20"/>
                <w:vertAlign w:val="superscript"/>
              </w:rPr>
              <w:t>rd</w:t>
            </w:r>
            <w:r w:rsidRPr="00FC6043">
              <w:rPr>
                <w:rFonts w:ascii="Times New Roman" w:eastAsia="Times New Roman" w:hAnsi="Times New Roman" w:cs="Times New Roman"/>
                <w:sz w:val="20"/>
                <w:szCs w:val="20"/>
              </w:rPr>
              <w:t xml:space="preserve"> party entity. </w:t>
            </w:r>
          </w:p>
          <w:p w14:paraId="324C27E0"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2EA29CBC" w14:textId="77777777" w:rsidR="00CF5712" w:rsidRPr="00FC6043" w:rsidRDefault="00CF5712" w:rsidP="00304B2F">
            <w:pPr>
              <w:textAlignment w:val="baseline"/>
              <w:rPr>
                <w:rStyle w:val="normaltextrun"/>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The “committing to accept” comment from the QAP Workshop refers only to the 3</w:t>
            </w:r>
            <w:r w:rsidRPr="00FC6043">
              <w:rPr>
                <w:rFonts w:ascii="Times New Roman" w:eastAsia="Times New Roman" w:hAnsi="Times New Roman" w:cs="Times New Roman"/>
                <w:sz w:val="20"/>
                <w:szCs w:val="20"/>
                <w:vertAlign w:val="superscript"/>
              </w:rPr>
              <w:t>rd</w:t>
            </w:r>
            <w:r w:rsidRPr="00FC6043">
              <w:rPr>
                <w:rFonts w:ascii="Times New Roman" w:eastAsia="Times New Roman" w:hAnsi="Times New Roman" w:cs="Times New Roman"/>
                <w:sz w:val="20"/>
                <w:szCs w:val="20"/>
              </w:rPr>
              <w:t xml:space="preserve"> Party Contracting option, and for this option there is no documentation requirement. The required documentation referenced in this question (CORES certification) only applies to the Owner-provided Services option.  </w:t>
            </w:r>
          </w:p>
        </w:tc>
      </w:tr>
      <w:tr w:rsidR="00CF5712" w:rsidRPr="00FC6043" w14:paraId="2D943D9E" w14:textId="77777777" w:rsidTr="1995616E">
        <w:trPr>
          <w:jc w:val="center"/>
        </w:trPr>
        <w:tc>
          <w:tcPr>
            <w:tcW w:w="2157" w:type="dxa"/>
            <w:shd w:val="clear" w:color="auto" w:fill="auto"/>
            <w:tcMar>
              <w:top w:w="72" w:type="dxa"/>
              <w:left w:w="115" w:type="dxa"/>
              <w:bottom w:w="72" w:type="dxa"/>
              <w:right w:w="115" w:type="dxa"/>
            </w:tcMar>
            <w:vAlign w:val="center"/>
          </w:tcPr>
          <w:p w14:paraId="1C5A158C"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4/22/22</w:t>
            </w:r>
          </w:p>
        </w:tc>
        <w:tc>
          <w:tcPr>
            <w:tcW w:w="2198" w:type="dxa"/>
            <w:shd w:val="clear" w:color="auto" w:fill="auto"/>
            <w:tcMar>
              <w:top w:w="72" w:type="dxa"/>
              <w:left w:w="115" w:type="dxa"/>
              <w:bottom w:w="72" w:type="dxa"/>
              <w:right w:w="115" w:type="dxa"/>
            </w:tcMar>
            <w:vAlign w:val="center"/>
          </w:tcPr>
          <w:p w14:paraId="46F96451"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1.16</w:t>
            </w:r>
          </w:p>
          <w:p w14:paraId="688A43B3"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Core Plan;</w:t>
            </w:r>
          </w:p>
          <w:p w14:paraId="1B5426C9"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Evaluation of 9% Tax Credit Competitive Applications</w:t>
            </w:r>
          </w:p>
        </w:tc>
        <w:tc>
          <w:tcPr>
            <w:tcW w:w="9590" w:type="dxa"/>
            <w:shd w:val="clear" w:color="auto" w:fill="auto"/>
            <w:tcMar>
              <w:top w:w="72" w:type="dxa"/>
              <w:left w:w="115" w:type="dxa"/>
              <w:bottom w:w="72" w:type="dxa"/>
              <w:right w:w="115" w:type="dxa"/>
            </w:tcMar>
            <w:vAlign w:val="center"/>
          </w:tcPr>
          <w:p w14:paraId="0660B10F"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Q22_0406_01</w:t>
            </w:r>
            <w:r w:rsidRPr="00FC6043">
              <w:rPr>
                <w:rStyle w:val="eop"/>
                <w:sz w:val="20"/>
                <w:szCs w:val="20"/>
              </w:rPr>
              <w:t> </w:t>
            </w:r>
            <w:r w:rsidRPr="00FC6043">
              <w:rPr>
                <w:rStyle w:val="eop"/>
                <w:sz w:val="20"/>
                <w:szCs w:val="20"/>
              </w:rPr>
              <w:br/>
            </w:r>
          </w:p>
          <w:p w14:paraId="46753D3A" w14:textId="77777777" w:rsidR="00CF5712" w:rsidRPr="00FC6043" w:rsidRDefault="00CF5712" w:rsidP="00304B2F">
            <w:pPr>
              <w:pStyle w:val="paragraph"/>
              <w:numPr>
                <w:ilvl w:val="0"/>
                <w:numId w:val="41"/>
              </w:numPr>
              <w:spacing w:before="0" w:beforeAutospacing="0" w:after="0" w:afterAutospacing="0"/>
              <w:ind w:left="1080" w:firstLine="0"/>
              <w:textAlignment w:val="baseline"/>
              <w:rPr>
                <w:sz w:val="20"/>
                <w:szCs w:val="20"/>
              </w:rPr>
            </w:pPr>
            <w:r w:rsidRPr="00FC6043">
              <w:rPr>
                <w:rStyle w:val="normaltextrun"/>
                <w:sz w:val="20"/>
                <w:szCs w:val="20"/>
              </w:rPr>
              <w:t>The QAP allows that a developer may submit two applications. Can the applications submitted be for Phase I and Phase II of a new construction project? In this way, the developer can more efficiently construct the project and infrastructure resulting in cost savings. Is this acceptable to submit two separate applications for two phases on one site?</w:t>
            </w:r>
            <w:r w:rsidRPr="00FC6043">
              <w:rPr>
                <w:rStyle w:val="scxw124788065"/>
                <w:sz w:val="20"/>
                <w:szCs w:val="20"/>
              </w:rPr>
              <w:t> </w:t>
            </w:r>
            <w:r w:rsidRPr="00FC6043">
              <w:rPr>
                <w:sz w:val="20"/>
                <w:szCs w:val="20"/>
              </w:rPr>
              <w:br/>
            </w:r>
            <w:r w:rsidRPr="00FC6043">
              <w:rPr>
                <w:rStyle w:val="eop"/>
                <w:sz w:val="20"/>
                <w:szCs w:val="20"/>
              </w:rPr>
              <w:t> </w:t>
            </w:r>
          </w:p>
          <w:p w14:paraId="1ABABD6E" w14:textId="77777777" w:rsidR="00CF5712" w:rsidRPr="00FC6043" w:rsidRDefault="00CF5712" w:rsidP="00304B2F">
            <w:pPr>
              <w:pStyle w:val="paragraph"/>
              <w:numPr>
                <w:ilvl w:val="0"/>
                <w:numId w:val="42"/>
              </w:numPr>
              <w:spacing w:before="0" w:beforeAutospacing="0" w:after="0" w:afterAutospacing="0"/>
              <w:ind w:left="1080" w:firstLine="0"/>
              <w:textAlignment w:val="baseline"/>
              <w:rPr>
                <w:sz w:val="20"/>
                <w:szCs w:val="20"/>
              </w:rPr>
            </w:pPr>
            <w:r w:rsidRPr="00FC6043">
              <w:rPr>
                <w:rStyle w:val="normaltextrun"/>
                <w:sz w:val="20"/>
                <w:szCs w:val="20"/>
              </w:rPr>
              <w:t xml:space="preserve">Developers are limited to two applications to be selected for funding in any given year. Is it possible to submit two applications within the requisite allocation limitation </w:t>
            </w:r>
            <w:r w:rsidRPr="00FC6043">
              <w:rPr>
                <w:rStyle w:val="normaltextrun"/>
                <w:b/>
                <w:bCs/>
                <w:sz w:val="20"/>
                <w:szCs w:val="20"/>
              </w:rPr>
              <w:t>for one site</w:t>
            </w:r>
            <w:r w:rsidRPr="00FC6043">
              <w:rPr>
                <w:rStyle w:val="normaltextrun"/>
                <w:sz w:val="20"/>
                <w:szCs w:val="20"/>
              </w:rPr>
              <w:t xml:space="preserve"> thereby allowing the funding of an </w:t>
            </w:r>
            <w:r w:rsidRPr="00FC6043">
              <w:rPr>
                <w:rStyle w:val="normaltextrun"/>
                <w:b/>
                <w:bCs/>
                <w:sz w:val="20"/>
                <w:szCs w:val="20"/>
              </w:rPr>
              <w:t>entire development</w:t>
            </w:r>
            <w:r w:rsidRPr="00FC6043">
              <w:rPr>
                <w:rStyle w:val="normaltextrun"/>
                <w:sz w:val="20"/>
                <w:szCs w:val="20"/>
              </w:rPr>
              <w:t xml:space="preserve"> in one year? </w:t>
            </w:r>
            <w:r w:rsidRPr="00FC6043">
              <w:rPr>
                <w:rStyle w:val="eop"/>
                <w:sz w:val="20"/>
                <w:szCs w:val="20"/>
              </w:rPr>
              <w:t> </w:t>
            </w:r>
          </w:p>
          <w:p w14:paraId="0901D2E5"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26045BEE"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104790E8"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 xml:space="preserve">For the first question, the QAP states in </w:t>
            </w:r>
            <w:r w:rsidRPr="00FC6043">
              <w:rPr>
                <w:rStyle w:val="normaltextrun"/>
                <w:b/>
                <w:bCs/>
                <w:sz w:val="20"/>
                <w:szCs w:val="20"/>
              </w:rPr>
              <w:t xml:space="preserve">(Core Plan) Evaluation of 9% Tax Credit Competitive Applications, </w:t>
            </w:r>
            <w:r w:rsidRPr="00FC6043">
              <w:rPr>
                <w:rStyle w:val="normaltextrun"/>
                <w:sz w:val="20"/>
                <w:szCs w:val="20"/>
              </w:rPr>
              <w:t>subsection</w:t>
            </w:r>
            <w:r w:rsidRPr="00FC6043">
              <w:rPr>
                <w:rStyle w:val="normaltextrun"/>
                <w:b/>
                <w:bCs/>
                <w:sz w:val="20"/>
                <w:szCs w:val="20"/>
              </w:rPr>
              <w:t xml:space="preserve"> D. Selection, 3. Geographic Allocation Limitations for Projects selected in the New Supply </w:t>
            </w:r>
            <w:r w:rsidRPr="00FC6043">
              <w:rPr>
                <w:rStyle w:val="normaltextrun"/>
                <w:b/>
                <w:bCs/>
                <w:sz w:val="20"/>
                <w:szCs w:val="20"/>
              </w:rPr>
              <w:lastRenderedPageBreak/>
              <w:t>Competitive Process:</w:t>
            </w:r>
            <w:r w:rsidRPr="00FC6043">
              <w:rPr>
                <w:rStyle w:val="normaltextrun"/>
                <w:sz w:val="20"/>
                <w:szCs w:val="20"/>
              </w:rPr>
              <w:t xml:space="preserve"> “DCA will not select more than one phase of a multi-phase development.”</w:t>
            </w:r>
            <w:r w:rsidRPr="00FC6043">
              <w:rPr>
                <w:rStyle w:val="scxw124788065"/>
                <w:sz w:val="20"/>
                <w:szCs w:val="20"/>
              </w:rPr>
              <w:t> </w:t>
            </w:r>
            <w:r w:rsidRPr="00FC6043">
              <w:rPr>
                <w:sz w:val="20"/>
                <w:szCs w:val="20"/>
              </w:rPr>
              <w:br/>
            </w:r>
            <w:r w:rsidRPr="00FC6043">
              <w:rPr>
                <w:rStyle w:val="eop"/>
                <w:sz w:val="20"/>
                <w:szCs w:val="20"/>
              </w:rPr>
              <w:t> </w:t>
            </w:r>
          </w:p>
          <w:p w14:paraId="248EC6C9"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The second question is functionally the same, and so the answer is also no, this is not allowed. Funding two applications that represent development activity on “one site” to “[allow] the funding of an entire development in one year” is selecting “more than one phase of a multi-phase development.” </w:t>
            </w:r>
            <w:r w:rsidRPr="00FC6043">
              <w:rPr>
                <w:rStyle w:val="eop"/>
                <w:sz w:val="20"/>
                <w:szCs w:val="20"/>
              </w:rPr>
              <w:t> </w:t>
            </w:r>
          </w:p>
          <w:p w14:paraId="146CD0D5" w14:textId="77777777" w:rsidR="00CF5712" w:rsidRPr="00FC6043" w:rsidRDefault="00CF5712" w:rsidP="00304B2F">
            <w:pPr>
              <w:textAlignment w:val="baseline"/>
              <w:rPr>
                <w:rFonts w:ascii="Times New Roman" w:eastAsia="Times New Roman" w:hAnsi="Times New Roman" w:cs="Times New Roman"/>
                <w:b/>
                <w:bCs/>
                <w:sz w:val="20"/>
                <w:szCs w:val="20"/>
              </w:rPr>
            </w:pPr>
          </w:p>
        </w:tc>
      </w:tr>
      <w:tr w:rsidR="00CF5712" w:rsidRPr="00FC6043" w14:paraId="6867E11B" w14:textId="77777777" w:rsidTr="1995616E">
        <w:trPr>
          <w:jc w:val="center"/>
        </w:trPr>
        <w:tc>
          <w:tcPr>
            <w:tcW w:w="2157" w:type="dxa"/>
            <w:shd w:val="clear" w:color="auto" w:fill="auto"/>
            <w:tcMar>
              <w:top w:w="72" w:type="dxa"/>
              <w:left w:w="115" w:type="dxa"/>
              <w:bottom w:w="72" w:type="dxa"/>
              <w:right w:w="115" w:type="dxa"/>
            </w:tcMar>
            <w:vAlign w:val="center"/>
          </w:tcPr>
          <w:p w14:paraId="2B0C9FC1"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4/22/22</w:t>
            </w:r>
          </w:p>
        </w:tc>
        <w:tc>
          <w:tcPr>
            <w:tcW w:w="2198" w:type="dxa"/>
            <w:shd w:val="clear" w:color="auto" w:fill="auto"/>
            <w:tcMar>
              <w:top w:w="72" w:type="dxa"/>
              <w:left w:w="115" w:type="dxa"/>
              <w:bottom w:w="72" w:type="dxa"/>
              <w:right w:w="115" w:type="dxa"/>
            </w:tcMar>
            <w:vAlign w:val="center"/>
          </w:tcPr>
          <w:p w14:paraId="1E598249"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3.17</w:t>
            </w:r>
          </w:p>
          <w:p w14:paraId="6AE7F5D2"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5FCE682E"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0C7FA653"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Q22_0408_01 </w:t>
            </w:r>
          </w:p>
          <w:p w14:paraId="181C6A10"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In question Q22_0216_08, DCA states that the QAP does not disallow subcontractors when taking points under Section XVII of the scoring section.  We are glad to hear this.  The NAICS code for subcontractors typically used in multifamily construction is 238.  This code is not listed on DCA's list of codes that will be considered to accept certification.  We would like DCA to verify that NAICS code 238, defined as "performing specialized construction work on multifamily housing and other residential buildings, generally on a subcontract basis" is a code that will qualify an applicant to claim points in this section.   </w:t>
            </w:r>
          </w:p>
          <w:p w14:paraId="151DAC3A"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2E64DA54"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Some examples of NAICS codes that pertain to subs in the LIHTC industry are: 238110 Poured Concrete Foundation Contractors; 238130 Framing Contractors; 238140 Masonry Contractors; 238150 Glass and Glazing Contractors; 238160 Roofing Contractors; 238170 Siding Contractors; 238220 Plumbing, Heating and Air-Conditioning Contractors. None of these codes are currently listed in DCA's Minority-and Women-Owned Business Engagement Policy, therefore, we want to make sure we understand what is allowed. </w:t>
            </w:r>
          </w:p>
          <w:p w14:paraId="6E189743"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406FE1DF"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1F38FDA8"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The </w:t>
            </w:r>
            <w:r w:rsidRPr="00FC6043">
              <w:rPr>
                <w:rFonts w:ascii="Times New Roman" w:eastAsia="Times New Roman" w:hAnsi="Times New Roman" w:cs="Times New Roman"/>
                <w:i/>
                <w:iCs/>
                <w:sz w:val="20"/>
                <w:szCs w:val="20"/>
              </w:rPr>
              <w:t>DCA Minority- and Women-Owned Business Engagement Policy</w:t>
            </w:r>
            <w:r w:rsidRPr="00FC6043">
              <w:rPr>
                <w:rFonts w:ascii="Times New Roman" w:eastAsia="Times New Roman" w:hAnsi="Times New Roman" w:cs="Times New Roman"/>
                <w:sz w:val="20"/>
                <w:szCs w:val="20"/>
              </w:rPr>
              <w:t xml:space="preserve"> has been updated to include businesses with NAICS codes which fall under 238 – the Specialty Trade Contractors subsector. The updated policy has been uploaded to the Scoring Documents and Data page of the DCA website (</w:t>
            </w:r>
            <w:hyperlink r:id="rId28" w:tgtFrame="_blank" w:history="1">
              <w:r w:rsidRPr="00FC6043">
                <w:rPr>
                  <w:rFonts w:ascii="Times New Roman" w:eastAsia="Times New Roman" w:hAnsi="Times New Roman" w:cs="Times New Roman"/>
                  <w:sz w:val="20"/>
                  <w:szCs w:val="20"/>
                  <w:u w:val="single"/>
                </w:rPr>
                <w:t>click here</w:t>
              </w:r>
            </w:hyperlink>
            <w:r w:rsidRPr="00FC6043">
              <w:rPr>
                <w:rFonts w:ascii="Times New Roman" w:eastAsia="Times New Roman" w:hAnsi="Times New Roman" w:cs="Times New Roman"/>
                <w:sz w:val="20"/>
                <w:szCs w:val="20"/>
              </w:rPr>
              <w:t>). </w:t>
            </w:r>
          </w:p>
        </w:tc>
      </w:tr>
      <w:tr w:rsidR="00CF5712" w:rsidRPr="00FC6043" w14:paraId="6B8E85D2" w14:textId="77777777" w:rsidTr="1995616E">
        <w:trPr>
          <w:jc w:val="center"/>
        </w:trPr>
        <w:tc>
          <w:tcPr>
            <w:tcW w:w="2157" w:type="dxa"/>
            <w:shd w:val="clear" w:color="auto" w:fill="auto"/>
            <w:tcMar>
              <w:top w:w="72" w:type="dxa"/>
              <w:left w:w="115" w:type="dxa"/>
              <w:bottom w:w="72" w:type="dxa"/>
              <w:right w:w="115" w:type="dxa"/>
            </w:tcMar>
            <w:vAlign w:val="center"/>
          </w:tcPr>
          <w:p w14:paraId="7433C928"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4/22/22</w:t>
            </w:r>
          </w:p>
        </w:tc>
        <w:tc>
          <w:tcPr>
            <w:tcW w:w="2198" w:type="dxa"/>
            <w:shd w:val="clear" w:color="auto" w:fill="auto"/>
            <w:tcMar>
              <w:top w:w="72" w:type="dxa"/>
              <w:left w:w="115" w:type="dxa"/>
              <w:bottom w:w="72" w:type="dxa"/>
              <w:right w:w="115" w:type="dxa"/>
            </w:tcMar>
            <w:vAlign w:val="center"/>
          </w:tcPr>
          <w:p w14:paraId="01B90982"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3.18</w:t>
            </w:r>
          </w:p>
          <w:p w14:paraId="32AE6B03"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684C2111"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Enriched Property Services</w:t>
            </w:r>
          </w:p>
        </w:tc>
        <w:tc>
          <w:tcPr>
            <w:tcW w:w="9590" w:type="dxa"/>
            <w:shd w:val="clear" w:color="auto" w:fill="auto"/>
            <w:tcMar>
              <w:top w:w="72" w:type="dxa"/>
              <w:left w:w="115" w:type="dxa"/>
              <w:bottom w:w="72" w:type="dxa"/>
              <w:right w:w="115" w:type="dxa"/>
            </w:tcMar>
            <w:vAlign w:val="center"/>
          </w:tcPr>
          <w:p w14:paraId="4B9D64E3"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xml:space="preserve">: </w:t>
            </w:r>
            <w:r w:rsidRPr="00FC6043">
              <w:rPr>
                <w:rFonts w:ascii="Times New Roman" w:hAnsi="Times New Roman" w:cs="Times New Roman"/>
                <w:b/>
                <w:bCs/>
                <w:sz w:val="20"/>
                <w:szCs w:val="20"/>
              </w:rPr>
              <w:t>Q22_0422_15</w:t>
            </w:r>
            <w:r w:rsidRPr="00FC6043">
              <w:rPr>
                <w:rFonts w:ascii="Times New Roman" w:hAnsi="Times New Roman" w:cs="Times New Roman"/>
                <w:sz w:val="20"/>
                <w:szCs w:val="20"/>
              </w:rPr>
              <w:t xml:space="preserve"> </w:t>
            </w:r>
          </w:p>
          <w:p w14:paraId="70343EE4"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For </w:t>
            </w:r>
            <w:r w:rsidRPr="00FC6043">
              <w:rPr>
                <w:rFonts w:ascii="Times New Roman" w:hAnsi="Times New Roman" w:cs="Times New Roman"/>
                <w:b/>
                <w:bCs/>
                <w:sz w:val="20"/>
                <w:szCs w:val="20"/>
              </w:rPr>
              <w:t>(Scoring Criteria) Enriched Property Services</w:t>
            </w:r>
            <w:r w:rsidRPr="00FC6043">
              <w:rPr>
                <w:rFonts w:ascii="Times New Roman" w:hAnsi="Times New Roman" w:cs="Times New Roman"/>
                <w:sz w:val="20"/>
                <w:szCs w:val="20"/>
              </w:rPr>
              <w:t>, can you please clarify how DCA expects the 3</w:t>
            </w:r>
            <w:r w:rsidRPr="00FC6043">
              <w:rPr>
                <w:rFonts w:ascii="Times New Roman" w:hAnsi="Times New Roman" w:cs="Times New Roman"/>
                <w:sz w:val="20"/>
                <w:szCs w:val="20"/>
                <w:vertAlign w:val="superscript"/>
              </w:rPr>
              <w:t>rd</w:t>
            </w:r>
            <w:r w:rsidRPr="00FC6043">
              <w:rPr>
                <w:rFonts w:ascii="Times New Roman" w:hAnsi="Times New Roman" w:cs="Times New Roman"/>
                <w:sz w:val="20"/>
                <w:szCs w:val="20"/>
              </w:rPr>
              <w:t xml:space="preserve"> Party Contracting process to play out and what it means to be compliant with this commitment? </w:t>
            </w:r>
          </w:p>
          <w:p w14:paraId="1F5D9649" w14:textId="77777777" w:rsidR="00CF5712" w:rsidRPr="00FC6043" w:rsidRDefault="00CF5712" w:rsidP="00304B2F">
            <w:pPr>
              <w:contextualSpacing/>
              <w:rPr>
                <w:rFonts w:ascii="Times New Roman" w:hAnsi="Times New Roman" w:cs="Times New Roman"/>
                <w:sz w:val="20"/>
                <w:szCs w:val="20"/>
              </w:rPr>
            </w:pPr>
          </w:p>
          <w:p w14:paraId="645B1FE5"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 xml:space="preserve">: </w:t>
            </w:r>
          </w:p>
          <w:p w14:paraId="16E388EF"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DCA has consolidated responses to related questions submitted in one Enforcement Clarifications document in Scoring Documents and Data on the DCA website (</w:t>
            </w:r>
            <w:hyperlink r:id="rId29">
              <w:r w:rsidRPr="00FC6043">
                <w:rPr>
                  <w:rStyle w:val="Hyperlink"/>
                  <w:rFonts w:ascii="Times New Roman" w:hAnsi="Times New Roman" w:cs="Times New Roman"/>
                  <w:color w:val="auto"/>
                  <w:sz w:val="20"/>
                  <w:szCs w:val="20"/>
                </w:rPr>
                <w:t>click here</w:t>
              </w:r>
            </w:hyperlink>
            <w:r w:rsidRPr="00FC6043">
              <w:rPr>
                <w:rFonts w:ascii="Times New Roman" w:hAnsi="Times New Roman" w:cs="Times New Roman"/>
                <w:sz w:val="20"/>
                <w:szCs w:val="20"/>
              </w:rPr>
              <w:t xml:space="preserve">). </w:t>
            </w:r>
          </w:p>
          <w:p w14:paraId="3208EC27" w14:textId="77777777" w:rsidR="00CF5712" w:rsidRPr="00FC6043" w:rsidRDefault="00CF5712" w:rsidP="00304B2F">
            <w:pPr>
              <w:rPr>
                <w:rFonts w:ascii="Times New Roman" w:hAnsi="Times New Roman" w:cs="Times New Roman"/>
                <w:sz w:val="20"/>
                <w:szCs w:val="20"/>
              </w:rPr>
            </w:pPr>
          </w:p>
          <w:p w14:paraId="1B5857E8" w14:textId="77777777" w:rsidR="00CF5712" w:rsidRPr="00FC6043" w:rsidRDefault="00CF5712" w:rsidP="00304B2F">
            <w:pPr>
              <w:pStyle w:val="ListParagraph"/>
              <w:numPr>
                <w:ilvl w:val="0"/>
                <w:numId w:val="3"/>
              </w:numPr>
              <w:rPr>
                <w:rFonts w:ascii="Times New Roman" w:hAnsi="Times New Roman" w:cs="Times New Roman"/>
                <w:sz w:val="20"/>
                <w:szCs w:val="20"/>
              </w:rPr>
            </w:pPr>
            <w:r w:rsidRPr="00FC6043">
              <w:rPr>
                <w:rFonts w:ascii="Times New Roman" w:hAnsi="Times New Roman" w:cs="Times New Roman"/>
                <w:sz w:val="20"/>
                <w:szCs w:val="20"/>
              </w:rPr>
              <w:t>Because this document in part introduces new detail regarding post-award policy, this document is open for public comment through Friday, April 29</w:t>
            </w:r>
            <w:r w:rsidRPr="00FC6043">
              <w:rPr>
                <w:rFonts w:ascii="Times New Roman" w:hAnsi="Times New Roman" w:cs="Times New Roman"/>
                <w:sz w:val="20"/>
                <w:szCs w:val="20"/>
                <w:vertAlign w:val="superscript"/>
              </w:rPr>
              <w:t>th</w:t>
            </w:r>
            <w:r w:rsidRPr="00FC6043">
              <w:rPr>
                <w:rFonts w:ascii="Times New Roman" w:hAnsi="Times New Roman" w:cs="Times New Roman"/>
                <w:sz w:val="20"/>
                <w:szCs w:val="20"/>
              </w:rPr>
              <w:t xml:space="preserve">, 2022. </w:t>
            </w:r>
            <w:r w:rsidRPr="00FC6043">
              <w:rPr>
                <w:rFonts w:ascii="Times New Roman" w:hAnsi="Times New Roman" w:cs="Times New Roman"/>
                <w:sz w:val="20"/>
                <w:szCs w:val="20"/>
              </w:rPr>
              <w:br/>
            </w:r>
          </w:p>
          <w:p w14:paraId="27311A8D" w14:textId="77777777" w:rsidR="00CF5712" w:rsidRPr="00FC6043" w:rsidRDefault="00CF5712" w:rsidP="00304B2F">
            <w:pPr>
              <w:pStyle w:val="ListParagraph"/>
              <w:numPr>
                <w:ilvl w:val="0"/>
                <w:numId w:val="3"/>
              </w:numPr>
              <w:rPr>
                <w:rFonts w:ascii="Times New Roman" w:hAnsi="Times New Roman" w:cs="Times New Roman"/>
                <w:sz w:val="20"/>
                <w:szCs w:val="20"/>
              </w:rPr>
            </w:pPr>
            <w:r w:rsidRPr="00FC6043">
              <w:rPr>
                <w:rFonts w:ascii="Times New Roman" w:hAnsi="Times New Roman" w:cs="Times New Roman"/>
                <w:sz w:val="20"/>
                <w:szCs w:val="20"/>
              </w:rPr>
              <w:t xml:space="preserve">Except for purposes of helping applicants decide whether to select this points option in their application, this document has no impact on application preparation for the 9% Credits Competitive Round. </w:t>
            </w:r>
          </w:p>
          <w:p w14:paraId="21D460B3" w14:textId="77777777" w:rsidR="00CF5712" w:rsidRPr="00FC6043" w:rsidRDefault="00CF5712" w:rsidP="00304B2F">
            <w:pPr>
              <w:textAlignment w:val="baseline"/>
              <w:rPr>
                <w:rFonts w:ascii="Times New Roman" w:eastAsia="Times New Roman" w:hAnsi="Times New Roman" w:cs="Times New Roman"/>
                <w:b/>
                <w:bCs/>
                <w:sz w:val="20"/>
                <w:szCs w:val="20"/>
              </w:rPr>
            </w:pPr>
          </w:p>
        </w:tc>
      </w:tr>
      <w:tr w:rsidR="00CF5712" w:rsidRPr="00FC6043" w14:paraId="1F7FC685" w14:textId="77777777" w:rsidTr="1995616E">
        <w:trPr>
          <w:jc w:val="center"/>
        </w:trPr>
        <w:tc>
          <w:tcPr>
            <w:tcW w:w="2157" w:type="dxa"/>
            <w:shd w:val="clear" w:color="auto" w:fill="auto"/>
            <w:tcMar>
              <w:top w:w="72" w:type="dxa"/>
              <w:left w:w="115" w:type="dxa"/>
              <w:bottom w:w="72" w:type="dxa"/>
              <w:right w:w="115" w:type="dxa"/>
            </w:tcMar>
            <w:vAlign w:val="center"/>
          </w:tcPr>
          <w:p w14:paraId="55B0BE7A"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4/21/22</w:t>
            </w:r>
          </w:p>
        </w:tc>
        <w:tc>
          <w:tcPr>
            <w:tcW w:w="2198" w:type="dxa"/>
            <w:shd w:val="clear" w:color="auto" w:fill="auto"/>
            <w:tcMar>
              <w:top w:w="72" w:type="dxa"/>
              <w:left w:w="115" w:type="dxa"/>
              <w:bottom w:w="72" w:type="dxa"/>
              <w:right w:w="115" w:type="dxa"/>
            </w:tcMar>
            <w:vAlign w:val="center"/>
          </w:tcPr>
          <w:p w14:paraId="78882B74"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1.05</w:t>
            </w:r>
          </w:p>
          <w:p w14:paraId="1AF7F8E1"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Core Plan;</w:t>
            </w:r>
          </w:p>
          <w:p w14:paraId="36138D68"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Geographic Pools</w:t>
            </w:r>
          </w:p>
        </w:tc>
        <w:tc>
          <w:tcPr>
            <w:tcW w:w="9590" w:type="dxa"/>
            <w:shd w:val="clear" w:color="auto" w:fill="auto"/>
            <w:tcMar>
              <w:top w:w="72" w:type="dxa"/>
              <w:left w:w="115" w:type="dxa"/>
              <w:bottom w:w="72" w:type="dxa"/>
              <w:right w:w="115" w:type="dxa"/>
            </w:tcMar>
            <w:vAlign w:val="center"/>
          </w:tcPr>
          <w:p w14:paraId="27249511"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Q22_0412_01 </w:t>
            </w:r>
          </w:p>
          <w:p w14:paraId="41776F30"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Does an existing project with Section 515 financing and project based rental assistance from USDA qualify as Rural if it is not included on the list of USDA Rural areas on the USDA website? </w:t>
            </w:r>
          </w:p>
          <w:p w14:paraId="1DF15F41"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4FDFF9C8"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5E7E5E32"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No, only properties in USDA eligible areas (outside of the Atlanta Metro pool) are in the Rural pool (see </w:t>
            </w:r>
            <w:r w:rsidRPr="00FC6043">
              <w:rPr>
                <w:rFonts w:ascii="Times New Roman" w:eastAsia="Times New Roman" w:hAnsi="Times New Roman" w:cs="Times New Roman"/>
                <w:b/>
                <w:bCs/>
                <w:sz w:val="20"/>
                <w:szCs w:val="20"/>
              </w:rPr>
              <w:t>Core Plan, Geographic Pools</w:t>
            </w:r>
            <w:r w:rsidRPr="00FC6043">
              <w:rPr>
                <w:rFonts w:ascii="Times New Roman" w:eastAsia="Times New Roman" w:hAnsi="Times New Roman" w:cs="Times New Roman"/>
                <w:sz w:val="20"/>
                <w:szCs w:val="20"/>
              </w:rPr>
              <w:t>).  </w:t>
            </w:r>
          </w:p>
          <w:p w14:paraId="30F09DA0"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19DBC776"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See question </w:t>
            </w:r>
            <w:r w:rsidRPr="00FC6043">
              <w:rPr>
                <w:rFonts w:ascii="Times New Roman" w:eastAsia="Times New Roman" w:hAnsi="Times New Roman" w:cs="Times New Roman"/>
                <w:b/>
                <w:bCs/>
                <w:sz w:val="20"/>
                <w:szCs w:val="20"/>
              </w:rPr>
              <w:t>Q0222_03</w:t>
            </w:r>
            <w:r w:rsidRPr="00FC6043">
              <w:rPr>
                <w:rFonts w:ascii="Times New Roman" w:eastAsia="Times New Roman" w:hAnsi="Times New Roman" w:cs="Times New Roman"/>
                <w:sz w:val="20"/>
                <w:szCs w:val="20"/>
              </w:rPr>
              <w:t xml:space="preserve"> posted on 3/3/22 regarding eligibility of solely assisted USDA 515 properties. </w:t>
            </w:r>
          </w:p>
        </w:tc>
      </w:tr>
      <w:tr w:rsidR="00CF5712" w:rsidRPr="00FC6043" w14:paraId="3DB93521" w14:textId="77777777" w:rsidTr="1995616E">
        <w:trPr>
          <w:jc w:val="center"/>
        </w:trPr>
        <w:tc>
          <w:tcPr>
            <w:tcW w:w="2157" w:type="dxa"/>
            <w:shd w:val="clear" w:color="auto" w:fill="auto"/>
            <w:tcMar>
              <w:top w:w="72" w:type="dxa"/>
              <w:left w:w="115" w:type="dxa"/>
              <w:bottom w:w="72" w:type="dxa"/>
              <w:right w:w="115" w:type="dxa"/>
            </w:tcMar>
            <w:vAlign w:val="center"/>
          </w:tcPr>
          <w:p w14:paraId="03EFAF31"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4/21/22</w:t>
            </w:r>
          </w:p>
        </w:tc>
        <w:tc>
          <w:tcPr>
            <w:tcW w:w="2198" w:type="dxa"/>
            <w:shd w:val="clear" w:color="auto" w:fill="auto"/>
            <w:tcMar>
              <w:top w:w="72" w:type="dxa"/>
              <w:left w:w="115" w:type="dxa"/>
              <w:bottom w:w="72" w:type="dxa"/>
              <w:right w:w="115" w:type="dxa"/>
            </w:tcMar>
            <w:vAlign w:val="center"/>
          </w:tcPr>
          <w:p w14:paraId="1D209A3C"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3.05</w:t>
            </w:r>
          </w:p>
          <w:p w14:paraId="06C9A274"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0069E787"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14:paraId="79E3E009"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 xml:space="preserve">Question: </w:t>
            </w:r>
            <w:r w:rsidRPr="00FC6043">
              <w:rPr>
                <w:rFonts w:ascii="Times New Roman" w:hAnsi="Times New Roman" w:cs="Times New Roman"/>
                <w:sz w:val="20"/>
                <w:szCs w:val="20"/>
              </w:rPr>
              <w:t>Q22_0419_04</w:t>
            </w:r>
          </w:p>
          <w:p w14:paraId="3616A9BD"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sz w:val="20"/>
                <w:szCs w:val="20"/>
              </w:rPr>
              <w:t>The QAP states: Driving or walking routes must originate from geo-coordinates of the pedestrian or vehicle site entrance and end at the geo-coordinates of the desirable amenity. The desirable form states Driving or walking routes must originate from geo-coordinates of the desirable amenity and end at the geo-coordinates of the pedestrian or vehicle site entrance. Which one of those are correct above?</w:t>
            </w:r>
          </w:p>
          <w:p w14:paraId="1E7A9240" w14:textId="77777777" w:rsidR="00CF5712" w:rsidRPr="00FC6043" w:rsidRDefault="00CF5712" w:rsidP="00304B2F">
            <w:pPr>
              <w:contextualSpacing/>
              <w:rPr>
                <w:rFonts w:ascii="Times New Roman" w:hAnsi="Times New Roman" w:cs="Times New Roman"/>
                <w:sz w:val="20"/>
                <w:szCs w:val="20"/>
              </w:rPr>
            </w:pPr>
          </w:p>
          <w:p w14:paraId="5F496BE1" w14:textId="77777777" w:rsidR="00CF5712" w:rsidRPr="00FC6043" w:rsidRDefault="00CF5712" w:rsidP="00304B2F">
            <w:pPr>
              <w:contextualSpacing/>
              <w:rPr>
                <w:rFonts w:ascii="Times New Roman" w:hAnsi="Times New Roman" w:cs="Times New Roman"/>
                <w:b/>
                <w:bCs/>
                <w:sz w:val="20"/>
                <w:szCs w:val="20"/>
              </w:rPr>
            </w:pPr>
            <w:r w:rsidRPr="00FC6043">
              <w:rPr>
                <w:rFonts w:ascii="Times New Roman" w:hAnsi="Times New Roman" w:cs="Times New Roman"/>
                <w:b/>
                <w:bCs/>
                <w:sz w:val="20"/>
                <w:szCs w:val="20"/>
              </w:rPr>
              <w:t>Answer:</w:t>
            </w:r>
          </w:p>
          <w:p w14:paraId="1EBC6D48" w14:textId="77777777" w:rsidR="00CF5712" w:rsidRPr="00FC6043" w:rsidRDefault="00CF5712" w:rsidP="00304B2F">
            <w:pPr>
              <w:contextualSpacing/>
              <w:rPr>
                <w:rFonts w:ascii="Times New Roman" w:hAnsi="Times New Roman" w:cs="Times New Roman"/>
                <w:b/>
                <w:bCs/>
                <w:sz w:val="20"/>
                <w:szCs w:val="20"/>
              </w:rPr>
            </w:pPr>
            <w:r w:rsidRPr="00FC6043">
              <w:rPr>
                <w:rFonts w:ascii="Times New Roman" w:hAnsi="Times New Roman" w:cs="Times New Roman"/>
                <w:sz w:val="20"/>
                <w:szCs w:val="20"/>
              </w:rPr>
              <w:t>The QAP language is correct- “Driving or walking routes must originate from geo-coordinates of the pedestrian or vehicle site entrance and end at the geo-coordinates of the desirable amenity”. The version of the form updated and posted to the Scoring Documents and Data page of the DCA website on 4/20/22 has been adjusted to remove this QAP language (</w:t>
            </w:r>
            <w:hyperlink r:id="rId30" w:history="1">
              <w:r w:rsidRPr="00FC6043">
                <w:rPr>
                  <w:rStyle w:val="Hyperlink"/>
                  <w:rFonts w:ascii="Times New Roman" w:hAnsi="Times New Roman" w:cs="Times New Roman"/>
                  <w:color w:val="auto"/>
                  <w:sz w:val="20"/>
                  <w:szCs w:val="20"/>
                </w:rPr>
                <w:t>click here</w:t>
              </w:r>
            </w:hyperlink>
            <w:r w:rsidRPr="00FC6043">
              <w:rPr>
                <w:rFonts w:ascii="Times New Roman" w:hAnsi="Times New Roman" w:cs="Times New Roman"/>
                <w:sz w:val="20"/>
                <w:szCs w:val="20"/>
              </w:rPr>
              <w:t xml:space="preserve">). Applicants should reference the QAP for applicable requirements. </w:t>
            </w:r>
          </w:p>
        </w:tc>
      </w:tr>
      <w:tr w:rsidR="00CF5712" w:rsidRPr="00FC6043" w14:paraId="6EDBDAC7" w14:textId="77777777" w:rsidTr="1995616E">
        <w:trPr>
          <w:jc w:val="center"/>
        </w:trPr>
        <w:tc>
          <w:tcPr>
            <w:tcW w:w="2157" w:type="dxa"/>
            <w:shd w:val="clear" w:color="auto" w:fill="auto"/>
            <w:tcMar>
              <w:top w:w="72" w:type="dxa"/>
              <w:left w:w="115" w:type="dxa"/>
              <w:bottom w:w="72" w:type="dxa"/>
              <w:right w:w="115" w:type="dxa"/>
            </w:tcMar>
            <w:vAlign w:val="center"/>
          </w:tcPr>
          <w:p w14:paraId="053801E4"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4/21/22</w:t>
            </w:r>
          </w:p>
        </w:tc>
        <w:tc>
          <w:tcPr>
            <w:tcW w:w="2198" w:type="dxa"/>
            <w:shd w:val="clear" w:color="auto" w:fill="auto"/>
            <w:tcMar>
              <w:top w:w="72" w:type="dxa"/>
              <w:left w:w="115" w:type="dxa"/>
              <w:bottom w:w="72" w:type="dxa"/>
              <w:right w:w="115" w:type="dxa"/>
            </w:tcMar>
            <w:vAlign w:val="center"/>
          </w:tcPr>
          <w:p w14:paraId="50AD4591"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3.05</w:t>
            </w:r>
          </w:p>
          <w:p w14:paraId="2252BF4B"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5B815E23"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14:paraId="0D053FE8"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Q22_0405_03 </w:t>
            </w:r>
          </w:p>
          <w:p w14:paraId="1D715CEF"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The current desirable-undesirable certification has a different distance requirement for Rural development to that stated in the 2022 QAP. Will DCA post a revised version? </w:t>
            </w:r>
          </w:p>
          <w:p w14:paraId="2106F266"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228E0807"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3DD6A745"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The Desirable/Undesirable Activities Certification has been updated and posted to the 2022 QAP – Scoring Documents and Data Overview page of the DCA website (</w:t>
            </w:r>
            <w:hyperlink r:id="rId31" w:tgtFrame="_blank" w:history="1">
              <w:r w:rsidRPr="00FC6043">
                <w:rPr>
                  <w:rFonts w:ascii="Times New Roman" w:eastAsia="Times New Roman" w:hAnsi="Times New Roman" w:cs="Times New Roman"/>
                  <w:sz w:val="20"/>
                  <w:szCs w:val="20"/>
                  <w:u w:val="single"/>
                </w:rPr>
                <w:t>click here</w:t>
              </w:r>
            </w:hyperlink>
            <w:r w:rsidRPr="00FC6043">
              <w:rPr>
                <w:rFonts w:ascii="Times New Roman" w:eastAsia="Times New Roman" w:hAnsi="Times New Roman" w:cs="Times New Roman"/>
                <w:sz w:val="20"/>
                <w:szCs w:val="20"/>
              </w:rPr>
              <w:t>). </w:t>
            </w:r>
          </w:p>
        </w:tc>
      </w:tr>
      <w:tr w:rsidR="00CF5712" w:rsidRPr="00FC6043" w14:paraId="13FD99F2" w14:textId="77777777" w:rsidTr="1995616E">
        <w:trPr>
          <w:jc w:val="center"/>
        </w:trPr>
        <w:tc>
          <w:tcPr>
            <w:tcW w:w="2157" w:type="dxa"/>
            <w:shd w:val="clear" w:color="auto" w:fill="auto"/>
            <w:tcMar>
              <w:top w:w="72" w:type="dxa"/>
              <w:left w:w="115" w:type="dxa"/>
              <w:bottom w:w="72" w:type="dxa"/>
              <w:right w:w="115" w:type="dxa"/>
            </w:tcMar>
            <w:vAlign w:val="center"/>
          </w:tcPr>
          <w:p w14:paraId="036506E6"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4/21/22</w:t>
            </w:r>
          </w:p>
        </w:tc>
        <w:tc>
          <w:tcPr>
            <w:tcW w:w="2198" w:type="dxa"/>
            <w:shd w:val="clear" w:color="auto" w:fill="auto"/>
            <w:tcMar>
              <w:top w:w="72" w:type="dxa"/>
              <w:left w:w="115" w:type="dxa"/>
              <w:bottom w:w="72" w:type="dxa"/>
              <w:right w:w="115" w:type="dxa"/>
            </w:tcMar>
            <w:vAlign w:val="center"/>
          </w:tcPr>
          <w:p w14:paraId="55C649BE"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3.06</w:t>
            </w:r>
          </w:p>
          <w:p w14:paraId="3307F3F6"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5326FA75"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Community Transportation Options </w:t>
            </w:r>
          </w:p>
        </w:tc>
        <w:tc>
          <w:tcPr>
            <w:tcW w:w="9590" w:type="dxa"/>
            <w:shd w:val="clear" w:color="auto" w:fill="auto"/>
            <w:tcMar>
              <w:top w:w="72" w:type="dxa"/>
              <w:left w:w="115" w:type="dxa"/>
              <w:bottom w:w="72" w:type="dxa"/>
              <w:right w:w="115" w:type="dxa"/>
            </w:tcMar>
            <w:vAlign w:val="center"/>
          </w:tcPr>
          <w:p w14:paraId="19634F65"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Q22_0330_02</w:t>
            </w:r>
          </w:p>
          <w:p w14:paraId="11E996F5" w14:textId="77777777" w:rsidR="00CF5712" w:rsidRPr="00FC6043" w:rsidRDefault="00CF5712"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BACKGROUND: Section VI. Community Transportation Options, subsection B defines a transit hub as "a station that has three or more bus routes, rail options, and/or other affordable mass transit options". In prior rounds, points have been awarded for various types of transit hubs (e.g.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14:paraId="4950F07F" w14:textId="77777777" w:rsidR="00CF5712" w:rsidRPr="00FC6043" w:rsidRDefault="00CF5712" w:rsidP="00304B2F">
            <w:pPr>
              <w:rPr>
                <w:rFonts w:ascii="Times New Roman" w:eastAsia="Times New Roman" w:hAnsi="Times New Roman" w:cs="Times New Roman"/>
                <w:sz w:val="20"/>
                <w:szCs w:val="20"/>
              </w:rPr>
            </w:pPr>
          </w:p>
          <w:p w14:paraId="41271A85" w14:textId="77777777" w:rsidR="00CF5712" w:rsidRPr="00FC6043" w:rsidRDefault="00CF5712"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QUESTION: Could a series of bus stops in very close proximity constitute a station? For example, a series of 3 distinct MARTA bus stops in downtown Hapeville are within a ~725 foot walk of each other. Compare the </w:t>
            </w:r>
            <w:r w:rsidRPr="00FC6043">
              <w:rPr>
                <w:rFonts w:ascii="Times New Roman" w:eastAsia="Times New Roman" w:hAnsi="Times New Roman" w:cs="Times New Roman"/>
                <w:sz w:val="20"/>
                <w:szCs w:val="20"/>
              </w:rPr>
              <w:lastRenderedPageBreak/>
              <w:t xml:space="preserve">proximity of these stops to MARTA's Lindbergh Center Transit Station in Atlanta. Lindbergh's two bus loops are separated by an ~825 foot walk (~100 feet farther apart than the series of bus stops in Hapeville). Could the series of bus stops in downtown Hapeville constitute a station/transit hub, given that they are in closer proximity than the bus loops of Lindbergh Station? </w:t>
            </w:r>
          </w:p>
          <w:p w14:paraId="143126C1" w14:textId="77777777" w:rsidR="00CF5712" w:rsidRPr="00FC6043" w:rsidRDefault="00CF5712" w:rsidP="00304B2F">
            <w:pPr>
              <w:contextualSpacing/>
              <w:rPr>
                <w:rFonts w:ascii="Times New Roman" w:hAnsi="Times New Roman" w:cs="Times New Roman"/>
                <w:sz w:val="20"/>
                <w:szCs w:val="20"/>
              </w:rPr>
            </w:pPr>
          </w:p>
          <w:p w14:paraId="3CA863B3"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w:t>
            </w:r>
          </w:p>
          <w:p w14:paraId="23059C9A" w14:textId="77777777" w:rsidR="00CF5712" w:rsidRPr="00FC6043" w:rsidRDefault="00CF5712" w:rsidP="00304B2F">
            <w:pPr>
              <w:contextualSpacing/>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Section VI. Community Transportation Options, </w:t>
            </w:r>
            <w:r w:rsidRPr="00FC6043">
              <w:rPr>
                <w:rFonts w:ascii="Times New Roman" w:eastAsia="Times New Roman" w:hAnsi="Times New Roman" w:cs="Times New Roman"/>
                <w:b/>
                <w:bCs/>
                <w:sz w:val="20"/>
                <w:szCs w:val="20"/>
              </w:rPr>
              <w:t>subsection A</w:t>
            </w:r>
            <w:r w:rsidRPr="00FC6043">
              <w:rPr>
                <w:rFonts w:ascii="Times New Roman" w:eastAsia="Times New Roman" w:hAnsi="Times New Roman" w:cs="Times New Roman"/>
                <w:sz w:val="20"/>
                <w:szCs w:val="20"/>
              </w:rPr>
              <w:t xml:space="preserve"> defines a transit hub as “a station that has three or more bus routes, rail options, and/or other affordable mass transit options.” </w:t>
            </w:r>
          </w:p>
          <w:p w14:paraId="295579DE" w14:textId="77777777" w:rsidR="00CF5712" w:rsidRPr="00FC6043" w:rsidRDefault="00CF5712" w:rsidP="00304B2F">
            <w:pPr>
              <w:contextualSpacing/>
              <w:rPr>
                <w:rFonts w:ascii="Times New Roman" w:eastAsia="Times New Roman" w:hAnsi="Times New Roman" w:cs="Times New Roman"/>
                <w:sz w:val="20"/>
                <w:szCs w:val="20"/>
              </w:rPr>
            </w:pPr>
          </w:p>
          <w:p w14:paraId="4F30FCC9" w14:textId="77777777" w:rsidR="00CF5712" w:rsidRPr="00FC6043" w:rsidRDefault="00CF5712" w:rsidP="00304B2F">
            <w:pPr>
              <w:pStyle w:val="ListParagraph"/>
              <w:numPr>
                <w:ilvl w:val="0"/>
                <w:numId w:val="34"/>
              </w:num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“A station” refers to a single location. </w:t>
            </w:r>
          </w:p>
          <w:p w14:paraId="255E7B45" w14:textId="77777777" w:rsidR="00CF5712" w:rsidRPr="00FC6043" w:rsidRDefault="00CF5712" w:rsidP="00304B2F">
            <w:pPr>
              <w:pStyle w:val="ListParagraph"/>
              <w:numPr>
                <w:ilvl w:val="1"/>
                <w:numId w:val="34"/>
              </w:num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The 2021 Q&amp;A referenced asked whether a station requires a “large structure.” In the context of that question, DCA’s response was intended to affirm that, for example, a single bus stop with three intersecting bus routes would not be disqualified due to its lacking a “large structure” often associated with the term “station.” </w:t>
            </w:r>
          </w:p>
          <w:p w14:paraId="34ABCE26" w14:textId="77777777" w:rsidR="00CF5712" w:rsidRPr="00FC6043" w:rsidRDefault="00CF5712" w:rsidP="00304B2F">
            <w:pPr>
              <w:pStyle w:val="ListParagraph"/>
              <w:numPr>
                <w:ilvl w:val="1"/>
                <w:numId w:val="34"/>
              </w:num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A series of bus stops in close proximity do not operate at a single location and therefore do not constitute a transit hub.</w:t>
            </w:r>
            <w:r w:rsidRPr="00FC6043">
              <w:rPr>
                <w:rFonts w:ascii="Times New Roman" w:eastAsia="Times New Roman" w:hAnsi="Times New Roman" w:cs="Times New Roman"/>
                <w:sz w:val="20"/>
                <w:szCs w:val="20"/>
              </w:rPr>
              <w:br/>
            </w:r>
          </w:p>
          <w:p w14:paraId="3E10579B" w14:textId="77777777" w:rsidR="00CF5712" w:rsidRPr="00FC6043" w:rsidRDefault="00CF5712" w:rsidP="00304B2F">
            <w:pPr>
              <w:pStyle w:val="ListParagraph"/>
              <w:numPr>
                <w:ilvl w:val="0"/>
                <w:numId w:val="34"/>
              </w:num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Please note that the QAP qualifies transit hubs based on the number of transit routes at a station, not stops or loops. This question compares an area with three nearby bus stops to a station with two bus loops, neither of which confirms how many routes operate at any of the physical locations. Therefore, the question does not contain sufficient information to assess whether either circumstance qualifies under this section.</w:t>
            </w:r>
          </w:p>
        </w:tc>
      </w:tr>
      <w:tr w:rsidR="00CF5712" w:rsidRPr="00FC6043" w14:paraId="18AD9DB4" w14:textId="77777777" w:rsidTr="1995616E">
        <w:trPr>
          <w:jc w:val="center"/>
        </w:trPr>
        <w:tc>
          <w:tcPr>
            <w:tcW w:w="2157" w:type="dxa"/>
            <w:shd w:val="clear" w:color="auto" w:fill="auto"/>
            <w:tcMar>
              <w:top w:w="72" w:type="dxa"/>
              <w:left w:w="115" w:type="dxa"/>
              <w:bottom w:w="72" w:type="dxa"/>
              <w:right w:w="115" w:type="dxa"/>
            </w:tcMar>
            <w:vAlign w:val="center"/>
          </w:tcPr>
          <w:p w14:paraId="03079B14"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4/21/22</w:t>
            </w:r>
          </w:p>
        </w:tc>
        <w:tc>
          <w:tcPr>
            <w:tcW w:w="2198" w:type="dxa"/>
            <w:shd w:val="clear" w:color="auto" w:fill="auto"/>
            <w:tcMar>
              <w:top w:w="72" w:type="dxa"/>
              <w:left w:w="115" w:type="dxa"/>
              <w:bottom w:w="72" w:type="dxa"/>
              <w:right w:w="115" w:type="dxa"/>
            </w:tcMar>
            <w:vAlign w:val="center"/>
          </w:tcPr>
          <w:p w14:paraId="55D510A7"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3.10</w:t>
            </w:r>
          </w:p>
          <w:p w14:paraId="69ECADF6"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37DA984D"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Stable Communities</w:t>
            </w:r>
          </w:p>
        </w:tc>
        <w:tc>
          <w:tcPr>
            <w:tcW w:w="9590" w:type="dxa"/>
            <w:shd w:val="clear" w:color="auto" w:fill="auto"/>
            <w:tcMar>
              <w:top w:w="72" w:type="dxa"/>
              <w:left w:w="115" w:type="dxa"/>
              <w:bottom w:w="72" w:type="dxa"/>
              <w:right w:w="115" w:type="dxa"/>
            </w:tcMar>
            <w:vAlign w:val="center"/>
          </w:tcPr>
          <w:p w14:paraId="581184F5"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Q22_0419_03</w:t>
            </w:r>
          </w:p>
          <w:p w14:paraId="332693AE" w14:textId="77777777" w:rsidR="00CF5712" w:rsidRPr="00FC6043" w:rsidRDefault="00CF5712"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When looking at the updated DCA Health and Economic Indicators table, I am unable to find the census tract that a site is located in. The census tract is shown on the 2019 tabs and life expectancy tabs but does not appear on the 2020 tabs of the spreadsheet. Can you please clarify as to why the census tract does not appear? </w:t>
            </w:r>
          </w:p>
          <w:p w14:paraId="69FC4A88" w14:textId="77777777" w:rsidR="00CF5712" w:rsidRPr="00FC6043" w:rsidRDefault="00CF5712" w:rsidP="00304B2F">
            <w:pPr>
              <w:contextualSpacing/>
              <w:rPr>
                <w:rFonts w:ascii="Times New Roman" w:hAnsi="Times New Roman" w:cs="Times New Roman"/>
                <w:sz w:val="20"/>
                <w:szCs w:val="20"/>
              </w:rPr>
            </w:pPr>
          </w:p>
          <w:p w14:paraId="0EC438D2"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 xml:space="preserve">: </w:t>
            </w:r>
          </w:p>
          <w:p w14:paraId="18C49BF8"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Census Tracts are updated once per decade, following the Decennial Census. The 2020 Census data is based on the Census Tracts, as defined by the 2020 Decennial Census. The Census Bureau published a file showing relationships between 2010 and 2020 Census Tracts, which DCA has uploaded to the Scoring Documents and Data page of the DCA website (</w:t>
            </w:r>
            <w:hyperlink r:id="rId32" w:history="1">
              <w:r w:rsidRPr="00FC6043">
                <w:rPr>
                  <w:rStyle w:val="Hyperlink"/>
                  <w:rFonts w:ascii="Times New Roman" w:hAnsi="Times New Roman" w:cs="Times New Roman"/>
                  <w:color w:val="auto"/>
                  <w:sz w:val="20"/>
                  <w:szCs w:val="20"/>
                </w:rPr>
                <w:t>click here</w:t>
              </w:r>
            </w:hyperlink>
            <w:r w:rsidRPr="00FC6043">
              <w:rPr>
                <w:rFonts w:ascii="Times New Roman" w:hAnsi="Times New Roman" w:cs="Times New Roman"/>
                <w:sz w:val="20"/>
                <w:szCs w:val="20"/>
              </w:rPr>
              <w:t>).</w:t>
            </w:r>
          </w:p>
          <w:p w14:paraId="49A03E1A" w14:textId="77777777" w:rsidR="00CF5712" w:rsidRPr="00FC6043" w:rsidRDefault="00CF5712" w:rsidP="00304B2F">
            <w:pPr>
              <w:rPr>
                <w:rFonts w:ascii="Times New Roman" w:hAnsi="Times New Roman" w:cs="Times New Roman"/>
                <w:sz w:val="20"/>
                <w:szCs w:val="20"/>
              </w:rPr>
            </w:pPr>
          </w:p>
          <w:p w14:paraId="237B5073"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To help applicants understand how Census Tracts have changed, DCA has added layers to the Housing Tax Credit Properties Map showing 2010 Census Tracts and 2020 Census Tracts. You may identify your site’s new Census Tract number and associated values for Stable Communities Health and Economic Indicators data through the following steps:</w:t>
            </w:r>
          </w:p>
          <w:p w14:paraId="4CCA1FEC" w14:textId="77777777" w:rsidR="00CF5712" w:rsidRPr="00FC6043" w:rsidRDefault="00CF5712" w:rsidP="00304B2F">
            <w:pPr>
              <w:pStyle w:val="ListParagraph"/>
              <w:numPr>
                <w:ilvl w:val="0"/>
                <w:numId w:val="39"/>
              </w:numPr>
              <w:rPr>
                <w:rFonts w:ascii="Times New Roman" w:hAnsi="Times New Roman" w:cs="Times New Roman"/>
                <w:sz w:val="20"/>
                <w:szCs w:val="20"/>
              </w:rPr>
            </w:pPr>
            <w:r w:rsidRPr="00FC6043">
              <w:rPr>
                <w:rFonts w:ascii="Times New Roman" w:hAnsi="Times New Roman" w:cs="Times New Roman"/>
                <w:sz w:val="20"/>
                <w:szCs w:val="20"/>
              </w:rPr>
              <w:t>Open the Housing Tax Credit Properties Map (</w:t>
            </w:r>
            <w:hyperlink r:id="rId33" w:history="1">
              <w:r w:rsidRPr="00FC6043">
                <w:rPr>
                  <w:rStyle w:val="Hyperlink"/>
                  <w:rFonts w:ascii="Times New Roman" w:hAnsi="Times New Roman" w:cs="Times New Roman"/>
                  <w:color w:val="auto"/>
                  <w:sz w:val="20"/>
                  <w:szCs w:val="20"/>
                </w:rPr>
                <w:t>click here</w:t>
              </w:r>
            </w:hyperlink>
            <w:r w:rsidRPr="00FC6043">
              <w:rPr>
                <w:rFonts w:ascii="Times New Roman" w:hAnsi="Times New Roman" w:cs="Times New Roman"/>
                <w:sz w:val="20"/>
                <w:szCs w:val="20"/>
              </w:rPr>
              <w:t>)</w:t>
            </w:r>
          </w:p>
          <w:p w14:paraId="013779E7" w14:textId="77777777" w:rsidR="00CF5712" w:rsidRPr="00FC6043" w:rsidRDefault="00CF5712" w:rsidP="00304B2F">
            <w:pPr>
              <w:pStyle w:val="ListParagraph"/>
              <w:numPr>
                <w:ilvl w:val="0"/>
                <w:numId w:val="39"/>
              </w:numPr>
              <w:rPr>
                <w:rFonts w:ascii="Times New Roman" w:hAnsi="Times New Roman" w:cs="Times New Roman"/>
                <w:sz w:val="20"/>
                <w:szCs w:val="20"/>
              </w:rPr>
            </w:pPr>
            <w:r w:rsidRPr="00FC6043">
              <w:rPr>
                <w:rFonts w:ascii="Times New Roman" w:hAnsi="Times New Roman" w:cs="Times New Roman"/>
                <w:sz w:val="20"/>
                <w:szCs w:val="20"/>
              </w:rPr>
              <w:t>Enter your site’s address or coordinates in the search bar</w:t>
            </w:r>
          </w:p>
          <w:p w14:paraId="484C4C3D" w14:textId="77777777" w:rsidR="00CF5712" w:rsidRPr="00FC6043" w:rsidRDefault="00CF5712" w:rsidP="00304B2F">
            <w:pPr>
              <w:pStyle w:val="ListParagraph"/>
              <w:rPr>
                <w:rFonts w:ascii="Times New Roman" w:hAnsi="Times New Roman" w:cs="Times New Roman"/>
                <w:sz w:val="20"/>
                <w:szCs w:val="20"/>
              </w:rPr>
            </w:pPr>
            <w:r w:rsidRPr="00FC6043">
              <w:rPr>
                <w:rFonts w:ascii="Times New Roman" w:hAnsi="Times New Roman" w:cs="Times New Roman"/>
                <w:noProof/>
                <w:sz w:val="20"/>
                <w:szCs w:val="20"/>
              </w:rPr>
              <w:lastRenderedPageBreak/>
              <w:drawing>
                <wp:inline distT="0" distB="0" distL="0" distR="0" wp14:anchorId="0A7A4809" wp14:editId="102A37F8">
                  <wp:extent cx="4710989" cy="208924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33639" cy="2099288"/>
                          </a:xfrm>
                          <a:prstGeom prst="rect">
                            <a:avLst/>
                          </a:prstGeom>
                        </pic:spPr>
                      </pic:pic>
                    </a:graphicData>
                  </a:graphic>
                </wp:inline>
              </w:drawing>
            </w:r>
          </w:p>
          <w:p w14:paraId="32159847" w14:textId="77777777" w:rsidR="00CF5712" w:rsidRPr="00FC6043" w:rsidRDefault="00CF5712" w:rsidP="00304B2F">
            <w:pPr>
              <w:pStyle w:val="ListParagraph"/>
              <w:numPr>
                <w:ilvl w:val="0"/>
                <w:numId w:val="39"/>
              </w:numPr>
              <w:rPr>
                <w:rFonts w:ascii="Times New Roman" w:hAnsi="Times New Roman" w:cs="Times New Roman"/>
                <w:sz w:val="20"/>
                <w:szCs w:val="20"/>
              </w:rPr>
            </w:pPr>
            <w:r w:rsidRPr="00FC6043">
              <w:rPr>
                <w:rFonts w:ascii="Times New Roman" w:hAnsi="Times New Roman" w:cs="Times New Roman"/>
                <w:sz w:val="20"/>
                <w:szCs w:val="20"/>
              </w:rPr>
              <w:t>Click on the site location</w:t>
            </w:r>
          </w:p>
          <w:p w14:paraId="017FB21D" w14:textId="77777777" w:rsidR="00CF5712" w:rsidRPr="00FC6043" w:rsidRDefault="00CF5712" w:rsidP="00304B2F">
            <w:pPr>
              <w:pStyle w:val="ListParagraph"/>
              <w:keepNext/>
              <w:numPr>
                <w:ilvl w:val="0"/>
                <w:numId w:val="39"/>
              </w:numPr>
              <w:rPr>
                <w:rFonts w:ascii="Times New Roman" w:hAnsi="Times New Roman" w:cs="Times New Roman"/>
                <w:sz w:val="20"/>
                <w:szCs w:val="20"/>
              </w:rPr>
            </w:pPr>
            <w:r w:rsidRPr="00FC6043">
              <w:rPr>
                <w:rFonts w:ascii="Times New Roman" w:hAnsi="Times New Roman" w:cs="Times New Roman"/>
                <w:sz w:val="20"/>
                <w:szCs w:val="20"/>
              </w:rPr>
              <w:t>Click the arrows in the pop-up box to find the 2020 Census Tract number</w:t>
            </w:r>
          </w:p>
          <w:p w14:paraId="1AE0BF9B" w14:textId="77777777" w:rsidR="00CF5712" w:rsidRPr="00FC6043" w:rsidRDefault="00CF5712" w:rsidP="00304B2F">
            <w:pPr>
              <w:pStyle w:val="ListParagraph"/>
              <w:keepNext/>
              <w:rPr>
                <w:rFonts w:ascii="Times New Roman" w:hAnsi="Times New Roman" w:cs="Times New Roman"/>
                <w:sz w:val="20"/>
                <w:szCs w:val="20"/>
              </w:rPr>
            </w:pPr>
            <w:r w:rsidRPr="00FC6043">
              <w:rPr>
                <w:rFonts w:ascii="Times New Roman" w:hAnsi="Times New Roman" w:cs="Times New Roman"/>
                <w:noProof/>
                <w:sz w:val="20"/>
                <w:szCs w:val="20"/>
              </w:rPr>
              <w:drawing>
                <wp:inline distT="0" distB="0" distL="0" distR="0" wp14:anchorId="3EB1EF7F" wp14:editId="4B3DC323">
                  <wp:extent cx="4564684" cy="282317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5191" cy="2829677"/>
                          </a:xfrm>
                          <a:prstGeom prst="rect">
                            <a:avLst/>
                          </a:prstGeom>
                        </pic:spPr>
                      </pic:pic>
                    </a:graphicData>
                  </a:graphic>
                </wp:inline>
              </w:drawing>
            </w:r>
          </w:p>
          <w:p w14:paraId="3B235236" w14:textId="77777777" w:rsidR="00CF5712" w:rsidRPr="00FC6043" w:rsidRDefault="00CF5712" w:rsidP="00304B2F">
            <w:pPr>
              <w:pStyle w:val="ListParagraph"/>
              <w:numPr>
                <w:ilvl w:val="0"/>
                <w:numId w:val="39"/>
              </w:numPr>
              <w:rPr>
                <w:rFonts w:ascii="Times New Roman" w:hAnsi="Times New Roman" w:cs="Times New Roman"/>
                <w:sz w:val="20"/>
                <w:szCs w:val="20"/>
              </w:rPr>
            </w:pPr>
            <w:r w:rsidRPr="00FC6043">
              <w:rPr>
                <w:rFonts w:ascii="Times New Roman" w:hAnsi="Times New Roman" w:cs="Times New Roman"/>
                <w:sz w:val="20"/>
                <w:szCs w:val="20"/>
              </w:rPr>
              <w:t>Click the arrows to find 2020 Stable Communities data</w:t>
            </w:r>
          </w:p>
          <w:p w14:paraId="5515A9BC" w14:textId="77777777" w:rsidR="00CF5712" w:rsidRPr="00FC6043" w:rsidRDefault="00CF5712" w:rsidP="00304B2F">
            <w:pPr>
              <w:pStyle w:val="ListParagraph"/>
              <w:rPr>
                <w:rFonts w:ascii="Times New Roman" w:hAnsi="Times New Roman" w:cs="Times New Roman"/>
                <w:sz w:val="20"/>
                <w:szCs w:val="20"/>
              </w:rPr>
            </w:pPr>
            <w:r w:rsidRPr="00FC6043">
              <w:rPr>
                <w:rFonts w:ascii="Times New Roman" w:hAnsi="Times New Roman" w:cs="Times New Roman"/>
                <w:noProof/>
                <w:sz w:val="20"/>
                <w:szCs w:val="20"/>
              </w:rPr>
              <w:lastRenderedPageBreak/>
              <w:drawing>
                <wp:inline distT="0" distB="0" distL="0" distR="0" wp14:anchorId="1B73F40D" wp14:editId="4A66647F">
                  <wp:extent cx="4198924" cy="307786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12342" cy="3087702"/>
                          </a:xfrm>
                          <a:prstGeom prst="rect">
                            <a:avLst/>
                          </a:prstGeom>
                        </pic:spPr>
                      </pic:pic>
                    </a:graphicData>
                  </a:graphic>
                </wp:inline>
              </w:drawing>
            </w:r>
          </w:p>
          <w:p w14:paraId="3B1D77CD" w14:textId="77777777" w:rsidR="00CF5712" w:rsidRPr="00FC6043" w:rsidRDefault="00CF5712" w:rsidP="00304B2F">
            <w:pPr>
              <w:rPr>
                <w:rFonts w:ascii="Times New Roman" w:hAnsi="Times New Roman" w:cs="Times New Roman"/>
                <w:sz w:val="20"/>
                <w:szCs w:val="20"/>
              </w:rPr>
            </w:pPr>
          </w:p>
          <w:p w14:paraId="7489B987"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If you are unable to identify your site’s 2020 Census Tract following the above steps, please submit the site’s address or coordinates through the Q&amp;A Survey.</w:t>
            </w:r>
          </w:p>
          <w:p w14:paraId="629F69E0" w14:textId="77777777" w:rsidR="00CF5712" w:rsidRPr="00FC6043" w:rsidRDefault="00CF5712" w:rsidP="00304B2F">
            <w:pPr>
              <w:textAlignment w:val="baseline"/>
              <w:rPr>
                <w:rFonts w:ascii="Times New Roman" w:eastAsia="Times New Roman" w:hAnsi="Times New Roman" w:cs="Times New Roman"/>
                <w:b/>
                <w:bCs/>
                <w:sz w:val="20"/>
                <w:szCs w:val="20"/>
              </w:rPr>
            </w:pPr>
          </w:p>
        </w:tc>
      </w:tr>
      <w:tr w:rsidR="00CF5712" w:rsidRPr="00FC6043" w14:paraId="6796E2B0" w14:textId="77777777" w:rsidTr="1995616E">
        <w:trPr>
          <w:jc w:val="center"/>
        </w:trPr>
        <w:tc>
          <w:tcPr>
            <w:tcW w:w="2157" w:type="dxa"/>
            <w:shd w:val="clear" w:color="auto" w:fill="auto"/>
            <w:tcMar>
              <w:top w:w="72" w:type="dxa"/>
              <w:left w:w="115" w:type="dxa"/>
              <w:bottom w:w="72" w:type="dxa"/>
              <w:right w:w="115" w:type="dxa"/>
            </w:tcMar>
            <w:vAlign w:val="center"/>
          </w:tcPr>
          <w:p w14:paraId="5787C85F"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4/21/22</w:t>
            </w:r>
          </w:p>
        </w:tc>
        <w:tc>
          <w:tcPr>
            <w:tcW w:w="2198" w:type="dxa"/>
            <w:shd w:val="clear" w:color="auto" w:fill="auto"/>
            <w:tcMar>
              <w:top w:w="72" w:type="dxa"/>
              <w:left w:w="115" w:type="dxa"/>
              <w:bottom w:w="72" w:type="dxa"/>
              <w:right w:w="115" w:type="dxa"/>
            </w:tcMar>
            <w:vAlign w:val="center"/>
          </w:tcPr>
          <w:p w14:paraId="0F1ED761"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3.17</w:t>
            </w:r>
          </w:p>
          <w:p w14:paraId="2D39692C"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0E849B06"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103BE716"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Q22_0221_06</w:t>
            </w:r>
            <w:r w:rsidRPr="00FC6043">
              <w:rPr>
                <w:rStyle w:val="eop"/>
                <w:sz w:val="20"/>
                <w:szCs w:val="20"/>
              </w:rPr>
              <w:t> </w:t>
            </w:r>
          </w:p>
          <w:p w14:paraId="651CE96B"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 xml:space="preserve">If Applicant takes points for </w:t>
            </w:r>
            <w:r w:rsidRPr="00FC6043">
              <w:rPr>
                <w:rStyle w:val="normaltextrun"/>
                <w:b/>
                <w:bCs/>
                <w:sz w:val="20"/>
                <w:szCs w:val="20"/>
              </w:rPr>
              <w:t>Scoring, Minority- and Women-Owned Business Engagement, A. Engagement Commitment and Reporting</w:t>
            </w:r>
            <w:r w:rsidRPr="00FC6043">
              <w:rPr>
                <w:rStyle w:val="normaltextrun"/>
                <w:sz w:val="20"/>
                <w:szCs w:val="20"/>
              </w:rPr>
              <w:t xml:space="preserve">, and </w:t>
            </w:r>
            <w:r w:rsidRPr="00FC6043">
              <w:rPr>
                <w:rStyle w:val="advancedproofingissue"/>
                <w:rFonts w:eastAsiaTheme="majorEastAsia"/>
                <w:sz w:val="20"/>
                <w:szCs w:val="20"/>
              </w:rPr>
              <w:t>is able to</w:t>
            </w:r>
            <w:r w:rsidRPr="00FC6043">
              <w:rPr>
                <w:rStyle w:val="normaltextrun"/>
                <w:sz w:val="20"/>
                <w:szCs w:val="20"/>
              </w:rPr>
              <w:t xml:space="preserve"> get several QBs certified as MBE/WBEs by the Final Allocation Application, and attempts to reach the 5% of total construction hard costs requirement, but reaches an amount less than 5%, has the Applicant still met the scoring requirement, </w:t>
            </w:r>
            <w:r w:rsidRPr="00FC6043">
              <w:rPr>
                <w:rStyle w:val="advancedproofingissue"/>
                <w:rFonts w:eastAsiaTheme="majorEastAsia"/>
                <w:sz w:val="20"/>
                <w:szCs w:val="20"/>
              </w:rPr>
              <w:t>as long as</w:t>
            </w:r>
            <w:r w:rsidRPr="00FC6043">
              <w:rPr>
                <w:rStyle w:val="normaltextrun"/>
                <w:sz w:val="20"/>
                <w:szCs w:val="20"/>
              </w:rPr>
              <w:t xml:space="preserve"> this is explained in a report at Final Allocation Application?</w:t>
            </w:r>
            <w:r w:rsidRPr="00FC6043">
              <w:rPr>
                <w:rStyle w:val="eop"/>
                <w:sz w:val="20"/>
                <w:szCs w:val="20"/>
              </w:rPr>
              <w:t> </w:t>
            </w:r>
          </w:p>
          <w:p w14:paraId="21339114"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5251729F"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19A72D1C"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 xml:space="preserve">Yes. DCA will assess compliance with this commitment based on meaningful attempts to reach the 5% threshold and a complete, detailed report submitted with the 8609 </w:t>
            </w:r>
            <w:r w:rsidRPr="00FC6043">
              <w:rPr>
                <w:rStyle w:val="contextualspellingandgrammarerror"/>
                <w:rFonts w:eastAsiaTheme="majorEastAsia"/>
                <w:sz w:val="20"/>
                <w:szCs w:val="20"/>
              </w:rPr>
              <w:t>application</w:t>
            </w:r>
            <w:r w:rsidRPr="00FC6043">
              <w:rPr>
                <w:rStyle w:val="normaltextrun"/>
                <w:sz w:val="20"/>
                <w:szCs w:val="20"/>
              </w:rPr>
              <w:t>. </w:t>
            </w:r>
            <w:r w:rsidRPr="00FC6043">
              <w:rPr>
                <w:rStyle w:val="eop"/>
                <w:sz w:val="20"/>
                <w:szCs w:val="20"/>
              </w:rPr>
              <w:t> </w:t>
            </w:r>
          </w:p>
          <w:p w14:paraId="3D7A3B80"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15497D69"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Examples of how DCA will assess “meaningful attempts” include, but are not limited to: </w:t>
            </w:r>
            <w:r w:rsidRPr="00FC6043">
              <w:rPr>
                <w:rStyle w:val="eop"/>
                <w:sz w:val="20"/>
                <w:szCs w:val="20"/>
              </w:rPr>
              <w:t> </w:t>
            </w:r>
          </w:p>
          <w:p w14:paraId="3F5CEBCD" w14:textId="77777777" w:rsidR="00CF5712" w:rsidRPr="00FC6043" w:rsidRDefault="00CF5712" w:rsidP="00304B2F">
            <w:pPr>
              <w:pStyle w:val="paragraph"/>
              <w:numPr>
                <w:ilvl w:val="0"/>
                <w:numId w:val="40"/>
              </w:numPr>
              <w:spacing w:before="0" w:beforeAutospacing="0" w:after="0" w:afterAutospacing="0"/>
              <w:ind w:left="1080" w:firstLine="0"/>
              <w:textAlignment w:val="baseline"/>
              <w:rPr>
                <w:sz w:val="20"/>
                <w:szCs w:val="20"/>
              </w:rPr>
            </w:pPr>
            <w:r w:rsidRPr="00FC6043">
              <w:rPr>
                <w:rStyle w:val="normaltextrun"/>
                <w:sz w:val="20"/>
                <w:szCs w:val="20"/>
              </w:rPr>
              <w:t xml:space="preserve">the extent of outreach efforts to engage QBs described and evidence substantiating these </w:t>
            </w:r>
            <w:r w:rsidRPr="00FC6043">
              <w:rPr>
                <w:rStyle w:val="contextualspellingandgrammarerror"/>
                <w:rFonts w:eastAsiaTheme="majorEastAsia"/>
                <w:sz w:val="20"/>
                <w:szCs w:val="20"/>
              </w:rPr>
              <w:t>efforts;</w:t>
            </w:r>
            <w:r w:rsidRPr="00FC6043">
              <w:rPr>
                <w:rStyle w:val="eop"/>
                <w:sz w:val="20"/>
                <w:szCs w:val="20"/>
              </w:rPr>
              <w:t> </w:t>
            </w:r>
          </w:p>
          <w:p w14:paraId="6ACEFC53" w14:textId="77777777" w:rsidR="00CF5712" w:rsidRPr="00FC6043" w:rsidRDefault="00CF5712" w:rsidP="00304B2F">
            <w:pPr>
              <w:pStyle w:val="paragraph"/>
              <w:numPr>
                <w:ilvl w:val="0"/>
                <w:numId w:val="40"/>
              </w:numPr>
              <w:spacing w:before="0" w:beforeAutospacing="0" w:after="0" w:afterAutospacing="0"/>
              <w:ind w:left="1080" w:firstLine="0"/>
              <w:textAlignment w:val="baseline"/>
              <w:rPr>
                <w:sz w:val="20"/>
                <w:szCs w:val="20"/>
              </w:rPr>
            </w:pPr>
            <w:r w:rsidRPr="00FC6043">
              <w:rPr>
                <w:rStyle w:val="normaltextrun"/>
                <w:sz w:val="20"/>
                <w:szCs w:val="20"/>
              </w:rPr>
              <w:lastRenderedPageBreak/>
              <w:t>comparison of successes between Engagement Reports submitted within the same geographic area. </w:t>
            </w:r>
            <w:r w:rsidRPr="00FC6043">
              <w:rPr>
                <w:rStyle w:val="eop"/>
                <w:sz w:val="20"/>
                <w:szCs w:val="20"/>
              </w:rPr>
              <w:t> </w:t>
            </w:r>
          </w:p>
          <w:p w14:paraId="21B2E8BA" w14:textId="77777777" w:rsidR="00CF5712" w:rsidRPr="00FC6043" w:rsidRDefault="00CF5712" w:rsidP="00304B2F">
            <w:pPr>
              <w:textAlignment w:val="baseline"/>
              <w:rPr>
                <w:rFonts w:ascii="Times New Roman" w:eastAsia="Times New Roman" w:hAnsi="Times New Roman" w:cs="Times New Roman"/>
                <w:b/>
                <w:bCs/>
                <w:sz w:val="20"/>
                <w:szCs w:val="20"/>
              </w:rPr>
            </w:pPr>
          </w:p>
        </w:tc>
      </w:tr>
      <w:tr w:rsidR="00CF5712" w:rsidRPr="00FC6043" w14:paraId="4D04FD62" w14:textId="77777777" w:rsidTr="1995616E">
        <w:trPr>
          <w:jc w:val="center"/>
        </w:trPr>
        <w:tc>
          <w:tcPr>
            <w:tcW w:w="2157" w:type="dxa"/>
            <w:shd w:val="clear" w:color="auto" w:fill="auto"/>
            <w:tcMar>
              <w:top w:w="72" w:type="dxa"/>
              <w:left w:w="115" w:type="dxa"/>
              <w:bottom w:w="72" w:type="dxa"/>
              <w:right w:w="115" w:type="dxa"/>
            </w:tcMar>
            <w:vAlign w:val="center"/>
          </w:tcPr>
          <w:p w14:paraId="22835FD8"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4/21/22</w:t>
            </w:r>
          </w:p>
        </w:tc>
        <w:tc>
          <w:tcPr>
            <w:tcW w:w="2198" w:type="dxa"/>
            <w:shd w:val="clear" w:color="auto" w:fill="auto"/>
            <w:tcMar>
              <w:top w:w="72" w:type="dxa"/>
              <w:left w:w="115" w:type="dxa"/>
              <w:bottom w:w="72" w:type="dxa"/>
              <w:right w:w="115" w:type="dxa"/>
            </w:tcMar>
            <w:vAlign w:val="center"/>
          </w:tcPr>
          <w:p w14:paraId="25009625"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3.20</w:t>
            </w:r>
          </w:p>
          <w:p w14:paraId="228CD785"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1034C723"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DCA Community Initiatives</w:t>
            </w:r>
          </w:p>
        </w:tc>
        <w:tc>
          <w:tcPr>
            <w:tcW w:w="9590" w:type="dxa"/>
            <w:shd w:val="clear" w:color="auto" w:fill="auto"/>
            <w:tcMar>
              <w:top w:w="72" w:type="dxa"/>
              <w:left w:w="115" w:type="dxa"/>
              <w:bottom w:w="72" w:type="dxa"/>
              <w:right w:w="115" w:type="dxa"/>
            </w:tcMar>
            <w:vAlign w:val="center"/>
          </w:tcPr>
          <w:p w14:paraId="53C83792"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Q22_0413_15 </w:t>
            </w:r>
          </w:p>
          <w:p w14:paraId="4308BC2C"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How can we confirm if a community is a GICH Certified Alumni community? </w:t>
            </w:r>
          </w:p>
          <w:p w14:paraId="4127BF8C"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2CEC365A"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7CEDE206"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A list of current Certified Alumni communities is available on the UGA GICH website under </w:t>
            </w:r>
            <w:r w:rsidRPr="00FC6043">
              <w:rPr>
                <w:rFonts w:ascii="Times New Roman" w:eastAsia="Times New Roman" w:hAnsi="Times New Roman" w:cs="Times New Roman"/>
                <w:i/>
                <w:iCs/>
                <w:sz w:val="20"/>
                <w:szCs w:val="20"/>
              </w:rPr>
              <w:t>Resources – For Alumni Communities</w:t>
            </w:r>
            <w:r w:rsidRPr="00FC6043">
              <w:rPr>
                <w:rFonts w:ascii="Times New Roman" w:eastAsia="Times New Roman" w:hAnsi="Times New Roman" w:cs="Times New Roman"/>
                <w:sz w:val="20"/>
                <w:szCs w:val="20"/>
              </w:rPr>
              <w:t xml:space="preserve"> (</w:t>
            </w:r>
            <w:hyperlink r:id="rId37" w:tgtFrame="_blank" w:history="1">
              <w:r w:rsidRPr="00FC6043">
                <w:rPr>
                  <w:rFonts w:ascii="Times New Roman" w:eastAsia="Times New Roman" w:hAnsi="Times New Roman" w:cs="Times New Roman"/>
                  <w:sz w:val="20"/>
                  <w:szCs w:val="20"/>
                  <w:u w:val="single"/>
                </w:rPr>
                <w:t>click here</w:t>
              </w:r>
            </w:hyperlink>
            <w:r w:rsidRPr="00FC6043">
              <w:rPr>
                <w:rFonts w:ascii="Times New Roman" w:eastAsia="Times New Roman" w:hAnsi="Times New Roman" w:cs="Times New Roman"/>
                <w:sz w:val="20"/>
                <w:szCs w:val="20"/>
              </w:rPr>
              <w:t xml:space="preserve">). This link has also been added to the Scoring Documents and Data page of the DCA website </w:t>
            </w:r>
            <w:r w:rsidRPr="00FC6043">
              <w:rPr>
                <w:rFonts w:ascii="Times New Roman" w:hAnsi="Times New Roman" w:cs="Times New Roman"/>
                <w:sz w:val="20"/>
                <w:szCs w:val="20"/>
              </w:rPr>
              <w:t>(</w:t>
            </w:r>
            <w:hyperlink r:id="rId38" w:history="1">
              <w:r w:rsidRPr="00FC6043">
                <w:rPr>
                  <w:rStyle w:val="Hyperlink"/>
                  <w:rFonts w:ascii="Times New Roman" w:hAnsi="Times New Roman" w:cs="Times New Roman"/>
                  <w:color w:val="auto"/>
                  <w:sz w:val="20"/>
                  <w:szCs w:val="20"/>
                </w:rPr>
                <w:t>click here</w:t>
              </w:r>
            </w:hyperlink>
            <w:r w:rsidRPr="00FC6043">
              <w:rPr>
                <w:rFonts w:ascii="Times New Roman" w:hAnsi="Times New Roman" w:cs="Times New Roman"/>
                <w:sz w:val="20"/>
                <w:szCs w:val="20"/>
              </w:rPr>
              <w:t>).</w:t>
            </w:r>
          </w:p>
        </w:tc>
      </w:tr>
      <w:tr w:rsidR="00CF5712" w:rsidRPr="00FC6043" w14:paraId="4E39AA39" w14:textId="77777777" w:rsidTr="1995616E">
        <w:trPr>
          <w:jc w:val="center"/>
        </w:trPr>
        <w:tc>
          <w:tcPr>
            <w:tcW w:w="2157" w:type="dxa"/>
            <w:shd w:val="clear" w:color="auto" w:fill="auto"/>
            <w:tcMar>
              <w:top w:w="72" w:type="dxa"/>
              <w:left w:w="115" w:type="dxa"/>
              <w:bottom w:w="72" w:type="dxa"/>
              <w:right w:w="115" w:type="dxa"/>
            </w:tcMar>
            <w:vAlign w:val="center"/>
          </w:tcPr>
          <w:p w14:paraId="53798685"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782A880F"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2.06</w:t>
            </w:r>
          </w:p>
          <w:p w14:paraId="12B2AF4C"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Threshold Criteria;</w:t>
            </w:r>
          </w:p>
          <w:p w14:paraId="6BFBB639"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Appraisals</w:t>
            </w:r>
          </w:p>
        </w:tc>
        <w:tc>
          <w:tcPr>
            <w:tcW w:w="9590" w:type="dxa"/>
            <w:shd w:val="clear" w:color="auto" w:fill="auto"/>
            <w:tcMar>
              <w:top w:w="72" w:type="dxa"/>
              <w:left w:w="115" w:type="dxa"/>
              <w:bottom w:w="72" w:type="dxa"/>
              <w:right w:w="115" w:type="dxa"/>
            </w:tcMar>
            <w:vAlign w:val="center"/>
          </w:tcPr>
          <w:p w14:paraId="328A8AB7"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Q22_0404_01 </w:t>
            </w:r>
          </w:p>
          <w:p w14:paraId="07F85870"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Can you please clarify if an appraisal is required to be submitted with Application Submission for a 9% new construction submittal or is an appraisal required if our project receives an award? </w:t>
            </w:r>
          </w:p>
          <w:p w14:paraId="5D657EE0"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19C14E70"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27EAEA38"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(Threshold) Appraisals</w:t>
            </w:r>
            <w:r w:rsidRPr="00FC6043">
              <w:rPr>
                <w:rFonts w:ascii="Times New Roman" w:eastAsia="Times New Roman" w:hAnsi="Times New Roman" w:cs="Times New Roman"/>
                <w:sz w:val="20"/>
                <w:szCs w:val="20"/>
              </w:rPr>
              <w:t xml:space="preserve"> indicates the following instances in which Applicants must submit an appraisal at Application Submission: </w:t>
            </w:r>
          </w:p>
          <w:p w14:paraId="7A281D6A" w14:textId="77777777" w:rsidR="00CF5712" w:rsidRPr="00FC6043" w:rsidRDefault="00CF5712" w:rsidP="00304B2F">
            <w:pPr>
              <w:numPr>
                <w:ilvl w:val="0"/>
                <w:numId w:val="35"/>
              </w:numPr>
              <w:ind w:left="1080" w:firstLine="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Application is claiming acquisition credits for existing structures </w:t>
            </w:r>
          </w:p>
          <w:p w14:paraId="6FFD58C0" w14:textId="77777777" w:rsidR="00CF5712" w:rsidRPr="00FC6043" w:rsidRDefault="00CF5712" w:rsidP="00304B2F">
            <w:pPr>
              <w:numPr>
                <w:ilvl w:val="0"/>
                <w:numId w:val="35"/>
              </w:numPr>
              <w:ind w:left="1080" w:firstLine="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Application has an Identity of Interest between the buyer and seller </w:t>
            </w:r>
          </w:p>
          <w:p w14:paraId="6542B7A8" w14:textId="77777777" w:rsidR="00CF5712" w:rsidRPr="00FC6043" w:rsidRDefault="00CF5712" w:rsidP="00304B2F">
            <w:pPr>
              <w:numPr>
                <w:ilvl w:val="0"/>
                <w:numId w:val="36"/>
              </w:numPr>
              <w:ind w:left="1800" w:firstLine="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Includes seller that is a member of the proposed Project Team, including a limited partner </w:t>
            </w:r>
          </w:p>
          <w:p w14:paraId="4B8C9640"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6B6CF681" w14:textId="77777777" w:rsidR="00CF5712" w:rsidRPr="00FC6043" w:rsidRDefault="00CF5712" w:rsidP="00304B2F">
            <w:pPr>
              <w:textAlignment w:val="baseline"/>
              <w:rPr>
                <w:rStyle w:val="normaltextrun"/>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During review, before closing, or upon closing, DCA may commission an appraisal or require submission of an appraisal commissioned by a lender or a DCA-approved appraiser. </w:t>
            </w:r>
          </w:p>
        </w:tc>
      </w:tr>
      <w:tr w:rsidR="00CF5712" w:rsidRPr="00FC6043" w14:paraId="3DA465B7" w14:textId="77777777" w:rsidTr="1995616E">
        <w:trPr>
          <w:jc w:val="center"/>
        </w:trPr>
        <w:tc>
          <w:tcPr>
            <w:tcW w:w="2157" w:type="dxa"/>
            <w:shd w:val="clear" w:color="auto" w:fill="auto"/>
            <w:tcMar>
              <w:top w:w="72" w:type="dxa"/>
              <w:left w:w="115" w:type="dxa"/>
              <w:bottom w:w="72" w:type="dxa"/>
              <w:right w:w="115" w:type="dxa"/>
            </w:tcMar>
            <w:vAlign w:val="center"/>
          </w:tcPr>
          <w:p w14:paraId="15443430"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7492C2FE"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2.15</w:t>
            </w:r>
          </w:p>
          <w:p w14:paraId="3D4F74E6"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Threshold Criteria;</w:t>
            </w:r>
          </w:p>
          <w:p w14:paraId="2C446151"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Rehabilitation Standards</w:t>
            </w:r>
          </w:p>
        </w:tc>
        <w:tc>
          <w:tcPr>
            <w:tcW w:w="9590" w:type="dxa"/>
            <w:shd w:val="clear" w:color="auto" w:fill="auto"/>
            <w:tcMar>
              <w:top w:w="72" w:type="dxa"/>
              <w:left w:w="115" w:type="dxa"/>
              <w:bottom w:w="72" w:type="dxa"/>
              <w:right w:w="115" w:type="dxa"/>
            </w:tcMar>
            <w:vAlign w:val="center"/>
          </w:tcPr>
          <w:p w14:paraId="56561806"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Q22_0314_01</w:t>
            </w:r>
          </w:p>
          <w:p w14:paraId="3FE46F7A" w14:textId="77777777" w:rsidR="00CF5712" w:rsidRPr="00FC6043" w:rsidRDefault="00CF5712"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Paragraph B of </w:t>
            </w:r>
            <w:r w:rsidRPr="00FC6043">
              <w:rPr>
                <w:rFonts w:ascii="Times New Roman" w:eastAsia="Times New Roman" w:hAnsi="Times New Roman" w:cs="Times New Roman"/>
                <w:b/>
                <w:bCs/>
                <w:sz w:val="20"/>
                <w:szCs w:val="20"/>
              </w:rPr>
              <w:t>(Threshold) Rehabilitation Standards</w:t>
            </w:r>
            <w:r w:rsidRPr="00FC6043">
              <w:rPr>
                <w:rFonts w:ascii="Times New Roman" w:eastAsia="Times New Roman" w:hAnsi="Times New Roman" w:cs="Times New Roman"/>
                <w:sz w:val="20"/>
                <w:szCs w:val="20"/>
              </w:rPr>
              <w:t xml:space="preserve"> requires a Physical Needs Assessment and Capital Reserve Study completed by a DCA-qualified consultant.  Can you please direct me to a list of the qualified consultants posted on the DCA website?</w:t>
            </w:r>
          </w:p>
          <w:p w14:paraId="3995783B" w14:textId="77777777" w:rsidR="00CF5712" w:rsidRPr="00FC6043" w:rsidRDefault="00CF5712" w:rsidP="00304B2F">
            <w:pPr>
              <w:contextualSpacing/>
              <w:rPr>
                <w:rFonts w:ascii="Times New Roman" w:hAnsi="Times New Roman" w:cs="Times New Roman"/>
                <w:sz w:val="20"/>
                <w:szCs w:val="20"/>
              </w:rPr>
            </w:pPr>
          </w:p>
          <w:p w14:paraId="36325244" w14:textId="77777777" w:rsidR="00CF5712" w:rsidRPr="00FC6043" w:rsidRDefault="00CF5712" w:rsidP="00304B2F">
            <w:pPr>
              <w:rPr>
                <w:rFonts w:ascii="Times New Roman" w:hAnsi="Times New Roman" w:cs="Times New Roman"/>
                <w:b/>
                <w:bCs/>
                <w:sz w:val="20"/>
                <w:szCs w:val="20"/>
              </w:rPr>
            </w:pPr>
            <w:r w:rsidRPr="00FC6043">
              <w:rPr>
                <w:rFonts w:ascii="Times New Roman" w:hAnsi="Times New Roman" w:cs="Times New Roman"/>
                <w:b/>
                <w:bCs/>
                <w:sz w:val="20"/>
                <w:szCs w:val="20"/>
              </w:rPr>
              <w:t>Answer:</w:t>
            </w:r>
          </w:p>
          <w:p w14:paraId="438AC495" w14:textId="77777777" w:rsidR="00CF5712" w:rsidRPr="00FC6043" w:rsidRDefault="00CF5712" w:rsidP="00304B2F">
            <w:pPr>
              <w:rPr>
                <w:rStyle w:val="normaltextrun"/>
                <w:rFonts w:ascii="Times New Roman" w:eastAsia="MS Mincho" w:hAnsi="Times New Roman" w:cs="Times New Roman"/>
                <w:b/>
                <w:bCs/>
                <w:sz w:val="20"/>
                <w:szCs w:val="20"/>
              </w:rPr>
            </w:pPr>
            <w:r w:rsidRPr="00FC6043">
              <w:rPr>
                <w:rFonts w:ascii="Times New Roman" w:eastAsia="Times New Roman" w:hAnsi="Times New Roman" w:cs="Times New Roman"/>
                <w:sz w:val="20"/>
                <w:szCs w:val="20"/>
              </w:rPr>
              <w:t xml:space="preserve">DCA does not have a list of qualified consultants posted to our website. </w:t>
            </w:r>
            <w:r w:rsidRPr="00FC6043">
              <w:rPr>
                <w:rFonts w:ascii="Times New Roman" w:hAnsi="Times New Roman" w:cs="Times New Roman"/>
                <w:sz w:val="20"/>
                <w:szCs w:val="20"/>
              </w:rPr>
              <w:t xml:space="preserve">Per the 2022 QAP, </w:t>
            </w:r>
            <w:r w:rsidRPr="00FC6043">
              <w:rPr>
                <w:rFonts w:ascii="Times New Roman" w:eastAsia="Calibri" w:hAnsi="Times New Roman" w:cs="Times New Roman"/>
                <w:sz w:val="20"/>
                <w:szCs w:val="20"/>
              </w:rPr>
              <w:t xml:space="preserve">a “Qualified Consultant” is any individual who meets the experience requirements and qualifications as notated in the </w:t>
            </w:r>
            <w:r w:rsidRPr="00FC6043">
              <w:rPr>
                <w:rFonts w:ascii="Times New Roman" w:eastAsia="Calibri" w:hAnsi="Times New Roman" w:cs="Times New Roman"/>
                <w:b/>
                <w:bCs/>
                <w:sz w:val="20"/>
                <w:szCs w:val="20"/>
              </w:rPr>
              <w:t>2022 Rehabilitation Guide</w:t>
            </w:r>
            <w:r w:rsidRPr="00FC6043">
              <w:rPr>
                <w:rFonts w:ascii="Times New Roman" w:eastAsia="Calibri" w:hAnsi="Times New Roman" w:cs="Times New Roman"/>
                <w:sz w:val="20"/>
                <w:szCs w:val="20"/>
              </w:rPr>
              <w:t xml:space="preserve">, section </w:t>
            </w:r>
            <w:r w:rsidRPr="00FC6043">
              <w:rPr>
                <w:rFonts w:ascii="Times New Roman" w:eastAsia="Calibri" w:hAnsi="Times New Roman" w:cs="Times New Roman"/>
                <w:b/>
                <w:bCs/>
                <w:sz w:val="20"/>
                <w:szCs w:val="20"/>
              </w:rPr>
              <w:t>5. Physical Needs Assessments</w:t>
            </w:r>
            <w:r w:rsidRPr="00FC6043">
              <w:rPr>
                <w:rFonts w:ascii="Times New Roman" w:eastAsia="Calibri" w:hAnsi="Times New Roman" w:cs="Times New Roman"/>
                <w:sz w:val="20"/>
                <w:szCs w:val="20"/>
              </w:rPr>
              <w:t xml:space="preserve">, subsection </w:t>
            </w:r>
            <w:r w:rsidRPr="00FC6043">
              <w:rPr>
                <w:rFonts w:ascii="Times New Roman" w:eastAsia="Calibri" w:hAnsi="Times New Roman" w:cs="Times New Roman"/>
                <w:b/>
                <w:bCs/>
                <w:sz w:val="20"/>
                <w:szCs w:val="20"/>
              </w:rPr>
              <w:t xml:space="preserve">A. “Qualified Consultant.” </w:t>
            </w:r>
            <w:r w:rsidRPr="00FC6043">
              <w:rPr>
                <w:rFonts w:ascii="Times New Roman" w:eastAsia="Calibri" w:hAnsi="Times New Roman" w:cs="Times New Roman"/>
                <w:sz w:val="20"/>
                <w:szCs w:val="20"/>
              </w:rPr>
              <w:t>The report must include a certification that the report was prepared by an individual who meets the above-listed experience requirements and qualifications to be considered a Qualified Consultant.</w:t>
            </w:r>
          </w:p>
        </w:tc>
      </w:tr>
      <w:tr w:rsidR="00CF5712" w:rsidRPr="00FC6043" w14:paraId="7C7330FA" w14:textId="77777777" w:rsidTr="1995616E">
        <w:trPr>
          <w:jc w:val="center"/>
        </w:trPr>
        <w:tc>
          <w:tcPr>
            <w:tcW w:w="2157" w:type="dxa"/>
            <w:shd w:val="clear" w:color="auto" w:fill="auto"/>
            <w:tcMar>
              <w:top w:w="72" w:type="dxa"/>
              <w:left w:w="115" w:type="dxa"/>
              <w:bottom w:w="72" w:type="dxa"/>
              <w:right w:w="115" w:type="dxa"/>
            </w:tcMar>
            <w:vAlign w:val="center"/>
          </w:tcPr>
          <w:p w14:paraId="66DEF24C"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12023F21"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2.17</w:t>
            </w:r>
          </w:p>
          <w:p w14:paraId="7B3C8F94"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Threshold Criteria;</w:t>
            </w:r>
          </w:p>
          <w:p w14:paraId="5D5D229D"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lastRenderedPageBreak/>
              <w:t>Building Sustainability</w:t>
            </w:r>
          </w:p>
        </w:tc>
        <w:tc>
          <w:tcPr>
            <w:tcW w:w="9590" w:type="dxa"/>
            <w:shd w:val="clear" w:color="auto" w:fill="auto"/>
            <w:tcMar>
              <w:top w:w="72" w:type="dxa"/>
              <w:left w:w="115" w:type="dxa"/>
              <w:bottom w:w="72" w:type="dxa"/>
              <w:right w:w="115" w:type="dxa"/>
            </w:tcMar>
            <w:vAlign w:val="center"/>
          </w:tcPr>
          <w:p w14:paraId="5905D8FF"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lastRenderedPageBreak/>
              <w:t>Question</w:t>
            </w:r>
            <w:r w:rsidRPr="00FC6043">
              <w:rPr>
                <w:rStyle w:val="normaltextrun"/>
                <w:sz w:val="20"/>
                <w:szCs w:val="20"/>
              </w:rPr>
              <w:t>: Q1221_01</w:t>
            </w:r>
            <w:r w:rsidRPr="00FC6043">
              <w:rPr>
                <w:rStyle w:val="eop"/>
                <w:sz w:val="20"/>
                <w:szCs w:val="20"/>
              </w:rPr>
              <w:t> </w:t>
            </w:r>
          </w:p>
          <w:p w14:paraId="5062810F"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lastRenderedPageBreak/>
              <w:t xml:space="preserve">(Threshold) Building Sustainability, C. DCA Building Sustainability </w:t>
            </w:r>
            <w:r w:rsidRPr="00FC6043">
              <w:rPr>
                <w:rStyle w:val="normaltextrun"/>
                <w:sz w:val="20"/>
                <w:szCs w:val="20"/>
              </w:rPr>
              <w:t>requires applicants to complete DCA’s virtual Building Sustainability training. Who is required to obtain the training and certificate, and how can that person obtain the training and certificate?</w:t>
            </w:r>
            <w:r w:rsidRPr="00FC6043">
              <w:rPr>
                <w:rStyle w:val="eop"/>
                <w:sz w:val="20"/>
                <w:szCs w:val="20"/>
              </w:rPr>
              <w:t> </w:t>
            </w:r>
          </w:p>
          <w:p w14:paraId="6DFDEECB"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41BED37D"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50C4320F"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Applicants (defined as “the General Partner” in the QAP) must complete DCA’s virtual Building Sustainability training.</w:t>
            </w:r>
            <w:r w:rsidRPr="00FC6043">
              <w:rPr>
                <w:rStyle w:val="eop"/>
                <w:sz w:val="20"/>
                <w:szCs w:val="20"/>
              </w:rPr>
              <w:t> </w:t>
            </w:r>
          </w:p>
          <w:p w14:paraId="11C14683"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3EBAD9FE" w14:textId="77777777" w:rsidR="00CF5712" w:rsidRPr="00FC6043" w:rsidRDefault="00CF5712" w:rsidP="00304B2F">
            <w:pPr>
              <w:pStyle w:val="paragraph"/>
              <w:spacing w:before="0" w:beforeAutospacing="0" w:after="0" w:afterAutospacing="0"/>
              <w:textAlignment w:val="baseline"/>
              <w:rPr>
                <w:sz w:val="20"/>
                <w:szCs w:val="20"/>
              </w:rPr>
            </w:pPr>
            <w:r w:rsidRPr="00FC6043">
              <w:rPr>
                <w:sz w:val="20"/>
                <w:szCs w:val="20"/>
              </w:rPr>
              <w:t>The training is posted to the DCA YouTube page (</w:t>
            </w:r>
            <w:hyperlink r:id="rId39" w:tgtFrame="_blank" w:history="1">
              <w:r w:rsidRPr="00FC6043">
                <w:rPr>
                  <w:rStyle w:val="normaltextrun"/>
                  <w:sz w:val="20"/>
                  <w:szCs w:val="20"/>
                  <w:u w:val="single"/>
                </w:rPr>
                <w:t>click here</w:t>
              </w:r>
            </w:hyperlink>
            <w:r w:rsidRPr="00FC6043">
              <w:rPr>
                <w:sz w:val="20"/>
                <w:szCs w:val="20"/>
              </w:rPr>
              <w:t>).</w:t>
            </w:r>
          </w:p>
          <w:p w14:paraId="2149CD47" w14:textId="77777777" w:rsidR="00CF5712" w:rsidRPr="00FC6043" w:rsidRDefault="00CF5712" w:rsidP="00304B2F">
            <w:pPr>
              <w:pStyle w:val="paragraph"/>
              <w:spacing w:before="0" w:beforeAutospacing="0" w:after="0" w:afterAutospacing="0"/>
              <w:textAlignment w:val="baseline"/>
              <w:rPr>
                <w:rStyle w:val="normaltextrun"/>
                <w:b/>
                <w:bCs/>
                <w:sz w:val="20"/>
                <w:szCs w:val="20"/>
              </w:rPr>
            </w:pPr>
          </w:p>
          <w:p w14:paraId="2754D4C4" w14:textId="77777777" w:rsidR="00CF5712" w:rsidRPr="00FC6043" w:rsidRDefault="00CF5712" w:rsidP="00304B2F">
            <w:pPr>
              <w:pStyle w:val="paragraph"/>
              <w:spacing w:before="0" w:beforeAutospacing="0" w:after="0" w:afterAutospacing="0"/>
              <w:textAlignment w:val="baseline"/>
              <w:rPr>
                <w:rStyle w:val="normaltextrun"/>
                <w:b/>
                <w:bCs/>
                <w:sz w:val="20"/>
                <w:szCs w:val="20"/>
              </w:rPr>
            </w:pPr>
            <w:r w:rsidRPr="00FC6043">
              <w:rPr>
                <w:rStyle w:val="normaltextrun"/>
                <w:sz w:val="20"/>
                <w:szCs w:val="20"/>
                <w:shd w:val="clear" w:color="auto" w:fill="FFFFFF"/>
              </w:rPr>
              <w:t>Please note, the YouTube video will not generate a Certificate of Participation.  Applicants will certify completion of the training in the Building Sustainability section of the Core Application, which will also include a link to the Building Sustainability training video linked above.</w:t>
            </w:r>
          </w:p>
        </w:tc>
      </w:tr>
      <w:tr w:rsidR="00CF5712" w:rsidRPr="00FC6043" w14:paraId="6BA210E3" w14:textId="77777777" w:rsidTr="1995616E">
        <w:trPr>
          <w:jc w:val="center"/>
        </w:trPr>
        <w:tc>
          <w:tcPr>
            <w:tcW w:w="2157" w:type="dxa"/>
            <w:shd w:val="clear" w:color="auto" w:fill="auto"/>
            <w:tcMar>
              <w:top w:w="72" w:type="dxa"/>
              <w:left w:w="115" w:type="dxa"/>
              <w:bottom w:w="72" w:type="dxa"/>
              <w:right w:w="115" w:type="dxa"/>
            </w:tcMar>
            <w:vAlign w:val="center"/>
          </w:tcPr>
          <w:p w14:paraId="6A2AD57D"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4/14/22</w:t>
            </w:r>
          </w:p>
        </w:tc>
        <w:tc>
          <w:tcPr>
            <w:tcW w:w="2198" w:type="dxa"/>
            <w:shd w:val="clear" w:color="auto" w:fill="auto"/>
            <w:tcMar>
              <w:top w:w="72" w:type="dxa"/>
              <w:left w:w="115" w:type="dxa"/>
              <w:bottom w:w="72" w:type="dxa"/>
              <w:right w:w="115" w:type="dxa"/>
            </w:tcMar>
            <w:vAlign w:val="center"/>
          </w:tcPr>
          <w:p w14:paraId="084D0131"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2.21</w:t>
            </w:r>
          </w:p>
          <w:p w14:paraId="0D33740B"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Threshold Criteria;</w:t>
            </w:r>
          </w:p>
          <w:p w14:paraId="09F7892A"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Eligibility for Credit Under the Preservation Set Asides</w:t>
            </w:r>
          </w:p>
        </w:tc>
        <w:tc>
          <w:tcPr>
            <w:tcW w:w="9590" w:type="dxa"/>
            <w:shd w:val="clear" w:color="auto" w:fill="auto"/>
            <w:tcMar>
              <w:top w:w="72" w:type="dxa"/>
              <w:left w:w="115" w:type="dxa"/>
              <w:bottom w:w="72" w:type="dxa"/>
              <w:right w:w="115" w:type="dxa"/>
            </w:tcMar>
            <w:vAlign w:val="center"/>
          </w:tcPr>
          <w:p w14:paraId="7855C873"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Q22_0405_01 </w:t>
            </w:r>
          </w:p>
          <w:p w14:paraId="0DF7ECD3"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If a project qualifies as a Preservation 9% HTC and a Preservation 9% HUD, are we allowed to apply under both categories for a single project? </w:t>
            </w:r>
          </w:p>
          <w:p w14:paraId="7B4516AB"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24838AEB"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65752951"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The QAP states in </w:t>
            </w:r>
            <w:r w:rsidRPr="00FC6043">
              <w:rPr>
                <w:rFonts w:ascii="Times New Roman" w:eastAsia="Times New Roman" w:hAnsi="Times New Roman" w:cs="Times New Roman"/>
                <w:b/>
                <w:bCs/>
                <w:sz w:val="20"/>
                <w:szCs w:val="20"/>
              </w:rPr>
              <w:t>(Threshold) Eligibility for Credit Under the Preservation Set Asides</w:t>
            </w:r>
            <w:r w:rsidRPr="00FC6043">
              <w:rPr>
                <w:rFonts w:ascii="Times New Roman" w:eastAsia="Times New Roman" w:hAnsi="Times New Roman" w:cs="Times New Roman"/>
                <w:sz w:val="20"/>
                <w:szCs w:val="20"/>
              </w:rPr>
              <w:t>, “Applications may not compete in multiple preservation set asides.” This was intended to address the staff time associated with separately-ranked Preservation Set Asides and, in certain instances, the distinct scoring criteria between set asides.  </w:t>
            </w:r>
          </w:p>
          <w:p w14:paraId="5ABF015C"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6CA406B4"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Since the QAP defines an “Application” based on “the set of required and requested documents” rather than a specific development, a project team interested in submitting the same development for multiple Preservation Set Asides can submit multiple applications and associated fees.</w:t>
            </w:r>
          </w:p>
        </w:tc>
      </w:tr>
      <w:tr w:rsidR="00CF5712" w:rsidRPr="00FC6043" w14:paraId="34E85CD5" w14:textId="77777777" w:rsidTr="1995616E">
        <w:trPr>
          <w:jc w:val="center"/>
        </w:trPr>
        <w:tc>
          <w:tcPr>
            <w:tcW w:w="2157" w:type="dxa"/>
            <w:shd w:val="clear" w:color="auto" w:fill="auto"/>
            <w:tcMar>
              <w:top w:w="72" w:type="dxa"/>
              <w:left w:w="115" w:type="dxa"/>
              <w:bottom w:w="72" w:type="dxa"/>
              <w:right w:w="115" w:type="dxa"/>
            </w:tcMar>
            <w:vAlign w:val="center"/>
          </w:tcPr>
          <w:p w14:paraId="436ECB14"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0C71866D"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3.06</w:t>
            </w:r>
          </w:p>
          <w:p w14:paraId="7A3EB400"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528C4AE0"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Community Transportation Options</w:t>
            </w:r>
          </w:p>
        </w:tc>
        <w:tc>
          <w:tcPr>
            <w:tcW w:w="9590" w:type="dxa"/>
            <w:shd w:val="clear" w:color="auto" w:fill="auto"/>
            <w:tcMar>
              <w:top w:w="72" w:type="dxa"/>
              <w:left w:w="115" w:type="dxa"/>
              <w:bottom w:w="72" w:type="dxa"/>
              <w:right w:w="115" w:type="dxa"/>
            </w:tcMar>
            <w:vAlign w:val="center"/>
          </w:tcPr>
          <w:p w14:paraId="6B215C59"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Q22_0330_02</w:t>
            </w:r>
          </w:p>
          <w:p w14:paraId="79E0AE86" w14:textId="77777777" w:rsidR="00CF5712" w:rsidRPr="00FC6043" w:rsidRDefault="00CF5712"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 </w:t>
            </w:r>
            <w:r w:rsidRPr="00FC6043">
              <w:rPr>
                <w:rFonts w:ascii="Times New Roman" w:eastAsia="Times New Roman" w:hAnsi="Times New Roman" w:cs="Times New Roman"/>
                <w:b/>
                <w:bCs/>
                <w:sz w:val="20"/>
                <w:szCs w:val="20"/>
              </w:rPr>
              <w:t>(Scoring) Community Transportation Options, A. Transit-Oriented Development</w:t>
            </w:r>
            <w:r w:rsidRPr="00FC6043">
              <w:rPr>
                <w:rFonts w:ascii="Times New Roman" w:eastAsia="Times New Roman" w:hAnsi="Times New Roman" w:cs="Times New Roman"/>
                <w:sz w:val="20"/>
                <w:szCs w:val="20"/>
              </w:rPr>
              <w:t xml:space="preserve"> defines a transit hub as "a station that has three or more bus routes, rail options, and/or other affordable mass transit options". In prior rounds, points have been awarded for various types of transit hubs (e.g.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14:paraId="3B9455F9" w14:textId="77777777" w:rsidR="00CF5712" w:rsidRPr="00FC6043" w:rsidRDefault="00CF5712" w:rsidP="00304B2F">
            <w:pPr>
              <w:rPr>
                <w:rFonts w:ascii="Times New Roman" w:eastAsia="Times New Roman" w:hAnsi="Times New Roman" w:cs="Times New Roman"/>
                <w:sz w:val="20"/>
                <w:szCs w:val="20"/>
              </w:rPr>
            </w:pPr>
          </w:p>
          <w:p w14:paraId="44B2FEB5" w14:textId="77777777" w:rsidR="00CF5712" w:rsidRPr="00FC6043" w:rsidRDefault="00CF5712"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Could a series of bus stops in very close proximity constitute a station? For example, a series of 3 distinct MARTA bus stops in downtown Hapeville are within a ~725 foot walk of each other. Compare the proximity of these stops to MARTA's Lindbergh Center Transit Station in Atlanta. Lindbergh's two bus loops are separated by an ~825 foot walk (~100 feet farther apart than the series of bus stops in Hapeville). Could the series of bus stops in downtown </w:t>
            </w:r>
            <w:r w:rsidRPr="00FC6043">
              <w:rPr>
                <w:rFonts w:ascii="Times New Roman" w:eastAsia="Times New Roman" w:hAnsi="Times New Roman" w:cs="Times New Roman"/>
                <w:sz w:val="20"/>
                <w:szCs w:val="20"/>
              </w:rPr>
              <w:lastRenderedPageBreak/>
              <w:t xml:space="preserve">Hapeville constitute a station/transit hub, given that they are in closer proximity than the bus loops of Lindbergh Station? </w:t>
            </w:r>
          </w:p>
          <w:p w14:paraId="21E24A03" w14:textId="77777777" w:rsidR="00CF5712" w:rsidRPr="00FC6043" w:rsidRDefault="00CF5712" w:rsidP="00304B2F">
            <w:pPr>
              <w:contextualSpacing/>
              <w:rPr>
                <w:rFonts w:ascii="Times New Roman" w:hAnsi="Times New Roman" w:cs="Times New Roman"/>
                <w:sz w:val="20"/>
                <w:szCs w:val="20"/>
              </w:rPr>
            </w:pPr>
          </w:p>
          <w:p w14:paraId="013E09EB"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w:t>
            </w:r>
          </w:p>
          <w:p w14:paraId="440F3205" w14:textId="77777777" w:rsidR="00CF5712" w:rsidRPr="00FC6043" w:rsidRDefault="00CF5712"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While the term station is not more specifically defined in the QAP, it does refer to transit lines operating at a single overarching location. </w:t>
            </w:r>
          </w:p>
          <w:p w14:paraId="15FEC5C2" w14:textId="77777777" w:rsidR="00CF5712" w:rsidRPr="00FC6043" w:rsidRDefault="00CF5712" w:rsidP="00304B2F">
            <w:pPr>
              <w:rPr>
                <w:rFonts w:ascii="Times New Roman" w:eastAsia="Times New Roman" w:hAnsi="Times New Roman" w:cs="Times New Roman"/>
                <w:sz w:val="20"/>
                <w:szCs w:val="20"/>
              </w:rPr>
            </w:pPr>
          </w:p>
          <w:p w14:paraId="69F55D8B" w14:textId="77777777" w:rsidR="00CF5712" w:rsidRPr="00FC6043" w:rsidRDefault="00CF5712"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Further, the example described above (three bus stops) would, on its own, be insufficient to qualify as a transit station under the QAP definition. </w:t>
            </w:r>
            <w:r w:rsidRPr="00FC6043">
              <w:rPr>
                <w:rFonts w:ascii="Times New Roman" w:eastAsia="Times New Roman" w:hAnsi="Times New Roman" w:cs="Times New Roman"/>
                <w:sz w:val="20"/>
                <w:szCs w:val="20"/>
              </w:rPr>
              <w:br/>
            </w:r>
          </w:p>
          <w:p w14:paraId="051294F0" w14:textId="77777777" w:rsidR="00CF5712" w:rsidRPr="00FC6043" w:rsidRDefault="00CF5712" w:rsidP="00304B2F">
            <w:pPr>
              <w:rPr>
                <w:rStyle w:val="normaltextrun"/>
                <w:rFonts w:ascii="Times New Roman" w:hAnsi="Times New Roman" w:cs="Times New Roman"/>
                <w:b/>
                <w:bCs/>
                <w:sz w:val="20"/>
                <w:szCs w:val="20"/>
              </w:rPr>
            </w:pPr>
            <w:r w:rsidRPr="00FC6043">
              <w:rPr>
                <w:rFonts w:ascii="Times New Roman" w:eastAsia="Times New Roman" w:hAnsi="Times New Roman" w:cs="Times New Roman"/>
                <w:sz w:val="20"/>
                <w:szCs w:val="20"/>
              </w:rPr>
              <w:t>A series of bus stops in close proximity does not constitute a transit hub.</w:t>
            </w:r>
          </w:p>
        </w:tc>
      </w:tr>
      <w:tr w:rsidR="00CF5712" w:rsidRPr="00FC6043" w14:paraId="45B1AF9C" w14:textId="77777777" w:rsidTr="1995616E">
        <w:trPr>
          <w:jc w:val="center"/>
        </w:trPr>
        <w:tc>
          <w:tcPr>
            <w:tcW w:w="2157" w:type="dxa"/>
            <w:shd w:val="clear" w:color="auto" w:fill="auto"/>
            <w:tcMar>
              <w:top w:w="72" w:type="dxa"/>
              <w:left w:w="115" w:type="dxa"/>
              <w:bottom w:w="72" w:type="dxa"/>
              <w:right w:w="115" w:type="dxa"/>
            </w:tcMar>
            <w:vAlign w:val="center"/>
          </w:tcPr>
          <w:p w14:paraId="513E2035"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4/14/22</w:t>
            </w:r>
          </w:p>
        </w:tc>
        <w:tc>
          <w:tcPr>
            <w:tcW w:w="2198" w:type="dxa"/>
            <w:shd w:val="clear" w:color="auto" w:fill="auto"/>
            <w:tcMar>
              <w:top w:w="72" w:type="dxa"/>
              <w:left w:w="115" w:type="dxa"/>
              <w:bottom w:w="72" w:type="dxa"/>
              <w:right w:w="115" w:type="dxa"/>
            </w:tcMar>
            <w:vAlign w:val="center"/>
          </w:tcPr>
          <w:p w14:paraId="5766805F"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3.09</w:t>
            </w:r>
          </w:p>
          <w:p w14:paraId="1257A4AA"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4754D3AA"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Community Transformation</w:t>
            </w:r>
          </w:p>
        </w:tc>
        <w:tc>
          <w:tcPr>
            <w:tcW w:w="9590" w:type="dxa"/>
            <w:shd w:val="clear" w:color="auto" w:fill="auto"/>
            <w:tcMar>
              <w:top w:w="72" w:type="dxa"/>
              <w:left w:w="115" w:type="dxa"/>
              <w:bottom w:w="72" w:type="dxa"/>
              <w:right w:w="115" w:type="dxa"/>
            </w:tcMar>
            <w:vAlign w:val="center"/>
          </w:tcPr>
          <w:p w14:paraId="1C490CA8"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t>Question: Q22_0330_03</w:t>
            </w:r>
            <w:r w:rsidRPr="00FC6043">
              <w:rPr>
                <w:rStyle w:val="eop"/>
                <w:sz w:val="20"/>
                <w:szCs w:val="20"/>
              </w:rPr>
              <w:t> </w:t>
            </w:r>
          </w:p>
          <w:p w14:paraId="39775216"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 xml:space="preserve">The applicant submitted several questions related to phased developments with the same underlying </w:t>
            </w:r>
            <w:r w:rsidRPr="00FC6043">
              <w:rPr>
                <w:rStyle w:val="normaltextrun"/>
                <w:b/>
                <w:bCs/>
                <w:sz w:val="20"/>
                <w:szCs w:val="20"/>
              </w:rPr>
              <w:t>Community Transformation</w:t>
            </w:r>
            <w:r w:rsidRPr="00FC6043">
              <w:rPr>
                <w:rStyle w:val="normaltextrun"/>
                <w:sz w:val="20"/>
                <w:szCs w:val="20"/>
              </w:rPr>
              <w:t xml:space="preserve"> team and plan, paired with answers below. </w:t>
            </w:r>
            <w:r w:rsidRPr="00FC6043">
              <w:rPr>
                <w:rStyle w:val="eop"/>
                <w:sz w:val="20"/>
                <w:szCs w:val="20"/>
              </w:rPr>
              <w:t> </w:t>
            </w:r>
          </w:p>
          <w:p w14:paraId="3194F3A7"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3A542975"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w:t>
            </w:r>
            <w:r w:rsidRPr="00FC6043">
              <w:rPr>
                <w:rStyle w:val="eop"/>
                <w:sz w:val="20"/>
                <w:szCs w:val="20"/>
              </w:rPr>
              <w:t> </w:t>
            </w:r>
          </w:p>
          <w:p w14:paraId="49C73489"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i/>
                <w:iCs/>
                <w:sz w:val="20"/>
                <w:szCs w:val="20"/>
              </w:rPr>
              <w:t>“For phased developments that received Community Transformation points in the initial phase, what is required to claim points for subsequent phases?” </w:t>
            </w:r>
            <w:r w:rsidRPr="00FC6043">
              <w:rPr>
                <w:rStyle w:val="eop"/>
                <w:sz w:val="20"/>
                <w:szCs w:val="20"/>
              </w:rPr>
              <w:t> </w:t>
            </w:r>
          </w:p>
          <w:p w14:paraId="7A374D19" w14:textId="77777777" w:rsidR="00CF5712" w:rsidRPr="00FC6043" w:rsidRDefault="00CF5712" w:rsidP="00304B2F">
            <w:pPr>
              <w:pStyle w:val="paragraph"/>
              <w:spacing w:before="0" w:beforeAutospacing="0" w:after="0" w:afterAutospacing="0"/>
              <w:textAlignment w:val="baseline"/>
              <w:rPr>
                <w:rStyle w:val="eop"/>
                <w:sz w:val="20"/>
                <w:szCs w:val="20"/>
              </w:rPr>
            </w:pPr>
            <w:r w:rsidRPr="00FC6043">
              <w:rPr>
                <w:rStyle w:val="normaltextrun"/>
                <w:i/>
                <w:iCs/>
                <w:sz w:val="20"/>
                <w:szCs w:val="20"/>
              </w:rPr>
              <w:t>“Do the points originally awarded to the project apply to both phases or would the second phase submission need to compete for the limited supply of points in the current round?”</w:t>
            </w:r>
            <w:r w:rsidRPr="00FC6043">
              <w:rPr>
                <w:rStyle w:val="eop"/>
                <w:sz w:val="20"/>
                <w:szCs w:val="20"/>
              </w:rPr>
              <w:t> </w:t>
            </w:r>
          </w:p>
          <w:p w14:paraId="3695B669" w14:textId="77777777" w:rsidR="00CF5712" w:rsidRPr="00FC6043" w:rsidRDefault="00CF5712" w:rsidP="00304B2F">
            <w:pPr>
              <w:pStyle w:val="paragraph"/>
              <w:spacing w:before="0" w:beforeAutospacing="0" w:after="0" w:afterAutospacing="0"/>
              <w:textAlignment w:val="baseline"/>
              <w:rPr>
                <w:sz w:val="20"/>
                <w:szCs w:val="20"/>
              </w:rPr>
            </w:pPr>
          </w:p>
          <w:p w14:paraId="2883BD93" w14:textId="77777777" w:rsidR="00CF5712" w:rsidRPr="00FC6043" w:rsidRDefault="00CF5712" w:rsidP="00304B2F">
            <w:pPr>
              <w:pStyle w:val="paragraph"/>
              <w:spacing w:before="0" w:beforeAutospacing="0" w:after="0" w:afterAutospacing="0"/>
              <w:ind w:left="720"/>
              <w:textAlignment w:val="baseline"/>
              <w:rPr>
                <w:sz w:val="20"/>
                <w:szCs w:val="20"/>
              </w:rPr>
            </w:pPr>
            <w:r w:rsidRPr="00FC6043">
              <w:rPr>
                <w:rStyle w:val="normaltextrun"/>
                <w:b/>
                <w:bCs/>
                <w:sz w:val="20"/>
                <w:szCs w:val="20"/>
              </w:rPr>
              <w:t>(Scoring) Community Transformation</w:t>
            </w:r>
            <w:r w:rsidRPr="00FC6043">
              <w:rPr>
                <w:rStyle w:val="normaltextrun"/>
                <w:sz w:val="20"/>
                <w:szCs w:val="20"/>
              </w:rPr>
              <w:t xml:space="preserve"> points received by an application in one Competitive Round are only applicable to said application for said round. DCA staff will review the 2022 application without consideration for the first except where explicitly stated in the QAP (e.g., </w:t>
            </w:r>
            <w:r w:rsidRPr="00FC6043">
              <w:rPr>
                <w:rStyle w:val="normaltextrun"/>
                <w:b/>
                <w:bCs/>
                <w:sz w:val="20"/>
                <w:szCs w:val="20"/>
              </w:rPr>
              <w:t>(Scoring) Community Transformation</w:t>
            </w:r>
            <w:r w:rsidRPr="00FC6043">
              <w:rPr>
                <w:rStyle w:val="normaltextrun"/>
                <w:sz w:val="20"/>
                <w:szCs w:val="20"/>
              </w:rPr>
              <w:t xml:space="preserve">, subsection </w:t>
            </w:r>
            <w:r w:rsidRPr="00FC6043">
              <w:rPr>
                <w:rStyle w:val="normaltextrun"/>
                <w:b/>
                <w:bCs/>
                <w:sz w:val="20"/>
                <w:szCs w:val="20"/>
              </w:rPr>
              <w:t>A. Community-Based Developer</w:t>
            </w:r>
            <w:r w:rsidRPr="00FC6043">
              <w:rPr>
                <w:rStyle w:val="normaltextrun"/>
                <w:sz w:val="20"/>
                <w:szCs w:val="20"/>
              </w:rPr>
              <w:t xml:space="preserve">, item </w:t>
            </w:r>
            <w:r w:rsidRPr="00FC6043">
              <w:rPr>
                <w:rStyle w:val="normaltextrun"/>
                <w:b/>
                <w:bCs/>
                <w:sz w:val="20"/>
                <w:szCs w:val="20"/>
              </w:rPr>
              <w:t>4. Equitable Allocation</w:t>
            </w:r>
            <w:r w:rsidRPr="00FC6043">
              <w:rPr>
                <w:rStyle w:val="normaltextrun"/>
                <w:sz w:val="20"/>
                <w:szCs w:val="20"/>
              </w:rPr>
              <w:t>).</w:t>
            </w:r>
            <w:r w:rsidRPr="00FC6043">
              <w:rPr>
                <w:rStyle w:val="eop"/>
                <w:sz w:val="20"/>
                <w:szCs w:val="20"/>
              </w:rPr>
              <w:t> </w:t>
            </w:r>
          </w:p>
          <w:p w14:paraId="610C8BAA" w14:textId="77777777" w:rsidR="00CF5712" w:rsidRPr="00FC6043" w:rsidRDefault="00CF5712" w:rsidP="00304B2F">
            <w:pPr>
              <w:pStyle w:val="paragraph"/>
              <w:spacing w:before="0" w:beforeAutospacing="0" w:after="0" w:afterAutospacing="0"/>
              <w:textAlignment w:val="baseline"/>
              <w:rPr>
                <w:rStyle w:val="normaltextrun"/>
                <w:i/>
                <w:iCs/>
                <w:sz w:val="20"/>
                <w:szCs w:val="20"/>
              </w:rPr>
            </w:pPr>
          </w:p>
          <w:p w14:paraId="3956DBBD" w14:textId="77777777" w:rsidR="00CF5712" w:rsidRPr="00FC6043" w:rsidRDefault="00CF5712" w:rsidP="00304B2F">
            <w:pPr>
              <w:pStyle w:val="paragraph"/>
              <w:spacing w:before="0" w:beforeAutospacing="0" w:after="0" w:afterAutospacing="0"/>
              <w:textAlignment w:val="baseline"/>
              <w:rPr>
                <w:rStyle w:val="eop"/>
                <w:sz w:val="20"/>
                <w:szCs w:val="20"/>
              </w:rPr>
            </w:pPr>
            <w:r w:rsidRPr="00FC6043">
              <w:rPr>
                <w:rStyle w:val="normaltextrun"/>
                <w:i/>
                <w:iCs/>
                <w:sz w:val="20"/>
                <w:szCs w:val="20"/>
              </w:rPr>
              <w:t>“Can the same community-based team and CQB be used for both phases?”</w:t>
            </w:r>
            <w:r w:rsidRPr="00FC6043">
              <w:rPr>
                <w:rStyle w:val="eop"/>
                <w:sz w:val="20"/>
                <w:szCs w:val="20"/>
              </w:rPr>
              <w:t> </w:t>
            </w:r>
          </w:p>
          <w:p w14:paraId="5438B97A" w14:textId="77777777" w:rsidR="00CF5712" w:rsidRPr="00FC6043" w:rsidRDefault="00CF5712" w:rsidP="00304B2F">
            <w:pPr>
              <w:pStyle w:val="paragraph"/>
              <w:spacing w:before="0" w:beforeAutospacing="0" w:after="0" w:afterAutospacing="0"/>
              <w:textAlignment w:val="baseline"/>
              <w:rPr>
                <w:sz w:val="20"/>
                <w:szCs w:val="20"/>
              </w:rPr>
            </w:pPr>
          </w:p>
          <w:p w14:paraId="1F3052AA" w14:textId="77777777" w:rsidR="00CF5712" w:rsidRPr="00FC6043" w:rsidRDefault="00CF5712" w:rsidP="00304B2F">
            <w:pPr>
              <w:pStyle w:val="paragraph"/>
              <w:spacing w:before="0" w:beforeAutospacing="0" w:after="0" w:afterAutospacing="0"/>
              <w:ind w:left="720"/>
              <w:textAlignment w:val="baseline"/>
              <w:rPr>
                <w:sz w:val="20"/>
                <w:szCs w:val="20"/>
              </w:rPr>
            </w:pPr>
            <w:r w:rsidRPr="00FC6043">
              <w:rPr>
                <w:rStyle w:val="normaltextrun"/>
                <w:sz w:val="20"/>
                <w:szCs w:val="20"/>
              </w:rPr>
              <w:t>Yes. The QAP does not prohibit use of the same community-based team or CQB.</w:t>
            </w:r>
            <w:r w:rsidRPr="00FC6043">
              <w:rPr>
                <w:rStyle w:val="eop"/>
                <w:sz w:val="20"/>
                <w:szCs w:val="20"/>
              </w:rPr>
              <w:t> </w:t>
            </w:r>
          </w:p>
          <w:p w14:paraId="1BE01954" w14:textId="77777777" w:rsidR="00CF5712" w:rsidRPr="00FC6043" w:rsidRDefault="00CF5712" w:rsidP="00304B2F">
            <w:pPr>
              <w:pStyle w:val="paragraph"/>
              <w:spacing w:before="0" w:beforeAutospacing="0" w:after="0" w:afterAutospacing="0"/>
              <w:textAlignment w:val="baseline"/>
              <w:rPr>
                <w:rStyle w:val="normaltextrun"/>
                <w:i/>
                <w:iCs/>
                <w:sz w:val="20"/>
                <w:szCs w:val="20"/>
              </w:rPr>
            </w:pPr>
          </w:p>
          <w:p w14:paraId="7F386F9F" w14:textId="77777777" w:rsidR="00CF5712" w:rsidRPr="00FC6043" w:rsidRDefault="00CF5712" w:rsidP="00304B2F">
            <w:pPr>
              <w:pStyle w:val="paragraph"/>
              <w:spacing w:before="0" w:beforeAutospacing="0" w:after="0" w:afterAutospacing="0"/>
              <w:textAlignment w:val="baseline"/>
              <w:rPr>
                <w:rStyle w:val="eop"/>
                <w:sz w:val="20"/>
                <w:szCs w:val="20"/>
              </w:rPr>
            </w:pPr>
            <w:r w:rsidRPr="00FC6043">
              <w:rPr>
                <w:rStyle w:val="normaltextrun"/>
                <w:i/>
                <w:iCs/>
                <w:sz w:val="20"/>
                <w:szCs w:val="20"/>
              </w:rPr>
              <w:t>“Can the same Community Transformation Plan be used for both phases? If not, would an update to the original Community Transformation Plan suffice or would an entirely new plan be required?”</w:t>
            </w:r>
            <w:r w:rsidRPr="00FC6043">
              <w:rPr>
                <w:rStyle w:val="eop"/>
                <w:sz w:val="20"/>
                <w:szCs w:val="20"/>
              </w:rPr>
              <w:t> </w:t>
            </w:r>
          </w:p>
          <w:p w14:paraId="331F2B3C" w14:textId="77777777" w:rsidR="00CF5712" w:rsidRPr="00FC6043" w:rsidRDefault="00CF5712" w:rsidP="00304B2F">
            <w:pPr>
              <w:pStyle w:val="paragraph"/>
              <w:spacing w:before="0" w:beforeAutospacing="0" w:after="0" w:afterAutospacing="0"/>
              <w:textAlignment w:val="baseline"/>
              <w:rPr>
                <w:sz w:val="20"/>
                <w:szCs w:val="20"/>
              </w:rPr>
            </w:pPr>
          </w:p>
          <w:p w14:paraId="4DCA7C08" w14:textId="77777777" w:rsidR="00CF5712" w:rsidRPr="00FC6043" w:rsidRDefault="00CF5712" w:rsidP="00304B2F">
            <w:pPr>
              <w:pStyle w:val="paragraph"/>
              <w:spacing w:before="0" w:beforeAutospacing="0" w:after="0" w:afterAutospacing="0"/>
              <w:ind w:left="720"/>
              <w:textAlignment w:val="baseline"/>
              <w:rPr>
                <w:rStyle w:val="eop"/>
                <w:sz w:val="20"/>
                <w:szCs w:val="20"/>
              </w:rPr>
            </w:pPr>
            <w:r w:rsidRPr="00FC6043">
              <w:rPr>
                <w:rStyle w:val="normaltextrun"/>
                <w:sz w:val="20"/>
                <w:szCs w:val="20"/>
              </w:rPr>
              <w:t>The QAP specifies planning activities that must take place at certain times associated with the proposed development. These are applicable to the second phase. For example, “…Between notice of selection and 60 days prior to placed-in-service date…Undertake Community Engagement and Outreach as defined below…”</w:t>
            </w:r>
            <w:r w:rsidRPr="00FC6043">
              <w:rPr>
                <w:rStyle w:val="eop"/>
                <w:sz w:val="20"/>
                <w:szCs w:val="20"/>
              </w:rPr>
              <w:t> </w:t>
            </w:r>
          </w:p>
          <w:p w14:paraId="6C051393" w14:textId="77777777" w:rsidR="00CF5712" w:rsidRPr="00FC6043" w:rsidRDefault="00CF5712" w:rsidP="00304B2F">
            <w:pPr>
              <w:pStyle w:val="paragraph"/>
              <w:spacing w:before="0" w:beforeAutospacing="0" w:after="0" w:afterAutospacing="0"/>
              <w:ind w:left="720"/>
              <w:textAlignment w:val="baseline"/>
              <w:rPr>
                <w:sz w:val="20"/>
                <w:szCs w:val="20"/>
              </w:rPr>
            </w:pPr>
          </w:p>
          <w:p w14:paraId="19CCD1FC" w14:textId="77777777" w:rsidR="00CF5712" w:rsidRPr="00FC6043" w:rsidRDefault="00CF5712" w:rsidP="00304B2F">
            <w:pPr>
              <w:pStyle w:val="paragraph"/>
              <w:spacing w:before="0" w:beforeAutospacing="0" w:after="0" w:afterAutospacing="0"/>
              <w:ind w:left="720"/>
              <w:textAlignment w:val="baseline"/>
              <w:rPr>
                <w:sz w:val="20"/>
                <w:szCs w:val="20"/>
              </w:rPr>
            </w:pPr>
            <w:r w:rsidRPr="00FC6043">
              <w:rPr>
                <w:rStyle w:val="normaltextrun"/>
                <w:sz w:val="20"/>
                <w:szCs w:val="20"/>
              </w:rPr>
              <w:t>For all other requirements, yes, an updated plan suffices for the second phase. </w:t>
            </w:r>
            <w:r w:rsidRPr="00FC6043">
              <w:rPr>
                <w:rStyle w:val="eop"/>
                <w:sz w:val="20"/>
                <w:szCs w:val="20"/>
              </w:rPr>
              <w:t> </w:t>
            </w:r>
          </w:p>
          <w:p w14:paraId="61A07375" w14:textId="77777777" w:rsidR="00CF5712" w:rsidRPr="00FC6043" w:rsidRDefault="00CF5712" w:rsidP="00304B2F">
            <w:pPr>
              <w:pStyle w:val="paragraph"/>
              <w:spacing w:before="0" w:beforeAutospacing="0" w:after="0" w:afterAutospacing="0"/>
              <w:textAlignment w:val="baseline"/>
              <w:rPr>
                <w:rStyle w:val="normaltextrun"/>
                <w:i/>
                <w:iCs/>
                <w:sz w:val="20"/>
                <w:szCs w:val="20"/>
              </w:rPr>
            </w:pPr>
          </w:p>
          <w:p w14:paraId="637A3135" w14:textId="77777777" w:rsidR="00CF5712" w:rsidRPr="00FC6043" w:rsidRDefault="00CF5712" w:rsidP="00304B2F">
            <w:pPr>
              <w:pStyle w:val="paragraph"/>
              <w:spacing w:before="0" w:beforeAutospacing="0" w:after="0" w:afterAutospacing="0"/>
              <w:textAlignment w:val="baseline"/>
              <w:rPr>
                <w:rStyle w:val="eop"/>
                <w:sz w:val="20"/>
                <w:szCs w:val="20"/>
              </w:rPr>
            </w:pPr>
            <w:r w:rsidRPr="00FC6043">
              <w:rPr>
                <w:rStyle w:val="normaltextrun"/>
                <w:i/>
                <w:iCs/>
                <w:sz w:val="20"/>
                <w:szCs w:val="20"/>
              </w:rPr>
              <w:t>“Does the time between phases have any bearing on answers to the above questions (</w:t>
            </w:r>
            <w:r w:rsidRPr="00FC6043">
              <w:rPr>
                <w:rStyle w:val="contextualspellingandgrammarerror"/>
                <w:rFonts w:eastAsiaTheme="majorEastAsia"/>
                <w:i/>
                <w:iCs/>
                <w:sz w:val="20"/>
                <w:szCs w:val="20"/>
              </w:rPr>
              <w:t>e.g.</w:t>
            </w:r>
            <w:r w:rsidRPr="00FC6043">
              <w:rPr>
                <w:rStyle w:val="normaltextrun"/>
                <w:i/>
                <w:iCs/>
                <w:sz w:val="20"/>
                <w:szCs w:val="20"/>
              </w:rPr>
              <w:t xml:space="preserve"> if proposed phases are in back-to-back funding rounds)?”</w:t>
            </w:r>
            <w:r w:rsidRPr="00FC6043">
              <w:rPr>
                <w:rStyle w:val="eop"/>
                <w:sz w:val="20"/>
                <w:szCs w:val="20"/>
              </w:rPr>
              <w:t> </w:t>
            </w:r>
          </w:p>
          <w:p w14:paraId="61BEB90F" w14:textId="77777777" w:rsidR="00CF5712" w:rsidRPr="00FC6043" w:rsidRDefault="00CF5712" w:rsidP="00304B2F">
            <w:pPr>
              <w:pStyle w:val="paragraph"/>
              <w:spacing w:before="0" w:beforeAutospacing="0" w:after="0" w:afterAutospacing="0"/>
              <w:textAlignment w:val="baseline"/>
              <w:rPr>
                <w:sz w:val="20"/>
                <w:szCs w:val="20"/>
              </w:rPr>
            </w:pPr>
          </w:p>
          <w:p w14:paraId="6CCE697C" w14:textId="77777777" w:rsidR="00CF5712" w:rsidRPr="00FC6043" w:rsidRDefault="00CF5712" w:rsidP="00304B2F">
            <w:pPr>
              <w:pStyle w:val="paragraph"/>
              <w:spacing w:before="0" w:beforeAutospacing="0" w:after="0" w:afterAutospacing="0"/>
              <w:ind w:left="720"/>
              <w:textAlignment w:val="baseline"/>
              <w:rPr>
                <w:sz w:val="20"/>
                <w:szCs w:val="20"/>
              </w:rPr>
            </w:pPr>
            <w:r w:rsidRPr="00FC6043">
              <w:rPr>
                <w:rStyle w:val="normaltextrun"/>
                <w:sz w:val="20"/>
                <w:szCs w:val="20"/>
              </w:rPr>
              <w:t xml:space="preserve">Only where it is specifically mentioned in the QAP (e.g., item </w:t>
            </w:r>
            <w:r w:rsidRPr="00FC6043">
              <w:rPr>
                <w:rStyle w:val="normaltextrun"/>
                <w:b/>
                <w:bCs/>
                <w:sz w:val="20"/>
                <w:szCs w:val="20"/>
              </w:rPr>
              <w:t>4. Equitable Allocation</w:t>
            </w:r>
            <w:r w:rsidRPr="00FC6043">
              <w:rPr>
                <w:rStyle w:val="normaltextrun"/>
                <w:sz w:val="20"/>
                <w:szCs w:val="20"/>
              </w:rPr>
              <w:t>). </w:t>
            </w:r>
            <w:r w:rsidRPr="00FC6043">
              <w:rPr>
                <w:rStyle w:val="eop"/>
                <w:sz w:val="20"/>
                <w:szCs w:val="20"/>
              </w:rPr>
              <w:t> </w:t>
            </w:r>
          </w:p>
        </w:tc>
      </w:tr>
      <w:tr w:rsidR="00CF5712" w:rsidRPr="00FC6043" w14:paraId="6034578A" w14:textId="77777777" w:rsidTr="1995616E">
        <w:trPr>
          <w:jc w:val="center"/>
        </w:trPr>
        <w:tc>
          <w:tcPr>
            <w:tcW w:w="2157" w:type="dxa"/>
            <w:shd w:val="clear" w:color="auto" w:fill="auto"/>
            <w:tcMar>
              <w:top w:w="72" w:type="dxa"/>
              <w:left w:w="115" w:type="dxa"/>
              <w:bottom w:w="72" w:type="dxa"/>
              <w:right w:w="115" w:type="dxa"/>
            </w:tcMar>
            <w:vAlign w:val="center"/>
          </w:tcPr>
          <w:p w14:paraId="4CAACD5C"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4/14/22</w:t>
            </w:r>
          </w:p>
        </w:tc>
        <w:tc>
          <w:tcPr>
            <w:tcW w:w="2198" w:type="dxa"/>
            <w:shd w:val="clear" w:color="auto" w:fill="auto"/>
            <w:tcMar>
              <w:top w:w="72" w:type="dxa"/>
              <w:left w:w="115" w:type="dxa"/>
              <w:bottom w:w="72" w:type="dxa"/>
              <w:right w:w="115" w:type="dxa"/>
            </w:tcMar>
            <w:vAlign w:val="center"/>
          </w:tcPr>
          <w:p w14:paraId="4F952C85"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3.17</w:t>
            </w:r>
          </w:p>
          <w:p w14:paraId="28D9CBF3"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4671F6C1"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1D141CE9"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Q22_0221_05 </w:t>
            </w:r>
          </w:p>
          <w:p w14:paraId="27A5E579"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In DCA's </w:t>
            </w:r>
            <w:r w:rsidRPr="00FC6043">
              <w:rPr>
                <w:rFonts w:ascii="Times New Roman" w:eastAsia="Times New Roman" w:hAnsi="Times New Roman" w:cs="Times New Roman"/>
                <w:i/>
                <w:iCs/>
                <w:sz w:val="20"/>
                <w:szCs w:val="20"/>
              </w:rPr>
              <w:t>DCA Minority- and Women-Owned Business Engagement Policy</w:t>
            </w:r>
            <w:r w:rsidRPr="00FC6043">
              <w:rPr>
                <w:rFonts w:ascii="Times New Roman" w:eastAsia="Times New Roman" w:hAnsi="Times New Roman" w:cs="Times New Roman"/>
                <w:sz w:val="20"/>
                <w:szCs w:val="20"/>
              </w:rPr>
              <w:t xml:space="preserve"> document, one of the categories of the NAICS codes that deems a QB as certified is Public Administration. Does this mean public entities such as a redevelopment authority, land development agencies, building standards agencies, etc. can be MBE/WBEs?  </w:t>
            </w:r>
          </w:p>
          <w:p w14:paraId="226109BB"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7FBF1C4D"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61ADC037"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DCA does not qualify or disqualify specific types of organizations from participation. DCA staff will assess whether the QB meets all requirements listed in the QAP.  </w:t>
            </w:r>
          </w:p>
          <w:p w14:paraId="61B3DCC3"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4C291C6D" w14:textId="77777777" w:rsidR="00CF5712" w:rsidRPr="00FC6043" w:rsidRDefault="00CF5712" w:rsidP="00304B2F">
            <w:pPr>
              <w:textAlignment w:val="baseline"/>
              <w:rPr>
                <w:rStyle w:val="normaltextrun"/>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If the question above is intended to refer to whether such organizations are eligible to receive certifications under the certification programs listed in the posted </w:t>
            </w:r>
            <w:r w:rsidRPr="00FC6043">
              <w:rPr>
                <w:rFonts w:ascii="Times New Roman" w:eastAsia="Times New Roman" w:hAnsi="Times New Roman" w:cs="Times New Roman"/>
                <w:i/>
                <w:iCs/>
                <w:sz w:val="20"/>
                <w:szCs w:val="20"/>
              </w:rPr>
              <w:t>DCA Minority- and Women-Owned Business Engagement Policy</w:t>
            </w:r>
            <w:r w:rsidRPr="00FC6043">
              <w:rPr>
                <w:rFonts w:ascii="Times New Roman" w:eastAsia="Times New Roman" w:hAnsi="Times New Roman" w:cs="Times New Roman"/>
                <w:sz w:val="20"/>
                <w:szCs w:val="20"/>
              </w:rPr>
              <w:t xml:space="preserve"> (</w:t>
            </w:r>
            <w:hyperlink r:id="rId40" w:tgtFrame="_blank" w:history="1">
              <w:r w:rsidRPr="00FC6043">
                <w:rPr>
                  <w:rFonts w:ascii="Times New Roman" w:eastAsia="Times New Roman" w:hAnsi="Times New Roman" w:cs="Times New Roman"/>
                  <w:sz w:val="20"/>
                  <w:szCs w:val="20"/>
                  <w:u w:val="single"/>
                </w:rPr>
                <w:t>click here</w:t>
              </w:r>
            </w:hyperlink>
            <w:r w:rsidRPr="00FC6043">
              <w:rPr>
                <w:rFonts w:ascii="Times New Roman" w:eastAsia="Times New Roman" w:hAnsi="Times New Roman" w:cs="Times New Roman"/>
                <w:sz w:val="20"/>
                <w:szCs w:val="20"/>
              </w:rPr>
              <w:t>), then please direct the question to the programs themselves. DCA is not able to provide guidance about non-DCA programs.  </w:t>
            </w:r>
          </w:p>
        </w:tc>
      </w:tr>
      <w:tr w:rsidR="00CF5712" w:rsidRPr="00FC6043" w14:paraId="68FA0774" w14:textId="77777777" w:rsidTr="1995616E">
        <w:trPr>
          <w:jc w:val="center"/>
        </w:trPr>
        <w:tc>
          <w:tcPr>
            <w:tcW w:w="2157" w:type="dxa"/>
            <w:shd w:val="clear" w:color="auto" w:fill="auto"/>
            <w:tcMar>
              <w:top w:w="72" w:type="dxa"/>
              <w:left w:w="115" w:type="dxa"/>
              <w:bottom w:w="72" w:type="dxa"/>
              <w:right w:w="115" w:type="dxa"/>
            </w:tcMar>
            <w:vAlign w:val="center"/>
          </w:tcPr>
          <w:p w14:paraId="530F3015"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08B48580"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3.21</w:t>
            </w:r>
          </w:p>
          <w:p w14:paraId="10723A3F"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093145F4"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Favorable Financing</w:t>
            </w:r>
          </w:p>
        </w:tc>
        <w:tc>
          <w:tcPr>
            <w:tcW w:w="9590" w:type="dxa"/>
            <w:shd w:val="clear" w:color="auto" w:fill="auto"/>
            <w:tcMar>
              <w:top w:w="72" w:type="dxa"/>
              <w:left w:w="115" w:type="dxa"/>
              <w:bottom w:w="72" w:type="dxa"/>
              <w:right w:w="115" w:type="dxa"/>
            </w:tcMar>
            <w:vAlign w:val="center"/>
          </w:tcPr>
          <w:p w14:paraId="4255448F"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Q22_0304_08 </w:t>
            </w:r>
          </w:p>
          <w:p w14:paraId="5C33EE26"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If a City agrees to sell a property it owns to a developer for less than the appraised value of the property, can the difference between sale price and appraised value be counted as a City government grant to the project? </w:t>
            </w:r>
          </w:p>
          <w:p w14:paraId="4F441D97"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03301861"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6723F1A4"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No. Reducing the cost of a line item in the development budget does not constitute a grant. </w:t>
            </w:r>
          </w:p>
        </w:tc>
      </w:tr>
      <w:tr w:rsidR="00CF5712" w:rsidRPr="00FC6043" w14:paraId="65E9DA15" w14:textId="77777777" w:rsidTr="1995616E">
        <w:trPr>
          <w:jc w:val="center"/>
        </w:trPr>
        <w:tc>
          <w:tcPr>
            <w:tcW w:w="2157" w:type="dxa"/>
            <w:shd w:val="clear" w:color="auto" w:fill="auto"/>
            <w:tcMar>
              <w:top w:w="72" w:type="dxa"/>
              <w:left w:w="115" w:type="dxa"/>
              <w:bottom w:w="72" w:type="dxa"/>
              <w:right w:w="115" w:type="dxa"/>
            </w:tcMar>
            <w:vAlign w:val="center"/>
          </w:tcPr>
          <w:p w14:paraId="5AFCED0B"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341E9B29"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3.24</w:t>
            </w:r>
          </w:p>
          <w:p w14:paraId="15333768"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68E15D81"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Integrated Supportive Housing</w:t>
            </w:r>
          </w:p>
        </w:tc>
        <w:tc>
          <w:tcPr>
            <w:tcW w:w="9590" w:type="dxa"/>
            <w:shd w:val="clear" w:color="auto" w:fill="auto"/>
            <w:tcMar>
              <w:top w:w="72" w:type="dxa"/>
              <w:left w:w="115" w:type="dxa"/>
              <w:bottom w:w="72" w:type="dxa"/>
              <w:right w:w="115" w:type="dxa"/>
            </w:tcMar>
            <w:vAlign w:val="center"/>
          </w:tcPr>
          <w:p w14:paraId="28CD1E11"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Q1124_01 </w:t>
            </w:r>
          </w:p>
          <w:p w14:paraId="600743D9"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At the 2022 QAP Workshop, DCA indicated that </w:t>
            </w:r>
            <w:r w:rsidRPr="00FC6043">
              <w:rPr>
                <w:rFonts w:ascii="Times New Roman" w:eastAsia="Times New Roman" w:hAnsi="Times New Roman" w:cs="Times New Roman"/>
                <w:b/>
                <w:bCs/>
                <w:sz w:val="20"/>
                <w:szCs w:val="20"/>
              </w:rPr>
              <w:t>(Scoring) Integrated Supportive Housing</w:t>
            </w:r>
            <w:r w:rsidRPr="00FC6043">
              <w:rPr>
                <w:rFonts w:ascii="Times New Roman" w:eastAsia="Times New Roman" w:hAnsi="Times New Roman" w:cs="Times New Roman"/>
                <w:sz w:val="20"/>
                <w:szCs w:val="20"/>
              </w:rPr>
              <w:t xml:space="preserve">, option </w:t>
            </w:r>
            <w:r w:rsidRPr="00FC6043">
              <w:rPr>
                <w:rFonts w:ascii="Times New Roman" w:eastAsia="Times New Roman" w:hAnsi="Times New Roman" w:cs="Times New Roman"/>
                <w:b/>
                <w:bCs/>
                <w:sz w:val="20"/>
                <w:szCs w:val="20"/>
              </w:rPr>
              <w:t>D. DCA Section 811 Commitments: Prior Performance</w:t>
            </w:r>
            <w:r w:rsidRPr="00FC6043">
              <w:rPr>
                <w:rFonts w:ascii="Times New Roman" w:eastAsia="Times New Roman" w:hAnsi="Times New Roman" w:cs="Times New Roman"/>
                <w:sz w:val="20"/>
                <w:szCs w:val="20"/>
              </w:rPr>
              <w:t xml:space="preserve"> would be scored such that everybody gets the 2 points by default, and only if there was a prior performance issue related to the “Property requirements” bullets listed in the QAP under this section would DCA deduct the two points. </w:t>
            </w:r>
          </w:p>
          <w:p w14:paraId="11C2B53A"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75AF19EE" w14:textId="77777777" w:rsidR="00CF5712" w:rsidRPr="00FC6043" w:rsidRDefault="00CF5712" w:rsidP="00304B2F">
            <w:pPr>
              <w:numPr>
                <w:ilvl w:val="0"/>
                <w:numId w:val="37"/>
              </w:numPr>
              <w:ind w:left="1080" w:firstLine="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For some applicants, DCA has never reached out to the owners about 811 contracting even if they took the points. And some applicants did not apply under prior QAPs and thus never had the opportunity to take the points. Are these applicants also eligible for these two points by default under the 2022 round? </w:t>
            </w:r>
          </w:p>
          <w:p w14:paraId="5982B193" w14:textId="77777777" w:rsidR="00CF5712" w:rsidRPr="00FC6043" w:rsidRDefault="00CF5712" w:rsidP="00304B2F">
            <w:pPr>
              <w:ind w:left="72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05E346D2" w14:textId="77777777" w:rsidR="00CF5712" w:rsidRPr="00FC6043" w:rsidRDefault="00CF5712" w:rsidP="00304B2F">
            <w:pPr>
              <w:numPr>
                <w:ilvl w:val="0"/>
                <w:numId w:val="38"/>
              </w:numPr>
              <w:ind w:left="1080" w:firstLine="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DCA also stated at the Workshop that if staff identified any issues, they would communicate these issues to the owners during the Pre-Application phase and owners would have the opportunity to </w:t>
            </w:r>
            <w:r w:rsidRPr="00FC6043">
              <w:rPr>
                <w:rFonts w:ascii="Times New Roman" w:eastAsia="Times New Roman" w:hAnsi="Times New Roman" w:cs="Times New Roman"/>
                <w:sz w:val="20"/>
                <w:szCs w:val="20"/>
              </w:rPr>
              <w:lastRenderedPageBreak/>
              <w:t>correct these issues before a point penalty is applied. Since this was conveyed verbally at the Workshop, I’m confirming that this is in fact the case.  </w:t>
            </w:r>
          </w:p>
          <w:p w14:paraId="7B20A7C6"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2ED14DB1"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2E9E5565"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To the first question: yes, all applicants will receive the 2 points under option D. by default.  </w:t>
            </w:r>
          </w:p>
          <w:p w14:paraId="0B3ED238"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04136F9C"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To the second question: DCA has completed its review of 811 agreement “Prior Performance.” Staff identified issues that under a subsequent competitive round may result in a points penalty. However, all issues identified occurred prior to the 2022 QAP being finalized. Therefore, under the 2022 Competitive Round, DCA will not deduct any points under this section.  </w:t>
            </w:r>
          </w:p>
          <w:p w14:paraId="78AD6F29"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308E80A4" w14:textId="77777777" w:rsidR="00CF5712" w:rsidRPr="00FC6043" w:rsidRDefault="00CF5712" w:rsidP="00304B2F">
            <w:pPr>
              <w:textAlignment w:val="baseline"/>
              <w:rPr>
                <w:rStyle w:val="normaltextrun"/>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DCA is in the process of communicating with owners about the issues identified, so that they can be aware of the points penalty risk in the future.  </w:t>
            </w:r>
          </w:p>
        </w:tc>
      </w:tr>
      <w:tr w:rsidR="00CF5712" w:rsidRPr="00FC6043" w14:paraId="56D78DC2" w14:textId="77777777" w:rsidTr="1995616E">
        <w:trPr>
          <w:jc w:val="center"/>
        </w:trPr>
        <w:tc>
          <w:tcPr>
            <w:tcW w:w="2157" w:type="dxa"/>
            <w:shd w:val="clear" w:color="auto" w:fill="auto"/>
            <w:tcMar>
              <w:top w:w="72" w:type="dxa"/>
              <w:left w:w="115" w:type="dxa"/>
              <w:bottom w:w="72" w:type="dxa"/>
              <w:right w:w="115" w:type="dxa"/>
            </w:tcMar>
            <w:vAlign w:val="center"/>
          </w:tcPr>
          <w:p w14:paraId="576054E8"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4/14/22</w:t>
            </w:r>
          </w:p>
        </w:tc>
        <w:tc>
          <w:tcPr>
            <w:tcW w:w="2198" w:type="dxa"/>
            <w:shd w:val="clear" w:color="auto" w:fill="auto"/>
            <w:tcMar>
              <w:top w:w="72" w:type="dxa"/>
              <w:left w:w="115" w:type="dxa"/>
              <w:bottom w:w="72" w:type="dxa"/>
              <w:right w:w="115" w:type="dxa"/>
            </w:tcMar>
            <w:vAlign w:val="center"/>
          </w:tcPr>
          <w:p w14:paraId="25A63D19"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3.26</w:t>
            </w:r>
          </w:p>
          <w:p w14:paraId="7582A260"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2F9C22DB"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Affordability Loss Risk</w:t>
            </w:r>
          </w:p>
        </w:tc>
        <w:tc>
          <w:tcPr>
            <w:tcW w:w="9590" w:type="dxa"/>
            <w:shd w:val="clear" w:color="auto" w:fill="auto"/>
            <w:tcMar>
              <w:top w:w="72" w:type="dxa"/>
              <w:left w:w="115" w:type="dxa"/>
              <w:bottom w:w="72" w:type="dxa"/>
              <w:right w:w="115" w:type="dxa"/>
            </w:tcMar>
            <w:vAlign w:val="center"/>
          </w:tcPr>
          <w:p w14:paraId="13F1E748"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Q22_1119_01 </w:t>
            </w:r>
          </w:p>
          <w:p w14:paraId="42425FB7"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I have a question regarding the requirement that if we are to use HUD PBRA rents, it needs to have at least 10 years remaining and how it may affect the scoring section under </w:t>
            </w:r>
            <w:r w:rsidRPr="00FC6043">
              <w:rPr>
                <w:rFonts w:ascii="Times New Roman" w:eastAsia="Times New Roman" w:hAnsi="Times New Roman" w:cs="Times New Roman"/>
                <w:b/>
                <w:bCs/>
                <w:sz w:val="20"/>
                <w:szCs w:val="20"/>
              </w:rPr>
              <w:t>(Scoring) Affordability Loss Risk</w:t>
            </w:r>
            <w:r w:rsidRPr="00FC6043">
              <w:rPr>
                <w:rFonts w:ascii="Times New Roman" w:eastAsia="Times New Roman" w:hAnsi="Times New Roman" w:cs="Times New Roman"/>
                <w:sz w:val="20"/>
                <w:szCs w:val="20"/>
              </w:rPr>
              <w:t>. </w:t>
            </w:r>
          </w:p>
          <w:p w14:paraId="075ECFEB"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5B5B1514"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50448EA2"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From the 2022 QAP Workshop slides: “[Affordability Loss Risk] is, by design, expected to impact the rankings in different set asides in different ways. This is the primary reason for having distinct set asides by preservation type (e.g., scoring RAD and existing Housing Tax Credit properties separately).” </w:t>
            </w:r>
          </w:p>
          <w:p w14:paraId="7120CC0B"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1240B11E"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The </w:t>
            </w:r>
            <w:r w:rsidRPr="00FC6043">
              <w:rPr>
                <w:rFonts w:ascii="Times New Roman" w:eastAsia="Times New Roman" w:hAnsi="Times New Roman" w:cs="Times New Roman"/>
                <w:i/>
                <w:iCs/>
                <w:sz w:val="20"/>
                <w:szCs w:val="20"/>
              </w:rPr>
              <w:t>Affordability Loss Risk Form</w:t>
            </w:r>
            <w:r w:rsidRPr="00FC6043">
              <w:rPr>
                <w:rFonts w:ascii="Times New Roman" w:eastAsia="Times New Roman" w:hAnsi="Times New Roman" w:cs="Times New Roman"/>
                <w:sz w:val="20"/>
                <w:szCs w:val="20"/>
              </w:rPr>
              <w:t xml:space="preserve"> (under Scoring Documents and Data, </w:t>
            </w:r>
            <w:hyperlink r:id="rId41" w:tgtFrame="_blank" w:history="1">
              <w:r w:rsidRPr="00FC6043">
                <w:rPr>
                  <w:rFonts w:ascii="Times New Roman" w:eastAsia="Times New Roman" w:hAnsi="Times New Roman" w:cs="Times New Roman"/>
                  <w:sz w:val="20"/>
                  <w:szCs w:val="20"/>
                  <w:u w:val="single"/>
                </w:rPr>
                <w:t>click here</w:t>
              </w:r>
            </w:hyperlink>
            <w:r w:rsidRPr="00FC6043">
              <w:rPr>
                <w:rFonts w:ascii="Times New Roman" w:eastAsia="Times New Roman" w:hAnsi="Times New Roman" w:cs="Times New Roman"/>
                <w:sz w:val="20"/>
                <w:szCs w:val="20"/>
              </w:rPr>
              <w:t>) covers three criteria for ranking. Again, from the QAP Workshop slides, “For certain set asides, it may even be the case that an individual [criterion] does not result in meaningful variation between applications.” In these instances, point determinations will be based on the other ranking criteria.</w:t>
            </w:r>
          </w:p>
        </w:tc>
      </w:tr>
      <w:tr w:rsidR="00CF5712" w:rsidRPr="00FC6043" w14:paraId="5D214657" w14:textId="77777777" w:rsidTr="1995616E">
        <w:trPr>
          <w:jc w:val="center"/>
        </w:trPr>
        <w:tc>
          <w:tcPr>
            <w:tcW w:w="2157" w:type="dxa"/>
            <w:shd w:val="clear" w:color="auto" w:fill="auto"/>
            <w:tcMar>
              <w:top w:w="72" w:type="dxa"/>
              <w:left w:w="115" w:type="dxa"/>
              <w:bottom w:w="72" w:type="dxa"/>
              <w:right w:w="115" w:type="dxa"/>
            </w:tcMar>
            <w:vAlign w:val="center"/>
          </w:tcPr>
          <w:p w14:paraId="26663EB8"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14:paraId="3B80DA42"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1.</w:t>
            </w:r>
            <w:r w:rsidRPr="003872CA">
              <w:rPr>
                <w:rFonts w:ascii="Times New Roman" w:hAnsi="Times New Roman" w:cs="Times New Roman"/>
                <w:sz w:val="20"/>
                <w:szCs w:val="20"/>
              </w:rPr>
              <w:t>16</w:t>
            </w:r>
          </w:p>
          <w:p w14:paraId="5941DF68"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Core Plan;</w:t>
            </w:r>
          </w:p>
          <w:p w14:paraId="4F2472EB"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Evaluation of 9% Tax Credit Competitive Applications</w:t>
            </w:r>
          </w:p>
        </w:tc>
        <w:tc>
          <w:tcPr>
            <w:tcW w:w="9590" w:type="dxa"/>
            <w:shd w:val="clear" w:color="auto" w:fill="auto"/>
            <w:tcMar>
              <w:top w:w="72" w:type="dxa"/>
              <w:left w:w="115" w:type="dxa"/>
              <w:bottom w:w="72" w:type="dxa"/>
              <w:right w:w="115" w:type="dxa"/>
            </w:tcMar>
            <w:vAlign w:val="center"/>
          </w:tcPr>
          <w:p w14:paraId="44598EEB" w14:textId="77777777" w:rsidR="00CF5712" w:rsidRPr="00FC6043" w:rsidRDefault="00CF5712" w:rsidP="00304B2F">
            <w:pPr>
              <w:pStyle w:val="paragraph"/>
              <w:spacing w:before="0" w:beforeAutospacing="0" w:after="0" w:afterAutospacing="0"/>
              <w:textAlignment w:val="baseline"/>
              <w:rPr>
                <w:rFonts w:eastAsia="MS Mincho"/>
                <w:sz w:val="20"/>
                <w:szCs w:val="20"/>
              </w:rPr>
            </w:pPr>
            <w:r w:rsidRPr="00FC6043">
              <w:rPr>
                <w:rStyle w:val="normaltextrun"/>
                <w:rFonts w:eastAsia="MS Mincho"/>
                <w:b/>
                <w:bCs/>
                <w:sz w:val="20"/>
                <w:szCs w:val="20"/>
              </w:rPr>
              <w:t>Question</w:t>
            </w:r>
            <w:r w:rsidRPr="00FC6043">
              <w:rPr>
                <w:rStyle w:val="normaltextrun"/>
                <w:rFonts w:eastAsia="MS Mincho"/>
                <w:sz w:val="20"/>
                <w:szCs w:val="20"/>
              </w:rPr>
              <w:t>: Q22_0319_01</w:t>
            </w:r>
            <w:r w:rsidRPr="00FC6043">
              <w:rPr>
                <w:rStyle w:val="eop"/>
                <w:rFonts w:eastAsia="MS Mincho"/>
                <w:sz w:val="20"/>
                <w:szCs w:val="20"/>
              </w:rPr>
              <w:t> </w:t>
            </w:r>
          </w:p>
          <w:p w14:paraId="3ACC9647" w14:textId="77777777" w:rsidR="00CF5712" w:rsidRPr="00FC6043" w:rsidRDefault="00CF5712" w:rsidP="00304B2F">
            <w:pPr>
              <w:pStyle w:val="paragraph"/>
              <w:spacing w:before="0" w:beforeAutospacing="0" w:after="0" w:afterAutospacing="0"/>
              <w:textAlignment w:val="baseline"/>
              <w:rPr>
                <w:rFonts w:eastAsia="MS Mincho"/>
                <w:sz w:val="20"/>
                <w:szCs w:val="20"/>
              </w:rPr>
            </w:pPr>
            <w:r w:rsidRPr="00FC6043">
              <w:rPr>
                <w:rStyle w:val="normaltextrun"/>
                <w:rFonts w:eastAsia="MS Mincho"/>
                <w:sz w:val="20"/>
                <w:szCs w:val="20"/>
              </w:rPr>
              <w:t>Will DCA fund two applications in the same city within the Atlanta Metro Pool if they are serving different tenancies and the lower scoring of the two projects is still a higher scoring project in the Atlanta Metro Pool?</w:t>
            </w:r>
            <w:r w:rsidRPr="00FC6043">
              <w:rPr>
                <w:rStyle w:val="eop"/>
                <w:rFonts w:eastAsia="MS Mincho"/>
                <w:sz w:val="20"/>
                <w:szCs w:val="20"/>
              </w:rPr>
              <w:t> </w:t>
            </w:r>
          </w:p>
          <w:p w14:paraId="55ADF184" w14:textId="77777777" w:rsidR="00CF5712" w:rsidRPr="00FC6043" w:rsidRDefault="00CF5712" w:rsidP="00304B2F">
            <w:pPr>
              <w:pStyle w:val="paragraph"/>
              <w:spacing w:before="0" w:beforeAutospacing="0" w:after="0" w:afterAutospacing="0"/>
              <w:textAlignment w:val="baseline"/>
              <w:rPr>
                <w:rFonts w:eastAsia="MS Mincho"/>
                <w:sz w:val="20"/>
                <w:szCs w:val="20"/>
              </w:rPr>
            </w:pPr>
            <w:r w:rsidRPr="00FC6043">
              <w:rPr>
                <w:rStyle w:val="eop"/>
                <w:rFonts w:eastAsia="MS Mincho"/>
                <w:sz w:val="20"/>
                <w:szCs w:val="20"/>
              </w:rPr>
              <w:t> </w:t>
            </w:r>
          </w:p>
          <w:p w14:paraId="0D1738FC" w14:textId="77777777" w:rsidR="00CF5712" w:rsidRPr="00FC6043" w:rsidRDefault="00CF5712" w:rsidP="00304B2F">
            <w:pPr>
              <w:pStyle w:val="paragraph"/>
              <w:spacing w:before="0" w:beforeAutospacing="0" w:after="0" w:afterAutospacing="0"/>
              <w:textAlignment w:val="baseline"/>
              <w:rPr>
                <w:rFonts w:eastAsia="MS Mincho"/>
                <w:sz w:val="20"/>
                <w:szCs w:val="20"/>
              </w:rPr>
            </w:pPr>
            <w:r w:rsidRPr="00FC6043">
              <w:rPr>
                <w:rStyle w:val="normaltextrun"/>
                <w:rFonts w:eastAsia="MS Mincho"/>
                <w:b/>
                <w:bCs/>
                <w:sz w:val="20"/>
                <w:szCs w:val="20"/>
              </w:rPr>
              <w:t>Answer</w:t>
            </w:r>
            <w:r w:rsidRPr="00FC6043">
              <w:rPr>
                <w:rStyle w:val="normaltextrun"/>
                <w:rFonts w:eastAsia="MS Mincho"/>
                <w:sz w:val="20"/>
                <w:szCs w:val="20"/>
              </w:rPr>
              <w:t>:</w:t>
            </w:r>
            <w:r w:rsidRPr="00FC6043">
              <w:rPr>
                <w:rStyle w:val="eop"/>
                <w:rFonts w:eastAsia="MS Mincho"/>
                <w:sz w:val="20"/>
                <w:szCs w:val="20"/>
              </w:rPr>
              <w:t> </w:t>
            </w:r>
          </w:p>
          <w:p w14:paraId="4EF1E1D4" w14:textId="77777777" w:rsidR="00CF5712" w:rsidRPr="00FC6043" w:rsidRDefault="00CF5712" w:rsidP="00304B2F">
            <w:pPr>
              <w:pStyle w:val="paragraph"/>
              <w:spacing w:before="0" w:beforeAutospacing="0" w:after="0" w:afterAutospacing="0"/>
              <w:textAlignment w:val="baseline"/>
              <w:rPr>
                <w:rFonts w:eastAsia="MS Mincho"/>
                <w:sz w:val="20"/>
                <w:szCs w:val="20"/>
              </w:rPr>
            </w:pPr>
            <w:r w:rsidRPr="00FC6043">
              <w:rPr>
                <w:rStyle w:val="normaltextrun"/>
                <w:rFonts w:eastAsia="MS Mincho"/>
                <w:sz w:val="20"/>
                <w:szCs w:val="20"/>
              </w:rPr>
              <w:t>Yes. Since the developments serve different tenancies, only the geographic limitations apply. The following two apply to the Atlanta Metro Pool:  </w:t>
            </w:r>
            <w:r w:rsidRPr="00FC6043">
              <w:rPr>
                <w:rStyle w:val="eop"/>
                <w:rFonts w:eastAsia="MS Mincho"/>
                <w:sz w:val="20"/>
                <w:szCs w:val="20"/>
              </w:rPr>
              <w:t> </w:t>
            </w:r>
          </w:p>
          <w:p w14:paraId="30716A64" w14:textId="77777777" w:rsidR="00CF5712" w:rsidRPr="00FC6043" w:rsidRDefault="00CF5712" w:rsidP="00304B2F">
            <w:pPr>
              <w:pStyle w:val="paragraph"/>
              <w:spacing w:before="0" w:beforeAutospacing="0" w:after="0" w:afterAutospacing="0"/>
              <w:textAlignment w:val="baseline"/>
              <w:rPr>
                <w:rFonts w:eastAsia="MS Mincho"/>
                <w:sz w:val="20"/>
                <w:szCs w:val="20"/>
              </w:rPr>
            </w:pPr>
            <w:r w:rsidRPr="00FC6043">
              <w:rPr>
                <w:rStyle w:val="eop"/>
                <w:rFonts w:eastAsia="MS Mincho"/>
                <w:sz w:val="20"/>
                <w:szCs w:val="20"/>
              </w:rPr>
              <w:t> </w:t>
            </w:r>
          </w:p>
          <w:p w14:paraId="0A0B5925" w14:textId="77777777" w:rsidR="00CF5712" w:rsidRPr="00FC6043" w:rsidRDefault="00CF5712" w:rsidP="00304B2F">
            <w:pPr>
              <w:pStyle w:val="paragraph"/>
              <w:numPr>
                <w:ilvl w:val="0"/>
                <w:numId w:val="31"/>
              </w:numPr>
              <w:spacing w:before="0" w:beforeAutospacing="0" w:after="0" w:afterAutospacing="0"/>
              <w:ind w:left="1080" w:firstLine="0"/>
              <w:textAlignment w:val="baseline"/>
              <w:rPr>
                <w:rFonts w:eastAsia="MS Mincho"/>
                <w:sz w:val="20"/>
                <w:szCs w:val="20"/>
              </w:rPr>
            </w:pPr>
            <w:r w:rsidRPr="00FC6043">
              <w:rPr>
                <w:rStyle w:val="normaltextrun"/>
                <w:rFonts w:eastAsia="MS Mincho"/>
                <w:b/>
                <w:bCs/>
                <w:i/>
                <w:iCs/>
                <w:sz w:val="20"/>
                <w:szCs w:val="20"/>
              </w:rPr>
              <w:t>(Core Plan)</w:t>
            </w:r>
            <w:r w:rsidRPr="00FC6043">
              <w:rPr>
                <w:rStyle w:val="normaltextrun"/>
                <w:rFonts w:eastAsia="MS Mincho"/>
                <w:sz w:val="20"/>
                <w:szCs w:val="20"/>
              </w:rPr>
              <w:t xml:space="preserve"> </w:t>
            </w:r>
            <w:r w:rsidRPr="00FC6043">
              <w:rPr>
                <w:rStyle w:val="normaltextrun"/>
                <w:rFonts w:eastAsia="MS Mincho"/>
                <w:b/>
                <w:bCs/>
                <w:i/>
                <w:iCs/>
                <w:sz w:val="20"/>
                <w:szCs w:val="20"/>
              </w:rPr>
              <w:t>Evaluation of 9% Tax Credit Applications</w:t>
            </w:r>
            <w:r w:rsidRPr="00FC6043">
              <w:rPr>
                <w:rStyle w:val="normaltextrun"/>
                <w:rFonts w:eastAsia="MS Mincho"/>
                <w:i/>
                <w:iCs/>
                <w:sz w:val="20"/>
                <w:szCs w:val="20"/>
              </w:rPr>
              <w:t>,</w:t>
            </w:r>
            <w:r w:rsidRPr="00FC6043">
              <w:rPr>
                <w:rStyle w:val="normaltextrun"/>
                <w:rFonts w:eastAsia="MS Mincho"/>
                <w:b/>
                <w:bCs/>
                <w:i/>
                <w:iCs/>
                <w:sz w:val="20"/>
                <w:szCs w:val="20"/>
              </w:rPr>
              <w:t xml:space="preserve"> </w:t>
            </w:r>
            <w:r w:rsidRPr="00FC6043">
              <w:rPr>
                <w:rStyle w:val="normaltextrun"/>
                <w:rFonts w:eastAsia="MS Mincho"/>
                <w:i/>
                <w:iCs/>
                <w:sz w:val="20"/>
                <w:szCs w:val="20"/>
              </w:rPr>
              <w:t>subsection 3.</w:t>
            </w:r>
            <w:r w:rsidRPr="00FC6043">
              <w:rPr>
                <w:rStyle w:val="normaltextrun"/>
                <w:rFonts w:eastAsia="MS Mincho"/>
                <w:b/>
                <w:bCs/>
                <w:i/>
                <w:iCs/>
                <w:sz w:val="20"/>
                <w:szCs w:val="20"/>
              </w:rPr>
              <w:t xml:space="preserve"> Geographic Allocation Limitations for Projects selected in the New Supply Competitive Process</w:t>
            </w:r>
            <w:r w:rsidRPr="00FC6043">
              <w:rPr>
                <w:rStyle w:val="normaltextrun"/>
                <w:rFonts w:eastAsia="MS Mincho"/>
                <w:sz w:val="20"/>
                <w:szCs w:val="20"/>
              </w:rPr>
              <w:t> </w:t>
            </w:r>
            <w:r w:rsidRPr="00FC6043">
              <w:rPr>
                <w:rStyle w:val="eop"/>
                <w:rFonts w:eastAsia="MS Mincho"/>
                <w:sz w:val="20"/>
                <w:szCs w:val="20"/>
              </w:rPr>
              <w:t> </w:t>
            </w:r>
          </w:p>
          <w:p w14:paraId="7067999C" w14:textId="77777777" w:rsidR="00CF5712" w:rsidRPr="00FC6043" w:rsidRDefault="00CF5712" w:rsidP="00304B2F">
            <w:pPr>
              <w:pStyle w:val="paragraph"/>
              <w:numPr>
                <w:ilvl w:val="0"/>
                <w:numId w:val="32"/>
              </w:numPr>
              <w:spacing w:before="0" w:beforeAutospacing="0" w:after="0" w:afterAutospacing="0"/>
              <w:ind w:left="1800" w:firstLine="0"/>
              <w:textAlignment w:val="baseline"/>
              <w:rPr>
                <w:rFonts w:eastAsia="MS Mincho"/>
                <w:sz w:val="20"/>
                <w:szCs w:val="20"/>
              </w:rPr>
            </w:pPr>
            <w:r w:rsidRPr="00FC6043">
              <w:rPr>
                <w:rStyle w:val="normaltextrun"/>
                <w:rFonts w:eastAsia="MS Mincho"/>
                <w:sz w:val="20"/>
                <w:szCs w:val="20"/>
              </w:rPr>
              <w:t>“DCA will select up to two Metro Pool Applications located in the same Local Government Boundary.”</w:t>
            </w:r>
            <w:r w:rsidRPr="00FC6043">
              <w:rPr>
                <w:rStyle w:val="eop"/>
                <w:rFonts w:eastAsia="MS Mincho"/>
                <w:sz w:val="20"/>
                <w:szCs w:val="20"/>
              </w:rPr>
              <w:t> </w:t>
            </w:r>
          </w:p>
          <w:p w14:paraId="517CE637" w14:textId="77777777" w:rsidR="00CF5712" w:rsidRPr="00FC6043" w:rsidRDefault="00CF5712" w:rsidP="00304B2F">
            <w:pPr>
              <w:pStyle w:val="paragraph"/>
              <w:numPr>
                <w:ilvl w:val="0"/>
                <w:numId w:val="32"/>
              </w:numPr>
              <w:spacing w:before="0" w:beforeAutospacing="0" w:after="0" w:afterAutospacing="0"/>
              <w:ind w:left="1800" w:firstLine="0"/>
              <w:textAlignment w:val="baseline"/>
              <w:rPr>
                <w:rFonts w:eastAsia="MS Mincho"/>
                <w:sz w:val="20"/>
                <w:szCs w:val="20"/>
              </w:rPr>
            </w:pPr>
            <w:r w:rsidRPr="00FC6043">
              <w:rPr>
                <w:rStyle w:val="normaltextrun"/>
                <w:rFonts w:eastAsia="MS Mincho"/>
                <w:sz w:val="20"/>
                <w:szCs w:val="20"/>
              </w:rPr>
              <w:lastRenderedPageBreak/>
              <w:t>“DCA will allocate up to 10% of Credits, excluding set asides, among Applications for funding in the City of Atlanta. DCA will not award less than an Applicant’s 9% Credit request to reach this cap.”</w:t>
            </w:r>
          </w:p>
          <w:p w14:paraId="3F989F3A" w14:textId="77777777" w:rsidR="00CF5712" w:rsidRPr="00FC6043" w:rsidRDefault="00CF5712" w:rsidP="00304B2F">
            <w:pPr>
              <w:textAlignment w:val="baseline"/>
              <w:rPr>
                <w:rFonts w:ascii="Times New Roman" w:eastAsia="Times New Roman" w:hAnsi="Times New Roman" w:cs="Times New Roman"/>
                <w:b/>
                <w:bCs/>
                <w:sz w:val="20"/>
                <w:szCs w:val="20"/>
              </w:rPr>
            </w:pPr>
          </w:p>
        </w:tc>
      </w:tr>
      <w:tr w:rsidR="00CF5712" w:rsidRPr="00FC6043" w14:paraId="653339C0" w14:textId="77777777" w:rsidTr="1995616E">
        <w:trPr>
          <w:jc w:val="center"/>
        </w:trPr>
        <w:tc>
          <w:tcPr>
            <w:tcW w:w="2157" w:type="dxa"/>
            <w:shd w:val="clear" w:color="auto" w:fill="auto"/>
            <w:tcMar>
              <w:top w:w="72" w:type="dxa"/>
              <w:left w:w="115" w:type="dxa"/>
              <w:bottom w:w="72" w:type="dxa"/>
              <w:right w:w="115" w:type="dxa"/>
            </w:tcMar>
            <w:vAlign w:val="center"/>
          </w:tcPr>
          <w:p w14:paraId="60946260"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4/7/22</w:t>
            </w:r>
          </w:p>
        </w:tc>
        <w:tc>
          <w:tcPr>
            <w:tcW w:w="2198" w:type="dxa"/>
            <w:shd w:val="clear" w:color="auto" w:fill="auto"/>
            <w:tcMar>
              <w:top w:w="72" w:type="dxa"/>
              <w:left w:w="115" w:type="dxa"/>
              <w:bottom w:w="72" w:type="dxa"/>
              <w:right w:w="115" w:type="dxa"/>
            </w:tcMar>
            <w:vAlign w:val="center"/>
          </w:tcPr>
          <w:p w14:paraId="378EF6DC"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2.07</w:t>
            </w:r>
          </w:p>
          <w:p w14:paraId="02A124AD"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Threshold Criteria; Environmental Requirements</w:t>
            </w:r>
          </w:p>
        </w:tc>
        <w:tc>
          <w:tcPr>
            <w:tcW w:w="9590" w:type="dxa"/>
            <w:shd w:val="clear" w:color="auto" w:fill="auto"/>
            <w:tcMar>
              <w:top w:w="72" w:type="dxa"/>
              <w:left w:w="115" w:type="dxa"/>
              <w:bottom w:w="72" w:type="dxa"/>
              <w:right w:w="115" w:type="dxa"/>
            </w:tcMar>
            <w:vAlign w:val="center"/>
          </w:tcPr>
          <w:p w14:paraId="7B08B0A6"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xml:space="preserve">: Q22_0330_01a </w:t>
            </w:r>
          </w:p>
          <w:p w14:paraId="176DCC2B"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In regard to the Environmental Manual: Asbestos - Section 7 requires that an asbestos survey must be performed on all buildings scheduled for rehabilitation.  Since asbestos was banned in 1989, there is no chance that a property built after 1989 would contain asbestos. In our case, the buildings were placed in service is 2008; is a visual survey sufficient by the Environmental Professional or does actual sampling need to be performed?  The cost to sample for asbestos is not warranted. </w:t>
            </w:r>
          </w:p>
          <w:p w14:paraId="6A3E3B66" w14:textId="77777777" w:rsidR="00CF5712" w:rsidRPr="00FC6043" w:rsidRDefault="00CF5712" w:rsidP="00304B2F">
            <w:pPr>
              <w:textAlignment w:val="baseline"/>
              <w:rPr>
                <w:rFonts w:ascii="Times New Roman" w:eastAsia="Times New Roman" w:hAnsi="Times New Roman" w:cs="Times New Roman"/>
                <w:sz w:val="20"/>
                <w:szCs w:val="20"/>
              </w:rPr>
            </w:pPr>
          </w:p>
          <w:p w14:paraId="7079B794"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xml:space="preserve">: </w:t>
            </w:r>
          </w:p>
          <w:p w14:paraId="0884AED1"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The asbestos ban regulation issued by EPA in 1989 was overturned by the court and therefore only applies to a few specific asbestos-containing materials. EPA’s National Emission Standard for Hazardous Air Pollutants (NESHAP) requires an asbestos survey prior to any renovation or demolition regardless of the date of construction. The residential structures, or the portion of the structures that will be demolished or renovated, must be thoroughly inspected for the presence of asbestos, including Category I and Category II non-friable ACM.</w:t>
            </w:r>
          </w:p>
        </w:tc>
      </w:tr>
      <w:tr w:rsidR="00CF5712" w:rsidRPr="00FC6043" w14:paraId="7994B3FA" w14:textId="77777777" w:rsidTr="1995616E">
        <w:trPr>
          <w:jc w:val="center"/>
        </w:trPr>
        <w:tc>
          <w:tcPr>
            <w:tcW w:w="2157" w:type="dxa"/>
            <w:shd w:val="clear" w:color="auto" w:fill="auto"/>
            <w:tcMar>
              <w:top w:w="72" w:type="dxa"/>
              <w:left w:w="115" w:type="dxa"/>
              <w:bottom w:w="72" w:type="dxa"/>
              <w:right w:w="115" w:type="dxa"/>
            </w:tcMar>
            <w:vAlign w:val="center"/>
          </w:tcPr>
          <w:p w14:paraId="793B72EF"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14:paraId="78B52226"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2.</w:t>
            </w:r>
            <w:r w:rsidRPr="003872CA">
              <w:rPr>
                <w:rFonts w:ascii="Times New Roman" w:hAnsi="Times New Roman" w:cs="Times New Roman"/>
                <w:sz w:val="20"/>
                <w:szCs w:val="20"/>
              </w:rPr>
              <w:t>20</w:t>
            </w:r>
          </w:p>
          <w:p w14:paraId="57EBF83A"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Threshold Criteria;</w:t>
            </w:r>
          </w:p>
          <w:p w14:paraId="129E9C9E"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69EB212D"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Q22_0323_01 </w:t>
            </w:r>
          </w:p>
          <w:p w14:paraId="7C64BBFF"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I am hoping to get clarity on the Certifying Entity responsible for meeting </w:t>
            </w:r>
            <w:r w:rsidRPr="00FC6043">
              <w:rPr>
                <w:rFonts w:ascii="Times New Roman" w:eastAsia="Times New Roman" w:hAnsi="Times New Roman" w:cs="Times New Roman"/>
                <w:b/>
                <w:bCs/>
                <w:sz w:val="20"/>
                <w:szCs w:val="20"/>
              </w:rPr>
              <w:t>(Threshold Criteria) Experience, Capacity and Performance Requirements for General Partner and Developer Entities, C. Requirements for Experience</w:t>
            </w:r>
            <w:r w:rsidRPr="00FC6043">
              <w:rPr>
                <w:rFonts w:ascii="Times New Roman" w:eastAsia="Times New Roman" w:hAnsi="Times New Roman" w:cs="Times New Roman"/>
                <w:sz w:val="20"/>
                <w:szCs w:val="20"/>
              </w:rPr>
              <w:t>.” Can qualifying projects be outside of Georgia? </w:t>
            </w:r>
          </w:p>
          <w:p w14:paraId="3F8D211E"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243C62ED"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3BABEE92"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Yes, the requirements for experience (certifying entity) in the above-listed subsection can be met with Housing Tax Credit developments in any state.</w:t>
            </w:r>
          </w:p>
          <w:p w14:paraId="4DEC3406" w14:textId="77777777" w:rsidR="00CF5712" w:rsidRPr="00FC6043" w:rsidRDefault="00CF5712" w:rsidP="00304B2F">
            <w:pPr>
              <w:textAlignment w:val="baseline"/>
              <w:rPr>
                <w:rFonts w:ascii="Times New Roman" w:eastAsia="Times New Roman" w:hAnsi="Times New Roman" w:cs="Times New Roman"/>
                <w:b/>
                <w:bCs/>
                <w:sz w:val="20"/>
                <w:szCs w:val="20"/>
              </w:rPr>
            </w:pPr>
          </w:p>
        </w:tc>
      </w:tr>
      <w:tr w:rsidR="00CF5712" w:rsidRPr="00FC6043" w14:paraId="2A0CFF89" w14:textId="77777777" w:rsidTr="1995616E">
        <w:trPr>
          <w:jc w:val="center"/>
        </w:trPr>
        <w:tc>
          <w:tcPr>
            <w:tcW w:w="2157" w:type="dxa"/>
            <w:shd w:val="clear" w:color="auto" w:fill="auto"/>
            <w:tcMar>
              <w:top w:w="72" w:type="dxa"/>
              <w:left w:w="115" w:type="dxa"/>
              <w:bottom w:w="72" w:type="dxa"/>
              <w:right w:w="115" w:type="dxa"/>
            </w:tcMar>
            <w:vAlign w:val="center"/>
          </w:tcPr>
          <w:p w14:paraId="58C969F1"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14:paraId="41F22096"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3.17</w:t>
            </w:r>
          </w:p>
          <w:p w14:paraId="00D8F2C3"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1DE5D545"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153374EA"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Q22_0216_08</w:t>
            </w:r>
            <w:r w:rsidRPr="00FC6043">
              <w:rPr>
                <w:rStyle w:val="eop"/>
                <w:sz w:val="20"/>
                <w:szCs w:val="20"/>
              </w:rPr>
              <w:t>  </w:t>
            </w:r>
          </w:p>
          <w:p w14:paraId="7218E080"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 xml:space="preserve">The QAP states in </w:t>
            </w:r>
            <w:r w:rsidRPr="00FC6043">
              <w:rPr>
                <w:rStyle w:val="normaltextrun"/>
                <w:b/>
                <w:bCs/>
                <w:sz w:val="20"/>
                <w:szCs w:val="20"/>
              </w:rPr>
              <w:t>Scoring, Minority- and Women-Owned Business Engagement, A. Engagement Commitment and Reporting</w:t>
            </w:r>
            <w:r w:rsidRPr="00FC6043">
              <w:rPr>
                <w:rStyle w:val="normaltextrun"/>
                <w:sz w:val="20"/>
                <w:szCs w:val="20"/>
              </w:rPr>
              <w:t>:</w:t>
            </w:r>
            <w:r w:rsidRPr="00FC6043">
              <w:rPr>
                <w:rStyle w:val="eop"/>
                <w:sz w:val="20"/>
                <w:szCs w:val="20"/>
              </w:rPr>
              <w:t> </w:t>
            </w:r>
          </w:p>
          <w:p w14:paraId="3F698C7E"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4F3F94EA" w14:textId="77777777" w:rsidR="00CF5712" w:rsidRPr="00FC6043" w:rsidRDefault="00CF5712" w:rsidP="00304B2F">
            <w:pPr>
              <w:pStyle w:val="paragraph"/>
              <w:spacing w:before="0" w:beforeAutospacing="0" w:after="0" w:afterAutospacing="0"/>
              <w:ind w:left="360"/>
              <w:textAlignment w:val="baseline"/>
              <w:rPr>
                <w:sz w:val="20"/>
                <w:szCs w:val="20"/>
              </w:rPr>
            </w:pPr>
            <w:r w:rsidRPr="00FC6043">
              <w:rPr>
                <w:rStyle w:val="normaltextrun"/>
                <w:i/>
                <w:iCs/>
                <w:sz w:val="20"/>
                <w:szCs w:val="20"/>
              </w:rPr>
              <w:t>“Applicant commits to:</w:t>
            </w:r>
            <w:r w:rsidRPr="00FC6043">
              <w:rPr>
                <w:rStyle w:val="eop"/>
                <w:sz w:val="20"/>
                <w:szCs w:val="20"/>
              </w:rPr>
              <w:t> </w:t>
            </w:r>
          </w:p>
          <w:p w14:paraId="5540B85D" w14:textId="77777777" w:rsidR="00CF5712" w:rsidRPr="00FC6043" w:rsidRDefault="00CF5712" w:rsidP="00304B2F">
            <w:pPr>
              <w:pStyle w:val="paragraph"/>
              <w:numPr>
                <w:ilvl w:val="0"/>
                <w:numId w:val="33"/>
              </w:numPr>
              <w:spacing w:before="0" w:beforeAutospacing="0" w:after="0" w:afterAutospacing="0"/>
              <w:ind w:left="1080" w:firstLine="0"/>
              <w:textAlignment w:val="baseline"/>
              <w:rPr>
                <w:sz w:val="20"/>
                <w:szCs w:val="20"/>
              </w:rPr>
            </w:pPr>
            <w:r w:rsidRPr="00FC6043">
              <w:rPr>
                <w:rStyle w:val="normaltextrun"/>
                <w:i/>
                <w:iCs/>
                <w:sz w:val="20"/>
                <w:szCs w:val="20"/>
              </w:rPr>
              <w:t>Engage QBs in the development or operation of the proposed property in amounts equal to approximately 5% of total construction hard costs as certified by the Independent Auditor Report in the Final Allocation Application.”</w:t>
            </w:r>
            <w:r w:rsidRPr="00FC6043">
              <w:rPr>
                <w:rStyle w:val="eop"/>
                <w:sz w:val="20"/>
                <w:szCs w:val="20"/>
              </w:rPr>
              <w:t> </w:t>
            </w:r>
          </w:p>
          <w:p w14:paraId="2EED9C15"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6C89925D"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lastRenderedPageBreak/>
              <w:t>If the General Contractor employs sufficient qualified subcontractors who meet the NAICS requirements, and these subcontractors perform 5% or more of the audited hard construction costs, would the project then meet the criteria of A. Engagement Commitment and Reporting and receive the two points?</w:t>
            </w:r>
            <w:r w:rsidRPr="00FC6043">
              <w:rPr>
                <w:rStyle w:val="eop"/>
                <w:sz w:val="20"/>
                <w:szCs w:val="20"/>
              </w:rPr>
              <w:t> </w:t>
            </w:r>
          </w:p>
          <w:p w14:paraId="74C0F796"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29E734CC"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w:t>
            </w:r>
            <w:r w:rsidRPr="00FC6043">
              <w:rPr>
                <w:rStyle w:val="normaltextrun"/>
                <w:strike/>
                <w:sz w:val="20"/>
                <w:szCs w:val="20"/>
              </w:rPr>
              <w:t> </w:t>
            </w:r>
            <w:r w:rsidRPr="00FC6043">
              <w:rPr>
                <w:rStyle w:val="eop"/>
                <w:sz w:val="20"/>
                <w:szCs w:val="20"/>
              </w:rPr>
              <w:t> </w:t>
            </w:r>
          </w:p>
          <w:p w14:paraId="25E140F7"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The QAP does not disallow subcontractors. Therefore, expenses paid to subcontractors that otherwise meet all QAP requirements under this section related to QBs are eligible to contribute towards the 5%. For example, if a General Contractor is not a QB, but three of the subcontractors are, then the expenses paid to the three subcontracting QBs are allowable expenses for contributing to the 5%.</w:t>
            </w:r>
            <w:r w:rsidRPr="00FC6043">
              <w:rPr>
                <w:rStyle w:val="eop"/>
                <w:sz w:val="20"/>
                <w:szCs w:val="20"/>
              </w:rPr>
              <w:t> </w:t>
            </w:r>
          </w:p>
          <w:p w14:paraId="4D8608D0" w14:textId="77777777" w:rsidR="00CF5712" w:rsidRPr="00FC6043" w:rsidRDefault="00CF5712" w:rsidP="00304B2F">
            <w:pPr>
              <w:textAlignment w:val="baseline"/>
              <w:rPr>
                <w:rFonts w:ascii="Times New Roman" w:eastAsia="Times New Roman" w:hAnsi="Times New Roman" w:cs="Times New Roman"/>
                <w:b/>
                <w:bCs/>
                <w:sz w:val="20"/>
                <w:szCs w:val="20"/>
              </w:rPr>
            </w:pPr>
          </w:p>
        </w:tc>
      </w:tr>
      <w:tr w:rsidR="00CF5712" w:rsidRPr="00FC6043" w14:paraId="6EA89021" w14:textId="77777777" w:rsidTr="1995616E">
        <w:trPr>
          <w:jc w:val="center"/>
        </w:trPr>
        <w:tc>
          <w:tcPr>
            <w:tcW w:w="2157" w:type="dxa"/>
            <w:shd w:val="clear" w:color="auto" w:fill="auto"/>
            <w:tcMar>
              <w:top w:w="72" w:type="dxa"/>
              <w:left w:w="115" w:type="dxa"/>
              <w:bottom w:w="72" w:type="dxa"/>
              <w:right w:w="115" w:type="dxa"/>
            </w:tcMar>
            <w:vAlign w:val="center"/>
          </w:tcPr>
          <w:p w14:paraId="4FB3FACB"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4/7/22</w:t>
            </w:r>
          </w:p>
        </w:tc>
        <w:tc>
          <w:tcPr>
            <w:tcW w:w="2198" w:type="dxa"/>
            <w:shd w:val="clear" w:color="auto" w:fill="auto"/>
            <w:tcMar>
              <w:top w:w="72" w:type="dxa"/>
              <w:left w:w="115" w:type="dxa"/>
              <w:bottom w:w="72" w:type="dxa"/>
              <w:right w:w="115" w:type="dxa"/>
            </w:tcMar>
            <w:vAlign w:val="center"/>
          </w:tcPr>
          <w:p w14:paraId="46A91749"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3.17</w:t>
            </w:r>
          </w:p>
          <w:p w14:paraId="5FEF27AE"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74D22815"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3D58A0B8"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Q22_0223_05 </w:t>
            </w:r>
          </w:p>
          <w:p w14:paraId="0C1A8CB0"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Can non-profits qualify as a WBE/MBE? </w:t>
            </w:r>
          </w:p>
          <w:p w14:paraId="7193E73E"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521B3547"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78D7B317"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DCA does not impose any boundaries around eligibility other than what is explicitly stated in the Minority- and Women-Owned Business Engagement Policy posted to the DCA website under </w:t>
            </w:r>
            <w:r w:rsidRPr="00FC6043">
              <w:rPr>
                <w:rFonts w:ascii="Times New Roman" w:eastAsia="Times New Roman" w:hAnsi="Times New Roman" w:cs="Times New Roman"/>
                <w:i/>
                <w:iCs/>
                <w:sz w:val="20"/>
                <w:szCs w:val="20"/>
              </w:rPr>
              <w:t>Scoring Documents and Data</w:t>
            </w:r>
            <w:r w:rsidRPr="00FC6043">
              <w:rPr>
                <w:rFonts w:ascii="Times New Roman" w:eastAsia="Times New Roman" w:hAnsi="Times New Roman" w:cs="Times New Roman"/>
                <w:sz w:val="20"/>
                <w:szCs w:val="20"/>
              </w:rPr>
              <w:t xml:space="preserve"> (</w:t>
            </w:r>
            <w:hyperlink r:id="rId42" w:tgtFrame="_blank" w:history="1">
              <w:r w:rsidRPr="00FC6043">
                <w:rPr>
                  <w:rFonts w:ascii="Times New Roman" w:eastAsia="Times New Roman" w:hAnsi="Times New Roman" w:cs="Times New Roman"/>
                  <w:sz w:val="20"/>
                  <w:szCs w:val="20"/>
                  <w:u w:val="single"/>
                </w:rPr>
                <w:t>click here</w:t>
              </w:r>
            </w:hyperlink>
            <w:r w:rsidRPr="00FC6043">
              <w:rPr>
                <w:rFonts w:ascii="Times New Roman" w:eastAsia="Times New Roman" w:hAnsi="Times New Roman" w:cs="Times New Roman"/>
                <w:sz w:val="20"/>
                <w:szCs w:val="20"/>
              </w:rPr>
              <w:t>).  </w:t>
            </w:r>
          </w:p>
          <w:p w14:paraId="05FE7272"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0D7920E9"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Organizations interested in the certification programs should review the information posted on each program’s website and where anything is unclear, please direct those questions to the certification programs. DCA is not able to clarify policies for non-DCA programs.  </w:t>
            </w:r>
          </w:p>
          <w:p w14:paraId="7AF04589" w14:textId="77777777" w:rsidR="00CF5712" w:rsidRPr="00FC6043" w:rsidRDefault="00CF5712" w:rsidP="00304B2F">
            <w:pPr>
              <w:textAlignment w:val="baseline"/>
              <w:rPr>
                <w:rFonts w:ascii="Times New Roman" w:eastAsia="Times New Roman" w:hAnsi="Times New Roman" w:cs="Times New Roman"/>
                <w:b/>
                <w:bCs/>
                <w:sz w:val="20"/>
                <w:szCs w:val="20"/>
              </w:rPr>
            </w:pPr>
          </w:p>
        </w:tc>
      </w:tr>
      <w:tr w:rsidR="00CF5712" w:rsidRPr="00FC6043" w14:paraId="00EB5AA4" w14:textId="77777777" w:rsidTr="1995616E">
        <w:trPr>
          <w:jc w:val="center"/>
        </w:trPr>
        <w:tc>
          <w:tcPr>
            <w:tcW w:w="2157" w:type="dxa"/>
            <w:shd w:val="clear" w:color="auto" w:fill="auto"/>
            <w:tcMar>
              <w:top w:w="72" w:type="dxa"/>
              <w:left w:w="115" w:type="dxa"/>
              <w:bottom w:w="72" w:type="dxa"/>
              <w:right w:w="115" w:type="dxa"/>
            </w:tcMar>
            <w:vAlign w:val="center"/>
          </w:tcPr>
          <w:p w14:paraId="53AE2977"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14:paraId="5B798E39"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3.17</w:t>
            </w:r>
          </w:p>
          <w:p w14:paraId="6152124C"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2494D589"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7CD0C022"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Q22_0223_06  </w:t>
            </w:r>
          </w:p>
          <w:p w14:paraId="6F67D09C"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Which agencies and/or councils will certify business ownership? </w:t>
            </w:r>
          </w:p>
          <w:p w14:paraId="7CBADF0A"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280B71E7"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5A1D7AB7"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 The </w:t>
            </w:r>
            <w:r w:rsidRPr="00FC6043">
              <w:rPr>
                <w:rFonts w:ascii="Times New Roman" w:eastAsia="Times New Roman" w:hAnsi="Times New Roman" w:cs="Times New Roman"/>
                <w:i/>
                <w:iCs/>
                <w:sz w:val="20"/>
                <w:szCs w:val="20"/>
              </w:rPr>
              <w:t>DCA Minority- and Women-Owned Business Engagement Policy</w:t>
            </w:r>
            <w:r w:rsidRPr="00FC6043">
              <w:rPr>
                <w:rFonts w:ascii="Times New Roman" w:eastAsia="Times New Roman" w:hAnsi="Times New Roman" w:cs="Times New Roman"/>
                <w:sz w:val="20"/>
                <w:szCs w:val="20"/>
              </w:rPr>
              <w:t xml:space="preserve"> states: </w:t>
            </w:r>
          </w:p>
          <w:p w14:paraId="37F9A97B"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7FE795D7" w14:textId="77777777" w:rsidR="00CF5712" w:rsidRPr="00FC6043" w:rsidRDefault="00CF5712" w:rsidP="00304B2F">
            <w:pPr>
              <w:ind w:left="72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i/>
                <w:iCs/>
                <w:sz w:val="20"/>
                <w:szCs w:val="20"/>
              </w:rPr>
              <w:t>“To qualify for the Project Team or Prior Minority and Women-Owned Business Engagement points under the Minority- and Women-Owned Business Engagement scoring initiatives, an applicant may submit proof of either a State DBE/MBE certification or a Federal MBE Certification.</w:t>
            </w:r>
            <w:r w:rsidRPr="00FC6043">
              <w:rPr>
                <w:rFonts w:ascii="Times New Roman" w:eastAsia="Times New Roman" w:hAnsi="Times New Roman" w:cs="Times New Roman"/>
                <w:sz w:val="20"/>
                <w:szCs w:val="20"/>
              </w:rPr>
              <w:t> </w:t>
            </w:r>
          </w:p>
          <w:p w14:paraId="726C6837" w14:textId="77777777" w:rsidR="00CF5712" w:rsidRPr="00FC6043" w:rsidRDefault="00CF5712" w:rsidP="00304B2F">
            <w:pPr>
              <w:ind w:left="72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43E703C9" w14:textId="77777777" w:rsidR="00CF5712" w:rsidRPr="00FC6043" w:rsidRDefault="00CF5712" w:rsidP="00304B2F">
            <w:pPr>
              <w:ind w:left="72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i/>
                <w:iCs/>
                <w:sz w:val="20"/>
                <w:szCs w:val="20"/>
              </w:rPr>
              <w:t>STATE CERTIFICATION</w:t>
            </w:r>
            <w:r w:rsidRPr="00FC6043">
              <w:rPr>
                <w:rFonts w:ascii="Times New Roman" w:eastAsia="Times New Roman" w:hAnsi="Times New Roman" w:cs="Times New Roman"/>
                <w:sz w:val="20"/>
                <w:szCs w:val="20"/>
              </w:rPr>
              <w:t> </w:t>
            </w:r>
          </w:p>
          <w:p w14:paraId="10890EF6" w14:textId="77777777" w:rsidR="00CF5712" w:rsidRPr="00FC6043" w:rsidRDefault="00CF5712" w:rsidP="00304B2F">
            <w:pPr>
              <w:ind w:left="72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i/>
                <w:iCs/>
                <w:sz w:val="20"/>
                <w:szCs w:val="20"/>
              </w:rPr>
              <w:t>Georgia Department of Administrative Services: Minority Business Enterprise Certification Georgia Department of Transportation Disadvantaged Business Enterprise (includes WBE)</w:t>
            </w:r>
            <w:r w:rsidRPr="00FC6043">
              <w:rPr>
                <w:rFonts w:ascii="Times New Roman" w:eastAsia="Times New Roman" w:hAnsi="Times New Roman" w:cs="Times New Roman"/>
                <w:sz w:val="20"/>
                <w:szCs w:val="20"/>
              </w:rPr>
              <w:t> </w:t>
            </w:r>
          </w:p>
          <w:p w14:paraId="750FBE25" w14:textId="77777777" w:rsidR="00CF5712" w:rsidRPr="00FC6043" w:rsidRDefault="00CF5712" w:rsidP="00304B2F">
            <w:pPr>
              <w:ind w:left="72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77FE75EB" w14:textId="77777777" w:rsidR="00CF5712" w:rsidRPr="00FC6043" w:rsidRDefault="00CF5712" w:rsidP="00304B2F">
            <w:pPr>
              <w:ind w:left="72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i/>
                <w:iCs/>
                <w:sz w:val="20"/>
                <w:szCs w:val="20"/>
              </w:rPr>
              <w:t>FEDERAL CERTIFICATION</w:t>
            </w:r>
            <w:r w:rsidRPr="00FC6043">
              <w:rPr>
                <w:rFonts w:ascii="Times New Roman" w:eastAsia="Times New Roman" w:hAnsi="Times New Roman" w:cs="Times New Roman"/>
                <w:sz w:val="20"/>
                <w:szCs w:val="20"/>
              </w:rPr>
              <w:t> </w:t>
            </w:r>
          </w:p>
          <w:p w14:paraId="77FEA889" w14:textId="77777777" w:rsidR="00CF5712" w:rsidRPr="00FC6043" w:rsidRDefault="00CF5712" w:rsidP="00304B2F">
            <w:pPr>
              <w:ind w:left="72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i/>
                <w:iCs/>
                <w:sz w:val="20"/>
                <w:szCs w:val="20"/>
              </w:rPr>
              <w:t>National Minority Supplier Development Council (NMSDC)”</w:t>
            </w:r>
          </w:p>
          <w:p w14:paraId="7F948CD2" w14:textId="77777777" w:rsidR="00CF5712" w:rsidRPr="00FC6043" w:rsidRDefault="00CF5712" w:rsidP="00304B2F">
            <w:pPr>
              <w:textAlignment w:val="baseline"/>
              <w:rPr>
                <w:rFonts w:ascii="Times New Roman" w:eastAsia="Times New Roman" w:hAnsi="Times New Roman" w:cs="Times New Roman"/>
                <w:b/>
                <w:bCs/>
                <w:sz w:val="20"/>
                <w:szCs w:val="20"/>
              </w:rPr>
            </w:pPr>
          </w:p>
        </w:tc>
      </w:tr>
      <w:tr w:rsidR="00CF5712" w:rsidRPr="00FC6043" w14:paraId="0D46A2B1" w14:textId="77777777" w:rsidTr="1995616E">
        <w:trPr>
          <w:jc w:val="center"/>
        </w:trPr>
        <w:tc>
          <w:tcPr>
            <w:tcW w:w="2157" w:type="dxa"/>
            <w:shd w:val="clear" w:color="auto" w:fill="auto"/>
            <w:tcMar>
              <w:top w:w="72" w:type="dxa"/>
              <w:left w:w="115" w:type="dxa"/>
              <w:bottom w:w="72" w:type="dxa"/>
              <w:right w:w="115" w:type="dxa"/>
            </w:tcMar>
            <w:vAlign w:val="center"/>
          </w:tcPr>
          <w:p w14:paraId="6000ECEA"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4/5/22</w:t>
            </w:r>
          </w:p>
        </w:tc>
        <w:tc>
          <w:tcPr>
            <w:tcW w:w="2198" w:type="dxa"/>
            <w:shd w:val="clear" w:color="auto" w:fill="auto"/>
            <w:tcMar>
              <w:top w:w="72" w:type="dxa"/>
              <w:left w:w="115" w:type="dxa"/>
              <w:bottom w:w="72" w:type="dxa"/>
              <w:right w:w="115" w:type="dxa"/>
            </w:tcMar>
            <w:vAlign w:val="center"/>
          </w:tcPr>
          <w:p w14:paraId="1E8DB4B6"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2.07</w:t>
            </w:r>
          </w:p>
          <w:p w14:paraId="3D5A780B"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Threshold Criteria; Environmental Requirements</w:t>
            </w:r>
          </w:p>
        </w:tc>
        <w:tc>
          <w:tcPr>
            <w:tcW w:w="9590" w:type="dxa"/>
            <w:shd w:val="clear" w:color="auto" w:fill="auto"/>
            <w:tcMar>
              <w:top w:w="72" w:type="dxa"/>
              <w:left w:w="115" w:type="dxa"/>
              <w:bottom w:w="72" w:type="dxa"/>
              <w:right w:w="115" w:type="dxa"/>
            </w:tcMar>
            <w:vAlign w:val="center"/>
          </w:tcPr>
          <w:p w14:paraId="52BC143D"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Q22_0329_02 </w:t>
            </w:r>
          </w:p>
          <w:p w14:paraId="146144A0"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We are working on an acquisition rehabilitation, and we received Phase I ESA, dated 5/13/21. We are engaging an update for the report since it will exceed 6 months prior to the firm application. Does DCA require that we also receive an updated noise assessment and STC Calculation &amp; </w:t>
            </w:r>
            <w:proofErr w:type="spellStart"/>
            <w:r w:rsidRPr="00FC6043">
              <w:rPr>
                <w:rFonts w:ascii="Times New Roman" w:eastAsia="Times New Roman" w:hAnsi="Times New Roman" w:cs="Times New Roman"/>
                <w:sz w:val="20"/>
                <w:szCs w:val="20"/>
              </w:rPr>
              <w:t>STraCAT</w:t>
            </w:r>
            <w:proofErr w:type="spellEnd"/>
            <w:r w:rsidRPr="00FC6043">
              <w:rPr>
                <w:rFonts w:ascii="Times New Roman" w:eastAsia="Times New Roman" w:hAnsi="Times New Roman" w:cs="Times New Roman"/>
                <w:sz w:val="20"/>
                <w:szCs w:val="20"/>
              </w:rPr>
              <w:t xml:space="preserve"> Analysis? </w:t>
            </w:r>
          </w:p>
          <w:p w14:paraId="72926725"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758BD90B"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11127CB3"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Per the DCA 2022 Environmental Manual, Noise Assessment must be completed within one hundred eighty (180) days before Application submission (P.27). An updated complete noise assessment including STC Calculation, </w:t>
            </w:r>
            <w:proofErr w:type="spellStart"/>
            <w:r w:rsidRPr="00FC6043">
              <w:rPr>
                <w:rFonts w:ascii="Times New Roman" w:eastAsia="Times New Roman" w:hAnsi="Times New Roman" w:cs="Times New Roman"/>
                <w:sz w:val="20"/>
                <w:szCs w:val="20"/>
              </w:rPr>
              <w:t>STraCAT</w:t>
            </w:r>
            <w:proofErr w:type="spellEnd"/>
            <w:r w:rsidRPr="00FC6043">
              <w:rPr>
                <w:rFonts w:ascii="Times New Roman" w:eastAsia="Times New Roman" w:hAnsi="Times New Roman" w:cs="Times New Roman"/>
                <w:sz w:val="20"/>
                <w:szCs w:val="20"/>
              </w:rPr>
              <w:t xml:space="preserve"> Analysis &amp; 10-year roadway projections is required. </w:t>
            </w:r>
          </w:p>
        </w:tc>
      </w:tr>
      <w:tr w:rsidR="00CF5712" w:rsidRPr="00FC6043" w14:paraId="4B536949" w14:textId="77777777" w:rsidTr="1995616E">
        <w:trPr>
          <w:jc w:val="center"/>
        </w:trPr>
        <w:tc>
          <w:tcPr>
            <w:tcW w:w="2157" w:type="dxa"/>
            <w:shd w:val="clear" w:color="auto" w:fill="auto"/>
            <w:tcMar>
              <w:top w:w="72" w:type="dxa"/>
              <w:left w:w="115" w:type="dxa"/>
              <w:bottom w:w="72" w:type="dxa"/>
              <w:right w:w="115" w:type="dxa"/>
            </w:tcMar>
            <w:vAlign w:val="center"/>
          </w:tcPr>
          <w:p w14:paraId="69DC1499"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4/5/22</w:t>
            </w:r>
          </w:p>
        </w:tc>
        <w:tc>
          <w:tcPr>
            <w:tcW w:w="2198" w:type="dxa"/>
            <w:shd w:val="clear" w:color="auto" w:fill="auto"/>
            <w:tcMar>
              <w:top w:w="72" w:type="dxa"/>
              <w:left w:w="115" w:type="dxa"/>
              <w:bottom w:w="72" w:type="dxa"/>
              <w:right w:w="115" w:type="dxa"/>
            </w:tcMar>
            <w:vAlign w:val="center"/>
          </w:tcPr>
          <w:p w14:paraId="3B0F298B"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2.07</w:t>
            </w:r>
          </w:p>
          <w:p w14:paraId="4FB98BEB"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Threshold Criteria; Environmental Requirements </w:t>
            </w:r>
          </w:p>
        </w:tc>
        <w:tc>
          <w:tcPr>
            <w:tcW w:w="9590" w:type="dxa"/>
            <w:shd w:val="clear" w:color="auto" w:fill="auto"/>
            <w:tcMar>
              <w:top w:w="72" w:type="dxa"/>
              <w:left w:w="115" w:type="dxa"/>
              <w:bottom w:w="72" w:type="dxa"/>
              <w:right w:w="115" w:type="dxa"/>
            </w:tcMar>
            <w:vAlign w:val="center"/>
          </w:tcPr>
          <w:p w14:paraId="1C3988B8"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Q22_0330_01b </w:t>
            </w:r>
          </w:p>
          <w:p w14:paraId="663EC638"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In regard to the Environmental Manual: Cultural Resources Survey - Section 12.3. states that "For all projects, if no literature/records review/report (literature review) or Phase I Cultural/Historic Resources Survey (Phase I survey) has been completed in the project area/APE in the last five years, it will be necessary, at a minimum, to conduct a literature review of the APE to determine if historic resources or archaeological sites are present."</w:t>
            </w:r>
          </w:p>
          <w:p w14:paraId="11474836" w14:textId="77777777" w:rsidR="00CF5712" w:rsidRPr="00FC6043" w:rsidRDefault="00CF5712" w:rsidP="00304B2F">
            <w:pPr>
              <w:textAlignment w:val="baseline"/>
              <w:rPr>
                <w:rFonts w:ascii="Times New Roman" w:eastAsia="Times New Roman" w:hAnsi="Times New Roman" w:cs="Times New Roman"/>
                <w:sz w:val="20"/>
                <w:szCs w:val="20"/>
              </w:rPr>
            </w:pPr>
          </w:p>
          <w:p w14:paraId="76A9E860"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Since this is part of the Historical Section, would you please confirm that this only applies to properties that are over 50 years old? In our case, we are preparing to renovate an existing project placed in service in 2008 with no new construction proposed. </w:t>
            </w:r>
          </w:p>
          <w:p w14:paraId="6F44A3E2"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374FFC6E"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1293CE06" w14:textId="77777777" w:rsidR="00CF5712" w:rsidRPr="00FC6043" w:rsidRDefault="00CF5712" w:rsidP="00304B2F">
            <w:pPr>
              <w:textAlignment w:val="baseline"/>
              <w:rPr>
                <w:rStyle w:val="normaltextrun"/>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No, the Cultural Resources Survey is a minimum document required for the S106 and GEPA review process and is required for all properties regardless of their age and construction activity. Although the proposed development is the renovation of an existing building that is less than 50 years old, therefore not considered a historic building, there could be other historic properties (archaeological and historic) located within the proposed project’s area of potential effect (APE). Historic Preservation Division will review the S106/GEPA applications and determine if the project, as proposed, will have any adverse effects on any historic properties located in the APE. </w:t>
            </w:r>
          </w:p>
        </w:tc>
      </w:tr>
      <w:tr w:rsidR="00CF5712" w:rsidRPr="00FC6043" w14:paraId="7AB587FE" w14:textId="77777777" w:rsidTr="1995616E">
        <w:trPr>
          <w:jc w:val="center"/>
        </w:trPr>
        <w:tc>
          <w:tcPr>
            <w:tcW w:w="2157" w:type="dxa"/>
            <w:shd w:val="clear" w:color="auto" w:fill="auto"/>
            <w:tcMar>
              <w:top w:w="72" w:type="dxa"/>
              <w:left w:w="115" w:type="dxa"/>
              <w:bottom w:w="72" w:type="dxa"/>
              <w:right w:w="115" w:type="dxa"/>
            </w:tcMar>
            <w:vAlign w:val="center"/>
          </w:tcPr>
          <w:p w14:paraId="59FAFCB2"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4/5/22</w:t>
            </w:r>
          </w:p>
        </w:tc>
        <w:tc>
          <w:tcPr>
            <w:tcW w:w="2198" w:type="dxa"/>
            <w:shd w:val="clear" w:color="auto" w:fill="auto"/>
            <w:tcMar>
              <w:top w:w="72" w:type="dxa"/>
              <w:left w:w="115" w:type="dxa"/>
              <w:bottom w:w="72" w:type="dxa"/>
              <w:right w:w="115" w:type="dxa"/>
            </w:tcMar>
            <w:vAlign w:val="center"/>
          </w:tcPr>
          <w:p w14:paraId="0CBD1714"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3.07</w:t>
            </w:r>
          </w:p>
          <w:p w14:paraId="4D2B08A5"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Criteria; </w:t>
            </w:r>
          </w:p>
          <w:p w14:paraId="06F78C7E"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Quality Education Areas</w:t>
            </w:r>
          </w:p>
        </w:tc>
        <w:tc>
          <w:tcPr>
            <w:tcW w:w="9590" w:type="dxa"/>
            <w:shd w:val="clear" w:color="auto" w:fill="auto"/>
            <w:tcMar>
              <w:top w:w="72" w:type="dxa"/>
              <w:left w:w="115" w:type="dxa"/>
              <w:bottom w:w="72" w:type="dxa"/>
              <w:right w:w="115" w:type="dxa"/>
            </w:tcMar>
            <w:vAlign w:val="center"/>
          </w:tcPr>
          <w:p w14:paraId="61D57C7D"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Q22_0318_01</w:t>
            </w:r>
            <w:r w:rsidRPr="00FC6043">
              <w:rPr>
                <w:rStyle w:val="eop"/>
                <w:sz w:val="20"/>
                <w:szCs w:val="20"/>
              </w:rPr>
              <w:t> </w:t>
            </w:r>
          </w:p>
          <w:p w14:paraId="5615A286"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With regards to Section VII. Quality Education Areas and the Option C - Scoring Data published on 2/14, we are noticing instances where the same school will show up in multiple rows with different CCRPI data. Can you explain how we differentiate the school data and what data should be used when scoring sites that fall in a school zone that is showing different data for the same school?</w:t>
            </w:r>
            <w:r w:rsidRPr="00FC6043">
              <w:rPr>
                <w:rStyle w:val="eop"/>
                <w:sz w:val="20"/>
                <w:szCs w:val="20"/>
              </w:rPr>
              <w:t> </w:t>
            </w:r>
          </w:p>
          <w:p w14:paraId="1708C3BA"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46497044"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0A64B54D"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This typically occurs when the Department of Education (DOE) has changed the identifying information for a particular school from one year to the next. In such instances, applicants are encouraged to do the following:</w:t>
            </w:r>
            <w:r w:rsidRPr="00FC6043">
              <w:rPr>
                <w:rStyle w:val="eop"/>
                <w:sz w:val="20"/>
                <w:szCs w:val="20"/>
              </w:rPr>
              <w:t> </w:t>
            </w:r>
            <w:r w:rsidRPr="00FC6043">
              <w:rPr>
                <w:rStyle w:val="eop"/>
                <w:sz w:val="20"/>
                <w:szCs w:val="20"/>
              </w:rPr>
              <w:br/>
            </w:r>
          </w:p>
          <w:p w14:paraId="548C0138" w14:textId="77777777" w:rsidR="00CF5712" w:rsidRPr="00FC6043" w:rsidRDefault="00CF5712" w:rsidP="00304B2F">
            <w:pPr>
              <w:pStyle w:val="paragraph"/>
              <w:numPr>
                <w:ilvl w:val="0"/>
                <w:numId w:val="25"/>
              </w:numPr>
              <w:spacing w:before="0" w:beforeAutospacing="0" w:after="0" w:afterAutospacing="0"/>
              <w:ind w:left="1080" w:firstLine="0"/>
              <w:textAlignment w:val="baseline"/>
              <w:rPr>
                <w:sz w:val="20"/>
                <w:szCs w:val="20"/>
              </w:rPr>
            </w:pPr>
            <w:r w:rsidRPr="00FC6043">
              <w:rPr>
                <w:rStyle w:val="normaltextrun"/>
                <w:sz w:val="20"/>
                <w:szCs w:val="20"/>
              </w:rPr>
              <w:lastRenderedPageBreak/>
              <w:t>Confirm the score for each year by referencing the original DOE data for a given year.</w:t>
            </w:r>
            <w:r w:rsidRPr="00FC6043">
              <w:rPr>
                <w:rStyle w:val="eop"/>
                <w:sz w:val="20"/>
                <w:szCs w:val="20"/>
              </w:rPr>
              <w:t> </w:t>
            </w:r>
          </w:p>
          <w:p w14:paraId="1A17AEAB" w14:textId="77777777" w:rsidR="00CF5712" w:rsidRPr="00FC6043" w:rsidRDefault="00CF5712" w:rsidP="00304B2F">
            <w:pPr>
              <w:pStyle w:val="paragraph"/>
              <w:numPr>
                <w:ilvl w:val="0"/>
                <w:numId w:val="26"/>
              </w:numPr>
              <w:spacing w:before="0" w:beforeAutospacing="0" w:after="0" w:afterAutospacing="0"/>
              <w:ind w:left="1800" w:firstLine="0"/>
              <w:textAlignment w:val="baseline"/>
              <w:rPr>
                <w:sz w:val="20"/>
                <w:szCs w:val="20"/>
              </w:rPr>
            </w:pPr>
            <w:hyperlink r:id="rId43" w:tgtFrame="_blank" w:history="1">
              <w:r w:rsidRPr="00FC6043">
                <w:rPr>
                  <w:rStyle w:val="normaltextrun"/>
                  <w:sz w:val="20"/>
                  <w:szCs w:val="20"/>
                  <w:u w:val="single"/>
                </w:rPr>
                <w:t>(2018 and 2019 data) “College and Career Ready Performance Index”</w:t>
              </w:r>
            </w:hyperlink>
            <w:r w:rsidRPr="00FC6043">
              <w:rPr>
                <w:rStyle w:val="eop"/>
                <w:sz w:val="20"/>
                <w:szCs w:val="20"/>
              </w:rPr>
              <w:t> </w:t>
            </w:r>
          </w:p>
          <w:p w14:paraId="19948A20" w14:textId="77777777" w:rsidR="00CF5712" w:rsidRPr="00FC6043" w:rsidRDefault="00CF5712" w:rsidP="00304B2F">
            <w:pPr>
              <w:pStyle w:val="paragraph"/>
              <w:numPr>
                <w:ilvl w:val="0"/>
                <w:numId w:val="27"/>
              </w:numPr>
              <w:spacing w:before="0" w:beforeAutospacing="0" w:after="0" w:afterAutospacing="0"/>
              <w:ind w:left="1800" w:firstLine="0"/>
              <w:textAlignment w:val="baseline"/>
              <w:rPr>
                <w:sz w:val="20"/>
                <w:szCs w:val="20"/>
              </w:rPr>
            </w:pPr>
            <w:hyperlink r:id="rId44" w:tgtFrame="_blank" w:history="1">
              <w:r w:rsidRPr="00FC6043">
                <w:rPr>
                  <w:rStyle w:val="normaltextrun"/>
                  <w:sz w:val="20"/>
                  <w:szCs w:val="20"/>
                  <w:u w:val="single"/>
                </w:rPr>
                <w:t>(2015 through 2017 data) “Archived CCRPI Data Files”</w:t>
              </w:r>
            </w:hyperlink>
            <w:r w:rsidRPr="00FC6043">
              <w:rPr>
                <w:rStyle w:val="eop"/>
                <w:sz w:val="20"/>
                <w:szCs w:val="20"/>
              </w:rPr>
              <w:t> </w:t>
            </w:r>
          </w:p>
          <w:p w14:paraId="7283A359" w14:textId="77777777" w:rsidR="00CF5712" w:rsidRPr="00FC6043" w:rsidRDefault="00CF5712" w:rsidP="00304B2F">
            <w:pPr>
              <w:pStyle w:val="paragraph"/>
              <w:numPr>
                <w:ilvl w:val="0"/>
                <w:numId w:val="28"/>
              </w:numPr>
              <w:spacing w:before="0" w:beforeAutospacing="0" w:after="0" w:afterAutospacing="0"/>
              <w:ind w:left="1080" w:firstLine="0"/>
              <w:textAlignment w:val="baseline"/>
              <w:rPr>
                <w:sz w:val="20"/>
                <w:szCs w:val="20"/>
              </w:rPr>
            </w:pPr>
            <w:r w:rsidRPr="00FC6043">
              <w:rPr>
                <w:rStyle w:val="normaltextrun"/>
                <w:sz w:val="20"/>
                <w:szCs w:val="20"/>
              </w:rPr>
              <w:t>Report the school and associated evidence to DCA through the Q&amp;A process. This allows the applicant to confirm whether DCA staff agree with the applicant's assessment prior to the application submission deadline.</w:t>
            </w:r>
            <w:r w:rsidRPr="00FC6043">
              <w:rPr>
                <w:rStyle w:val="eop"/>
                <w:sz w:val="20"/>
                <w:szCs w:val="20"/>
              </w:rPr>
              <w:t> </w:t>
            </w:r>
          </w:p>
          <w:p w14:paraId="3F1E703D" w14:textId="77777777" w:rsidR="00CF5712" w:rsidRPr="00FC6043" w:rsidRDefault="00CF5712" w:rsidP="00304B2F">
            <w:pPr>
              <w:pStyle w:val="paragraph"/>
              <w:numPr>
                <w:ilvl w:val="0"/>
                <w:numId w:val="28"/>
              </w:numPr>
              <w:spacing w:before="0" w:beforeAutospacing="0" w:after="0" w:afterAutospacing="0"/>
              <w:ind w:left="1080" w:firstLine="0"/>
              <w:textAlignment w:val="baseline"/>
              <w:rPr>
                <w:sz w:val="20"/>
                <w:szCs w:val="20"/>
              </w:rPr>
            </w:pPr>
            <w:r w:rsidRPr="00FC6043">
              <w:rPr>
                <w:rStyle w:val="normaltextrun"/>
                <w:sz w:val="20"/>
                <w:szCs w:val="20"/>
              </w:rPr>
              <w:t>Submit evidence with your tax credit application for any year(s) that a CCRPI score is incorrectly or inconsistently represented in “Option C-Scoring Data.xlsx”.</w:t>
            </w:r>
            <w:r w:rsidRPr="00FC6043">
              <w:rPr>
                <w:rStyle w:val="eop"/>
                <w:sz w:val="20"/>
                <w:szCs w:val="20"/>
              </w:rPr>
              <w:t> </w:t>
            </w:r>
          </w:p>
          <w:p w14:paraId="0DC4A503"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4BFB1731"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 xml:space="preserve">The above instructions are from </w:t>
            </w:r>
            <w:r w:rsidRPr="00FC6043">
              <w:rPr>
                <w:rStyle w:val="normaltextrun"/>
                <w:i/>
                <w:iCs/>
                <w:sz w:val="20"/>
                <w:szCs w:val="20"/>
              </w:rPr>
              <w:t xml:space="preserve">Quality Education Areas, Scoring Instructions </w:t>
            </w:r>
            <w:r w:rsidRPr="00FC6043">
              <w:rPr>
                <w:rStyle w:val="normaltextrun"/>
                <w:sz w:val="20"/>
                <w:szCs w:val="20"/>
              </w:rPr>
              <w:t>posted previously to the DCA website (</w:t>
            </w:r>
            <w:hyperlink r:id="rId45" w:tgtFrame="_blank" w:history="1">
              <w:r w:rsidRPr="00FC6043">
                <w:rPr>
                  <w:rStyle w:val="normaltextrun"/>
                  <w:sz w:val="20"/>
                  <w:szCs w:val="20"/>
                  <w:u w:val="single"/>
                </w:rPr>
                <w:t>click here</w:t>
              </w:r>
            </w:hyperlink>
            <w:r w:rsidRPr="00FC6043">
              <w:rPr>
                <w:rStyle w:val="normaltextrun"/>
                <w:sz w:val="20"/>
                <w:szCs w:val="20"/>
              </w:rPr>
              <w:t>).</w:t>
            </w:r>
            <w:r w:rsidRPr="00FC6043">
              <w:rPr>
                <w:rStyle w:val="eop"/>
                <w:sz w:val="20"/>
                <w:szCs w:val="20"/>
              </w:rPr>
              <w:t> </w:t>
            </w:r>
          </w:p>
        </w:tc>
      </w:tr>
      <w:tr w:rsidR="00CF5712" w:rsidRPr="00FC6043" w14:paraId="31858CCC" w14:textId="77777777" w:rsidTr="1995616E">
        <w:trPr>
          <w:jc w:val="center"/>
        </w:trPr>
        <w:tc>
          <w:tcPr>
            <w:tcW w:w="2157" w:type="dxa"/>
            <w:shd w:val="clear" w:color="auto" w:fill="auto"/>
            <w:tcMar>
              <w:top w:w="72" w:type="dxa"/>
              <w:left w:w="115" w:type="dxa"/>
              <w:bottom w:w="72" w:type="dxa"/>
              <w:right w:w="115" w:type="dxa"/>
            </w:tcMar>
            <w:vAlign w:val="center"/>
          </w:tcPr>
          <w:p w14:paraId="212F0945"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4/5/22</w:t>
            </w:r>
          </w:p>
        </w:tc>
        <w:tc>
          <w:tcPr>
            <w:tcW w:w="2198" w:type="dxa"/>
            <w:shd w:val="clear" w:color="auto" w:fill="auto"/>
            <w:tcMar>
              <w:top w:w="72" w:type="dxa"/>
              <w:left w:w="115" w:type="dxa"/>
              <w:bottom w:w="72" w:type="dxa"/>
              <w:right w:w="115" w:type="dxa"/>
            </w:tcMar>
            <w:vAlign w:val="center"/>
          </w:tcPr>
          <w:p w14:paraId="2483686C"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3.17</w:t>
            </w:r>
          </w:p>
          <w:p w14:paraId="6049AE3B"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05ADF3B7"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Minority- and Women-owned Business Engagement </w:t>
            </w:r>
          </w:p>
        </w:tc>
        <w:tc>
          <w:tcPr>
            <w:tcW w:w="9590" w:type="dxa"/>
            <w:shd w:val="clear" w:color="auto" w:fill="auto"/>
            <w:tcMar>
              <w:top w:w="72" w:type="dxa"/>
              <w:left w:w="115" w:type="dxa"/>
              <w:bottom w:w="72" w:type="dxa"/>
              <w:right w:w="115" w:type="dxa"/>
            </w:tcMar>
            <w:vAlign w:val="center"/>
          </w:tcPr>
          <w:p w14:paraId="7D6B64A1" w14:textId="77777777" w:rsidR="00CF5712" w:rsidRPr="00FC6043" w:rsidRDefault="00CF5712" w:rsidP="00304B2F">
            <w:pPr>
              <w:textAlignment w:val="baseline"/>
              <w:rPr>
                <w:rFonts w:ascii="Times New Roman" w:eastAsia="Times New Roman" w:hAnsi="Times New Roman" w:cs="Times New Roman"/>
                <w:b/>
                <w:bCs/>
                <w:sz w:val="20"/>
                <w:szCs w:val="20"/>
              </w:rPr>
            </w:pPr>
            <w:r w:rsidRPr="00FC6043">
              <w:rPr>
                <w:rFonts w:ascii="Times New Roman" w:eastAsia="Times New Roman" w:hAnsi="Times New Roman" w:cs="Times New Roman"/>
                <w:b/>
                <w:bCs/>
                <w:sz w:val="20"/>
                <w:szCs w:val="20"/>
              </w:rPr>
              <w:t>Question: Q22_0401_17</w:t>
            </w:r>
          </w:p>
          <w:p w14:paraId="1C007AB0"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I see the that DCA’s Minority- and Women-owned Business Engagement Policy document was updated. What was changed? </w:t>
            </w:r>
          </w:p>
          <w:p w14:paraId="596F71B3" w14:textId="77777777" w:rsidR="00CF5712" w:rsidRPr="00FC6043" w:rsidRDefault="00CF5712" w:rsidP="00304B2F">
            <w:pPr>
              <w:textAlignment w:val="baseline"/>
              <w:rPr>
                <w:rFonts w:ascii="Times New Roman" w:eastAsia="Times New Roman" w:hAnsi="Times New Roman" w:cs="Times New Roman"/>
                <w:sz w:val="20"/>
                <w:szCs w:val="20"/>
              </w:rPr>
            </w:pPr>
          </w:p>
          <w:p w14:paraId="2369CFF9"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w:t>
            </w:r>
          </w:p>
          <w:p w14:paraId="2D5C452C"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DCA updated this document on April 5</w:t>
            </w:r>
            <w:r w:rsidRPr="00FC6043">
              <w:rPr>
                <w:rFonts w:ascii="Times New Roman" w:eastAsia="Times New Roman" w:hAnsi="Times New Roman" w:cs="Times New Roman"/>
                <w:sz w:val="20"/>
                <w:szCs w:val="20"/>
                <w:vertAlign w:val="superscript"/>
              </w:rPr>
              <w:t>th</w:t>
            </w:r>
            <w:r w:rsidRPr="00FC6043">
              <w:rPr>
                <w:rFonts w:ascii="Times New Roman" w:eastAsia="Times New Roman" w:hAnsi="Times New Roman" w:cs="Times New Roman"/>
                <w:sz w:val="20"/>
                <w:szCs w:val="20"/>
              </w:rPr>
              <w:t xml:space="preserve">. The only changes were removing references to a subsection that was included in the 2022 QAP drafted but was not included in the final 2022 QAP. </w:t>
            </w:r>
          </w:p>
          <w:p w14:paraId="47D667ED" w14:textId="77777777" w:rsidR="00CF5712" w:rsidRPr="00FC6043" w:rsidRDefault="00CF5712" w:rsidP="00304B2F">
            <w:pPr>
              <w:textAlignment w:val="baseline"/>
              <w:rPr>
                <w:rFonts w:ascii="Times New Roman" w:eastAsia="Times New Roman" w:hAnsi="Times New Roman" w:cs="Times New Roman"/>
                <w:sz w:val="20"/>
                <w:szCs w:val="20"/>
              </w:rPr>
            </w:pPr>
          </w:p>
          <w:p w14:paraId="075DB8C2"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The policy document is posted under “Scoring Documents and Data” under Application Manuals and Forms (</w:t>
            </w:r>
            <w:hyperlink r:id="rId46" w:history="1">
              <w:r w:rsidRPr="00FC6043">
                <w:rPr>
                  <w:rStyle w:val="Hyperlink"/>
                  <w:rFonts w:ascii="Times New Roman" w:eastAsia="Times New Roman" w:hAnsi="Times New Roman" w:cs="Times New Roman"/>
                  <w:color w:val="auto"/>
                  <w:sz w:val="20"/>
                  <w:szCs w:val="20"/>
                </w:rPr>
                <w:t>click here</w:t>
              </w:r>
            </w:hyperlink>
            <w:r w:rsidRPr="00FC6043">
              <w:rPr>
                <w:rFonts w:ascii="Times New Roman" w:eastAsia="Times New Roman" w:hAnsi="Times New Roman" w:cs="Times New Roman"/>
                <w:sz w:val="20"/>
                <w:szCs w:val="20"/>
              </w:rPr>
              <w:t xml:space="preserve">). </w:t>
            </w:r>
          </w:p>
        </w:tc>
      </w:tr>
      <w:tr w:rsidR="00CF5712" w:rsidRPr="00FC6043" w14:paraId="12511B18" w14:textId="77777777" w:rsidTr="1995616E">
        <w:trPr>
          <w:jc w:val="center"/>
        </w:trPr>
        <w:tc>
          <w:tcPr>
            <w:tcW w:w="2157" w:type="dxa"/>
            <w:shd w:val="clear" w:color="auto" w:fill="auto"/>
            <w:tcMar>
              <w:top w:w="72" w:type="dxa"/>
              <w:left w:w="115" w:type="dxa"/>
              <w:bottom w:w="72" w:type="dxa"/>
              <w:right w:w="115" w:type="dxa"/>
            </w:tcMar>
            <w:vAlign w:val="center"/>
          </w:tcPr>
          <w:p w14:paraId="6B7728ED"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4/5/22</w:t>
            </w:r>
          </w:p>
        </w:tc>
        <w:tc>
          <w:tcPr>
            <w:tcW w:w="2198" w:type="dxa"/>
            <w:shd w:val="clear" w:color="auto" w:fill="auto"/>
            <w:tcMar>
              <w:top w:w="72" w:type="dxa"/>
              <w:left w:w="115" w:type="dxa"/>
              <w:bottom w:w="72" w:type="dxa"/>
              <w:right w:w="115" w:type="dxa"/>
            </w:tcMar>
            <w:vAlign w:val="center"/>
          </w:tcPr>
          <w:p w14:paraId="5569FC7D"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3.21</w:t>
            </w:r>
          </w:p>
          <w:p w14:paraId="5E0832EE"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7B96C766"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Favorable Financing</w:t>
            </w:r>
          </w:p>
        </w:tc>
        <w:tc>
          <w:tcPr>
            <w:tcW w:w="9590" w:type="dxa"/>
            <w:shd w:val="clear" w:color="auto" w:fill="auto"/>
            <w:tcMar>
              <w:top w:w="72" w:type="dxa"/>
              <w:left w:w="115" w:type="dxa"/>
              <w:bottom w:w="72" w:type="dxa"/>
              <w:right w:w="115" w:type="dxa"/>
            </w:tcMar>
            <w:vAlign w:val="center"/>
          </w:tcPr>
          <w:p w14:paraId="626C8652"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Q22_0331_01</w:t>
            </w:r>
            <w:r w:rsidRPr="00FC6043">
              <w:rPr>
                <w:rStyle w:val="eop"/>
                <w:sz w:val="20"/>
                <w:szCs w:val="20"/>
              </w:rPr>
              <w:t> </w:t>
            </w:r>
          </w:p>
          <w:p w14:paraId="7869D1C6" w14:textId="77777777" w:rsidR="00CF5712" w:rsidRPr="00FC6043" w:rsidRDefault="00CF5712" w:rsidP="00304B2F">
            <w:pPr>
              <w:pStyle w:val="paragraph"/>
              <w:spacing w:before="0" w:beforeAutospacing="0" w:after="0" w:afterAutospacing="0"/>
              <w:textAlignment w:val="baseline"/>
              <w:rPr>
                <w:rStyle w:val="normaltextrun"/>
                <w:sz w:val="20"/>
                <w:szCs w:val="20"/>
              </w:rPr>
            </w:pPr>
            <w:r w:rsidRPr="00FC6043">
              <w:rPr>
                <w:rStyle w:val="normaltextrun"/>
                <w:sz w:val="20"/>
                <w:szCs w:val="20"/>
              </w:rPr>
              <w:t xml:space="preserve">Project Specific Question:  Will the following qualify for the 4 Favorable Financing Points under 2022 QAP Scoring Section </w:t>
            </w:r>
            <w:r w:rsidRPr="00FC6043">
              <w:rPr>
                <w:rStyle w:val="contextualspellingandgrammarerror"/>
                <w:rFonts w:eastAsiaTheme="majorEastAsia"/>
                <w:sz w:val="20"/>
                <w:szCs w:val="20"/>
              </w:rPr>
              <w:t>XXI?|</w:t>
            </w:r>
            <w:r w:rsidRPr="00FC6043">
              <w:rPr>
                <w:rStyle w:val="normaltextrun"/>
                <w:sz w:val="20"/>
                <w:szCs w:val="20"/>
              </w:rPr>
              <w:t>|1. City grants/loans [_____________] to the City Housing Authority for the purpose of lending the funds to the Applicant under Scoring Section XXI.A. The City Housing Authority would serve as the conduit lender since the actual City is limited under Georgia law on its ability to make loans directly (whereas the City can make loans through its authorities)…</w:t>
            </w:r>
            <w:r w:rsidRPr="00FC6043">
              <w:rPr>
                <w:rStyle w:val="normaltextrun"/>
                <w:i/>
                <w:iCs/>
                <w:sz w:val="20"/>
                <w:szCs w:val="20"/>
              </w:rPr>
              <w:t>[remainder of question removed]</w:t>
            </w:r>
            <w:r w:rsidRPr="00FC6043">
              <w:rPr>
                <w:rStyle w:val="normaltextrun"/>
                <w:sz w:val="20"/>
                <w:szCs w:val="20"/>
              </w:rPr>
              <w:t xml:space="preserve"> </w:t>
            </w:r>
          </w:p>
          <w:p w14:paraId="0EA19EE8" w14:textId="77777777" w:rsidR="00CF5712" w:rsidRPr="00FC6043" w:rsidRDefault="00CF5712" w:rsidP="00304B2F">
            <w:pPr>
              <w:pStyle w:val="paragraph"/>
              <w:spacing w:before="0" w:beforeAutospacing="0" w:after="0" w:afterAutospacing="0"/>
              <w:textAlignment w:val="baseline"/>
              <w:rPr>
                <w:sz w:val="20"/>
                <w:szCs w:val="20"/>
              </w:rPr>
            </w:pPr>
          </w:p>
          <w:p w14:paraId="6959D510"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364FBC27" w14:textId="77777777" w:rsidR="00CF5712" w:rsidRPr="00FC6043" w:rsidRDefault="00CF5712" w:rsidP="00304B2F">
            <w:pPr>
              <w:pStyle w:val="paragraph"/>
              <w:spacing w:before="0" w:beforeAutospacing="0" w:after="0" w:afterAutospacing="0"/>
              <w:textAlignment w:val="baseline"/>
              <w:rPr>
                <w:rStyle w:val="eop"/>
                <w:sz w:val="20"/>
                <w:szCs w:val="20"/>
              </w:rPr>
            </w:pPr>
            <w:r w:rsidRPr="00FC6043">
              <w:rPr>
                <w:rStyle w:val="normaltextrun"/>
                <w:b/>
                <w:bCs/>
                <w:sz w:val="20"/>
                <w:szCs w:val="20"/>
              </w:rPr>
              <w:t>Answer</w:t>
            </w:r>
            <w:r w:rsidRPr="00FC6043">
              <w:rPr>
                <w:rStyle w:val="normaltextrun"/>
                <w:sz w:val="20"/>
                <w:szCs w:val="20"/>
              </w:rPr>
              <w:t>:</w:t>
            </w:r>
            <w:r w:rsidRPr="00FC6043">
              <w:rPr>
                <w:rStyle w:val="eop"/>
                <w:sz w:val="20"/>
                <w:szCs w:val="20"/>
              </w:rPr>
              <w:t> </w:t>
            </w:r>
          </w:p>
          <w:p w14:paraId="2BF1E8E1" w14:textId="77777777" w:rsidR="00CF5712" w:rsidRPr="00FC6043" w:rsidRDefault="00CF5712" w:rsidP="00304B2F">
            <w:pPr>
              <w:pStyle w:val="paragraph"/>
              <w:spacing w:before="0" w:beforeAutospacing="0" w:after="0" w:afterAutospacing="0"/>
              <w:textAlignment w:val="baseline"/>
              <w:rPr>
                <w:sz w:val="20"/>
                <w:szCs w:val="20"/>
              </w:rPr>
            </w:pPr>
            <w:r w:rsidRPr="00FC6043">
              <w:rPr>
                <w:sz w:val="20"/>
                <w:szCs w:val="20"/>
              </w:rPr>
              <w:t xml:space="preserve">First, please note that per </w:t>
            </w:r>
            <w:r w:rsidRPr="00FC6043">
              <w:rPr>
                <w:i/>
                <w:iCs/>
                <w:sz w:val="20"/>
                <w:szCs w:val="20"/>
              </w:rPr>
              <w:t>Part I: Overview</w:t>
            </w:r>
            <w:r w:rsidRPr="00FC6043">
              <w:rPr>
                <w:sz w:val="20"/>
                <w:szCs w:val="20"/>
              </w:rPr>
              <w:t xml:space="preserve"> of this Q&amp;A document, DCA does not have a separate process for project-specific questions. All questions are addressed publicly. </w:t>
            </w:r>
          </w:p>
          <w:p w14:paraId="7A7FC8DD" w14:textId="77777777" w:rsidR="00CF5712" w:rsidRPr="00FC6043" w:rsidRDefault="00CF5712" w:rsidP="00304B2F">
            <w:pPr>
              <w:pStyle w:val="paragraph"/>
              <w:spacing w:before="0" w:beforeAutospacing="0" w:after="0" w:afterAutospacing="0"/>
              <w:textAlignment w:val="baseline"/>
              <w:rPr>
                <w:sz w:val="20"/>
                <w:szCs w:val="20"/>
              </w:rPr>
            </w:pPr>
            <w:r w:rsidRPr="00FC6043">
              <w:rPr>
                <w:sz w:val="20"/>
                <w:szCs w:val="20"/>
              </w:rPr>
              <w:t xml:space="preserve"> </w:t>
            </w:r>
          </w:p>
          <w:p w14:paraId="1349D148" w14:textId="77777777" w:rsidR="00CF5712" w:rsidRPr="00FC6043" w:rsidRDefault="00CF5712" w:rsidP="00304B2F">
            <w:pPr>
              <w:pStyle w:val="paragraph"/>
              <w:spacing w:before="0" w:beforeAutospacing="0" w:after="0" w:afterAutospacing="0"/>
              <w:textAlignment w:val="baseline"/>
              <w:rPr>
                <w:rStyle w:val="eop"/>
                <w:sz w:val="20"/>
                <w:szCs w:val="20"/>
              </w:rPr>
            </w:pPr>
            <w:r w:rsidRPr="00FC6043">
              <w:rPr>
                <w:rStyle w:val="normaltextrun"/>
                <w:sz w:val="20"/>
                <w:szCs w:val="20"/>
              </w:rPr>
              <w:t xml:space="preserve">We have included the portion of the question above that asks: “Do Public Housing Authorities qualify as a ‘local’ entity for purposes of subsection </w:t>
            </w:r>
            <w:r w:rsidRPr="00FC6043">
              <w:rPr>
                <w:rStyle w:val="normaltextrun"/>
                <w:b/>
                <w:bCs/>
                <w:sz w:val="20"/>
                <w:szCs w:val="20"/>
              </w:rPr>
              <w:t>A. Qualifying Sources for Favorable Financing</w:t>
            </w:r>
            <w:r w:rsidRPr="00FC6043">
              <w:rPr>
                <w:rStyle w:val="normaltextrun"/>
                <w:sz w:val="20"/>
                <w:szCs w:val="20"/>
              </w:rPr>
              <w:t>, option 11. Other Federal, State, or local grant funds or loans?” </w:t>
            </w:r>
            <w:r w:rsidRPr="00FC6043">
              <w:rPr>
                <w:rStyle w:val="eop"/>
                <w:sz w:val="20"/>
                <w:szCs w:val="20"/>
              </w:rPr>
              <w:t> </w:t>
            </w:r>
          </w:p>
          <w:p w14:paraId="11EE688A" w14:textId="77777777" w:rsidR="00CF5712" w:rsidRPr="00FC6043" w:rsidRDefault="00CF5712" w:rsidP="00304B2F">
            <w:pPr>
              <w:pStyle w:val="paragraph"/>
              <w:numPr>
                <w:ilvl w:val="0"/>
                <w:numId w:val="3"/>
              </w:numPr>
              <w:spacing w:before="0" w:beforeAutospacing="0" w:after="0" w:afterAutospacing="0"/>
              <w:textAlignment w:val="baseline"/>
              <w:rPr>
                <w:sz w:val="20"/>
                <w:szCs w:val="20"/>
              </w:rPr>
            </w:pPr>
            <w:r w:rsidRPr="00FC6043">
              <w:rPr>
                <w:rStyle w:val="normaltextrun"/>
                <w:sz w:val="20"/>
                <w:szCs w:val="20"/>
              </w:rPr>
              <w:t>The answer to this question is, “Yes. PHAs qualify as a ‘local’ entity for purposes of option 11.” </w:t>
            </w:r>
            <w:r w:rsidRPr="00FC6043">
              <w:rPr>
                <w:rStyle w:val="eop"/>
                <w:sz w:val="20"/>
                <w:szCs w:val="20"/>
              </w:rPr>
              <w:t> </w:t>
            </w:r>
          </w:p>
          <w:p w14:paraId="022D1E26"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17EA4B22"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lastRenderedPageBreak/>
              <w:t>The remainder of the question did not seek clarification about DCA policy. Rather, the question is seeking confirmation that specific circumstances will qualify for points. DCA does not pre-approve the eligibility of specific circumstances through the Q&amp;A process. If there is a QAP provision that is unclear given your circumstances, please re-submit the question including both the QAP provision in question and an explanation of what is ambiguous about the QAP language. </w:t>
            </w:r>
            <w:r w:rsidRPr="00FC6043">
              <w:rPr>
                <w:rStyle w:val="eop"/>
                <w:sz w:val="20"/>
                <w:szCs w:val="20"/>
              </w:rPr>
              <w:t> </w:t>
            </w:r>
          </w:p>
        </w:tc>
      </w:tr>
      <w:tr w:rsidR="00CF5712" w:rsidRPr="00FC6043" w14:paraId="4994D630" w14:textId="77777777" w:rsidTr="1995616E">
        <w:trPr>
          <w:jc w:val="center"/>
        </w:trPr>
        <w:tc>
          <w:tcPr>
            <w:tcW w:w="2157" w:type="dxa"/>
            <w:shd w:val="clear" w:color="auto" w:fill="auto"/>
            <w:tcMar>
              <w:top w:w="72" w:type="dxa"/>
              <w:left w:w="115" w:type="dxa"/>
              <w:bottom w:w="72" w:type="dxa"/>
              <w:right w:w="115" w:type="dxa"/>
            </w:tcMar>
            <w:vAlign w:val="center"/>
          </w:tcPr>
          <w:p w14:paraId="4C8913A0"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4/5/22</w:t>
            </w:r>
          </w:p>
        </w:tc>
        <w:tc>
          <w:tcPr>
            <w:tcW w:w="2198" w:type="dxa"/>
            <w:shd w:val="clear" w:color="auto" w:fill="auto"/>
            <w:tcMar>
              <w:top w:w="72" w:type="dxa"/>
              <w:left w:w="115" w:type="dxa"/>
              <w:bottom w:w="72" w:type="dxa"/>
              <w:right w:w="115" w:type="dxa"/>
            </w:tcMar>
            <w:vAlign w:val="center"/>
          </w:tcPr>
          <w:p w14:paraId="41C2CBE6"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8.00</w:t>
            </w:r>
          </w:p>
          <w:p w14:paraId="69150A2C"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Additional Credits Policy </w:t>
            </w:r>
          </w:p>
        </w:tc>
        <w:tc>
          <w:tcPr>
            <w:tcW w:w="9590" w:type="dxa"/>
            <w:shd w:val="clear" w:color="auto" w:fill="auto"/>
            <w:tcMar>
              <w:top w:w="72" w:type="dxa"/>
              <w:left w:w="115" w:type="dxa"/>
              <w:bottom w:w="72" w:type="dxa"/>
              <w:right w:w="115" w:type="dxa"/>
            </w:tcMar>
            <w:vAlign w:val="center"/>
          </w:tcPr>
          <w:p w14:paraId="67342F18"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Q22_0118_01</w:t>
            </w:r>
            <w:r w:rsidRPr="00FC6043">
              <w:rPr>
                <w:rStyle w:val="eop"/>
                <w:sz w:val="20"/>
                <w:szCs w:val="20"/>
              </w:rPr>
              <w:t> </w:t>
            </w:r>
          </w:p>
          <w:p w14:paraId="57FFA840"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If an applicant applied for additional credits for a 2019 or 2020 Competitive Award, in which 9% Competitive Round would the award limitation reduction apply?</w:t>
            </w:r>
            <w:r w:rsidRPr="00FC6043">
              <w:rPr>
                <w:rStyle w:val="eop"/>
                <w:sz w:val="20"/>
                <w:szCs w:val="20"/>
              </w:rPr>
              <w:t> </w:t>
            </w:r>
          </w:p>
          <w:p w14:paraId="05E674BF"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75198086"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6E649D45"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 xml:space="preserve">The </w:t>
            </w:r>
            <w:r w:rsidRPr="00FC6043">
              <w:rPr>
                <w:rStyle w:val="normaltextrun"/>
                <w:b/>
                <w:bCs/>
                <w:sz w:val="20"/>
                <w:szCs w:val="20"/>
              </w:rPr>
              <w:t xml:space="preserve">Additional Tax Credit (LIHTC) Allocations </w:t>
            </w:r>
            <w:r w:rsidRPr="00FC6043">
              <w:rPr>
                <w:rStyle w:val="normaltextrun"/>
                <w:sz w:val="20"/>
                <w:szCs w:val="20"/>
              </w:rPr>
              <w:t>policy published April 2021 states:</w:t>
            </w:r>
            <w:r w:rsidRPr="00FC6043">
              <w:rPr>
                <w:rStyle w:val="eop"/>
                <w:sz w:val="20"/>
                <w:szCs w:val="20"/>
              </w:rPr>
              <w:t> </w:t>
            </w:r>
          </w:p>
          <w:p w14:paraId="24F2655E"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02278006" w14:textId="77777777" w:rsidR="00CF5712" w:rsidRPr="00FC6043" w:rsidRDefault="00CF5712" w:rsidP="00304B2F">
            <w:pPr>
              <w:pStyle w:val="paragraph"/>
              <w:numPr>
                <w:ilvl w:val="0"/>
                <w:numId w:val="29"/>
              </w:numPr>
              <w:spacing w:before="0" w:beforeAutospacing="0" w:after="0" w:afterAutospacing="0"/>
              <w:ind w:left="1080" w:firstLine="0"/>
              <w:textAlignment w:val="baseline"/>
              <w:rPr>
                <w:sz w:val="20"/>
                <w:szCs w:val="20"/>
              </w:rPr>
            </w:pPr>
            <w:r w:rsidRPr="00FC6043">
              <w:rPr>
                <w:rStyle w:val="normaltextrun"/>
                <w:b/>
                <w:bCs/>
                <w:i/>
                <w:iCs/>
                <w:sz w:val="20"/>
                <w:szCs w:val="20"/>
              </w:rPr>
              <w:t>“Ramifications for the 2022 9% Competitive Round</w:t>
            </w:r>
            <w:r w:rsidRPr="00FC6043">
              <w:rPr>
                <w:rStyle w:val="normaltextrun"/>
                <w:i/>
                <w:iCs/>
                <w:sz w:val="20"/>
                <w:szCs w:val="20"/>
              </w:rPr>
              <w:t>:</w:t>
            </w:r>
            <w:r w:rsidRPr="00FC6043">
              <w:rPr>
                <w:rStyle w:val="eop"/>
                <w:sz w:val="20"/>
                <w:szCs w:val="20"/>
              </w:rPr>
              <w:t> </w:t>
            </w:r>
          </w:p>
          <w:p w14:paraId="4067147C" w14:textId="77777777" w:rsidR="00CF5712" w:rsidRPr="00FC6043" w:rsidRDefault="00CF5712" w:rsidP="00304B2F">
            <w:pPr>
              <w:pStyle w:val="paragraph"/>
              <w:numPr>
                <w:ilvl w:val="0"/>
                <w:numId w:val="30"/>
              </w:numPr>
              <w:spacing w:before="0" w:beforeAutospacing="0" w:after="0" w:afterAutospacing="0"/>
              <w:ind w:left="1800" w:firstLine="0"/>
              <w:textAlignment w:val="baseline"/>
              <w:rPr>
                <w:sz w:val="20"/>
                <w:szCs w:val="20"/>
              </w:rPr>
            </w:pPr>
            <w:r w:rsidRPr="00FC6043">
              <w:rPr>
                <w:rStyle w:val="normaltextrun"/>
                <w:i/>
                <w:iCs/>
                <w:sz w:val="20"/>
                <w:szCs w:val="20"/>
              </w:rPr>
              <w:t xml:space="preserve">For each additional credit </w:t>
            </w:r>
            <w:r w:rsidRPr="00FC6043">
              <w:rPr>
                <w:rStyle w:val="normaltextrun"/>
                <w:b/>
                <w:bCs/>
                <w:i/>
                <w:iCs/>
                <w:sz w:val="20"/>
                <w:szCs w:val="20"/>
                <w:u w:val="single"/>
              </w:rPr>
              <w:t>requested</w:t>
            </w:r>
            <w:r w:rsidRPr="00FC6043">
              <w:rPr>
                <w:rStyle w:val="normaltextrun"/>
                <w:i/>
                <w:iCs/>
                <w:sz w:val="20"/>
                <w:szCs w:val="20"/>
              </w:rPr>
              <w:t>, the Project Team award limitation will be reduced by 1.5X the amount of the request in the 2022 9% Competitive Round.”</w:t>
            </w:r>
            <w:r w:rsidRPr="00FC6043">
              <w:rPr>
                <w:rStyle w:val="eop"/>
                <w:sz w:val="20"/>
                <w:szCs w:val="20"/>
              </w:rPr>
              <w:t> </w:t>
            </w:r>
          </w:p>
          <w:p w14:paraId="4D89BCA1"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38164654"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The applicant’s award limitation will be reduced in the 2022 9% Competitive Round, regardless of the year of the original award (2019 or 2020).</w:t>
            </w:r>
            <w:r w:rsidRPr="00FC6043">
              <w:rPr>
                <w:rStyle w:val="eop"/>
                <w:sz w:val="20"/>
                <w:szCs w:val="20"/>
              </w:rPr>
              <w:t> </w:t>
            </w:r>
            <w:hyperlink r:id="rId47" w:tgtFrame="_blank" w:history="1">
              <w:r w:rsidRPr="00FC6043">
                <w:rPr>
                  <w:rStyle w:val="normaltextrun"/>
                  <w:sz w:val="20"/>
                  <w:szCs w:val="20"/>
                  <w:u w:val="single"/>
                </w:rPr>
                <w:t>Click here</w:t>
              </w:r>
            </w:hyperlink>
            <w:r w:rsidRPr="00FC6043">
              <w:rPr>
                <w:rStyle w:val="normaltextrun"/>
                <w:sz w:val="20"/>
                <w:szCs w:val="20"/>
              </w:rPr>
              <w:t xml:space="preserve"> to view the Additional Credits Policy.  </w:t>
            </w:r>
          </w:p>
        </w:tc>
      </w:tr>
      <w:tr w:rsidR="00CF5712" w:rsidRPr="00FC6043" w14:paraId="04CDD702" w14:textId="77777777" w:rsidTr="1995616E">
        <w:trPr>
          <w:jc w:val="center"/>
        </w:trPr>
        <w:tc>
          <w:tcPr>
            <w:tcW w:w="2157" w:type="dxa"/>
            <w:shd w:val="clear" w:color="auto" w:fill="auto"/>
            <w:tcMar>
              <w:top w:w="72" w:type="dxa"/>
              <w:left w:w="115" w:type="dxa"/>
              <w:bottom w:w="72" w:type="dxa"/>
              <w:right w:w="115" w:type="dxa"/>
            </w:tcMar>
            <w:vAlign w:val="center"/>
          </w:tcPr>
          <w:p w14:paraId="6DE9C8D3"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3/31/22</w:t>
            </w:r>
          </w:p>
        </w:tc>
        <w:tc>
          <w:tcPr>
            <w:tcW w:w="2198" w:type="dxa"/>
            <w:shd w:val="clear" w:color="auto" w:fill="auto"/>
            <w:tcMar>
              <w:top w:w="72" w:type="dxa"/>
              <w:left w:w="115" w:type="dxa"/>
              <w:bottom w:w="72" w:type="dxa"/>
              <w:right w:w="115" w:type="dxa"/>
            </w:tcMar>
            <w:vAlign w:val="center"/>
          </w:tcPr>
          <w:p w14:paraId="3CCA3B3E"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1.13</w:t>
            </w:r>
          </w:p>
          <w:p w14:paraId="354F8547"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Core Plan;</w:t>
            </w:r>
          </w:p>
          <w:p w14:paraId="46B8C0C5"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Submission Requirements and Award Limitations </w:t>
            </w:r>
          </w:p>
        </w:tc>
        <w:tc>
          <w:tcPr>
            <w:tcW w:w="9590" w:type="dxa"/>
            <w:shd w:val="clear" w:color="auto" w:fill="auto"/>
            <w:tcMar>
              <w:top w:w="72" w:type="dxa"/>
              <w:left w:w="115" w:type="dxa"/>
              <w:bottom w:w="72" w:type="dxa"/>
              <w:right w:w="115" w:type="dxa"/>
            </w:tcMar>
            <w:vAlign w:val="center"/>
          </w:tcPr>
          <w:p w14:paraId="38C82673"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xml:space="preserve">: </w:t>
            </w:r>
            <w:r w:rsidRPr="00D330DE">
              <w:rPr>
                <w:rStyle w:val="normaltextrun"/>
                <w:sz w:val="20"/>
              </w:rPr>
              <w:t>Q22_0330_15</w:t>
            </w:r>
            <w:r w:rsidRPr="00FC6043">
              <w:rPr>
                <w:rStyle w:val="eop"/>
                <w:sz w:val="20"/>
                <w:szCs w:val="20"/>
              </w:rPr>
              <w:t> </w:t>
            </w:r>
          </w:p>
          <w:p w14:paraId="7177DE4B"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We received additional 9% credits under DCA's Additional Tax Credit (LIHTC) Allocations for 2020 9% LIHTC Awards (published April 2021). For a separate deal, we also received funding under the NHTF NOFA providing gap financing for the same purpose. Neither is likely to close by the 2022 9% Competitive Round application deadline. </w:t>
            </w:r>
            <w:r w:rsidRPr="00FC6043">
              <w:rPr>
                <w:rStyle w:val="eop"/>
                <w:sz w:val="20"/>
                <w:szCs w:val="20"/>
              </w:rPr>
              <w:t> </w:t>
            </w:r>
          </w:p>
          <w:p w14:paraId="1E97DF41"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435C8BC4"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t>(Core Plan) Submission Requirements and Award Limitations</w:t>
            </w:r>
            <w:r w:rsidRPr="00FC6043">
              <w:rPr>
                <w:rStyle w:val="normaltextrun"/>
                <w:sz w:val="20"/>
                <w:szCs w:val="20"/>
              </w:rPr>
              <w:t xml:space="preserve"> says that “DCA will not fund any Application with an Owner and/or Developer that has a DCA property funded in the 2020 round or earlier that has not closed their financing and started construction on that property as of Application Submission.” Will DCA waive this requirement for awardees of either the Additional Credits Policy or associated NHTF NOFA?</w:t>
            </w:r>
            <w:r w:rsidRPr="00FC6043">
              <w:rPr>
                <w:rStyle w:val="eop"/>
                <w:sz w:val="20"/>
                <w:szCs w:val="20"/>
              </w:rPr>
              <w:t> </w:t>
            </w:r>
          </w:p>
          <w:p w14:paraId="506ABF29"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2A346362"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36D57820"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 xml:space="preserve">DCA will not waive this requirement due to delays solely caused by construction cost increases. Therefore, receiving either an “additional credits” allocation or an NHTF award under the above-referenced NHTF NOFA will not be sufficient to receive a waiver of this Core Plan requirement. </w:t>
            </w:r>
            <w:r w:rsidRPr="00FC6043">
              <w:rPr>
                <w:rStyle w:val="scxw118425629"/>
                <w:rFonts w:eastAsiaTheme="majorEastAsia"/>
                <w:sz w:val="20"/>
                <w:szCs w:val="20"/>
              </w:rPr>
              <w:t> </w:t>
            </w:r>
            <w:r w:rsidRPr="00FC6043">
              <w:rPr>
                <w:sz w:val="20"/>
                <w:szCs w:val="20"/>
              </w:rPr>
              <w:br/>
            </w:r>
            <w:r w:rsidRPr="00FC6043">
              <w:rPr>
                <w:rStyle w:val="eop"/>
                <w:sz w:val="20"/>
                <w:szCs w:val="20"/>
              </w:rPr>
              <w:t> </w:t>
            </w:r>
          </w:p>
          <w:p w14:paraId="366E2F14"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Documents referenced above are: </w:t>
            </w:r>
            <w:r w:rsidRPr="00FC6043">
              <w:rPr>
                <w:rStyle w:val="eop"/>
                <w:sz w:val="20"/>
                <w:szCs w:val="20"/>
              </w:rPr>
              <w:t> </w:t>
            </w:r>
          </w:p>
          <w:p w14:paraId="3C10E8BC" w14:textId="77777777" w:rsidR="00CF5712" w:rsidRPr="00FC6043" w:rsidRDefault="00CF5712" w:rsidP="00304B2F">
            <w:pPr>
              <w:pStyle w:val="paragraph"/>
              <w:numPr>
                <w:ilvl w:val="0"/>
                <w:numId w:val="22"/>
              </w:numPr>
              <w:spacing w:before="0" w:beforeAutospacing="0" w:after="0" w:afterAutospacing="0"/>
              <w:ind w:left="1080" w:firstLine="0"/>
              <w:textAlignment w:val="baseline"/>
              <w:rPr>
                <w:sz w:val="20"/>
                <w:szCs w:val="20"/>
              </w:rPr>
            </w:pPr>
            <w:r w:rsidRPr="00FC6043">
              <w:rPr>
                <w:rStyle w:val="normaltextrun"/>
                <w:sz w:val="20"/>
                <w:szCs w:val="20"/>
              </w:rPr>
              <w:t>Additional Credits Policy (</w:t>
            </w:r>
            <w:hyperlink r:id="rId48" w:tgtFrame="_blank" w:history="1">
              <w:r w:rsidRPr="00FC6043">
                <w:rPr>
                  <w:rStyle w:val="normaltextrun"/>
                  <w:sz w:val="20"/>
                  <w:szCs w:val="20"/>
                  <w:u w:val="single"/>
                </w:rPr>
                <w:t>click here</w:t>
              </w:r>
            </w:hyperlink>
            <w:r w:rsidRPr="00FC6043">
              <w:rPr>
                <w:rStyle w:val="normaltextrun"/>
                <w:sz w:val="20"/>
                <w:szCs w:val="20"/>
              </w:rPr>
              <w:t>) </w:t>
            </w:r>
            <w:r w:rsidRPr="00FC6043">
              <w:rPr>
                <w:rStyle w:val="eop"/>
                <w:sz w:val="20"/>
                <w:szCs w:val="20"/>
              </w:rPr>
              <w:t> </w:t>
            </w:r>
          </w:p>
          <w:p w14:paraId="6FBD3F4C" w14:textId="77777777" w:rsidR="00CF5712" w:rsidRPr="00FC6043" w:rsidRDefault="00CF5712" w:rsidP="00304B2F">
            <w:pPr>
              <w:pStyle w:val="paragraph"/>
              <w:numPr>
                <w:ilvl w:val="0"/>
                <w:numId w:val="22"/>
              </w:numPr>
              <w:spacing w:before="0" w:beforeAutospacing="0" w:after="0" w:afterAutospacing="0"/>
              <w:ind w:left="1080" w:firstLine="0"/>
              <w:textAlignment w:val="baseline"/>
              <w:rPr>
                <w:sz w:val="20"/>
                <w:szCs w:val="20"/>
              </w:rPr>
            </w:pPr>
            <w:r w:rsidRPr="00FC6043">
              <w:rPr>
                <w:rStyle w:val="normaltextrun"/>
                <w:sz w:val="20"/>
                <w:szCs w:val="20"/>
              </w:rPr>
              <w:t>National Housing Trust Fund (NHTF) NOFA (</w:t>
            </w:r>
            <w:hyperlink r:id="rId49" w:tgtFrame="_blank" w:history="1">
              <w:r w:rsidRPr="00FC6043">
                <w:rPr>
                  <w:rStyle w:val="normaltextrun"/>
                  <w:sz w:val="20"/>
                  <w:szCs w:val="20"/>
                  <w:u w:val="single"/>
                </w:rPr>
                <w:t>click here</w:t>
              </w:r>
            </w:hyperlink>
            <w:r w:rsidRPr="00FC6043">
              <w:rPr>
                <w:rStyle w:val="normaltextrun"/>
                <w:sz w:val="20"/>
                <w:szCs w:val="20"/>
              </w:rPr>
              <w:t>)</w:t>
            </w:r>
          </w:p>
          <w:p w14:paraId="4A323FFE" w14:textId="77777777" w:rsidR="00CF5712" w:rsidRPr="00FC6043" w:rsidRDefault="00CF5712" w:rsidP="00304B2F">
            <w:pPr>
              <w:pStyle w:val="paragraph"/>
              <w:spacing w:before="0" w:beforeAutospacing="0" w:after="0" w:afterAutospacing="0"/>
              <w:textAlignment w:val="baseline"/>
              <w:rPr>
                <w:rStyle w:val="normaltextrun"/>
                <w:b/>
                <w:bCs/>
                <w:sz w:val="20"/>
                <w:szCs w:val="20"/>
              </w:rPr>
            </w:pPr>
          </w:p>
        </w:tc>
      </w:tr>
      <w:tr w:rsidR="00CF5712" w:rsidRPr="00FC6043" w14:paraId="1F812501" w14:textId="77777777" w:rsidTr="1995616E">
        <w:trPr>
          <w:jc w:val="center"/>
        </w:trPr>
        <w:tc>
          <w:tcPr>
            <w:tcW w:w="2157" w:type="dxa"/>
            <w:shd w:val="clear" w:color="auto" w:fill="auto"/>
            <w:tcMar>
              <w:top w:w="72" w:type="dxa"/>
              <w:left w:w="115" w:type="dxa"/>
              <w:bottom w:w="72" w:type="dxa"/>
              <w:right w:w="115" w:type="dxa"/>
            </w:tcMar>
            <w:vAlign w:val="center"/>
          </w:tcPr>
          <w:p w14:paraId="67BE1222"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3/31/22</w:t>
            </w:r>
          </w:p>
        </w:tc>
        <w:tc>
          <w:tcPr>
            <w:tcW w:w="2198" w:type="dxa"/>
            <w:shd w:val="clear" w:color="auto" w:fill="auto"/>
            <w:tcMar>
              <w:top w:w="72" w:type="dxa"/>
              <w:left w:w="115" w:type="dxa"/>
              <w:bottom w:w="72" w:type="dxa"/>
              <w:right w:w="115" w:type="dxa"/>
            </w:tcMar>
            <w:vAlign w:val="center"/>
          </w:tcPr>
          <w:p w14:paraId="01CA9B37"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3.05</w:t>
            </w:r>
          </w:p>
          <w:p w14:paraId="54B13FEE"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14:paraId="2EEE7B16"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rFonts w:eastAsia="MS Mincho"/>
                <w:sz w:val="20"/>
                <w:szCs w:val="20"/>
              </w:rPr>
              <w:t xml:space="preserve">: </w:t>
            </w:r>
            <w:r w:rsidRPr="00FC6043">
              <w:rPr>
                <w:rStyle w:val="normaltextrun"/>
                <w:sz w:val="20"/>
                <w:szCs w:val="20"/>
              </w:rPr>
              <w:t>Q22_0107_01</w:t>
            </w:r>
            <w:r w:rsidRPr="00FC6043">
              <w:rPr>
                <w:rStyle w:val="eop"/>
                <w:sz w:val="20"/>
                <w:szCs w:val="20"/>
              </w:rPr>
              <w:t> </w:t>
            </w:r>
          </w:p>
          <w:p w14:paraId="0DF4BB82"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 xml:space="preserve">Regarding </w:t>
            </w:r>
            <w:r w:rsidRPr="00FC6043">
              <w:rPr>
                <w:rStyle w:val="normaltextrun"/>
                <w:rFonts w:eastAsia="MS Mincho"/>
                <w:sz w:val="20"/>
                <w:szCs w:val="20"/>
              </w:rPr>
              <w:t>(</w:t>
            </w:r>
            <w:r w:rsidRPr="00FC6043">
              <w:rPr>
                <w:rStyle w:val="normaltextrun"/>
                <w:b/>
                <w:bCs/>
                <w:sz w:val="20"/>
                <w:szCs w:val="20"/>
              </w:rPr>
              <w:t>Scoring Criteria) Desirable/Undesirable Activities</w:t>
            </w:r>
            <w:r w:rsidRPr="00FC6043">
              <w:rPr>
                <w:rStyle w:val="normaltextrun"/>
                <w:sz w:val="20"/>
                <w:szCs w:val="20"/>
              </w:rPr>
              <w:t>, subsection</w:t>
            </w:r>
            <w:r w:rsidRPr="00FC6043">
              <w:rPr>
                <w:rStyle w:val="normaltextrun"/>
                <w:rFonts w:eastAsia="MS Mincho"/>
                <w:b/>
                <w:bCs/>
                <w:sz w:val="20"/>
                <w:szCs w:val="20"/>
              </w:rPr>
              <w:t xml:space="preserve"> </w:t>
            </w:r>
            <w:r w:rsidRPr="00FC6043">
              <w:rPr>
                <w:rStyle w:val="normaltextrun"/>
                <w:b/>
                <w:bCs/>
                <w:sz w:val="20"/>
                <w:szCs w:val="20"/>
              </w:rPr>
              <w:t>A. Desirable Activities, 2. Eligibility</w:t>
            </w:r>
            <w:r w:rsidRPr="00FC6043">
              <w:rPr>
                <w:rStyle w:val="normaltextrun"/>
                <w:rFonts w:eastAsia="MS Mincho"/>
                <w:sz w:val="20"/>
                <w:szCs w:val="20"/>
              </w:rPr>
              <w:t xml:space="preserve"> </w:t>
            </w:r>
            <w:r w:rsidRPr="00FC6043">
              <w:rPr>
                <w:rStyle w:val="normaltextrun"/>
                <w:sz w:val="20"/>
                <w:szCs w:val="20"/>
              </w:rPr>
              <w:t>option (b): “Retail/clothing/department store (full range of clothing/household items)</w:t>
            </w:r>
            <w:r w:rsidRPr="00FC6043">
              <w:rPr>
                <w:rStyle w:val="normaltextrun"/>
                <w:rFonts w:eastAsia="MS Mincho"/>
                <w:sz w:val="20"/>
                <w:szCs w:val="20"/>
              </w:rPr>
              <w:t>.” </w:t>
            </w:r>
            <w:r w:rsidRPr="00FC6043">
              <w:rPr>
                <w:rStyle w:val="eop"/>
                <w:rFonts w:eastAsia="MS Mincho"/>
                <w:sz w:val="20"/>
                <w:szCs w:val="20"/>
              </w:rPr>
              <w:t> </w:t>
            </w:r>
          </w:p>
          <w:p w14:paraId="00CA2CC4"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rFonts w:eastAsia="MS Mincho"/>
                <w:sz w:val="20"/>
                <w:szCs w:val="20"/>
              </w:rPr>
              <w:t> </w:t>
            </w:r>
          </w:p>
          <w:p w14:paraId="67241A11"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 xml:space="preserve">What is defined as a </w:t>
            </w:r>
            <w:r w:rsidRPr="00FC6043">
              <w:rPr>
                <w:rStyle w:val="normaltextrun"/>
                <w:rFonts w:eastAsia="MS Mincho"/>
                <w:sz w:val="20"/>
                <w:szCs w:val="20"/>
              </w:rPr>
              <w:t>“</w:t>
            </w:r>
            <w:r w:rsidRPr="00FC6043">
              <w:rPr>
                <w:rStyle w:val="normaltextrun"/>
                <w:sz w:val="20"/>
                <w:szCs w:val="20"/>
              </w:rPr>
              <w:t>household item?</w:t>
            </w:r>
            <w:r w:rsidRPr="00FC6043">
              <w:rPr>
                <w:rStyle w:val="normaltextrun"/>
                <w:rFonts w:eastAsia="MS Mincho"/>
                <w:sz w:val="20"/>
                <w:szCs w:val="20"/>
              </w:rPr>
              <w:t>”</w:t>
            </w:r>
            <w:r w:rsidRPr="00FC6043">
              <w:rPr>
                <w:rStyle w:val="eop"/>
                <w:rFonts w:eastAsia="MS Mincho"/>
                <w:sz w:val="20"/>
                <w:szCs w:val="20"/>
              </w:rPr>
              <w:t> </w:t>
            </w:r>
          </w:p>
          <w:p w14:paraId="6F08E739"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rFonts w:eastAsia="MS Mincho"/>
                <w:sz w:val="20"/>
                <w:szCs w:val="20"/>
              </w:rPr>
              <w:t> </w:t>
            </w:r>
          </w:p>
          <w:p w14:paraId="439B7456"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rFonts w:eastAsia="MS Mincho"/>
                <w:sz w:val="20"/>
                <w:szCs w:val="20"/>
              </w:rPr>
              <w:t>:</w:t>
            </w:r>
            <w:r w:rsidRPr="00FC6043">
              <w:rPr>
                <w:rStyle w:val="eop"/>
                <w:rFonts w:eastAsia="MS Mincho"/>
                <w:sz w:val="20"/>
                <w:szCs w:val="20"/>
              </w:rPr>
              <w:t> </w:t>
            </w:r>
          </w:p>
          <w:p w14:paraId="3DCAE02F" w14:textId="77777777" w:rsidR="00CF5712" w:rsidRPr="00FC6043" w:rsidRDefault="00CF5712" w:rsidP="00304B2F">
            <w:pPr>
              <w:pStyle w:val="paragraph"/>
              <w:spacing w:before="0" w:beforeAutospacing="0" w:after="0" w:afterAutospacing="0"/>
              <w:textAlignment w:val="baseline"/>
              <w:rPr>
                <w:rStyle w:val="eop"/>
                <w:sz w:val="20"/>
                <w:szCs w:val="20"/>
              </w:rPr>
            </w:pPr>
            <w:r w:rsidRPr="00FC6043">
              <w:rPr>
                <w:rStyle w:val="normaltextrun"/>
                <w:sz w:val="20"/>
                <w:szCs w:val="20"/>
              </w:rPr>
              <w:t>“Household item” is defined more specifically. Because of this, the descriptor “full range” is more important for purposes of determining eligibility for stores that sell general merchandise that would be considered “household items.” </w:t>
            </w:r>
            <w:r w:rsidRPr="00FC6043">
              <w:rPr>
                <w:rStyle w:val="eop"/>
                <w:sz w:val="20"/>
                <w:szCs w:val="20"/>
              </w:rPr>
              <w:t> </w:t>
            </w:r>
          </w:p>
          <w:p w14:paraId="2B0735DB" w14:textId="77777777" w:rsidR="00CF5712" w:rsidRPr="00FC6043" w:rsidRDefault="00CF5712" w:rsidP="00304B2F">
            <w:pPr>
              <w:pStyle w:val="paragraph"/>
              <w:spacing w:before="0" w:beforeAutospacing="0" w:after="0" w:afterAutospacing="0"/>
              <w:textAlignment w:val="baseline"/>
              <w:rPr>
                <w:sz w:val="20"/>
                <w:szCs w:val="20"/>
              </w:rPr>
            </w:pPr>
          </w:p>
          <w:p w14:paraId="4EA9D0AC"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For example: </w:t>
            </w:r>
            <w:r w:rsidRPr="00FC6043">
              <w:rPr>
                <w:rStyle w:val="eop"/>
                <w:sz w:val="20"/>
                <w:szCs w:val="20"/>
              </w:rPr>
              <w:t> </w:t>
            </w:r>
          </w:p>
          <w:p w14:paraId="63B74693" w14:textId="77777777" w:rsidR="00CF5712" w:rsidRPr="00FC6043" w:rsidRDefault="00CF5712" w:rsidP="00304B2F">
            <w:pPr>
              <w:pStyle w:val="paragraph"/>
              <w:numPr>
                <w:ilvl w:val="0"/>
                <w:numId w:val="21"/>
              </w:numPr>
              <w:spacing w:before="0" w:beforeAutospacing="0" w:after="0" w:afterAutospacing="0"/>
              <w:textAlignment w:val="baseline"/>
              <w:rPr>
                <w:rStyle w:val="eop"/>
                <w:sz w:val="20"/>
                <w:szCs w:val="20"/>
              </w:rPr>
            </w:pPr>
            <w:r w:rsidRPr="00FC6043">
              <w:rPr>
                <w:rStyle w:val="normaltextrun"/>
                <w:sz w:val="20"/>
                <w:szCs w:val="20"/>
              </w:rPr>
              <w:t>A store that focuses on one type of merchandise would not qualify under this option, except for clothing because it is stated explicitly in the QAP. </w:t>
            </w:r>
            <w:r w:rsidRPr="00FC6043">
              <w:rPr>
                <w:rStyle w:val="eop"/>
                <w:sz w:val="20"/>
                <w:szCs w:val="20"/>
              </w:rPr>
              <w:t> </w:t>
            </w:r>
          </w:p>
          <w:p w14:paraId="091B6B6B" w14:textId="77777777" w:rsidR="00CF5712" w:rsidRPr="00FC6043" w:rsidRDefault="00CF5712" w:rsidP="00304B2F">
            <w:pPr>
              <w:pStyle w:val="paragraph"/>
              <w:numPr>
                <w:ilvl w:val="0"/>
                <w:numId w:val="21"/>
              </w:numPr>
              <w:spacing w:before="0" w:beforeAutospacing="0" w:after="0" w:afterAutospacing="0"/>
              <w:textAlignment w:val="baseline"/>
              <w:rPr>
                <w:rStyle w:val="eop"/>
                <w:sz w:val="20"/>
                <w:szCs w:val="20"/>
              </w:rPr>
            </w:pPr>
            <w:r w:rsidRPr="00FC6043">
              <w:rPr>
                <w:rStyle w:val="normaltextrun"/>
                <w:sz w:val="20"/>
                <w:szCs w:val="20"/>
              </w:rPr>
              <w:t>An example of a store that has been approved as selling a “full range” of household items in the past is Family Dollar. </w:t>
            </w:r>
            <w:r w:rsidRPr="00FC6043">
              <w:rPr>
                <w:rStyle w:val="eop"/>
                <w:sz w:val="20"/>
                <w:szCs w:val="20"/>
              </w:rPr>
              <w:t> </w:t>
            </w:r>
          </w:p>
          <w:p w14:paraId="7BF49E91" w14:textId="77777777" w:rsidR="00CF5712" w:rsidRPr="00FC6043" w:rsidRDefault="00CF5712" w:rsidP="00304B2F">
            <w:pPr>
              <w:pStyle w:val="paragraph"/>
              <w:numPr>
                <w:ilvl w:val="0"/>
                <w:numId w:val="21"/>
              </w:numPr>
              <w:spacing w:before="0" w:beforeAutospacing="0" w:after="0" w:afterAutospacing="0"/>
              <w:textAlignment w:val="baseline"/>
              <w:rPr>
                <w:sz w:val="20"/>
                <w:szCs w:val="20"/>
              </w:rPr>
            </w:pPr>
            <w:r w:rsidRPr="00FC6043">
              <w:rPr>
                <w:rStyle w:val="normaltextrun"/>
                <w:sz w:val="20"/>
                <w:szCs w:val="20"/>
              </w:rPr>
              <w:t>An example of a store that has been denied eligibility is a gas station with a convenience store (denied due to the limited range of merchandise sold). </w:t>
            </w:r>
            <w:r w:rsidRPr="00FC6043">
              <w:rPr>
                <w:rStyle w:val="eop"/>
                <w:sz w:val="20"/>
                <w:szCs w:val="20"/>
              </w:rPr>
              <w:t> </w:t>
            </w:r>
            <w:r w:rsidRPr="00FC6043">
              <w:rPr>
                <w:rStyle w:val="eop"/>
                <w:sz w:val="20"/>
                <w:szCs w:val="20"/>
              </w:rPr>
              <w:br/>
            </w:r>
          </w:p>
          <w:p w14:paraId="72741171"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 xml:space="preserve">As stated in </w:t>
            </w:r>
            <w:r w:rsidRPr="00FC6043">
              <w:rPr>
                <w:rStyle w:val="normaltextrun"/>
                <w:b/>
                <w:bCs/>
                <w:sz w:val="20"/>
                <w:szCs w:val="20"/>
              </w:rPr>
              <w:t>(Scoring Criteria) Documentation and Justifications</w:t>
            </w:r>
            <w:r w:rsidRPr="00FC6043">
              <w:rPr>
                <w:rStyle w:val="normaltextrun"/>
                <w:sz w:val="20"/>
                <w:szCs w:val="20"/>
              </w:rPr>
              <w:t>, “Applications must explain any alternate document to a minimum document.” If it is not self-evident for your proposed establishment, please include supporting documentation and elaborate in the comments section.</w:t>
            </w:r>
          </w:p>
          <w:p w14:paraId="69CE0420" w14:textId="77777777" w:rsidR="00CF5712" w:rsidRPr="00FC6043" w:rsidRDefault="00CF5712" w:rsidP="00304B2F">
            <w:pPr>
              <w:textAlignment w:val="baseline"/>
              <w:rPr>
                <w:rFonts w:ascii="Times New Roman" w:eastAsia="Times New Roman" w:hAnsi="Times New Roman" w:cs="Times New Roman"/>
                <w:b/>
                <w:bCs/>
                <w:sz w:val="20"/>
                <w:szCs w:val="20"/>
              </w:rPr>
            </w:pPr>
          </w:p>
        </w:tc>
      </w:tr>
      <w:tr w:rsidR="00CF5712" w:rsidRPr="00FC6043" w14:paraId="3B5FCA47" w14:textId="77777777" w:rsidTr="1995616E">
        <w:trPr>
          <w:jc w:val="center"/>
        </w:trPr>
        <w:tc>
          <w:tcPr>
            <w:tcW w:w="2157" w:type="dxa"/>
            <w:shd w:val="clear" w:color="auto" w:fill="auto"/>
            <w:tcMar>
              <w:top w:w="72" w:type="dxa"/>
              <w:left w:w="115" w:type="dxa"/>
              <w:bottom w:w="72" w:type="dxa"/>
              <w:right w:w="115" w:type="dxa"/>
            </w:tcMar>
            <w:vAlign w:val="center"/>
          </w:tcPr>
          <w:p w14:paraId="387567FD"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3/31/22</w:t>
            </w:r>
          </w:p>
        </w:tc>
        <w:tc>
          <w:tcPr>
            <w:tcW w:w="2198" w:type="dxa"/>
            <w:shd w:val="clear" w:color="auto" w:fill="auto"/>
            <w:tcMar>
              <w:top w:w="72" w:type="dxa"/>
              <w:left w:w="115" w:type="dxa"/>
              <w:bottom w:w="72" w:type="dxa"/>
              <w:right w:w="115" w:type="dxa"/>
            </w:tcMar>
            <w:vAlign w:val="center"/>
          </w:tcPr>
          <w:p w14:paraId="0B231979"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3.13</w:t>
            </w:r>
          </w:p>
          <w:p w14:paraId="5C94F226"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591A88AD"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Phased Developments</w:t>
            </w:r>
          </w:p>
        </w:tc>
        <w:tc>
          <w:tcPr>
            <w:tcW w:w="9590" w:type="dxa"/>
            <w:shd w:val="clear" w:color="auto" w:fill="auto"/>
            <w:tcMar>
              <w:top w:w="72" w:type="dxa"/>
              <w:left w:w="115" w:type="dxa"/>
              <w:bottom w:w="72" w:type="dxa"/>
              <w:right w:w="115" w:type="dxa"/>
            </w:tcMar>
            <w:vAlign w:val="center"/>
          </w:tcPr>
          <w:p w14:paraId="69FA2BC3"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xml:space="preserve">: </w:t>
            </w:r>
            <w:r w:rsidRPr="00FC6043">
              <w:rPr>
                <w:rFonts w:ascii="Times New Roman" w:eastAsia="Times New Roman" w:hAnsi="Times New Roman" w:cs="Times New Roman"/>
                <w:b/>
                <w:bCs/>
                <w:sz w:val="20"/>
                <w:szCs w:val="20"/>
              </w:rPr>
              <w:t>Q1119_02</w:t>
            </w:r>
            <w:r w:rsidRPr="00FC6043">
              <w:rPr>
                <w:rFonts w:ascii="Times New Roman" w:eastAsia="Times New Roman" w:hAnsi="Times New Roman" w:cs="Times New Roman"/>
                <w:sz w:val="20"/>
                <w:szCs w:val="20"/>
              </w:rPr>
              <w:t> </w:t>
            </w:r>
          </w:p>
          <w:p w14:paraId="3D6DCCA7"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Scoring, Phased Development</w:t>
            </w:r>
            <w:r w:rsidRPr="00FC6043">
              <w:rPr>
                <w:rFonts w:ascii="Times New Roman" w:eastAsia="Times New Roman" w:hAnsi="Times New Roman" w:cs="Times New Roman"/>
                <w:sz w:val="20"/>
                <w:szCs w:val="20"/>
              </w:rPr>
              <w:t xml:space="preserve"> states that at least one prior phase must have begun construction by the application deadline in order to claim the points.  This has the consequence of preventing a phase 2 from claiming phased project points in the consecutive year.  It is practically impossible for a project that is awarded in Nov. 2021 to have begun construction within 6 months of award. </w:t>
            </w:r>
          </w:p>
          <w:p w14:paraId="38510354"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16F96D22"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Is this the intent of rule?  Is it possible for the start of site work to count as "start of construction"?  What can/should be used to show start of construction - is it only vertical construction? </w:t>
            </w:r>
          </w:p>
          <w:p w14:paraId="79DC6CFE"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184E3C98"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0C77517D"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This provision is intended to ensure that construction and lease-up between multiple phases do not overlap. If construction hasn’t begun for a prior phase, DCA does not have reasonable assurance that the overlap will be avoided.  </w:t>
            </w:r>
          </w:p>
          <w:p w14:paraId="587DD9B6"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6F1608E2" w14:textId="77777777" w:rsidR="00CF5712" w:rsidRPr="00FC6043" w:rsidRDefault="00CF5712" w:rsidP="00304B2F">
            <w:pPr>
              <w:textAlignment w:val="baseline"/>
              <w:rPr>
                <w:rStyle w:val="normaltextrun"/>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The start of site work can qualify as construction commencement.  </w:t>
            </w:r>
          </w:p>
        </w:tc>
      </w:tr>
      <w:tr w:rsidR="00CF5712" w:rsidRPr="00FC6043" w14:paraId="490A4538" w14:textId="77777777" w:rsidTr="1995616E">
        <w:trPr>
          <w:jc w:val="center"/>
        </w:trPr>
        <w:tc>
          <w:tcPr>
            <w:tcW w:w="2157" w:type="dxa"/>
            <w:shd w:val="clear" w:color="auto" w:fill="auto"/>
            <w:tcMar>
              <w:top w:w="72" w:type="dxa"/>
              <w:left w:w="115" w:type="dxa"/>
              <w:bottom w:w="72" w:type="dxa"/>
              <w:right w:w="115" w:type="dxa"/>
            </w:tcMar>
            <w:vAlign w:val="center"/>
          </w:tcPr>
          <w:p w14:paraId="64DFC927"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3/31/22</w:t>
            </w:r>
          </w:p>
        </w:tc>
        <w:tc>
          <w:tcPr>
            <w:tcW w:w="2198" w:type="dxa"/>
            <w:shd w:val="clear" w:color="auto" w:fill="auto"/>
            <w:tcMar>
              <w:top w:w="72" w:type="dxa"/>
              <w:left w:w="115" w:type="dxa"/>
              <w:bottom w:w="72" w:type="dxa"/>
              <w:right w:w="115" w:type="dxa"/>
            </w:tcMar>
            <w:vAlign w:val="center"/>
          </w:tcPr>
          <w:p w14:paraId="7834C251"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3.17</w:t>
            </w:r>
          </w:p>
          <w:p w14:paraId="1B0FA5DF"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425B2D02"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Minority- and Women-owned Business Engagement </w:t>
            </w:r>
          </w:p>
        </w:tc>
        <w:tc>
          <w:tcPr>
            <w:tcW w:w="9590" w:type="dxa"/>
            <w:shd w:val="clear" w:color="auto" w:fill="auto"/>
            <w:tcMar>
              <w:top w:w="72" w:type="dxa"/>
              <w:left w:w="115" w:type="dxa"/>
              <w:bottom w:w="72" w:type="dxa"/>
              <w:right w:w="115" w:type="dxa"/>
            </w:tcMar>
            <w:vAlign w:val="center"/>
          </w:tcPr>
          <w:p w14:paraId="3EDA8D21"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Q22_0328_01 </w:t>
            </w:r>
          </w:p>
          <w:p w14:paraId="6164F7F0"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Per the QAP’s definition of “Related Parties,” I am a Related Party to a qualified developer. </w:t>
            </w:r>
            <w:r w:rsidRPr="00FC6043">
              <w:rPr>
                <w:rFonts w:ascii="Times New Roman" w:eastAsia="Times New Roman" w:hAnsi="Times New Roman" w:cs="Times New Roman"/>
                <w:b/>
                <w:bCs/>
                <w:sz w:val="20"/>
                <w:szCs w:val="20"/>
              </w:rPr>
              <w:t>(Scoring Criteria) Minority- and Women-Owned Business Engagement</w:t>
            </w:r>
            <w:r w:rsidRPr="00FC6043">
              <w:rPr>
                <w:rFonts w:ascii="Times New Roman" w:eastAsia="Times New Roman" w:hAnsi="Times New Roman" w:cs="Times New Roman"/>
                <w:sz w:val="20"/>
                <w:szCs w:val="20"/>
              </w:rPr>
              <w:t xml:space="preserve"> states that one of the requirements of a “Qualified Business” (QB) is:  </w:t>
            </w:r>
          </w:p>
          <w:p w14:paraId="7988A0EE"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0992B623" w14:textId="77777777" w:rsidR="00CF5712" w:rsidRPr="00FC6043" w:rsidRDefault="00CF5712" w:rsidP="00304B2F">
            <w:pPr>
              <w:ind w:left="72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w:t>
            </w:r>
            <w:r w:rsidRPr="00FC6043">
              <w:rPr>
                <w:rFonts w:ascii="Times New Roman" w:eastAsia="Times New Roman" w:hAnsi="Times New Roman" w:cs="Times New Roman"/>
                <w:i/>
                <w:iCs/>
                <w:sz w:val="20"/>
                <w:szCs w:val="20"/>
              </w:rPr>
              <w:t>QB is not a Related Party to an individual or entity that meets the requirements under Requirements for Experience (Certifying Entity).</w:t>
            </w:r>
            <w:r w:rsidRPr="00FC6043">
              <w:rPr>
                <w:rFonts w:ascii="Times New Roman" w:eastAsia="Times New Roman" w:hAnsi="Times New Roman" w:cs="Times New Roman"/>
                <w:sz w:val="20"/>
                <w:szCs w:val="20"/>
              </w:rPr>
              <w:t>” </w:t>
            </w:r>
          </w:p>
          <w:p w14:paraId="5C6210F0"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3930B82E"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At the QAP Workshop, DCA staff told me that if I receive Probationary approval during the Pre-Application process, then I would still be eligible as a QB under this Scoring section. I am confirming this through the Q&amp;A process, since this was just verbal guidance.  </w:t>
            </w:r>
          </w:p>
          <w:p w14:paraId="1D169341"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061BF697"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79CFA763"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The above-referenced guidance provided by DCA staff at the 2022 QAP Workshop was incorrect. As stated in the above QAP excerpt, if you are a Related Party to a qualified developer, this will disqualify your otherwise Qualified Business for purposes of </w:t>
            </w:r>
            <w:r w:rsidRPr="00FC6043">
              <w:rPr>
                <w:rFonts w:ascii="Times New Roman" w:eastAsia="Times New Roman" w:hAnsi="Times New Roman" w:cs="Times New Roman"/>
                <w:b/>
                <w:bCs/>
                <w:sz w:val="20"/>
                <w:szCs w:val="20"/>
              </w:rPr>
              <w:t>Minority- and Women-Owned Business Engagement</w:t>
            </w:r>
            <w:r w:rsidRPr="00FC6043">
              <w:rPr>
                <w:rFonts w:ascii="Times New Roman" w:eastAsia="Times New Roman" w:hAnsi="Times New Roman" w:cs="Times New Roman"/>
                <w:sz w:val="20"/>
                <w:szCs w:val="20"/>
              </w:rPr>
              <w:t>, even if you meet all other QB requirements.  </w:t>
            </w:r>
          </w:p>
          <w:p w14:paraId="2E558B6F"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22D2EE94"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All applicants should be reminded that you cannot rely on any verbal statements from the QAP Workshop for purposes of application preparation. If you need to rely on verbal guidance, please submit it for confirmation through this Q&amp;A process. </w:t>
            </w:r>
            <w:hyperlink r:id="rId50" w:tgtFrame="_blank" w:history="1">
              <w:r w:rsidRPr="00FC6043">
                <w:rPr>
                  <w:rFonts w:ascii="Times New Roman" w:eastAsia="Times New Roman" w:hAnsi="Times New Roman" w:cs="Times New Roman"/>
                  <w:sz w:val="20"/>
                  <w:szCs w:val="20"/>
                  <w:u w:val="single"/>
                </w:rPr>
                <w:t>Click here</w:t>
              </w:r>
            </w:hyperlink>
            <w:r w:rsidRPr="00FC6043">
              <w:rPr>
                <w:rFonts w:ascii="Times New Roman" w:eastAsia="Times New Roman" w:hAnsi="Times New Roman" w:cs="Times New Roman"/>
                <w:sz w:val="20"/>
                <w:szCs w:val="20"/>
              </w:rPr>
              <w:t xml:space="preserve"> to review the full disclaimer.</w:t>
            </w:r>
          </w:p>
          <w:p w14:paraId="111761A9" w14:textId="77777777" w:rsidR="00CF5712" w:rsidRPr="00FC6043" w:rsidRDefault="00CF5712" w:rsidP="00304B2F">
            <w:pPr>
              <w:pStyle w:val="paragraph"/>
              <w:spacing w:before="0" w:beforeAutospacing="0" w:after="0" w:afterAutospacing="0"/>
              <w:textAlignment w:val="baseline"/>
              <w:rPr>
                <w:rStyle w:val="normaltextrun"/>
                <w:b/>
                <w:bCs/>
                <w:sz w:val="20"/>
                <w:szCs w:val="20"/>
              </w:rPr>
            </w:pPr>
          </w:p>
        </w:tc>
      </w:tr>
      <w:tr w:rsidR="00CF5712" w:rsidRPr="00FC6043" w14:paraId="477CD2D5" w14:textId="77777777" w:rsidTr="1995616E">
        <w:trPr>
          <w:jc w:val="center"/>
        </w:trPr>
        <w:tc>
          <w:tcPr>
            <w:tcW w:w="2157" w:type="dxa"/>
            <w:shd w:val="clear" w:color="auto" w:fill="auto"/>
            <w:tcMar>
              <w:top w:w="72" w:type="dxa"/>
              <w:left w:w="115" w:type="dxa"/>
              <w:bottom w:w="72" w:type="dxa"/>
              <w:right w:w="115" w:type="dxa"/>
            </w:tcMar>
            <w:vAlign w:val="center"/>
          </w:tcPr>
          <w:p w14:paraId="2A0E515B"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3/31/22</w:t>
            </w:r>
          </w:p>
        </w:tc>
        <w:tc>
          <w:tcPr>
            <w:tcW w:w="2198" w:type="dxa"/>
            <w:shd w:val="clear" w:color="auto" w:fill="auto"/>
            <w:tcMar>
              <w:top w:w="72" w:type="dxa"/>
              <w:left w:w="115" w:type="dxa"/>
              <w:bottom w:w="72" w:type="dxa"/>
              <w:right w:w="115" w:type="dxa"/>
            </w:tcMar>
            <w:vAlign w:val="center"/>
          </w:tcPr>
          <w:p w14:paraId="0253EC00"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3.21</w:t>
            </w:r>
          </w:p>
          <w:p w14:paraId="68916A9A"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Scoring Criteria;</w:t>
            </w:r>
          </w:p>
          <w:p w14:paraId="2DB39567"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Favorable Financing</w:t>
            </w:r>
          </w:p>
        </w:tc>
        <w:tc>
          <w:tcPr>
            <w:tcW w:w="9590" w:type="dxa"/>
            <w:shd w:val="clear" w:color="auto" w:fill="auto"/>
            <w:tcMar>
              <w:top w:w="72" w:type="dxa"/>
              <w:left w:w="115" w:type="dxa"/>
              <w:bottom w:w="72" w:type="dxa"/>
              <w:right w:w="115" w:type="dxa"/>
            </w:tcMar>
            <w:vAlign w:val="center"/>
          </w:tcPr>
          <w:p w14:paraId="5D7759C5"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Q22_0104_01</w:t>
            </w:r>
            <w:r w:rsidRPr="00FC6043">
              <w:rPr>
                <w:rStyle w:val="eop"/>
                <w:sz w:val="20"/>
                <w:szCs w:val="20"/>
              </w:rPr>
              <w:t> </w:t>
            </w:r>
          </w:p>
          <w:p w14:paraId="46BBD41A"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 xml:space="preserve">The local government has committed to providing the infrastructure for the development of affordable housing on a future LIHTC project.  It is a </w:t>
            </w:r>
            <w:r w:rsidRPr="00FC6043">
              <w:rPr>
                <w:rStyle w:val="contextualspellingandgrammarerror"/>
                <w:rFonts w:eastAsiaTheme="majorEastAsia"/>
                <w:sz w:val="20"/>
                <w:szCs w:val="20"/>
              </w:rPr>
              <w:t>two phase</w:t>
            </w:r>
            <w:r w:rsidRPr="00FC6043">
              <w:rPr>
                <w:rStyle w:val="normaltextrun"/>
                <w:sz w:val="20"/>
                <w:szCs w:val="20"/>
              </w:rPr>
              <w:t xml:space="preserve"> project that will require roads, stormwater lines, water lines, sidewalks, etc.  The total cost of the infrastructure is approximately $4,000,000; or approximately $2,000,000 per phase based on the layout.  However, due to the configuration of the site, it would be impractical and inefficient to build the infrastructure in phases. </w:t>
            </w:r>
            <w:r w:rsidRPr="00FC6043">
              <w:rPr>
                <w:rStyle w:val="eop"/>
                <w:sz w:val="20"/>
                <w:szCs w:val="20"/>
              </w:rPr>
              <w:t> </w:t>
            </w:r>
          </w:p>
          <w:p w14:paraId="2EC4B4C0" w14:textId="77777777" w:rsidR="00CF5712" w:rsidRPr="00FC6043" w:rsidRDefault="00CF5712" w:rsidP="00304B2F">
            <w:pPr>
              <w:pStyle w:val="paragraph"/>
              <w:numPr>
                <w:ilvl w:val="0"/>
                <w:numId w:val="23"/>
              </w:numPr>
              <w:spacing w:before="0" w:beforeAutospacing="0" w:after="0" w:afterAutospacing="0"/>
              <w:ind w:left="1080" w:firstLine="0"/>
              <w:textAlignment w:val="baseline"/>
              <w:rPr>
                <w:sz w:val="20"/>
                <w:szCs w:val="20"/>
              </w:rPr>
            </w:pPr>
            <w:r w:rsidRPr="00FC6043">
              <w:rPr>
                <w:rStyle w:val="normaltextrun"/>
                <w:sz w:val="20"/>
                <w:szCs w:val="20"/>
              </w:rPr>
              <w:t>Would DCA consider allowing the construction of all the infrastructure in one phase of development and then assigning costs to Phase I and to Phase II in order to be eligible to score points under Favorable Financing for its share of the improvements that were completed with the first phase?  </w:t>
            </w:r>
            <w:r w:rsidRPr="00FC6043">
              <w:rPr>
                <w:rStyle w:val="eop"/>
                <w:sz w:val="20"/>
                <w:szCs w:val="20"/>
              </w:rPr>
              <w:t> </w:t>
            </w:r>
          </w:p>
          <w:p w14:paraId="4B56F248" w14:textId="77777777" w:rsidR="00CF5712" w:rsidRPr="00FC6043" w:rsidRDefault="00CF5712" w:rsidP="00304B2F">
            <w:pPr>
              <w:pStyle w:val="paragraph"/>
              <w:numPr>
                <w:ilvl w:val="0"/>
                <w:numId w:val="24"/>
              </w:numPr>
              <w:spacing w:before="0" w:beforeAutospacing="0" w:after="0" w:afterAutospacing="0"/>
              <w:ind w:left="1080" w:firstLine="0"/>
              <w:textAlignment w:val="baseline"/>
              <w:rPr>
                <w:sz w:val="20"/>
                <w:szCs w:val="20"/>
              </w:rPr>
            </w:pPr>
            <w:r w:rsidRPr="00FC6043">
              <w:rPr>
                <w:rStyle w:val="normaltextrun"/>
                <w:sz w:val="20"/>
                <w:szCs w:val="20"/>
              </w:rPr>
              <w:t>Would the provision of the funding in two separate funding documents aid DCA in making this approval to cover two phases?  </w:t>
            </w:r>
            <w:r w:rsidRPr="00FC6043">
              <w:rPr>
                <w:rStyle w:val="eop"/>
                <w:sz w:val="20"/>
                <w:szCs w:val="20"/>
              </w:rPr>
              <w:t> </w:t>
            </w:r>
          </w:p>
          <w:p w14:paraId="61998766" w14:textId="77777777" w:rsidR="00CF5712" w:rsidRPr="00FC6043" w:rsidRDefault="00CF5712" w:rsidP="00304B2F">
            <w:pPr>
              <w:pStyle w:val="paragraph"/>
              <w:numPr>
                <w:ilvl w:val="0"/>
                <w:numId w:val="24"/>
              </w:numPr>
              <w:spacing w:before="0" w:beforeAutospacing="0" w:after="0" w:afterAutospacing="0"/>
              <w:ind w:left="1080" w:firstLine="0"/>
              <w:textAlignment w:val="baseline"/>
              <w:rPr>
                <w:sz w:val="20"/>
                <w:szCs w:val="20"/>
              </w:rPr>
            </w:pPr>
            <w:r w:rsidRPr="00FC6043">
              <w:rPr>
                <w:rStyle w:val="normaltextrun"/>
                <w:sz w:val="20"/>
                <w:szCs w:val="20"/>
              </w:rPr>
              <w:t>Can DCA support this concept to develop all the infrastructure at one time and assign costs per phase to meet the Favorable Financing scoring requirements.  </w:t>
            </w:r>
            <w:r w:rsidRPr="00FC6043">
              <w:rPr>
                <w:rStyle w:val="eop"/>
                <w:sz w:val="20"/>
                <w:szCs w:val="20"/>
              </w:rPr>
              <w:t> </w:t>
            </w:r>
          </w:p>
          <w:p w14:paraId="59EC4CB0" w14:textId="77777777" w:rsidR="00CF5712" w:rsidRPr="00FC6043" w:rsidRDefault="00CF5712" w:rsidP="00304B2F">
            <w:pPr>
              <w:pStyle w:val="paragraph"/>
              <w:numPr>
                <w:ilvl w:val="0"/>
                <w:numId w:val="24"/>
              </w:numPr>
              <w:spacing w:before="0" w:beforeAutospacing="0" w:after="0" w:afterAutospacing="0"/>
              <w:ind w:left="1080" w:firstLine="0"/>
              <w:textAlignment w:val="baseline"/>
              <w:rPr>
                <w:sz w:val="20"/>
                <w:szCs w:val="20"/>
              </w:rPr>
            </w:pPr>
            <w:r w:rsidRPr="00FC6043">
              <w:rPr>
                <w:rStyle w:val="normaltextrun"/>
                <w:sz w:val="20"/>
                <w:szCs w:val="20"/>
              </w:rPr>
              <w:t xml:space="preserve">This funding source will qualify under “11. Other Federal, State, or local grant funds or loans.” </w:t>
            </w:r>
            <w:r w:rsidRPr="00FC6043">
              <w:rPr>
                <w:rStyle w:val="scxw52255993"/>
                <w:sz w:val="20"/>
                <w:szCs w:val="20"/>
              </w:rPr>
              <w:t> </w:t>
            </w:r>
            <w:r w:rsidRPr="00FC6043">
              <w:rPr>
                <w:rStyle w:val="eop"/>
                <w:sz w:val="20"/>
                <w:szCs w:val="20"/>
              </w:rPr>
              <w:t> </w:t>
            </w:r>
          </w:p>
          <w:p w14:paraId="5946E6B6"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100DA7BE"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76E8CC68"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lastRenderedPageBreak/>
              <w:t xml:space="preserve">The local government would indeed need to provide multiple funding documents so that DCA staff can confirm how much is attributable to the phase 1 application. Assuming all Favorable Financing requirements are </w:t>
            </w:r>
            <w:r w:rsidRPr="00FC6043">
              <w:rPr>
                <w:rStyle w:val="contextualspellingandgrammarerror"/>
                <w:rFonts w:eastAsiaTheme="majorEastAsia"/>
                <w:sz w:val="20"/>
                <w:szCs w:val="20"/>
              </w:rPr>
              <w:t>met</w:t>
            </w:r>
            <w:r w:rsidRPr="00FC6043">
              <w:rPr>
                <w:rStyle w:val="normaltextrun"/>
                <w:sz w:val="20"/>
                <w:szCs w:val="20"/>
              </w:rPr>
              <w:t xml:space="preserve"> and the applicant details the methodology for proportionally allocating costs between each phase, then the phase 1 amount would be allowable for purposes of Favorable Financing under the 2022 9% Competitive Round. </w:t>
            </w:r>
            <w:r w:rsidRPr="00FC6043">
              <w:rPr>
                <w:rStyle w:val="eop"/>
                <w:sz w:val="20"/>
                <w:szCs w:val="20"/>
              </w:rPr>
              <w:t> </w:t>
            </w:r>
          </w:p>
          <w:p w14:paraId="5BF6AE50"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218A08B5" w14:textId="77777777" w:rsidR="00CF5712" w:rsidRPr="00FC6043" w:rsidRDefault="00CF5712" w:rsidP="00304B2F">
            <w:pPr>
              <w:pStyle w:val="paragraph"/>
              <w:spacing w:before="0" w:beforeAutospacing="0" w:after="0" w:afterAutospacing="0"/>
              <w:textAlignment w:val="baseline"/>
              <w:rPr>
                <w:rStyle w:val="normaltextrun"/>
                <w:sz w:val="20"/>
                <w:szCs w:val="20"/>
              </w:rPr>
            </w:pPr>
            <w:r w:rsidRPr="00FC6043">
              <w:rPr>
                <w:rStyle w:val="normaltextrun"/>
                <w:sz w:val="20"/>
                <w:szCs w:val="20"/>
              </w:rPr>
              <w:t>However, DCA cannot provide any guidance about whether the costs attributable to phase 2 will be allowable under Favorable Financing in a future application, because that would be clarifying policy for a future QAP. DCA can only provide guidance related to the 2022 QAP. </w:t>
            </w:r>
            <w:r w:rsidRPr="00FC6043">
              <w:rPr>
                <w:rStyle w:val="eop"/>
                <w:sz w:val="20"/>
                <w:szCs w:val="20"/>
              </w:rPr>
              <w:t> </w:t>
            </w:r>
          </w:p>
        </w:tc>
      </w:tr>
      <w:tr w:rsidR="00CF5712" w:rsidRPr="00FC6043" w14:paraId="28BB9BF9" w14:textId="77777777" w:rsidTr="1995616E">
        <w:trPr>
          <w:jc w:val="center"/>
        </w:trPr>
        <w:tc>
          <w:tcPr>
            <w:tcW w:w="2157" w:type="dxa"/>
            <w:shd w:val="clear" w:color="auto" w:fill="auto"/>
            <w:tcMar>
              <w:top w:w="72" w:type="dxa"/>
              <w:left w:w="115" w:type="dxa"/>
              <w:bottom w:w="72" w:type="dxa"/>
              <w:right w:w="115" w:type="dxa"/>
            </w:tcMar>
            <w:vAlign w:val="center"/>
          </w:tcPr>
          <w:p w14:paraId="1AB10F5F"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3/31/22</w:t>
            </w:r>
          </w:p>
        </w:tc>
        <w:tc>
          <w:tcPr>
            <w:tcW w:w="2198" w:type="dxa"/>
            <w:shd w:val="clear" w:color="auto" w:fill="auto"/>
            <w:tcMar>
              <w:top w:w="72" w:type="dxa"/>
              <w:left w:w="115" w:type="dxa"/>
              <w:bottom w:w="72" w:type="dxa"/>
              <w:right w:w="115" w:type="dxa"/>
            </w:tcMar>
            <w:vAlign w:val="center"/>
          </w:tcPr>
          <w:p w14:paraId="15A768C3"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3.27</w:t>
            </w:r>
          </w:p>
          <w:p w14:paraId="526AABA0"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Criteria; </w:t>
            </w:r>
          </w:p>
          <w:p w14:paraId="6146E819"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PBRA Contracts</w:t>
            </w:r>
          </w:p>
        </w:tc>
        <w:tc>
          <w:tcPr>
            <w:tcW w:w="9590" w:type="dxa"/>
            <w:shd w:val="clear" w:color="auto" w:fill="auto"/>
            <w:tcMar>
              <w:top w:w="72" w:type="dxa"/>
              <w:left w:w="115" w:type="dxa"/>
              <w:bottom w:w="72" w:type="dxa"/>
              <w:right w:w="115" w:type="dxa"/>
            </w:tcMar>
            <w:vAlign w:val="center"/>
          </w:tcPr>
          <w:p w14:paraId="7842F227"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xml:space="preserve">: </w:t>
            </w:r>
            <w:r w:rsidRPr="00FC6043">
              <w:rPr>
                <w:rFonts w:ascii="Times New Roman" w:eastAsia="Times New Roman" w:hAnsi="Times New Roman" w:cs="Times New Roman"/>
                <w:b/>
                <w:bCs/>
                <w:sz w:val="20"/>
                <w:szCs w:val="20"/>
              </w:rPr>
              <w:t>Q22_0307_01</w:t>
            </w:r>
            <w:r w:rsidRPr="00FC6043">
              <w:rPr>
                <w:rFonts w:ascii="Times New Roman" w:eastAsia="Times New Roman" w:hAnsi="Times New Roman" w:cs="Times New Roman"/>
                <w:sz w:val="20"/>
                <w:szCs w:val="20"/>
              </w:rPr>
              <w:t> </w:t>
            </w:r>
          </w:p>
          <w:p w14:paraId="3B50B1A9"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Would an applicant be eligible for points under </w:t>
            </w:r>
            <w:r w:rsidRPr="00FC6043">
              <w:rPr>
                <w:rFonts w:ascii="Times New Roman" w:eastAsia="Times New Roman" w:hAnsi="Times New Roman" w:cs="Times New Roman"/>
                <w:b/>
                <w:bCs/>
                <w:sz w:val="20"/>
                <w:szCs w:val="20"/>
              </w:rPr>
              <w:t>(Scoring Criteria) PBRA Contracts</w:t>
            </w:r>
            <w:r w:rsidRPr="00FC6043">
              <w:rPr>
                <w:rFonts w:ascii="Times New Roman" w:eastAsia="Times New Roman" w:hAnsi="Times New Roman" w:cs="Times New Roman"/>
                <w:sz w:val="20"/>
                <w:szCs w:val="20"/>
              </w:rPr>
              <w:t xml:space="preserve"> if the PBRA would be conditional upon receipt of a Credit award, but the PBRA contract would be in effect on or before the units are placed in service? </w:t>
            </w:r>
          </w:p>
          <w:p w14:paraId="21BC8507"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58480ED8"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5F6E623D" w14:textId="77777777" w:rsidR="00CF5712" w:rsidRPr="00FC6043" w:rsidRDefault="00CF5712" w:rsidP="00304B2F">
            <w:pPr>
              <w:textAlignment w:val="baseline"/>
              <w:rPr>
                <w:rStyle w:val="normaltextrun"/>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Assuming all other requirements related to the associated PBRA agreements are met (e.g., requirements listed in </w:t>
            </w:r>
            <w:r w:rsidRPr="00FC6043">
              <w:rPr>
                <w:rFonts w:ascii="Times New Roman" w:eastAsia="Times New Roman" w:hAnsi="Times New Roman" w:cs="Times New Roman"/>
                <w:b/>
                <w:bCs/>
                <w:sz w:val="20"/>
                <w:szCs w:val="20"/>
              </w:rPr>
              <w:t>(Threshold Criteria) Project Feasibility)</w:t>
            </w:r>
            <w:r w:rsidRPr="00FC6043">
              <w:rPr>
                <w:rFonts w:ascii="Times New Roman" w:eastAsia="Times New Roman" w:hAnsi="Times New Roman" w:cs="Times New Roman"/>
                <w:sz w:val="20"/>
                <w:szCs w:val="20"/>
              </w:rPr>
              <w:t xml:space="preserve">, such PBRA contracts would be eligible for points under </w:t>
            </w:r>
            <w:r w:rsidRPr="00FC6043">
              <w:rPr>
                <w:rFonts w:ascii="Times New Roman" w:eastAsia="Times New Roman" w:hAnsi="Times New Roman" w:cs="Times New Roman"/>
                <w:b/>
                <w:bCs/>
                <w:sz w:val="20"/>
                <w:szCs w:val="20"/>
              </w:rPr>
              <w:t>(Scoring Criteria) PBRA Contracts</w:t>
            </w:r>
            <w:r w:rsidRPr="00FC6043">
              <w:rPr>
                <w:rFonts w:ascii="Times New Roman" w:eastAsia="Times New Roman" w:hAnsi="Times New Roman" w:cs="Times New Roman"/>
                <w:sz w:val="20"/>
                <w:szCs w:val="20"/>
              </w:rPr>
              <w:t>. The contracts being conditional on a tax credit award is not a disqualifying factor.  </w:t>
            </w:r>
          </w:p>
        </w:tc>
      </w:tr>
      <w:tr w:rsidR="00CF5712" w:rsidRPr="003872CA" w14:paraId="0A15D2B7" w14:textId="77777777" w:rsidTr="1995616E">
        <w:trPr>
          <w:jc w:val="center"/>
        </w:trPr>
        <w:tc>
          <w:tcPr>
            <w:tcW w:w="2157" w:type="dxa"/>
            <w:shd w:val="clear" w:color="auto" w:fill="auto"/>
            <w:tcMar>
              <w:top w:w="72" w:type="dxa"/>
              <w:left w:w="115" w:type="dxa"/>
              <w:bottom w:w="72" w:type="dxa"/>
              <w:right w:w="115" w:type="dxa"/>
            </w:tcMar>
            <w:vAlign w:val="center"/>
          </w:tcPr>
          <w:p w14:paraId="405B62D1" w14:textId="77777777" w:rsidR="00CF5712" w:rsidRPr="003872CA" w:rsidRDefault="00CF5712" w:rsidP="00304B2F">
            <w:pPr>
              <w:rPr>
                <w:rFonts w:ascii="Times New Roman" w:hAnsi="Times New Roman" w:cs="Times New Roman"/>
                <w:noProof/>
                <w:sz w:val="20"/>
                <w:szCs w:val="20"/>
              </w:rPr>
            </w:pPr>
            <w:r w:rsidRPr="003872CA">
              <w:rPr>
                <w:rFonts w:ascii="Times New Roman" w:hAnsi="Times New Roman" w:cs="Times New Roman"/>
                <w:noProof/>
                <w:sz w:val="20"/>
                <w:szCs w:val="20"/>
              </w:rPr>
              <w:t>3/22/22</w:t>
            </w:r>
          </w:p>
        </w:tc>
        <w:tc>
          <w:tcPr>
            <w:tcW w:w="2198" w:type="dxa"/>
            <w:shd w:val="clear" w:color="auto" w:fill="auto"/>
            <w:tcMar>
              <w:top w:w="72" w:type="dxa"/>
              <w:left w:w="115" w:type="dxa"/>
              <w:bottom w:w="72" w:type="dxa"/>
              <w:right w:w="115" w:type="dxa"/>
            </w:tcMar>
            <w:vAlign w:val="center"/>
          </w:tcPr>
          <w:p w14:paraId="0CEAD115" w14:textId="77777777" w:rsidR="00CF5712" w:rsidRPr="003872CA" w:rsidRDefault="00CF5712" w:rsidP="00304B2F">
            <w:pPr>
              <w:rPr>
                <w:rFonts w:ascii="Times New Roman" w:hAnsi="Times New Roman" w:cs="Times New Roman"/>
                <w:sz w:val="20"/>
                <w:szCs w:val="20"/>
              </w:rPr>
            </w:pPr>
            <w:r w:rsidRPr="003872CA">
              <w:rPr>
                <w:rFonts w:ascii="Times New Roman" w:hAnsi="Times New Roman" w:cs="Times New Roman"/>
                <w:sz w:val="20"/>
                <w:szCs w:val="20"/>
              </w:rPr>
              <w:t>1.12</w:t>
            </w:r>
          </w:p>
          <w:p w14:paraId="2763CE59" w14:textId="77777777" w:rsidR="00CF5712" w:rsidRPr="003872CA" w:rsidRDefault="00CF5712" w:rsidP="00304B2F">
            <w:pPr>
              <w:rPr>
                <w:rFonts w:ascii="Times New Roman" w:hAnsi="Times New Roman" w:cs="Times New Roman"/>
                <w:sz w:val="20"/>
                <w:szCs w:val="20"/>
              </w:rPr>
            </w:pPr>
            <w:r w:rsidRPr="003872CA">
              <w:rPr>
                <w:rFonts w:ascii="Times New Roman" w:hAnsi="Times New Roman" w:cs="Times New Roman"/>
                <w:sz w:val="20"/>
                <w:szCs w:val="20"/>
              </w:rPr>
              <w:t>Core Plan;</w:t>
            </w:r>
          </w:p>
          <w:p w14:paraId="3AEFFD41" w14:textId="77777777" w:rsidR="00CF5712" w:rsidRPr="003872CA" w:rsidRDefault="00CF5712" w:rsidP="00304B2F">
            <w:pPr>
              <w:rPr>
                <w:rFonts w:ascii="Times New Roman" w:hAnsi="Times New Roman" w:cs="Times New Roman"/>
                <w:sz w:val="20"/>
                <w:szCs w:val="20"/>
              </w:rPr>
            </w:pPr>
            <w:r w:rsidRPr="003872CA">
              <w:rPr>
                <w:rFonts w:ascii="Times New Roman" w:hAnsi="Times New Roman" w:cs="Times New Roman"/>
                <w:sz w:val="20"/>
                <w:szCs w:val="20"/>
              </w:rPr>
              <w:t>Eligibility of Certain Project Configurations</w:t>
            </w:r>
          </w:p>
          <w:p w14:paraId="23D3870C" w14:textId="77777777" w:rsidR="00CF5712" w:rsidRPr="003872CA" w:rsidRDefault="00CF5712" w:rsidP="00304B2F">
            <w:pPr>
              <w:rPr>
                <w:rFonts w:ascii="Times New Roman" w:hAnsi="Times New Roman" w:cs="Times New Roman"/>
                <w:sz w:val="20"/>
                <w:szCs w:val="20"/>
              </w:rPr>
            </w:pPr>
          </w:p>
          <w:p w14:paraId="04F0A870" w14:textId="77777777" w:rsidR="00CF5712" w:rsidRPr="003872CA" w:rsidRDefault="00CF5712" w:rsidP="00304B2F">
            <w:pPr>
              <w:rPr>
                <w:rFonts w:ascii="Times New Roman" w:hAnsi="Times New Roman" w:cs="Times New Roman"/>
                <w:sz w:val="20"/>
                <w:szCs w:val="20"/>
              </w:rPr>
            </w:pPr>
          </w:p>
          <w:p w14:paraId="1F7A7255" w14:textId="77777777" w:rsidR="00CF5712" w:rsidRPr="003872CA" w:rsidRDefault="00CF5712" w:rsidP="00304B2F">
            <w:pPr>
              <w:rPr>
                <w:rFonts w:ascii="Times New Roman" w:hAnsi="Times New Roman" w:cs="Times New Roman"/>
                <w:sz w:val="20"/>
                <w:szCs w:val="20"/>
              </w:rPr>
            </w:pPr>
            <w:r w:rsidRPr="003872CA">
              <w:rPr>
                <w:rFonts w:ascii="Times New Roman" w:hAnsi="Times New Roman" w:cs="Times New Roman"/>
                <w:sz w:val="20"/>
                <w:szCs w:val="20"/>
              </w:rPr>
              <w:t>(also 1.10 Core; 4% Federal Credit)</w:t>
            </w:r>
          </w:p>
        </w:tc>
        <w:tc>
          <w:tcPr>
            <w:tcW w:w="9590" w:type="dxa"/>
            <w:shd w:val="clear" w:color="auto" w:fill="auto"/>
            <w:tcMar>
              <w:top w:w="72" w:type="dxa"/>
              <w:left w:w="115" w:type="dxa"/>
              <w:bottom w:w="72" w:type="dxa"/>
              <w:right w:w="115" w:type="dxa"/>
            </w:tcMar>
            <w:vAlign w:val="center"/>
          </w:tcPr>
          <w:p w14:paraId="3780EFB6" w14:textId="77777777" w:rsidR="00CF5712" w:rsidRPr="003872CA" w:rsidRDefault="00CF5712" w:rsidP="00304B2F">
            <w:pPr>
              <w:pStyle w:val="paragraph"/>
              <w:spacing w:before="0" w:beforeAutospacing="0" w:after="0" w:afterAutospacing="0"/>
              <w:textAlignment w:val="baseline"/>
              <w:rPr>
                <w:sz w:val="20"/>
                <w:szCs w:val="20"/>
              </w:rPr>
            </w:pPr>
            <w:r w:rsidRPr="003872CA">
              <w:rPr>
                <w:rStyle w:val="normaltextrun"/>
                <w:b/>
                <w:bCs/>
                <w:sz w:val="20"/>
                <w:szCs w:val="20"/>
              </w:rPr>
              <w:t>Question</w:t>
            </w:r>
            <w:r w:rsidRPr="003872CA">
              <w:rPr>
                <w:rStyle w:val="normaltextrun"/>
                <w:sz w:val="20"/>
                <w:szCs w:val="20"/>
              </w:rPr>
              <w:t>: Q22_Q1222_01</w:t>
            </w:r>
            <w:r w:rsidRPr="003872CA">
              <w:rPr>
                <w:rStyle w:val="eop"/>
                <w:sz w:val="20"/>
                <w:szCs w:val="20"/>
              </w:rPr>
              <w:t> </w:t>
            </w:r>
          </w:p>
          <w:p w14:paraId="6878E1DF" w14:textId="77777777" w:rsidR="00CF5712" w:rsidRPr="003872CA" w:rsidRDefault="00CF5712" w:rsidP="00304B2F">
            <w:pPr>
              <w:pStyle w:val="paragraph"/>
              <w:spacing w:before="0" w:beforeAutospacing="0" w:after="0" w:afterAutospacing="0"/>
              <w:textAlignment w:val="baseline"/>
              <w:rPr>
                <w:sz w:val="20"/>
                <w:szCs w:val="20"/>
              </w:rPr>
            </w:pPr>
            <w:r w:rsidRPr="003872CA">
              <w:rPr>
                <w:rStyle w:val="normaltextrun"/>
                <w:sz w:val="20"/>
                <w:szCs w:val="20"/>
              </w:rPr>
              <w:t>Could a two-phase development, purchased as one project, be submitted for Credits as one project under one application, given the scoring is the same for both phases?</w:t>
            </w:r>
            <w:r w:rsidRPr="003872CA">
              <w:rPr>
                <w:rStyle w:val="eop"/>
                <w:sz w:val="20"/>
                <w:szCs w:val="20"/>
              </w:rPr>
              <w:t> </w:t>
            </w:r>
          </w:p>
          <w:p w14:paraId="007E102B" w14:textId="77777777" w:rsidR="00CF5712" w:rsidRPr="003872CA" w:rsidRDefault="00CF5712" w:rsidP="00304B2F">
            <w:pPr>
              <w:pStyle w:val="paragraph"/>
              <w:spacing w:before="0" w:beforeAutospacing="0" w:after="0" w:afterAutospacing="0"/>
              <w:textAlignment w:val="baseline"/>
              <w:rPr>
                <w:sz w:val="20"/>
                <w:szCs w:val="20"/>
              </w:rPr>
            </w:pPr>
            <w:r w:rsidRPr="003872CA">
              <w:rPr>
                <w:rStyle w:val="eop"/>
                <w:sz w:val="20"/>
                <w:szCs w:val="20"/>
              </w:rPr>
              <w:t> </w:t>
            </w:r>
          </w:p>
          <w:p w14:paraId="7F3EE12A" w14:textId="77777777" w:rsidR="00CF5712" w:rsidRPr="003872CA" w:rsidRDefault="00CF5712" w:rsidP="00304B2F">
            <w:pPr>
              <w:pStyle w:val="paragraph"/>
              <w:spacing w:before="0" w:beforeAutospacing="0" w:after="0" w:afterAutospacing="0"/>
              <w:textAlignment w:val="baseline"/>
              <w:rPr>
                <w:sz w:val="20"/>
                <w:szCs w:val="20"/>
              </w:rPr>
            </w:pPr>
            <w:r w:rsidRPr="003872CA">
              <w:rPr>
                <w:rStyle w:val="normaltextrun"/>
                <w:b/>
                <w:bCs/>
                <w:sz w:val="20"/>
                <w:szCs w:val="20"/>
              </w:rPr>
              <w:t>Answer</w:t>
            </w:r>
            <w:r w:rsidRPr="003872CA">
              <w:rPr>
                <w:rStyle w:val="normaltextrun"/>
                <w:sz w:val="20"/>
                <w:szCs w:val="20"/>
              </w:rPr>
              <w:t>: </w:t>
            </w:r>
            <w:r w:rsidRPr="003872CA">
              <w:rPr>
                <w:rStyle w:val="eop"/>
                <w:sz w:val="20"/>
                <w:szCs w:val="20"/>
              </w:rPr>
              <w:t> </w:t>
            </w:r>
          </w:p>
          <w:p w14:paraId="2A50F428" w14:textId="77777777" w:rsidR="00CF5712" w:rsidRPr="003872CA" w:rsidRDefault="00CF5712" w:rsidP="00304B2F">
            <w:pPr>
              <w:pStyle w:val="paragraph"/>
              <w:spacing w:before="0" w:beforeAutospacing="0" w:after="0" w:afterAutospacing="0"/>
              <w:textAlignment w:val="baseline"/>
              <w:rPr>
                <w:sz w:val="20"/>
                <w:szCs w:val="20"/>
              </w:rPr>
            </w:pPr>
            <w:r w:rsidRPr="003872CA">
              <w:rPr>
                <w:rStyle w:val="normaltextrun"/>
                <w:sz w:val="20"/>
                <w:szCs w:val="20"/>
              </w:rPr>
              <w:t>Yes, assuming the combined application meets all applicable requirements in the QAP, combining both phases of a multi-phase development for one tax credit application is allowed. </w:t>
            </w:r>
            <w:r w:rsidRPr="003872CA">
              <w:rPr>
                <w:rStyle w:val="eop"/>
                <w:sz w:val="20"/>
                <w:szCs w:val="20"/>
              </w:rPr>
              <w:t> </w:t>
            </w:r>
          </w:p>
          <w:p w14:paraId="7EB3771F" w14:textId="77777777" w:rsidR="00CF5712" w:rsidRPr="003872CA" w:rsidRDefault="00CF5712" w:rsidP="00304B2F">
            <w:pPr>
              <w:pStyle w:val="paragraph"/>
              <w:spacing w:before="0" w:beforeAutospacing="0" w:after="0" w:afterAutospacing="0"/>
              <w:textAlignment w:val="baseline"/>
              <w:rPr>
                <w:sz w:val="20"/>
                <w:szCs w:val="20"/>
              </w:rPr>
            </w:pPr>
            <w:r w:rsidRPr="003872CA">
              <w:rPr>
                <w:rStyle w:val="eop"/>
                <w:sz w:val="20"/>
                <w:szCs w:val="20"/>
              </w:rPr>
              <w:t> </w:t>
            </w:r>
          </w:p>
          <w:p w14:paraId="45EDE33D" w14:textId="77777777" w:rsidR="00CF5712" w:rsidRPr="003872CA" w:rsidRDefault="00CF5712" w:rsidP="00304B2F">
            <w:pPr>
              <w:pStyle w:val="paragraph"/>
              <w:spacing w:before="0" w:beforeAutospacing="0" w:after="0" w:afterAutospacing="0"/>
              <w:textAlignment w:val="baseline"/>
              <w:rPr>
                <w:sz w:val="20"/>
                <w:szCs w:val="20"/>
              </w:rPr>
            </w:pPr>
            <w:r w:rsidRPr="003872CA">
              <w:rPr>
                <w:rStyle w:val="normaltextrun"/>
                <w:sz w:val="20"/>
                <w:szCs w:val="20"/>
              </w:rPr>
              <w:t>Please also see the following QAP excerpts that may be applicable, depending on the circumstances: </w:t>
            </w:r>
            <w:r w:rsidRPr="003872CA">
              <w:rPr>
                <w:rStyle w:val="eop"/>
                <w:sz w:val="20"/>
                <w:szCs w:val="20"/>
              </w:rPr>
              <w:t> </w:t>
            </w:r>
          </w:p>
          <w:p w14:paraId="5233621E" w14:textId="77777777" w:rsidR="00CF5712" w:rsidRPr="003872CA" w:rsidRDefault="00CF5712" w:rsidP="00304B2F">
            <w:pPr>
              <w:pStyle w:val="paragraph"/>
              <w:spacing w:before="0" w:beforeAutospacing="0" w:after="0" w:afterAutospacing="0"/>
              <w:textAlignment w:val="baseline"/>
              <w:rPr>
                <w:sz w:val="20"/>
                <w:szCs w:val="20"/>
              </w:rPr>
            </w:pPr>
            <w:r w:rsidRPr="003872CA">
              <w:rPr>
                <w:rStyle w:val="eop"/>
                <w:sz w:val="20"/>
                <w:szCs w:val="20"/>
              </w:rPr>
              <w:t> </w:t>
            </w:r>
          </w:p>
          <w:p w14:paraId="1847F344" w14:textId="77777777" w:rsidR="00CF5712" w:rsidRPr="003872CA" w:rsidRDefault="00CF5712" w:rsidP="00304B2F">
            <w:pPr>
              <w:pStyle w:val="paragraph"/>
              <w:numPr>
                <w:ilvl w:val="0"/>
                <w:numId w:val="20"/>
              </w:numPr>
              <w:spacing w:before="0" w:beforeAutospacing="0" w:after="0" w:afterAutospacing="0"/>
              <w:ind w:left="1080" w:firstLine="0"/>
              <w:textAlignment w:val="baseline"/>
              <w:rPr>
                <w:sz w:val="20"/>
                <w:szCs w:val="20"/>
              </w:rPr>
            </w:pPr>
            <w:r w:rsidRPr="003872CA">
              <w:rPr>
                <w:rStyle w:val="normaltextrun"/>
                <w:sz w:val="20"/>
                <w:szCs w:val="20"/>
              </w:rPr>
              <w:t>(</w:t>
            </w:r>
            <w:r w:rsidRPr="003872CA">
              <w:rPr>
                <w:rStyle w:val="normaltextrun"/>
                <w:b/>
                <w:bCs/>
                <w:sz w:val="20"/>
                <w:szCs w:val="20"/>
              </w:rPr>
              <w:t>Core Plan</w:t>
            </w:r>
            <w:r w:rsidRPr="003872CA">
              <w:rPr>
                <w:rStyle w:val="normaltextrun"/>
                <w:sz w:val="20"/>
                <w:szCs w:val="20"/>
              </w:rPr>
              <w:t xml:space="preserve">), </w:t>
            </w:r>
            <w:r w:rsidRPr="003872CA">
              <w:rPr>
                <w:rStyle w:val="normaltextrun"/>
                <w:b/>
                <w:bCs/>
                <w:sz w:val="20"/>
                <w:szCs w:val="20"/>
              </w:rPr>
              <w:t>Eligibility of Certain Project Configurations</w:t>
            </w:r>
            <w:r w:rsidRPr="003872CA">
              <w:rPr>
                <w:rStyle w:val="normaltextrun"/>
                <w:sz w:val="20"/>
                <w:szCs w:val="20"/>
              </w:rPr>
              <w:t xml:space="preserve">, subsection </w:t>
            </w:r>
            <w:r w:rsidRPr="003872CA">
              <w:rPr>
                <w:rStyle w:val="normaltextrun"/>
                <w:b/>
                <w:bCs/>
                <w:sz w:val="20"/>
                <w:szCs w:val="20"/>
              </w:rPr>
              <w:t>A. Eligibility of Scattered Sites</w:t>
            </w:r>
            <w:r w:rsidRPr="003872CA">
              <w:rPr>
                <w:rStyle w:val="normaltextrun"/>
                <w:sz w:val="20"/>
                <w:szCs w:val="20"/>
              </w:rPr>
              <w:t> </w:t>
            </w:r>
            <w:r w:rsidRPr="003872CA">
              <w:rPr>
                <w:rStyle w:val="eop"/>
                <w:sz w:val="20"/>
                <w:szCs w:val="20"/>
              </w:rPr>
              <w:t> </w:t>
            </w:r>
          </w:p>
          <w:p w14:paraId="1B4C2D6E" w14:textId="77777777" w:rsidR="00CF5712" w:rsidRPr="003872CA" w:rsidRDefault="00CF5712" w:rsidP="00304B2F">
            <w:pPr>
              <w:pStyle w:val="paragraph"/>
              <w:numPr>
                <w:ilvl w:val="0"/>
                <w:numId w:val="20"/>
              </w:numPr>
              <w:spacing w:before="0" w:beforeAutospacing="0" w:after="0" w:afterAutospacing="0"/>
              <w:ind w:left="1080" w:firstLine="0"/>
              <w:textAlignment w:val="baseline"/>
              <w:rPr>
                <w:sz w:val="20"/>
                <w:szCs w:val="20"/>
              </w:rPr>
            </w:pPr>
            <w:r w:rsidRPr="003872CA">
              <w:rPr>
                <w:rStyle w:val="normaltextrun"/>
                <w:b/>
                <w:bCs/>
                <w:sz w:val="20"/>
                <w:szCs w:val="20"/>
              </w:rPr>
              <w:t>(Core Plan) 4% Federal Credit – Bond Financed Projects</w:t>
            </w:r>
            <w:r w:rsidRPr="003872CA">
              <w:rPr>
                <w:rStyle w:val="normaltextrun"/>
                <w:sz w:val="20"/>
                <w:szCs w:val="20"/>
              </w:rPr>
              <w:t xml:space="preserve">, subsection </w:t>
            </w:r>
            <w:r w:rsidRPr="003872CA">
              <w:rPr>
                <w:rStyle w:val="normaltextrun"/>
                <w:b/>
                <w:bCs/>
                <w:sz w:val="20"/>
                <w:szCs w:val="20"/>
              </w:rPr>
              <w:t>B. Application Restrictions:</w:t>
            </w:r>
            <w:r w:rsidRPr="003872CA">
              <w:rPr>
                <w:rStyle w:val="normaltextrun"/>
                <w:sz w:val="20"/>
                <w:szCs w:val="20"/>
              </w:rPr>
              <w:t xml:space="preserve"> For purposes of 4% Credit Applications, “Scattered site applications are only eligible for consideration if proposing rehabilitation of properties funded by USDA, a RAD conversion, or approved during the Pre-Application process.” </w:t>
            </w:r>
            <w:r w:rsidRPr="003872CA">
              <w:rPr>
                <w:rStyle w:val="eop"/>
                <w:sz w:val="20"/>
                <w:szCs w:val="20"/>
              </w:rPr>
              <w:t> </w:t>
            </w:r>
          </w:p>
          <w:p w14:paraId="54779181" w14:textId="77777777" w:rsidR="00CF5712" w:rsidRPr="003872CA" w:rsidRDefault="00CF5712" w:rsidP="00304B2F">
            <w:pPr>
              <w:textAlignment w:val="baseline"/>
              <w:rPr>
                <w:rFonts w:ascii="Times New Roman" w:eastAsia="Times New Roman" w:hAnsi="Times New Roman" w:cs="Times New Roman"/>
                <w:b/>
                <w:bCs/>
                <w:sz w:val="20"/>
                <w:szCs w:val="20"/>
              </w:rPr>
            </w:pPr>
          </w:p>
        </w:tc>
      </w:tr>
      <w:tr w:rsidR="00CF5712" w:rsidRPr="00FC6043" w14:paraId="709F10CB" w14:textId="77777777" w:rsidTr="1995616E">
        <w:trPr>
          <w:jc w:val="center"/>
        </w:trPr>
        <w:tc>
          <w:tcPr>
            <w:tcW w:w="2157" w:type="dxa"/>
            <w:shd w:val="clear" w:color="auto" w:fill="auto"/>
            <w:tcMar>
              <w:top w:w="72" w:type="dxa"/>
              <w:left w:w="115" w:type="dxa"/>
              <w:bottom w:w="72" w:type="dxa"/>
              <w:right w:w="115" w:type="dxa"/>
            </w:tcMar>
            <w:vAlign w:val="center"/>
          </w:tcPr>
          <w:p w14:paraId="02416996"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3/22/22</w:t>
            </w:r>
          </w:p>
        </w:tc>
        <w:tc>
          <w:tcPr>
            <w:tcW w:w="2198" w:type="dxa"/>
            <w:shd w:val="clear" w:color="auto" w:fill="auto"/>
            <w:tcMar>
              <w:top w:w="72" w:type="dxa"/>
              <w:left w:w="115" w:type="dxa"/>
              <w:bottom w:w="72" w:type="dxa"/>
              <w:right w:w="115" w:type="dxa"/>
            </w:tcMar>
            <w:vAlign w:val="center"/>
          </w:tcPr>
          <w:p w14:paraId="227C4E53"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3.07</w:t>
            </w:r>
          </w:p>
          <w:p w14:paraId="15D58DCA"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Criteria; </w:t>
            </w:r>
          </w:p>
          <w:p w14:paraId="3CAD3B60"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Quality Education Areas</w:t>
            </w:r>
          </w:p>
        </w:tc>
        <w:tc>
          <w:tcPr>
            <w:tcW w:w="9590" w:type="dxa"/>
            <w:shd w:val="clear" w:color="auto" w:fill="auto"/>
            <w:tcMar>
              <w:top w:w="72" w:type="dxa"/>
              <w:left w:w="115" w:type="dxa"/>
              <w:bottom w:w="72" w:type="dxa"/>
              <w:right w:w="115" w:type="dxa"/>
            </w:tcMar>
            <w:vAlign w:val="center"/>
          </w:tcPr>
          <w:p w14:paraId="5CCBA62B"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Q22_0317_15 </w:t>
            </w:r>
          </w:p>
          <w:p w14:paraId="0BB2A6BA"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lastRenderedPageBreak/>
              <w:t>DCA took public comments through February 28</w:t>
            </w:r>
            <w:r w:rsidRPr="00FC6043">
              <w:rPr>
                <w:rFonts w:ascii="Times New Roman" w:eastAsia="Times New Roman" w:hAnsi="Times New Roman" w:cs="Times New Roman"/>
                <w:sz w:val="20"/>
                <w:szCs w:val="20"/>
                <w:vertAlign w:val="superscript"/>
              </w:rPr>
              <w:t>th</w:t>
            </w:r>
            <w:r w:rsidRPr="00FC6043">
              <w:rPr>
                <w:rFonts w:ascii="Times New Roman" w:eastAsia="Times New Roman" w:hAnsi="Times New Roman" w:cs="Times New Roman"/>
                <w:sz w:val="20"/>
                <w:szCs w:val="20"/>
              </w:rPr>
              <w:t xml:space="preserve"> for “Option C - Scoring Data.xlsx,” which is necessary to score schools under </w:t>
            </w:r>
            <w:r w:rsidRPr="00FC6043">
              <w:rPr>
                <w:rFonts w:ascii="Times New Roman" w:eastAsia="Times New Roman" w:hAnsi="Times New Roman" w:cs="Times New Roman"/>
                <w:b/>
                <w:bCs/>
                <w:sz w:val="20"/>
                <w:szCs w:val="20"/>
              </w:rPr>
              <w:t>(Scoring Criteria) Quality Education Areas.</w:t>
            </w:r>
            <w:r w:rsidRPr="00FC6043">
              <w:rPr>
                <w:rFonts w:ascii="Times New Roman" w:eastAsia="Times New Roman" w:hAnsi="Times New Roman" w:cs="Times New Roman"/>
                <w:sz w:val="20"/>
                <w:szCs w:val="20"/>
              </w:rPr>
              <w:t xml:space="preserve"> What public comments did DCA receive and how is DCA responding to them?  </w:t>
            </w:r>
          </w:p>
          <w:p w14:paraId="5FB2DEA6"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6C145F2B"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6493DECB"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DCA received public comments articulating the following:  </w:t>
            </w:r>
            <w:r w:rsidRPr="00FC6043">
              <w:rPr>
                <w:rFonts w:ascii="Times New Roman" w:eastAsia="Times New Roman" w:hAnsi="Times New Roman" w:cs="Times New Roman"/>
                <w:sz w:val="20"/>
                <w:szCs w:val="20"/>
              </w:rPr>
              <w:br/>
              <w:t> </w:t>
            </w:r>
          </w:p>
          <w:p w14:paraId="17D6FA6C" w14:textId="77777777" w:rsidR="00CF5712" w:rsidRPr="00FC6043" w:rsidRDefault="00CF5712" w:rsidP="00304B2F">
            <w:pPr>
              <w:numPr>
                <w:ilvl w:val="0"/>
                <w:numId w:val="19"/>
              </w:numPr>
              <w:ind w:left="1080" w:firstLine="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The “top 75%” provision in the QAP is unclear (“Average CCRPI score over the same time period is in the top 75% of all statewide average scores for the grade cluster”). Multiple methodologies for this calculation can be reasonably interpreted from the same language.  </w:t>
            </w:r>
            <w:r w:rsidRPr="00FC6043">
              <w:rPr>
                <w:rFonts w:ascii="Times New Roman" w:eastAsia="Times New Roman" w:hAnsi="Times New Roman" w:cs="Times New Roman"/>
                <w:sz w:val="20"/>
                <w:szCs w:val="20"/>
              </w:rPr>
              <w:br/>
            </w:r>
          </w:p>
          <w:p w14:paraId="2D51D18F" w14:textId="77777777" w:rsidR="00CF5712" w:rsidRPr="00FC6043" w:rsidRDefault="00CF5712" w:rsidP="00304B2F">
            <w:pPr>
              <w:numPr>
                <w:ilvl w:val="0"/>
                <w:numId w:val="19"/>
              </w:numPr>
              <w:ind w:left="1080" w:firstLine="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DCA did not post the dataset until February 14, 2022. To justifiably preclude methodologies that differed from DCA’s intent but could be inferred from the ambiguous QAP language, DCA would have needed to publish the data necessary to score earlier.  </w:t>
            </w:r>
          </w:p>
          <w:p w14:paraId="36E12A00"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77150DAD"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DCA staff agree with both of the above public comments. Therefore, for purposes of the 2022 Competitive round, DCA will allow schools to qualify under a methodology submitted during the public comment period which is more expansive than the intended methodology. Staff determined that the QAP language was ambiguous enough that it encompassed this alternative interpretation. Under this alternative methodology, schools will be eligible under option C if both of the following are true:  </w:t>
            </w:r>
          </w:p>
          <w:p w14:paraId="7DBA9137"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7961F66B"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Condition 1</w:t>
            </w:r>
            <w:r w:rsidRPr="00FC6043">
              <w:rPr>
                <w:rFonts w:ascii="Times New Roman" w:eastAsia="Times New Roman" w:hAnsi="Times New Roman" w:cs="Times New Roman"/>
                <w:sz w:val="20"/>
                <w:szCs w:val="20"/>
              </w:rPr>
              <w:t>: School’s CCRPI growth between 2015-2019 is positive. This is treated the same as under the originally posted “Option C – Scoring Data.xlsx” file. See columns under the header “Year-over-year change is positive?” to confirm positive growth for a school.  </w:t>
            </w:r>
          </w:p>
          <w:p w14:paraId="3E37686C"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6EADD352"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Condition 2:</w:t>
            </w:r>
            <w:r w:rsidRPr="00FC6043">
              <w:rPr>
                <w:rFonts w:ascii="Times New Roman" w:eastAsia="Times New Roman" w:hAnsi="Times New Roman" w:cs="Times New Roman"/>
                <w:sz w:val="20"/>
                <w:szCs w:val="20"/>
              </w:rPr>
              <w:t xml:space="preserve"> School’s average score between 2015 and 2019 is above the thresholds in the below table. </w:t>
            </w:r>
            <w:r w:rsidRPr="00FC6043">
              <w:rPr>
                <w:rFonts w:ascii="Times New Roman" w:eastAsia="Times New Roman" w:hAnsi="Times New Roman" w:cs="Times New Roman"/>
                <w:sz w:val="20"/>
                <w:szCs w:val="20"/>
              </w:rPr>
              <w:br/>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5"/>
              <w:gridCol w:w="2325"/>
              <w:gridCol w:w="2325"/>
              <w:gridCol w:w="2325"/>
            </w:tblGrid>
            <w:tr w:rsidR="00CF5712" w:rsidRPr="00FC6043" w14:paraId="63B64EC9" w14:textId="77777777" w:rsidTr="0060522B">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1D90D3B2" w14:textId="77777777" w:rsidR="00CF5712" w:rsidRPr="00FC6043" w:rsidRDefault="00CF5712" w:rsidP="00304B2F">
                  <w:pPr>
                    <w:spacing w:after="0" w:line="240" w:lineRule="auto"/>
                    <w:jc w:val="cente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i/>
                      <w:iCs/>
                      <w:sz w:val="20"/>
                      <w:szCs w:val="20"/>
                    </w:rPr>
                    <w:t>Grade cluster</w:t>
                  </w:r>
                  <w:r w:rsidRPr="00FC6043">
                    <w:rPr>
                      <w:rFonts w:ascii="Times New Roman" w:eastAsia="Times New Roman" w:hAnsi="Times New Roman" w:cs="Times New Roman"/>
                      <w:sz w:val="20"/>
                      <w:szCs w:val="20"/>
                    </w:rPr>
                    <w:t> </w:t>
                  </w:r>
                </w:p>
              </w:tc>
              <w:tc>
                <w:tcPr>
                  <w:tcW w:w="2325" w:type="dxa"/>
                  <w:tcBorders>
                    <w:top w:val="single" w:sz="6" w:space="0" w:color="auto"/>
                    <w:left w:val="nil"/>
                    <w:bottom w:val="single" w:sz="6" w:space="0" w:color="auto"/>
                    <w:right w:val="single" w:sz="6" w:space="0" w:color="auto"/>
                  </w:tcBorders>
                  <w:shd w:val="clear" w:color="auto" w:fill="auto"/>
                  <w:hideMark/>
                </w:tcPr>
                <w:p w14:paraId="58162483" w14:textId="77777777" w:rsidR="00CF5712" w:rsidRPr="00FC6043" w:rsidRDefault="00CF5712" w:rsidP="00304B2F">
                  <w:pPr>
                    <w:spacing w:after="0" w:line="240" w:lineRule="auto"/>
                    <w:jc w:val="cente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Elementary</w:t>
                  </w:r>
                  <w:r w:rsidRPr="00FC6043">
                    <w:rPr>
                      <w:rFonts w:ascii="Times New Roman" w:eastAsia="Times New Roman" w:hAnsi="Times New Roman" w:cs="Times New Roman"/>
                      <w:sz w:val="20"/>
                      <w:szCs w:val="20"/>
                    </w:rPr>
                    <w:t> </w:t>
                  </w:r>
                </w:p>
              </w:tc>
              <w:tc>
                <w:tcPr>
                  <w:tcW w:w="2325" w:type="dxa"/>
                  <w:tcBorders>
                    <w:top w:val="single" w:sz="6" w:space="0" w:color="auto"/>
                    <w:left w:val="nil"/>
                    <w:bottom w:val="single" w:sz="6" w:space="0" w:color="auto"/>
                    <w:right w:val="single" w:sz="6" w:space="0" w:color="auto"/>
                  </w:tcBorders>
                  <w:shd w:val="clear" w:color="auto" w:fill="auto"/>
                  <w:hideMark/>
                </w:tcPr>
                <w:p w14:paraId="64838F0D" w14:textId="77777777" w:rsidR="00CF5712" w:rsidRPr="00FC6043" w:rsidRDefault="00CF5712" w:rsidP="00304B2F">
                  <w:pPr>
                    <w:spacing w:after="0" w:line="240" w:lineRule="auto"/>
                    <w:jc w:val="cente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Middle</w:t>
                  </w:r>
                  <w:r w:rsidRPr="00FC6043">
                    <w:rPr>
                      <w:rFonts w:ascii="Times New Roman" w:eastAsia="Times New Roman" w:hAnsi="Times New Roman" w:cs="Times New Roman"/>
                      <w:sz w:val="20"/>
                      <w:szCs w:val="20"/>
                    </w:rPr>
                    <w:t> </w:t>
                  </w:r>
                </w:p>
              </w:tc>
              <w:tc>
                <w:tcPr>
                  <w:tcW w:w="2325" w:type="dxa"/>
                  <w:tcBorders>
                    <w:top w:val="single" w:sz="6" w:space="0" w:color="auto"/>
                    <w:left w:val="nil"/>
                    <w:bottom w:val="single" w:sz="6" w:space="0" w:color="auto"/>
                    <w:right w:val="single" w:sz="6" w:space="0" w:color="auto"/>
                  </w:tcBorders>
                  <w:shd w:val="clear" w:color="auto" w:fill="auto"/>
                  <w:hideMark/>
                </w:tcPr>
                <w:p w14:paraId="2613E148" w14:textId="77777777" w:rsidR="00CF5712" w:rsidRPr="00FC6043" w:rsidRDefault="00CF5712" w:rsidP="00304B2F">
                  <w:pPr>
                    <w:spacing w:after="0" w:line="240" w:lineRule="auto"/>
                    <w:jc w:val="cente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High</w:t>
                  </w:r>
                  <w:r w:rsidRPr="00FC6043">
                    <w:rPr>
                      <w:rFonts w:ascii="Times New Roman" w:eastAsia="Times New Roman" w:hAnsi="Times New Roman" w:cs="Times New Roman"/>
                      <w:sz w:val="20"/>
                      <w:szCs w:val="20"/>
                    </w:rPr>
                    <w:t> </w:t>
                  </w:r>
                </w:p>
              </w:tc>
            </w:tr>
            <w:tr w:rsidR="00CF5712" w:rsidRPr="00FC6043" w14:paraId="69BFFF36" w14:textId="77777777" w:rsidTr="0060522B">
              <w:tc>
                <w:tcPr>
                  <w:tcW w:w="2325" w:type="dxa"/>
                  <w:tcBorders>
                    <w:top w:val="nil"/>
                    <w:left w:val="single" w:sz="6" w:space="0" w:color="auto"/>
                    <w:bottom w:val="single" w:sz="6" w:space="0" w:color="auto"/>
                    <w:right w:val="single" w:sz="6" w:space="0" w:color="auto"/>
                  </w:tcBorders>
                  <w:shd w:val="clear" w:color="auto" w:fill="auto"/>
                  <w:hideMark/>
                </w:tcPr>
                <w:p w14:paraId="63F967BC" w14:textId="77777777" w:rsidR="00CF5712" w:rsidRPr="00FC6043" w:rsidRDefault="00CF5712" w:rsidP="00304B2F">
                  <w:pPr>
                    <w:spacing w:after="0" w:line="240" w:lineRule="auto"/>
                    <w:jc w:val="cente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i/>
                      <w:iCs/>
                      <w:sz w:val="20"/>
                      <w:szCs w:val="20"/>
                    </w:rPr>
                    <w:t>Average score</w:t>
                  </w:r>
                  <w:r w:rsidRPr="00FC6043">
                    <w:rPr>
                      <w:rFonts w:ascii="Times New Roman" w:eastAsia="Times New Roman" w:hAnsi="Times New Roman" w:cs="Times New Roman"/>
                      <w:sz w:val="20"/>
                      <w:szCs w:val="20"/>
                    </w:rPr>
                    <w:t> </w:t>
                  </w:r>
                </w:p>
                <w:p w14:paraId="720D74A8" w14:textId="77777777" w:rsidR="00CF5712" w:rsidRPr="00FC6043" w:rsidRDefault="00CF5712" w:rsidP="00304B2F">
                  <w:pPr>
                    <w:spacing w:after="0" w:line="240" w:lineRule="auto"/>
                    <w:jc w:val="cente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i/>
                      <w:iCs/>
                      <w:sz w:val="20"/>
                      <w:szCs w:val="20"/>
                    </w:rPr>
                    <w:t>(2015-2019)</w:t>
                  </w:r>
                  <w:r w:rsidRPr="00FC6043">
                    <w:rPr>
                      <w:rFonts w:ascii="Times New Roman" w:eastAsia="Times New Roman" w:hAnsi="Times New Roman" w:cs="Times New Roman"/>
                      <w:sz w:val="20"/>
                      <w:szCs w:val="20"/>
                    </w:rPr>
                    <w:t> </w:t>
                  </w:r>
                </w:p>
              </w:tc>
              <w:tc>
                <w:tcPr>
                  <w:tcW w:w="2325" w:type="dxa"/>
                  <w:tcBorders>
                    <w:top w:val="nil"/>
                    <w:left w:val="nil"/>
                    <w:bottom w:val="single" w:sz="6" w:space="0" w:color="auto"/>
                    <w:right w:val="single" w:sz="6" w:space="0" w:color="auto"/>
                  </w:tcBorders>
                  <w:shd w:val="clear" w:color="auto" w:fill="auto"/>
                  <w:hideMark/>
                </w:tcPr>
                <w:p w14:paraId="09413750" w14:textId="77777777" w:rsidR="00CF5712" w:rsidRPr="00FC6043" w:rsidRDefault="00CF5712" w:rsidP="00304B2F">
                  <w:pPr>
                    <w:spacing w:after="0" w:line="240" w:lineRule="auto"/>
                    <w:jc w:val="cente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56.745 </w:t>
                  </w:r>
                </w:p>
                <w:p w14:paraId="25F3A94B" w14:textId="77777777" w:rsidR="00CF5712" w:rsidRPr="00FC6043" w:rsidRDefault="00CF5712" w:rsidP="00304B2F">
                  <w:pPr>
                    <w:spacing w:after="0" w:line="240" w:lineRule="auto"/>
                    <w:jc w:val="cente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tc>
              <w:tc>
                <w:tcPr>
                  <w:tcW w:w="2325" w:type="dxa"/>
                  <w:tcBorders>
                    <w:top w:val="nil"/>
                    <w:left w:val="nil"/>
                    <w:bottom w:val="single" w:sz="6" w:space="0" w:color="auto"/>
                    <w:right w:val="single" w:sz="6" w:space="0" w:color="auto"/>
                  </w:tcBorders>
                  <w:shd w:val="clear" w:color="auto" w:fill="auto"/>
                  <w:hideMark/>
                </w:tcPr>
                <w:p w14:paraId="0FB262B0" w14:textId="77777777" w:rsidR="00CF5712" w:rsidRPr="00FC6043" w:rsidRDefault="00CF5712" w:rsidP="00304B2F">
                  <w:pPr>
                    <w:spacing w:after="0" w:line="240" w:lineRule="auto"/>
                    <w:jc w:val="cente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55.335 </w:t>
                  </w:r>
                </w:p>
              </w:tc>
              <w:tc>
                <w:tcPr>
                  <w:tcW w:w="2325" w:type="dxa"/>
                  <w:tcBorders>
                    <w:top w:val="nil"/>
                    <w:left w:val="nil"/>
                    <w:bottom w:val="single" w:sz="6" w:space="0" w:color="auto"/>
                    <w:right w:val="single" w:sz="6" w:space="0" w:color="auto"/>
                  </w:tcBorders>
                  <w:shd w:val="clear" w:color="auto" w:fill="auto"/>
                  <w:hideMark/>
                </w:tcPr>
                <w:p w14:paraId="4980B581" w14:textId="77777777" w:rsidR="00CF5712" w:rsidRPr="00FC6043" w:rsidRDefault="00CF5712" w:rsidP="00304B2F">
                  <w:pPr>
                    <w:spacing w:after="0" w:line="240" w:lineRule="auto"/>
                    <w:jc w:val="cente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57.39 </w:t>
                  </w:r>
                </w:p>
              </w:tc>
            </w:tr>
          </w:tbl>
          <w:p w14:paraId="05AEA34C"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17BB4492"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To confirm a school’s average score, see the column labeled “Average score” in “Option C – Scoring Data.xlsx.”  </w:t>
            </w:r>
          </w:p>
          <w:p w14:paraId="06426418"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3C069209"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Please note that this exception applies to the 2022 Competitive Round only. In any subsequent competitive rounds relying on the same QAP language, school eligibility will be based on the designations indicated in the “Option C – Scoring Data.xlsx” file posted to the DCA website. </w:t>
            </w:r>
          </w:p>
          <w:p w14:paraId="631D2847" w14:textId="77777777" w:rsidR="00CF5712" w:rsidRPr="00FC6043" w:rsidRDefault="00CF5712" w:rsidP="00304B2F">
            <w:pPr>
              <w:pStyle w:val="paragraph"/>
              <w:spacing w:before="0" w:beforeAutospacing="0" w:after="0" w:afterAutospacing="0"/>
              <w:textAlignment w:val="baseline"/>
              <w:rPr>
                <w:rStyle w:val="normaltextrun"/>
                <w:b/>
                <w:bCs/>
                <w:sz w:val="20"/>
                <w:szCs w:val="20"/>
              </w:rPr>
            </w:pPr>
          </w:p>
        </w:tc>
      </w:tr>
      <w:tr w:rsidR="00CF5712" w:rsidRPr="00FC6043" w14:paraId="692E3D78" w14:textId="77777777" w:rsidTr="1995616E">
        <w:trPr>
          <w:jc w:val="center"/>
        </w:trPr>
        <w:tc>
          <w:tcPr>
            <w:tcW w:w="2157" w:type="dxa"/>
            <w:shd w:val="clear" w:color="auto" w:fill="auto"/>
            <w:tcMar>
              <w:top w:w="72" w:type="dxa"/>
              <w:left w:w="115" w:type="dxa"/>
              <w:bottom w:w="72" w:type="dxa"/>
              <w:right w:w="115" w:type="dxa"/>
            </w:tcMar>
            <w:vAlign w:val="center"/>
          </w:tcPr>
          <w:p w14:paraId="21543642"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3/22/22</w:t>
            </w:r>
          </w:p>
        </w:tc>
        <w:tc>
          <w:tcPr>
            <w:tcW w:w="2198" w:type="dxa"/>
            <w:shd w:val="clear" w:color="auto" w:fill="auto"/>
            <w:tcMar>
              <w:top w:w="72" w:type="dxa"/>
              <w:left w:w="115" w:type="dxa"/>
              <w:bottom w:w="72" w:type="dxa"/>
              <w:right w:w="115" w:type="dxa"/>
            </w:tcMar>
            <w:vAlign w:val="center"/>
          </w:tcPr>
          <w:p w14:paraId="36B234DB"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3.08</w:t>
            </w:r>
          </w:p>
          <w:p w14:paraId="6DA275D8"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lastRenderedPageBreak/>
              <w:t xml:space="preserve">Scoring Criteria; </w:t>
            </w:r>
          </w:p>
          <w:p w14:paraId="0C8FD9D5"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Revitalization</w:t>
            </w:r>
            <w:r w:rsidRPr="003872CA">
              <w:rPr>
                <w:rFonts w:ascii="Times New Roman" w:hAnsi="Times New Roman" w:cs="Times New Roman"/>
                <w:sz w:val="20"/>
                <w:szCs w:val="20"/>
              </w:rPr>
              <w:t>/</w:t>
            </w:r>
            <w:r w:rsidRPr="00FC6043">
              <w:rPr>
                <w:rFonts w:ascii="Times New Roman" w:hAnsi="Times New Roman" w:cs="Times New Roman"/>
                <w:sz w:val="20"/>
                <w:szCs w:val="20"/>
              </w:rPr>
              <w:t>Redevelopment Plans</w:t>
            </w:r>
          </w:p>
        </w:tc>
        <w:tc>
          <w:tcPr>
            <w:tcW w:w="9590" w:type="dxa"/>
            <w:shd w:val="clear" w:color="auto" w:fill="auto"/>
            <w:tcMar>
              <w:top w:w="72" w:type="dxa"/>
              <w:left w:w="115" w:type="dxa"/>
              <w:bottom w:w="72" w:type="dxa"/>
              <w:right w:w="115" w:type="dxa"/>
            </w:tcMar>
            <w:vAlign w:val="center"/>
          </w:tcPr>
          <w:p w14:paraId="05A46553"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lastRenderedPageBreak/>
              <w:t>Question</w:t>
            </w:r>
            <w:r w:rsidRPr="00FC6043">
              <w:rPr>
                <w:rStyle w:val="normaltextrun"/>
                <w:sz w:val="20"/>
                <w:szCs w:val="20"/>
              </w:rPr>
              <w:t>: Q22_0302_04</w:t>
            </w:r>
            <w:r w:rsidRPr="00FC6043">
              <w:rPr>
                <w:rStyle w:val="eop"/>
                <w:sz w:val="20"/>
                <w:szCs w:val="20"/>
              </w:rPr>
              <w:t> </w:t>
            </w:r>
          </w:p>
          <w:p w14:paraId="0ECFC353"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lastRenderedPageBreak/>
              <w:t xml:space="preserve">Regarding </w:t>
            </w:r>
            <w:r w:rsidRPr="00FC6043">
              <w:rPr>
                <w:rStyle w:val="normaltextrun"/>
                <w:b/>
                <w:bCs/>
                <w:sz w:val="20"/>
                <w:szCs w:val="20"/>
              </w:rPr>
              <w:t>(Scoring Criteria) Revitalization/Redevelopment Plans</w:t>
            </w:r>
            <w:r w:rsidRPr="00FC6043">
              <w:rPr>
                <w:rStyle w:val="normaltextrun"/>
                <w:sz w:val="20"/>
                <w:szCs w:val="20"/>
              </w:rPr>
              <w:t>, subsection</w:t>
            </w:r>
            <w:r w:rsidRPr="00FC6043">
              <w:rPr>
                <w:rStyle w:val="normaltextrun"/>
                <w:b/>
                <w:bCs/>
                <w:sz w:val="20"/>
                <w:szCs w:val="20"/>
              </w:rPr>
              <w:t xml:space="preserve"> A. Revitalization Plan/Qualified Census Tract</w:t>
            </w:r>
            <w:r w:rsidRPr="00FC6043">
              <w:rPr>
                <w:rStyle w:val="normaltextrun"/>
                <w:sz w:val="20"/>
                <w:szCs w:val="20"/>
              </w:rPr>
              <w:t>,</w:t>
            </w:r>
            <w:r w:rsidRPr="00FC6043">
              <w:rPr>
                <w:rStyle w:val="scxw120489810"/>
                <w:rFonts w:eastAsiaTheme="majorEastAsia"/>
                <w:sz w:val="20"/>
                <w:szCs w:val="20"/>
              </w:rPr>
              <w:t> </w:t>
            </w:r>
            <w:r w:rsidRPr="00FC6043">
              <w:rPr>
                <w:rStyle w:val="normaltextrun"/>
                <w:sz w:val="20"/>
                <w:szCs w:val="20"/>
              </w:rPr>
              <w:t>to be eligible for the “One (1) additional point [for] Local Government …financial commitment to advancing the CRP”, does the investment have to be located within a 0.5-mile radius of the proposed site, considering to be eligible for at least 1 point under subsection B. Third-Party Capital Investment, the investment would need to be within a 0.5-mile radius of the site?</w:t>
            </w:r>
            <w:r w:rsidRPr="00FC6043">
              <w:rPr>
                <w:rStyle w:val="eop"/>
                <w:sz w:val="20"/>
                <w:szCs w:val="20"/>
              </w:rPr>
              <w:t> </w:t>
            </w:r>
          </w:p>
          <w:p w14:paraId="5384F409"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2E92CF8B"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5130CBE8"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The QAP states:</w:t>
            </w:r>
            <w:r w:rsidRPr="00FC6043">
              <w:rPr>
                <w:rStyle w:val="eop"/>
                <w:sz w:val="20"/>
                <w:szCs w:val="20"/>
              </w:rPr>
              <w:t> </w:t>
            </w:r>
          </w:p>
          <w:p w14:paraId="580B56E6"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4611AAAB" w14:textId="77777777" w:rsidR="00CF5712" w:rsidRPr="00FC6043" w:rsidRDefault="00CF5712" w:rsidP="00304B2F">
            <w:pPr>
              <w:pStyle w:val="paragraph"/>
              <w:spacing w:before="0" w:beforeAutospacing="0" w:after="0" w:afterAutospacing="0"/>
              <w:ind w:left="720"/>
              <w:textAlignment w:val="baseline"/>
              <w:rPr>
                <w:sz w:val="20"/>
                <w:szCs w:val="20"/>
              </w:rPr>
            </w:pPr>
            <w:r w:rsidRPr="00FC6043">
              <w:rPr>
                <w:rStyle w:val="normaltextrun"/>
                <w:i/>
                <w:iCs/>
                <w:sz w:val="20"/>
                <w:szCs w:val="20"/>
              </w:rPr>
              <w:t xml:space="preserve">“Applications eligible for the above points are also eligible for any or </w:t>
            </w:r>
            <w:r w:rsidRPr="00FC6043">
              <w:rPr>
                <w:rStyle w:val="advancedproofingissue"/>
                <w:i/>
                <w:iCs/>
                <w:sz w:val="20"/>
                <w:szCs w:val="20"/>
              </w:rPr>
              <w:t>all of</w:t>
            </w:r>
            <w:r w:rsidRPr="00FC6043">
              <w:rPr>
                <w:rStyle w:val="normaltextrun"/>
                <w:i/>
                <w:iCs/>
                <w:sz w:val="20"/>
                <w:szCs w:val="20"/>
              </w:rPr>
              <w:t xml:space="preserve"> the following:</w:t>
            </w:r>
            <w:r w:rsidRPr="00FC6043">
              <w:rPr>
                <w:rStyle w:val="eop"/>
                <w:sz w:val="20"/>
                <w:szCs w:val="20"/>
              </w:rPr>
              <w:t> </w:t>
            </w:r>
          </w:p>
          <w:p w14:paraId="2ECD384A" w14:textId="77777777" w:rsidR="00CF5712" w:rsidRPr="00FC6043" w:rsidRDefault="00CF5712" w:rsidP="00304B2F">
            <w:pPr>
              <w:pStyle w:val="paragraph"/>
              <w:numPr>
                <w:ilvl w:val="0"/>
                <w:numId w:val="17"/>
              </w:numPr>
              <w:spacing w:before="0" w:beforeAutospacing="0" w:after="0" w:afterAutospacing="0"/>
              <w:ind w:left="2160" w:firstLine="0"/>
              <w:textAlignment w:val="baseline"/>
              <w:rPr>
                <w:sz w:val="20"/>
                <w:szCs w:val="20"/>
              </w:rPr>
            </w:pPr>
            <w:r w:rsidRPr="00FC6043">
              <w:rPr>
                <w:rStyle w:val="normaltextrun"/>
                <w:b/>
                <w:bCs/>
                <w:i/>
                <w:iCs/>
                <w:sz w:val="20"/>
                <w:szCs w:val="20"/>
              </w:rPr>
              <w:t>One (1) additional point</w:t>
            </w:r>
            <w:r w:rsidRPr="00FC6043">
              <w:rPr>
                <w:rStyle w:val="normaltextrun"/>
                <w:i/>
                <w:iCs/>
                <w:sz w:val="20"/>
                <w:szCs w:val="20"/>
              </w:rPr>
              <w:t xml:space="preserve"> if the Local Government demonstrates financial commitment to advancing the CRP in the form of funds raised, funds allocated, tax incentives, or local government fee waivers. Funds raised or allocated are only eligible for this point if the amount would be eligible for at least one (1) point under subsection </w:t>
            </w:r>
            <w:r w:rsidRPr="00FC6043">
              <w:rPr>
                <w:rStyle w:val="normaltextrun"/>
                <w:sz w:val="20"/>
                <w:szCs w:val="20"/>
              </w:rPr>
              <w:t>B. Third-Party Capital Investment</w:t>
            </w:r>
            <w:r w:rsidRPr="00FC6043">
              <w:rPr>
                <w:rStyle w:val="normaltextrun"/>
                <w:i/>
                <w:iCs/>
                <w:sz w:val="20"/>
                <w:szCs w:val="20"/>
              </w:rPr>
              <w:t>.”</w:t>
            </w:r>
            <w:r w:rsidRPr="00FC6043">
              <w:rPr>
                <w:rStyle w:val="eop"/>
                <w:sz w:val="20"/>
                <w:szCs w:val="20"/>
              </w:rPr>
              <w:t> </w:t>
            </w:r>
          </w:p>
          <w:p w14:paraId="11F54461"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094CFA62" w14:textId="77777777" w:rsidR="00CF5712" w:rsidRPr="00FC6043" w:rsidRDefault="00CF5712" w:rsidP="00304B2F">
            <w:pPr>
              <w:pStyle w:val="paragraph"/>
              <w:spacing w:before="0" w:beforeAutospacing="0" w:after="0" w:afterAutospacing="0"/>
              <w:textAlignment w:val="baseline"/>
              <w:rPr>
                <w:rStyle w:val="normaltextrun"/>
                <w:sz w:val="20"/>
                <w:szCs w:val="20"/>
              </w:rPr>
            </w:pPr>
            <w:r w:rsidRPr="00FC6043">
              <w:rPr>
                <w:rStyle w:val="normaltextrun"/>
                <w:sz w:val="20"/>
                <w:szCs w:val="20"/>
              </w:rPr>
              <w:t xml:space="preserve">To be eligible for this point, just the </w:t>
            </w:r>
            <w:r w:rsidRPr="00FC6043">
              <w:rPr>
                <w:rStyle w:val="normaltextrun"/>
                <w:sz w:val="20"/>
                <w:szCs w:val="20"/>
                <w:u w:val="single"/>
              </w:rPr>
              <w:t>amount</w:t>
            </w:r>
            <w:r w:rsidRPr="00FC6043">
              <w:rPr>
                <w:rStyle w:val="normaltextrun"/>
                <w:sz w:val="20"/>
                <w:szCs w:val="20"/>
              </w:rPr>
              <w:t xml:space="preserve"> of funds raised or allocated must be eligible for at least one (1) point under subsection </w:t>
            </w:r>
            <w:r w:rsidRPr="00FC6043">
              <w:rPr>
                <w:rStyle w:val="normaltextrun"/>
                <w:i/>
                <w:iCs/>
                <w:sz w:val="20"/>
                <w:szCs w:val="20"/>
              </w:rPr>
              <w:t>B. Third-Party Capital Investment</w:t>
            </w:r>
            <w:r w:rsidRPr="00FC6043">
              <w:rPr>
                <w:rStyle w:val="normaltextrun"/>
                <w:sz w:val="20"/>
                <w:szCs w:val="20"/>
              </w:rPr>
              <w:t>. The Local Government financial commitment must advance the CRP but is not required to occur within 0.5-mile radius of the proposed site.</w:t>
            </w:r>
            <w:r w:rsidRPr="00FC6043">
              <w:rPr>
                <w:rStyle w:val="eop"/>
                <w:sz w:val="20"/>
                <w:szCs w:val="20"/>
              </w:rPr>
              <w:t> </w:t>
            </w:r>
          </w:p>
        </w:tc>
      </w:tr>
      <w:tr w:rsidR="00CF5712" w:rsidRPr="00FC6043" w14:paraId="4AB89FB4" w14:textId="77777777" w:rsidTr="1995616E">
        <w:trPr>
          <w:jc w:val="center"/>
        </w:trPr>
        <w:tc>
          <w:tcPr>
            <w:tcW w:w="2157" w:type="dxa"/>
            <w:shd w:val="clear" w:color="auto" w:fill="auto"/>
            <w:tcMar>
              <w:top w:w="72" w:type="dxa"/>
              <w:left w:w="115" w:type="dxa"/>
              <w:bottom w:w="72" w:type="dxa"/>
              <w:right w:w="115" w:type="dxa"/>
            </w:tcMar>
            <w:vAlign w:val="center"/>
          </w:tcPr>
          <w:p w14:paraId="2DF90374"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3/22/22</w:t>
            </w:r>
          </w:p>
        </w:tc>
        <w:tc>
          <w:tcPr>
            <w:tcW w:w="2198" w:type="dxa"/>
            <w:shd w:val="clear" w:color="auto" w:fill="auto"/>
            <w:tcMar>
              <w:top w:w="72" w:type="dxa"/>
              <w:left w:w="115" w:type="dxa"/>
              <w:bottom w:w="72" w:type="dxa"/>
              <w:right w:w="115" w:type="dxa"/>
            </w:tcMar>
            <w:vAlign w:val="center"/>
          </w:tcPr>
          <w:p w14:paraId="45065155"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3.10</w:t>
            </w:r>
          </w:p>
          <w:p w14:paraId="1E6AFBB4"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Criteria; </w:t>
            </w:r>
          </w:p>
          <w:p w14:paraId="0946E95B"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Stable Communities</w:t>
            </w:r>
          </w:p>
        </w:tc>
        <w:tc>
          <w:tcPr>
            <w:tcW w:w="9590" w:type="dxa"/>
            <w:shd w:val="clear" w:color="auto" w:fill="auto"/>
            <w:tcMar>
              <w:top w:w="72" w:type="dxa"/>
              <w:left w:w="115" w:type="dxa"/>
              <w:bottom w:w="72" w:type="dxa"/>
              <w:right w:w="115" w:type="dxa"/>
            </w:tcMar>
            <w:vAlign w:val="center"/>
          </w:tcPr>
          <w:p w14:paraId="00730E0C"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Q22_0304_15 </w:t>
            </w:r>
          </w:p>
          <w:p w14:paraId="58EE887F"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I see the DCA Health and Economic Indicators Table (for </w:t>
            </w:r>
            <w:r w:rsidRPr="00FC6043">
              <w:rPr>
                <w:rFonts w:ascii="Times New Roman" w:eastAsia="Times New Roman" w:hAnsi="Times New Roman" w:cs="Times New Roman"/>
                <w:b/>
                <w:bCs/>
                <w:sz w:val="20"/>
                <w:szCs w:val="20"/>
              </w:rPr>
              <w:t>(Scoring Criteria)</w:t>
            </w:r>
            <w:r w:rsidRPr="00FC6043">
              <w:rPr>
                <w:rFonts w:ascii="Times New Roman" w:eastAsia="Times New Roman" w:hAnsi="Times New Roman" w:cs="Times New Roman"/>
                <w:sz w:val="20"/>
                <w:szCs w:val="20"/>
              </w:rPr>
              <w:t xml:space="preserve"> </w:t>
            </w:r>
            <w:r w:rsidRPr="00FC6043">
              <w:rPr>
                <w:rFonts w:ascii="Times New Roman" w:eastAsia="Times New Roman" w:hAnsi="Times New Roman" w:cs="Times New Roman"/>
                <w:b/>
                <w:bCs/>
                <w:sz w:val="20"/>
                <w:szCs w:val="20"/>
              </w:rPr>
              <w:t>Stable Communities</w:t>
            </w:r>
            <w:r w:rsidRPr="00FC6043">
              <w:rPr>
                <w:rFonts w:ascii="Times New Roman" w:eastAsia="Times New Roman" w:hAnsi="Times New Roman" w:cs="Times New Roman"/>
                <w:sz w:val="20"/>
                <w:szCs w:val="20"/>
              </w:rPr>
              <w:t xml:space="preserve">, subsection B.) is posted to the website under </w:t>
            </w:r>
            <w:r w:rsidRPr="00FC6043">
              <w:rPr>
                <w:rFonts w:ascii="Times New Roman" w:eastAsia="Times New Roman" w:hAnsi="Times New Roman" w:cs="Times New Roman"/>
                <w:i/>
                <w:iCs/>
                <w:sz w:val="20"/>
                <w:szCs w:val="20"/>
              </w:rPr>
              <w:t>Application Manuals and Forms, 2022 Scoring Documents and Data</w:t>
            </w:r>
            <w:r w:rsidRPr="00FC6043">
              <w:rPr>
                <w:rFonts w:ascii="Times New Roman" w:eastAsia="Times New Roman" w:hAnsi="Times New Roman" w:cs="Times New Roman"/>
                <w:sz w:val="20"/>
                <w:szCs w:val="20"/>
              </w:rPr>
              <w:t>. Are there any changes to this document relative to the version that was posted on 2/15/22 for public comment?  </w:t>
            </w:r>
          </w:p>
          <w:p w14:paraId="51F75B6F"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197B9AD3"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35EF60E7"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Yes, the DCA Health and Economic Indicators Table posted under </w:t>
            </w:r>
            <w:r w:rsidRPr="00FC6043">
              <w:rPr>
                <w:rFonts w:ascii="Times New Roman" w:eastAsia="Times New Roman" w:hAnsi="Times New Roman" w:cs="Times New Roman"/>
                <w:i/>
                <w:iCs/>
                <w:sz w:val="20"/>
                <w:szCs w:val="20"/>
              </w:rPr>
              <w:t>Application Manuals and Forms, 2022 Scoring Documents and Data</w:t>
            </w:r>
            <w:r w:rsidRPr="00FC6043">
              <w:rPr>
                <w:rFonts w:ascii="Times New Roman" w:eastAsia="Times New Roman" w:hAnsi="Times New Roman" w:cs="Times New Roman"/>
                <w:sz w:val="20"/>
                <w:szCs w:val="20"/>
              </w:rPr>
              <w:t xml:space="preserve"> (</w:t>
            </w:r>
            <w:hyperlink r:id="rId51" w:history="1">
              <w:r w:rsidRPr="00FC6043">
                <w:rPr>
                  <w:rStyle w:val="Hyperlink"/>
                  <w:rFonts w:ascii="Times New Roman" w:eastAsia="Times New Roman" w:hAnsi="Times New Roman" w:cs="Times New Roman"/>
                  <w:color w:val="auto"/>
                  <w:sz w:val="20"/>
                  <w:szCs w:val="20"/>
                </w:rPr>
                <w:t>click here</w:t>
              </w:r>
            </w:hyperlink>
            <w:r w:rsidRPr="00FC6043">
              <w:rPr>
                <w:rFonts w:ascii="Times New Roman" w:eastAsia="Times New Roman" w:hAnsi="Times New Roman" w:cs="Times New Roman"/>
                <w:sz w:val="20"/>
                <w:szCs w:val="20"/>
              </w:rPr>
              <w:t>) includes 2018 and 2019 Census 5-Year ACS data, whereas the version posted on 2/15/22 for public comment only included 2019 Census data. Consistent with prior years, DCA indicated that the 2020 Census data would be included once the Census released the data and applicants would be allowed to claim points using both 2019 and 2020 Census data. </w:t>
            </w:r>
          </w:p>
          <w:p w14:paraId="3B654600"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373B3DCD"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However, since the release of the 2020 data was postponed from its original December release date to mid-March, DCA will allow applicants to claim points using 2018 and 2019 data. If the Census releases the 2020 data prior to the 9% application deadline, DCA will add the datasets to the Health and Economic Indicators Table and applicants will be allowed to claim points using 2018, 2019, and 2020 data. </w:t>
            </w:r>
          </w:p>
          <w:p w14:paraId="76BEA61B"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0AF74256"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DCA is pursuing this strategy for the 2022 9% Credit round because of the significantly delayed release of the 2020 Census data. This strategy applies to the 2022 9% Credit round only.</w:t>
            </w:r>
          </w:p>
        </w:tc>
      </w:tr>
      <w:tr w:rsidR="00CF5712" w:rsidRPr="00FC6043" w14:paraId="4B424961" w14:textId="77777777" w:rsidTr="1995616E">
        <w:trPr>
          <w:jc w:val="center"/>
        </w:trPr>
        <w:tc>
          <w:tcPr>
            <w:tcW w:w="2157" w:type="dxa"/>
            <w:shd w:val="clear" w:color="auto" w:fill="auto"/>
            <w:tcMar>
              <w:top w:w="72" w:type="dxa"/>
              <w:left w:w="115" w:type="dxa"/>
              <w:bottom w:w="72" w:type="dxa"/>
              <w:right w:w="115" w:type="dxa"/>
            </w:tcMar>
            <w:vAlign w:val="center"/>
          </w:tcPr>
          <w:p w14:paraId="27D39AA7"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3/22/22</w:t>
            </w:r>
          </w:p>
        </w:tc>
        <w:tc>
          <w:tcPr>
            <w:tcW w:w="2198" w:type="dxa"/>
            <w:shd w:val="clear" w:color="auto" w:fill="auto"/>
            <w:tcMar>
              <w:top w:w="72" w:type="dxa"/>
              <w:left w:w="115" w:type="dxa"/>
              <w:bottom w:w="72" w:type="dxa"/>
              <w:right w:w="115" w:type="dxa"/>
            </w:tcMar>
            <w:vAlign w:val="center"/>
          </w:tcPr>
          <w:p w14:paraId="7BE0BF79"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3.14</w:t>
            </w:r>
          </w:p>
          <w:p w14:paraId="781E77BE"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Criteria; </w:t>
            </w:r>
          </w:p>
          <w:p w14:paraId="43E4BEB7"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Previous Projects</w:t>
            </w:r>
          </w:p>
        </w:tc>
        <w:tc>
          <w:tcPr>
            <w:tcW w:w="9590" w:type="dxa"/>
            <w:shd w:val="clear" w:color="auto" w:fill="auto"/>
            <w:tcMar>
              <w:top w:w="72" w:type="dxa"/>
              <w:left w:w="115" w:type="dxa"/>
              <w:bottom w:w="72" w:type="dxa"/>
              <w:right w:w="115" w:type="dxa"/>
            </w:tcMar>
            <w:vAlign w:val="center"/>
          </w:tcPr>
          <w:p w14:paraId="397554B6" w14:textId="77777777" w:rsidR="00CF5712" w:rsidRPr="00FC6043" w:rsidRDefault="00CF5712" w:rsidP="00304B2F">
            <w:pPr>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Q22_0315_50</w:t>
            </w:r>
          </w:p>
          <w:p w14:paraId="653FA8F9" w14:textId="77777777" w:rsidR="00CF5712" w:rsidRPr="00FC6043" w:rsidRDefault="00CF5712"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The Housing Tax Credit Properties Map (in </w:t>
            </w:r>
            <w:r w:rsidRPr="00FC6043">
              <w:rPr>
                <w:rFonts w:ascii="Times New Roman" w:eastAsia="Times New Roman" w:hAnsi="Times New Roman" w:cs="Times New Roman"/>
                <w:i/>
                <w:iCs/>
                <w:sz w:val="20"/>
                <w:szCs w:val="20"/>
              </w:rPr>
              <w:t>Scoring Documents and Data</w:t>
            </w:r>
            <w:r w:rsidRPr="00FC6043">
              <w:rPr>
                <w:rFonts w:ascii="Times New Roman" w:eastAsia="Times New Roman" w:hAnsi="Times New Roman" w:cs="Times New Roman"/>
                <w:sz w:val="20"/>
                <w:szCs w:val="20"/>
              </w:rPr>
              <w:t xml:space="preserve"> on the website, </w:t>
            </w:r>
            <w:hyperlink r:id="rId52" w:history="1">
              <w:r w:rsidRPr="00FC6043">
                <w:rPr>
                  <w:rStyle w:val="Hyperlink"/>
                  <w:rFonts w:ascii="Times New Roman" w:eastAsia="Times New Roman" w:hAnsi="Times New Roman" w:cs="Times New Roman"/>
                  <w:color w:val="auto"/>
                  <w:sz w:val="20"/>
                  <w:szCs w:val="20"/>
                </w:rPr>
                <w:t>click here</w:t>
              </w:r>
            </w:hyperlink>
            <w:r w:rsidRPr="00FC6043">
              <w:rPr>
                <w:rFonts w:ascii="Times New Roman" w:eastAsia="Times New Roman" w:hAnsi="Times New Roman" w:cs="Times New Roman"/>
                <w:sz w:val="20"/>
                <w:szCs w:val="20"/>
              </w:rPr>
              <w:t>) was updated on 3/15/22. What was changed?</w:t>
            </w:r>
          </w:p>
          <w:p w14:paraId="56425703" w14:textId="77777777" w:rsidR="00CF5712" w:rsidRPr="00FC6043" w:rsidRDefault="00CF5712" w:rsidP="00304B2F">
            <w:pPr>
              <w:rPr>
                <w:rFonts w:ascii="Times New Roman" w:eastAsia="Times New Roman" w:hAnsi="Times New Roman" w:cs="Times New Roman"/>
                <w:sz w:val="20"/>
                <w:szCs w:val="20"/>
              </w:rPr>
            </w:pPr>
          </w:p>
          <w:p w14:paraId="4A10DFE9" w14:textId="77777777" w:rsidR="00CF5712" w:rsidRPr="00FC6043" w:rsidRDefault="00CF5712" w:rsidP="00304B2F">
            <w:pPr>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w:t>
            </w:r>
          </w:p>
          <w:p w14:paraId="046AD4F9" w14:textId="77777777" w:rsidR="00CF5712" w:rsidRPr="00FC6043" w:rsidRDefault="00CF5712"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DCA made the following two changes:</w:t>
            </w:r>
          </w:p>
          <w:p w14:paraId="11791A71" w14:textId="77777777" w:rsidR="00CF5712" w:rsidRPr="00FC6043" w:rsidRDefault="00CF5712" w:rsidP="00304B2F">
            <w:pPr>
              <w:rPr>
                <w:rFonts w:ascii="Times New Roman" w:eastAsia="Times New Roman" w:hAnsi="Times New Roman" w:cs="Times New Roman"/>
                <w:sz w:val="20"/>
                <w:szCs w:val="20"/>
              </w:rPr>
            </w:pPr>
          </w:p>
          <w:p w14:paraId="6DF82D8D" w14:textId="77777777" w:rsidR="00CF5712" w:rsidRPr="00FC6043" w:rsidRDefault="00CF5712" w:rsidP="00304B2F">
            <w:pPr>
              <w:pStyle w:val="ListParagraph"/>
              <w:numPr>
                <w:ilvl w:val="0"/>
                <w:numId w:val="18"/>
              </w:num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Properties awarded under the 2021 9% Credit round have been added to the map. </w:t>
            </w:r>
          </w:p>
          <w:p w14:paraId="64F86585" w14:textId="77777777" w:rsidR="00CF5712" w:rsidRPr="00FC6043" w:rsidRDefault="00CF5712" w:rsidP="00304B2F">
            <w:pPr>
              <w:pStyle w:val="ListParagraph"/>
              <w:numPr>
                <w:ilvl w:val="0"/>
                <w:numId w:val="18"/>
              </w:num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DCA changed the coordinates for 49 properties that were identified to be mapped in an incorrect location. </w:t>
            </w:r>
          </w:p>
          <w:p w14:paraId="285B7D5A" w14:textId="77777777" w:rsidR="00CF5712" w:rsidRPr="00FC6043" w:rsidRDefault="00CF5712" w:rsidP="00304B2F">
            <w:pPr>
              <w:rPr>
                <w:rFonts w:ascii="Times New Roman" w:eastAsia="Times New Roman" w:hAnsi="Times New Roman" w:cs="Times New Roman"/>
                <w:sz w:val="20"/>
                <w:szCs w:val="20"/>
              </w:rPr>
            </w:pPr>
          </w:p>
          <w:p w14:paraId="58E4BDF6" w14:textId="77777777" w:rsidR="00CF5712" w:rsidRPr="00FC6043" w:rsidRDefault="00CF5712"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DCA requests that applicants who identify any additional errors report them to DCA. To report an error, please submit the property through the online Q&amp;A survey (</w:t>
            </w:r>
            <w:hyperlink r:id="rId53" w:history="1">
              <w:r w:rsidRPr="00FC6043">
                <w:rPr>
                  <w:rStyle w:val="Hyperlink"/>
                  <w:rFonts w:ascii="Times New Roman" w:eastAsia="Times New Roman" w:hAnsi="Times New Roman" w:cs="Times New Roman"/>
                  <w:color w:val="auto"/>
                  <w:sz w:val="20"/>
                  <w:szCs w:val="20"/>
                </w:rPr>
                <w:t>click here</w:t>
              </w:r>
            </w:hyperlink>
            <w:r w:rsidRPr="00FC6043">
              <w:rPr>
                <w:rFonts w:ascii="Times New Roman" w:eastAsia="Times New Roman" w:hAnsi="Times New Roman" w:cs="Times New Roman"/>
                <w:sz w:val="20"/>
                <w:szCs w:val="20"/>
              </w:rPr>
              <w:t xml:space="preserve"> and select “Submit a question”), including: </w:t>
            </w:r>
          </w:p>
          <w:p w14:paraId="5A585F28" w14:textId="77777777" w:rsidR="00CF5712" w:rsidRPr="00FC6043" w:rsidRDefault="00CF5712" w:rsidP="00304B2F">
            <w:pPr>
              <w:rPr>
                <w:rFonts w:ascii="Times New Roman" w:eastAsia="Times New Roman" w:hAnsi="Times New Roman" w:cs="Times New Roman"/>
                <w:sz w:val="20"/>
                <w:szCs w:val="20"/>
              </w:rPr>
            </w:pPr>
          </w:p>
          <w:p w14:paraId="0B4764BD" w14:textId="77777777" w:rsidR="00CF5712" w:rsidRPr="00FC6043" w:rsidRDefault="00CF5712" w:rsidP="00304B2F">
            <w:pPr>
              <w:pStyle w:val="ListParagraph"/>
              <w:numPr>
                <w:ilvl w:val="0"/>
                <w:numId w:val="3"/>
              </w:num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Project number </w:t>
            </w:r>
          </w:p>
          <w:p w14:paraId="4CF06D04" w14:textId="77777777" w:rsidR="00CF5712" w:rsidRPr="00FC6043" w:rsidRDefault="00CF5712" w:rsidP="00304B2F">
            <w:pPr>
              <w:pStyle w:val="ListParagraph"/>
              <w:numPr>
                <w:ilvl w:val="0"/>
                <w:numId w:val="3"/>
              </w:num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Project name</w:t>
            </w:r>
          </w:p>
          <w:p w14:paraId="3E9321CC" w14:textId="77777777" w:rsidR="00CF5712" w:rsidRPr="00FC6043" w:rsidRDefault="00CF5712" w:rsidP="00304B2F">
            <w:pPr>
              <w:pStyle w:val="ListParagraph"/>
              <w:numPr>
                <w:ilvl w:val="0"/>
                <w:numId w:val="3"/>
              </w:num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Coordinates or address of correct location</w:t>
            </w:r>
          </w:p>
          <w:p w14:paraId="2D8465CE" w14:textId="77777777" w:rsidR="00CF5712" w:rsidRPr="00FC6043" w:rsidRDefault="00CF5712" w:rsidP="00304B2F">
            <w:pPr>
              <w:pStyle w:val="ListParagraph"/>
              <w:numPr>
                <w:ilvl w:val="0"/>
                <w:numId w:val="3"/>
              </w:num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Relevant documentation (if available)</w:t>
            </w:r>
          </w:p>
        </w:tc>
      </w:tr>
      <w:tr w:rsidR="00CF5712" w:rsidRPr="00FC6043" w14:paraId="38CADE7D" w14:textId="77777777" w:rsidTr="1995616E">
        <w:trPr>
          <w:jc w:val="center"/>
        </w:trPr>
        <w:tc>
          <w:tcPr>
            <w:tcW w:w="2157" w:type="dxa"/>
            <w:shd w:val="clear" w:color="auto" w:fill="auto"/>
            <w:tcMar>
              <w:top w:w="72" w:type="dxa"/>
              <w:left w:w="115" w:type="dxa"/>
              <w:bottom w:w="72" w:type="dxa"/>
              <w:right w:w="115" w:type="dxa"/>
            </w:tcMar>
            <w:vAlign w:val="center"/>
          </w:tcPr>
          <w:p w14:paraId="4905FB42"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3/22/22</w:t>
            </w:r>
          </w:p>
        </w:tc>
        <w:tc>
          <w:tcPr>
            <w:tcW w:w="2198" w:type="dxa"/>
            <w:shd w:val="clear" w:color="auto" w:fill="auto"/>
            <w:tcMar>
              <w:top w:w="72" w:type="dxa"/>
              <w:left w:w="115" w:type="dxa"/>
              <w:bottom w:w="72" w:type="dxa"/>
              <w:right w:w="115" w:type="dxa"/>
            </w:tcMar>
            <w:vAlign w:val="center"/>
          </w:tcPr>
          <w:p w14:paraId="0584F7D5"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3.14</w:t>
            </w:r>
          </w:p>
          <w:p w14:paraId="59246C96"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Criteria; </w:t>
            </w:r>
          </w:p>
          <w:p w14:paraId="656697E6"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Previous Projects</w:t>
            </w:r>
          </w:p>
        </w:tc>
        <w:tc>
          <w:tcPr>
            <w:tcW w:w="9590" w:type="dxa"/>
            <w:shd w:val="clear" w:color="auto" w:fill="auto"/>
            <w:tcMar>
              <w:top w:w="72" w:type="dxa"/>
              <w:left w:w="115" w:type="dxa"/>
              <w:bottom w:w="72" w:type="dxa"/>
              <w:right w:w="115" w:type="dxa"/>
            </w:tcMar>
            <w:vAlign w:val="center"/>
          </w:tcPr>
          <w:p w14:paraId="2BDE317E"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Q22_0107_01</w:t>
            </w:r>
            <w:r w:rsidRPr="00FC6043">
              <w:rPr>
                <w:rStyle w:val="eop"/>
                <w:sz w:val="20"/>
                <w:szCs w:val="20"/>
              </w:rPr>
              <w:t> </w:t>
            </w:r>
          </w:p>
          <w:p w14:paraId="061D6793"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311B19BE"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To be eligible for points in (</w:t>
            </w:r>
            <w:r w:rsidRPr="00FC6043">
              <w:rPr>
                <w:rStyle w:val="normaltextrun"/>
                <w:b/>
                <w:bCs/>
                <w:sz w:val="20"/>
                <w:szCs w:val="20"/>
              </w:rPr>
              <w:t>Scoring Criteria) Previous Projects</w:t>
            </w:r>
            <w:r w:rsidRPr="00FC6043">
              <w:rPr>
                <w:rStyle w:val="normaltextrun"/>
                <w:sz w:val="20"/>
                <w:szCs w:val="20"/>
              </w:rPr>
              <w:t>, subsection</w:t>
            </w:r>
            <w:r w:rsidRPr="00FC6043">
              <w:rPr>
                <w:rStyle w:val="normaltextrun"/>
                <w:b/>
                <w:bCs/>
                <w:sz w:val="20"/>
                <w:szCs w:val="20"/>
              </w:rPr>
              <w:t xml:space="preserve"> B. Four to Six Years Lookback Period and B. Two to Three Years Lookback Period: Transit Proximity</w:t>
            </w:r>
            <w:r w:rsidRPr="00FC6043">
              <w:rPr>
                <w:rStyle w:val="normaltextrun"/>
                <w:sz w:val="20"/>
                <w:szCs w:val="20"/>
              </w:rPr>
              <w:t>, applications in the Metro pools must not be within a 1-mile radius of a 9% Credit development awarded within a specific number of previous DCA competitive funding cycles. </w:t>
            </w:r>
            <w:r w:rsidRPr="00FC6043">
              <w:rPr>
                <w:rStyle w:val="eop"/>
                <w:sz w:val="20"/>
                <w:szCs w:val="20"/>
              </w:rPr>
              <w:t> </w:t>
            </w:r>
          </w:p>
          <w:p w14:paraId="77B74F5C"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4E6C653F"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Is the distance measured between the geo-coordinates of the existing development that was awarded credits in prior rounds, and the geo-coordinates of the 2022 application, which would be at the main entrance to the property?</w:t>
            </w:r>
            <w:r w:rsidRPr="00FC6043">
              <w:rPr>
                <w:rStyle w:val="eop"/>
                <w:sz w:val="20"/>
                <w:szCs w:val="20"/>
              </w:rPr>
              <w:t> </w:t>
            </w:r>
          </w:p>
          <w:p w14:paraId="2F750039"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3696587C"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40CD555A"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 xml:space="preserve">DCA provided the following guidance during the 2021 9% Competitive Round (see Q0129_01). This guidance still holds for purposes of the 2022 9% Competitive Round (see </w:t>
            </w:r>
            <w:r w:rsidRPr="00FC6043">
              <w:rPr>
                <w:rStyle w:val="normaltextrun"/>
                <w:b/>
                <w:bCs/>
                <w:sz w:val="20"/>
                <w:szCs w:val="20"/>
              </w:rPr>
              <w:t>Q0129_01</w:t>
            </w:r>
            <w:r w:rsidRPr="00FC6043">
              <w:rPr>
                <w:rStyle w:val="normaltextrun"/>
                <w:sz w:val="20"/>
                <w:szCs w:val="20"/>
              </w:rPr>
              <w:t>): </w:t>
            </w:r>
            <w:r w:rsidRPr="00FC6043">
              <w:rPr>
                <w:rStyle w:val="eop"/>
                <w:sz w:val="20"/>
                <w:szCs w:val="20"/>
              </w:rPr>
              <w:t> </w:t>
            </w:r>
          </w:p>
          <w:p w14:paraId="20504267"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421021B0"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i/>
                <w:iCs/>
                <w:sz w:val="20"/>
                <w:szCs w:val="20"/>
              </w:rPr>
              <w:t>“Where small differences in distance have a practical impact under the section goals, the QAP will specify a starting point (e.g., walking accessibility of an amenity). </w:t>
            </w:r>
            <w:r w:rsidRPr="00FC6043">
              <w:rPr>
                <w:rStyle w:val="eop"/>
                <w:sz w:val="20"/>
                <w:szCs w:val="20"/>
              </w:rPr>
              <w:t> </w:t>
            </w:r>
          </w:p>
          <w:p w14:paraId="7FE94695"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3345C6AE"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i/>
                <w:iCs/>
                <w:sz w:val="20"/>
                <w:szCs w:val="20"/>
              </w:rPr>
              <w:t>Some section goals are not sensitive to small distance differences (e.g., equitable allocation of DCA resources across the state). In such cases, DCA staff confirm point eligibility based on any of the following location information provided in the application:</w:t>
            </w:r>
            <w:r w:rsidRPr="00FC6043">
              <w:rPr>
                <w:rStyle w:val="eop"/>
                <w:sz w:val="20"/>
                <w:szCs w:val="20"/>
              </w:rPr>
              <w:t> </w:t>
            </w:r>
          </w:p>
          <w:p w14:paraId="16E3C121"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3A74C024" w14:textId="77777777" w:rsidR="00CF5712" w:rsidRPr="00FC6043" w:rsidRDefault="00CF5712" w:rsidP="00304B2F">
            <w:pPr>
              <w:pStyle w:val="paragraph"/>
              <w:numPr>
                <w:ilvl w:val="0"/>
                <w:numId w:val="16"/>
              </w:numPr>
              <w:spacing w:before="0" w:beforeAutospacing="0" w:after="0" w:afterAutospacing="0"/>
              <w:ind w:left="1080" w:firstLine="0"/>
              <w:textAlignment w:val="baseline"/>
              <w:rPr>
                <w:sz w:val="20"/>
                <w:szCs w:val="20"/>
              </w:rPr>
            </w:pPr>
            <w:r w:rsidRPr="00FC6043">
              <w:rPr>
                <w:rStyle w:val="normaltextrun"/>
                <w:i/>
                <w:iCs/>
                <w:sz w:val="20"/>
                <w:szCs w:val="20"/>
              </w:rPr>
              <w:lastRenderedPageBreak/>
              <w:t>Location information from the application’s general information section (geocoordinates or site address) </w:t>
            </w:r>
            <w:r w:rsidRPr="00FC6043">
              <w:rPr>
                <w:rStyle w:val="eop"/>
                <w:sz w:val="20"/>
                <w:szCs w:val="20"/>
              </w:rPr>
              <w:t> </w:t>
            </w:r>
          </w:p>
          <w:p w14:paraId="2BFC04EA" w14:textId="77777777" w:rsidR="00CF5712" w:rsidRPr="00FC6043" w:rsidRDefault="00CF5712" w:rsidP="00304B2F">
            <w:pPr>
              <w:pStyle w:val="paragraph"/>
              <w:numPr>
                <w:ilvl w:val="0"/>
                <w:numId w:val="16"/>
              </w:numPr>
              <w:spacing w:before="0" w:beforeAutospacing="0" w:after="0" w:afterAutospacing="0"/>
              <w:ind w:left="1080" w:firstLine="0"/>
              <w:textAlignment w:val="baseline"/>
              <w:rPr>
                <w:sz w:val="20"/>
                <w:szCs w:val="20"/>
              </w:rPr>
            </w:pPr>
            <w:r w:rsidRPr="00FC6043">
              <w:rPr>
                <w:rStyle w:val="normaltextrun"/>
                <w:i/>
                <w:iCs/>
                <w:sz w:val="20"/>
                <w:szCs w:val="20"/>
              </w:rPr>
              <w:t>Geocoordinates of the pedestrian site entrance </w:t>
            </w:r>
            <w:r w:rsidRPr="00FC6043">
              <w:rPr>
                <w:rStyle w:val="eop"/>
                <w:sz w:val="20"/>
                <w:szCs w:val="20"/>
              </w:rPr>
              <w:t> </w:t>
            </w:r>
          </w:p>
          <w:p w14:paraId="7E5544B2"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283949A4"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i/>
                <w:iCs/>
                <w:sz w:val="20"/>
                <w:szCs w:val="20"/>
              </w:rPr>
              <w:t>If an applicant notices a point differential based off measuring from a pedestrian/vehicle site entrance, geo-coordinates, or address, they should note the difference in the supporting documentation and applicant comment box of the application. In such instances where the QAP is silent on starting point and multiple starting points are relevant, the starting point location may be construed in favor of the applicant.”</w:t>
            </w:r>
            <w:r w:rsidRPr="00FC6043">
              <w:rPr>
                <w:rStyle w:val="eop"/>
                <w:sz w:val="20"/>
                <w:szCs w:val="20"/>
              </w:rPr>
              <w:t> </w:t>
            </w:r>
          </w:p>
        </w:tc>
      </w:tr>
      <w:tr w:rsidR="00CF5712" w:rsidRPr="00FC6043" w14:paraId="1ADFE205" w14:textId="77777777" w:rsidTr="1995616E">
        <w:trPr>
          <w:jc w:val="center"/>
        </w:trPr>
        <w:tc>
          <w:tcPr>
            <w:tcW w:w="2157" w:type="dxa"/>
            <w:shd w:val="clear" w:color="auto" w:fill="auto"/>
            <w:tcMar>
              <w:top w:w="72" w:type="dxa"/>
              <w:left w:w="115" w:type="dxa"/>
              <w:bottom w:w="72" w:type="dxa"/>
              <w:right w:w="115" w:type="dxa"/>
            </w:tcMar>
            <w:vAlign w:val="center"/>
          </w:tcPr>
          <w:p w14:paraId="59C626F1"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3/22/22</w:t>
            </w:r>
          </w:p>
        </w:tc>
        <w:tc>
          <w:tcPr>
            <w:tcW w:w="2198" w:type="dxa"/>
            <w:shd w:val="clear" w:color="auto" w:fill="auto"/>
            <w:tcMar>
              <w:top w:w="72" w:type="dxa"/>
              <w:left w:w="115" w:type="dxa"/>
              <w:bottom w:w="72" w:type="dxa"/>
              <w:right w:w="115" w:type="dxa"/>
            </w:tcMar>
            <w:vAlign w:val="center"/>
          </w:tcPr>
          <w:p w14:paraId="21D0DAF9"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3.14</w:t>
            </w:r>
          </w:p>
          <w:p w14:paraId="646D39C1"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Scoring Criteria; </w:t>
            </w:r>
          </w:p>
          <w:p w14:paraId="4D4D7CE6"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Previous Projects</w:t>
            </w:r>
          </w:p>
        </w:tc>
        <w:tc>
          <w:tcPr>
            <w:tcW w:w="9590" w:type="dxa"/>
            <w:shd w:val="clear" w:color="auto" w:fill="auto"/>
            <w:tcMar>
              <w:top w:w="72" w:type="dxa"/>
              <w:left w:w="115" w:type="dxa"/>
              <w:bottom w:w="72" w:type="dxa"/>
              <w:right w:w="115" w:type="dxa"/>
            </w:tcMar>
            <w:vAlign w:val="center"/>
          </w:tcPr>
          <w:p w14:paraId="30BD70F4"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Q22_0308_02 </w:t>
            </w:r>
          </w:p>
          <w:p w14:paraId="6EA2FB9B"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In (</w:t>
            </w:r>
            <w:r w:rsidRPr="00FC6043">
              <w:rPr>
                <w:rFonts w:ascii="Times New Roman" w:eastAsia="Times New Roman" w:hAnsi="Times New Roman" w:cs="Times New Roman"/>
                <w:b/>
                <w:bCs/>
                <w:sz w:val="20"/>
                <w:szCs w:val="20"/>
              </w:rPr>
              <w:t>Scoring Criteria) Previous Projects</w:t>
            </w:r>
            <w:r w:rsidRPr="00FC6043">
              <w:rPr>
                <w:rFonts w:ascii="Times New Roman" w:eastAsia="Times New Roman" w:hAnsi="Times New Roman" w:cs="Times New Roman"/>
                <w:sz w:val="20"/>
                <w:szCs w:val="20"/>
              </w:rPr>
              <w:t>, will DCA consider a previously-funded project to be within a current Local Government Boundary (LGB) if it was not within that LGB when DCA made the award, but was annexed into that LGB after the award was made? </w:t>
            </w:r>
          </w:p>
          <w:p w14:paraId="7D9B67A2"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4DE3BBA5"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34A28448"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The following response was provided to a similar question during the 2021 9% Competitive Round Q&amp;A process (see Q0121_02 from 2021 QAP Q&amp;A):  </w:t>
            </w:r>
          </w:p>
          <w:p w14:paraId="59B981BE"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3CB329B8"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i/>
                <w:iCs/>
                <w:sz w:val="20"/>
                <w:szCs w:val="20"/>
              </w:rPr>
              <w:t>“</w:t>
            </w:r>
            <w:r w:rsidRPr="00FC6043">
              <w:rPr>
                <w:rFonts w:ascii="Times New Roman" w:eastAsia="Times New Roman" w:hAnsi="Times New Roman" w:cs="Times New Roman"/>
                <w:b/>
                <w:bCs/>
                <w:i/>
                <w:iCs/>
                <w:sz w:val="20"/>
                <w:szCs w:val="20"/>
              </w:rPr>
              <w:t>Previous Projects</w:t>
            </w:r>
            <w:r w:rsidRPr="00FC6043">
              <w:rPr>
                <w:rFonts w:ascii="Times New Roman" w:eastAsia="Times New Roman" w:hAnsi="Times New Roman" w:cs="Times New Roman"/>
                <w:i/>
                <w:iCs/>
                <w:sz w:val="20"/>
                <w:szCs w:val="20"/>
              </w:rPr>
              <w:t xml:space="preserve"> states in subsection A. that points “will be awarded if the proposed development site is within a </w:t>
            </w:r>
            <w:r w:rsidRPr="00FC6043">
              <w:rPr>
                <w:rFonts w:ascii="Times New Roman" w:eastAsia="Times New Roman" w:hAnsi="Times New Roman" w:cs="Times New Roman"/>
                <w:i/>
                <w:iCs/>
                <w:sz w:val="20"/>
                <w:szCs w:val="20"/>
                <w:u w:val="single"/>
              </w:rPr>
              <w:t>current</w:t>
            </w:r>
            <w:r w:rsidRPr="00FC6043">
              <w:rPr>
                <w:rFonts w:ascii="Times New Roman" w:eastAsia="Times New Roman" w:hAnsi="Times New Roman" w:cs="Times New Roman"/>
                <w:i/>
                <w:iCs/>
                <w:sz w:val="20"/>
                <w:szCs w:val="20"/>
              </w:rPr>
              <w:t xml:space="preserve"> Local Government Boundary that has not been awarded 9% Credits…” </w:t>
            </w:r>
            <w:r w:rsidRPr="00FC6043">
              <w:rPr>
                <w:rFonts w:ascii="Times New Roman" w:eastAsia="Times New Roman" w:hAnsi="Times New Roman" w:cs="Times New Roman"/>
                <w:sz w:val="20"/>
                <w:szCs w:val="20"/>
              </w:rPr>
              <w:t> </w:t>
            </w:r>
          </w:p>
          <w:p w14:paraId="40544D90"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7D305F5B"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i/>
                <w:iCs/>
                <w:sz w:val="20"/>
                <w:szCs w:val="20"/>
              </w:rPr>
              <w:t>The above language intends to equitably distribute 9% credits across local government jurisdictions. As such, DCA evaluates this section based on current municipal boundaries. A municipality that has annexed a property funded under a previous 9% Competitive Round has received the prior-year award. </w:t>
            </w:r>
            <w:r w:rsidRPr="00FC6043">
              <w:rPr>
                <w:rFonts w:ascii="Times New Roman" w:eastAsia="Times New Roman" w:hAnsi="Times New Roman" w:cs="Times New Roman"/>
                <w:sz w:val="20"/>
                <w:szCs w:val="20"/>
              </w:rPr>
              <w:t> </w:t>
            </w:r>
          </w:p>
          <w:p w14:paraId="43C7224A"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497B5104" w14:textId="77777777" w:rsidR="00CF5712" w:rsidRPr="00FC6043" w:rsidRDefault="00CF5712" w:rsidP="00304B2F">
            <w:pPr>
              <w:textAlignment w:val="baseline"/>
              <w:rPr>
                <w:rStyle w:val="normaltextrun"/>
                <w:rFonts w:ascii="Times New Roman" w:eastAsia="Times New Roman" w:hAnsi="Times New Roman" w:cs="Times New Roman"/>
                <w:sz w:val="20"/>
                <w:szCs w:val="20"/>
              </w:rPr>
            </w:pPr>
            <w:r w:rsidRPr="00FC6043">
              <w:rPr>
                <w:rFonts w:ascii="Times New Roman" w:eastAsia="Times New Roman" w:hAnsi="Times New Roman" w:cs="Times New Roman"/>
                <w:i/>
                <w:iCs/>
                <w:sz w:val="20"/>
                <w:szCs w:val="20"/>
              </w:rPr>
              <w:t>Where applicable elsewhere in the QAP, DCA approaches this analysis in the same way (e.g., tiebreakers).”</w:t>
            </w:r>
            <w:r w:rsidRPr="00FC6043">
              <w:rPr>
                <w:rFonts w:ascii="Times New Roman" w:eastAsia="Times New Roman" w:hAnsi="Times New Roman" w:cs="Times New Roman"/>
                <w:sz w:val="20"/>
                <w:szCs w:val="20"/>
              </w:rPr>
              <w:t> </w:t>
            </w:r>
          </w:p>
        </w:tc>
      </w:tr>
      <w:tr w:rsidR="00CF5712" w:rsidRPr="00FC6043" w14:paraId="128CE28F" w14:textId="77777777" w:rsidTr="1995616E">
        <w:trPr>
          <w:jc w:val="center"/>
        </w:trPr>
        <w:tc>
          <w:tcPr>
            <w:tcW w:w="2157" w:type="dxa"/>
            <w:shd w:val="clear" w:color="auto" w:fill="auto"/>
            <w:tcMar>
              <w:top w:w="72" w:type="dxa"/>
              <w:left w:w="115" w:type="dxa"/>
              <w:bottom w:w="72" w:type="dxa"/>
              <w:right w:w="115" w:type="dxa"/>
            </w:tcMar>
            <w:vAlign w:val="center"/>
          </w:tcPr>
          <w:p w14:paraId="19EE8BF2"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14:paraId="6F7B8A3E"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2.03</w:t>
            </w:r>
          </w:p>
          <w:p w14:paraId="717369BA"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Threshold Criteria;</w:t>
            </w:r>
          </w:p>
          <w:p w14:paraId="73ABF27D"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Tenancy Characteristics </w:t>
            </w:r>
          </w:p>
        </w:tc>
        <w:tc>
          <w:tcPr>
            <w:tcW w:w="9590" w:type="dxa"/>
            <w:shd w:val="clear" w:color="auto" w:fill="auto"/>
            <w:tcMar>
              <w:top w:w="72" w:type="dxa"/>
              <w:left w:w="115" w:type="dxa"/>
              <w:bottom w:w="72" w:type="dxa"/>
              <w:right w:w="115" w:type="dxa"/>
            </w:tcMar>
            <w:vAlign w:val="center"/>
          </w:tcPr>
          <w:p w14:paraId="2682913C" w14:textId="77777777" w:rsidR="00CF5712" w:rsidRPr="00FC6043" w:rsidRDefault="00CF5712" w:rsidP="00304B2F">
            <w:pPr>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Q22_0309_08</w:t>
            </w:r>
          </w:p>
          <w:p w14:paraId="7A0A6CF5" w14:textId="77777777" w:rsidR="00CF5712" w:rsidRPr="00FC6043" w:rsidRDefault="00CF5712"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Our proposed project is an acquisition rehabilitation that was originally built in 1985 with HUD 202 funds. It is not a PHA property. The current tenancy allows ages 62+ as well as those ages 18+ with physical disabilities. Based on our interpretation, this would be a project categorized as "Other" tenancy, which was confirmed by DCA Q&amp;A released on 2/26/21 for the 2021 application. We plan to upload supporting documents that were requested at the 2021 pre-application to confirm the tenancy. Please confirm if anything else is needed at pre-application for the "other" category.</w:t>
            </w:r>
            <w:r w:rsidRPr="00FC6043">
              <w:rPr>
                <w:rFonts w:ascii="Times New Roman" w:eastAsia="Times New Roman" w:hAnsi="Times New Roman" w:cs="Times New Roman"/>
                <w:sz w:val="20"/>
                <w:szCs w:val="20"/>
              </w:rPr>
              <w:br/>
              <w:t xml:space="preserve"> </w:t>
            </w:r>
          </w:p>
          <w:p w14:paraId="7D02DBC0" w14:textId="77777777" w:rsidR="00CF5712" w:rsidRPr="00FC6043" w:rsidRDefault="00CF5712" w:rsidP="00304B2F">
            <w:pPr>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xml:space="preserve">: </w:t>
            </w:r>
          </w:p>
          <w:p w14:paraId="71B5528D" w14:textId="77777777" w:rsidR="00CF5712" w:rsidRPr="00FC6043" w:rsidRDefault="00CF5712"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2021 Q&amp;A response Q0223_01 states:</w:t>
            </w:r>
          </w:p>
          <w:p w14:paraId="542CEA86" w14:textId="77777777" w:rsidR="00CF5712" w:rsidRPr="00FC6043" w:rsidRDefault="00CF5712" w:rsidP="00304B2F">
            <w:pPr>
              <w:ind w:left="720"/>
              <w:rPr>
                <w:rFonts w:ascii="Times New Roman" w:eastAsia="Times New Roman" w:hAnsi="Times New Roman" w:cs="Times New Roman"/>
                <w:i/>
                <w:iCs/>
                <w:sz w:val="20"/>
                <w:szCs w:val="20"/>
              </w:rPr>
            </w:pPr>
          </w:p>
          <w:p w14:paraId="5A2E07E5" w14:textId="77777777" w:rsidR="00CF5712" w:rsidRPr="00FC6043" w:rsidRDefault="00CF5712" w:rsidP="00304B2F">
            <w:pPr>
              <w:ind w:left="720"/>
              <w:rPr>
                <w:rFonts w:ascii="Times New Roman" w:eastAsia="Times New Roman" w:hAnsi="Times New Roman" w:cs="Times New Roman"/>
                <w:sz w:val="20"/>
                <w:szCs w:val="20"/>
              </w:rPr>
            </w:pPr>
            <w:r w:rsidRPr="00FC6043">
              <w:rPr>
                <w:rFonts w:ascii="Times New Roman" w:eastAsia="Times New Roman" w:hAnsi="Times New Roman" w:cs="Times New Roman"/>
                <w:i/>
                <w:iCs/>
                <w:sz w:val="20"/>
                <w:szCs w:val="20"/>
              </w:rPr>
              <w:t xml:space="preserve">“As part of the Pre-Application and Full Application, if the above-referenced property is eligible for the 9% Competitive Round, please select Tenancy “other.” </w:t>
            </w:r>
          </w:p>
          <w:p w14:paraId="32F1C7A4" w14:textId="77777777" w:rsidR="00CF5712" w:rsidRPr="00FC6043" w:rsidRDefault="00CF5712" w:rsidP="00304B2F">
            <w:pPr>
              <w:ind w:left="720"/>
              <w:rPr>
                <w:rFonts w:ascii="Times New Roman" w:eastAsia="Times New Roman" w:hAnsi="Times New Roman" w:cs="Times New Roman"/>
                <w:i/>
                <w:iCs/>
                <w:sz w:val="20"/>
                <w:szCs w:val="20"/>
              </w:rPr>
            </w:pPr>
          </w:p>
          <w:p w14:paraId="0084A431" w14:textId="77777777" w:rsidR="00CF5712" w:rsidRPr="00FC6043" w:rsidRDefault="00CF5712" w:rsidP="00304B2F">
            <w:pPr>
              <w:ind w:left="720"/>
              <w:rPr>
                <w:rFonts w:ascii="Times New Roman" w:eastAsia="Times New Roman" w:hAnsi="Times New Roman" w:cs="Times New Roman"/>
                <w:sz w:val="20"/>
                <w:szCs w:val="20"/>
              </w:rPr>
            </w:pPr>
            <w:r w:rsidRPr="00FC6043">
              <w:rPr>
                <w:rFonts w:ascii="Times New Roman" w:eastAsia="Times New Roman" w:hAnsi="Times New Roman" w:cs="Times New Roman"/>
                <w:i/>
                <w:iCs/>
                <w:sz w:val="20"/>
                <w:szCs w:val="20"/>
              </w:rPr>
              <w:t>Please provide any supporting documentation tied to the property which lists the above tenancy restriction for DCA review.”</w:t>
            </w:r>
          </w:p>
          <w:p w14:paraId="7B9B9575" w14:textId="77777777" w:rsidR="00CF5712" w:rsidRPr="00FC6043" w:rsidRDefault="00CF5712" w:rsidP="00304B2F">
            <w:pPr>
              <w:ind w:left="720"/>
              <w:rPr>
                <w:rFonts w:ascii="Times New Roman" w:eastAsia="Times New Roman" w:hAnsi="Times New Roman" w:cs="Times New Roman"/>
                <w:i/>
                <w:iCs/>
                <w:sz w:val="20"/>
                <w:szCs w:val="20"/>
              </w:rPr>
            </w:pPr>
          </w:p>
          <w:p w14:paraId="1AC1A969" w14:textId="77777777" w:rsidR="00CF5712" w:rsidRPr="00FC6043" w:rsidRDefault="00CF5712"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DCA will request additional documentation during Pre-Application review if needed.</w:t>
            </w:r>
          </w:p>
        </w:tc>
      </w:tr>
      <w:tr w:rsidR="00CF5712" w:rsidRPr="00FC6043" w14:paraId="00136F33" w14:textId="77777777" w:rsidTr="1995616E">
        <w:trPr>
          <w:jc w:val="center"/>
        </w:trPr>
        <w:tc>
          <w:tcPr>
            <w:tcW w:w="2157" w:type="dxa"/>
            <w:shd w:val="clear" w:color="auto" w:fill="auto"/>
            <w:tcMar>
              <w:top w:w="72" w:type="dxa"/>
              <w:left w:w="115" w:type="dxa"/>
              <w:bottom w:w="72" w:type="dxa"/>
              <w:right w:w="115" w:type="dxa"/>
            </w:tcMar>
            <w:vAlign w:val="center"/>
          </w:tcPr>
          <w:p w14:paraId="41DC5161"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3/10/22</w:t>
            </w:r>
          </w:p>
        </w:tc>
        <w:tc>
          <w:tcPr>
            <w:tcW w:w="2198" w:type="dxa"/>
            <w:shd w:val="clear" w:color="auto" w:fill="auto"/>
            <w:tcMar>
              <w:top w:w="72" w:type="dxa"/>
              <w:left w:w="115" w:type="dxa"/>
              <w:bottom w:w="72" w:type="dxa"/>
              <w:right w:w="115" w:type="dxa"/>
            </w:tcMar>
            <w:vAlign w:val="center"/>
          </w:tcPr>
          <w:p w14:paraId="3C2AD061"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2.03</w:t>
            </w:r>
          </w:p>
          <w:p w14:paraId="5188E06B"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Threshold Criteria;</w:t>
            </w:r>
          </w:p>
          <w:p w14:paraId="0B165825"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Tenancy Characteristics</w:t>
            </w:r>
          </w:p>
          <w:p w14:paraId="73402CCD" w14:textId="77777777" w:rsidR="00CF5712" w:rsidRPr="00FC6043" w:rsidRDefault="00CF5712" w:rsidP="00304B2F">
            <w:pPr>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00039882" w14:textId="77777777" w:rsidR="00CF5712" w:rsidRPr="00FC6043" w:rsidRDefault="00CF5712" w:rsidP="00304B2F">
            <w:pPr>
              <w:spacing w:after="160" w:line="259" w:lineRule="auto"/>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xml:space="preserve">: Q22_0310_03 </w:t>
            </w:r>
          </w:p>
          <w:p w14:paraId="24FE5339" w14:textId="77777777" w:rsidR="00CF5712" w:rsidRPr="00FC6043" w:rsidRDefault="00CF5712" w:rsidP="00304B2F">
            <w:pPr>
              <w:spacing w:after="160" w:line="259" w:lineRule="auto"/>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Our application proposes to rehabilitate an existing Housing Tax Credit property that is 75% family and 25% elderly. Our circumstances are: </w:t>
            </w:r>
          </w:p>
          <w:p w14:paraId="4BCB7AB0" w14:textId="77777777" w:rsidR="00CF5712" w:rsidRPr="00FC6043" w:rsidRDefault="00CF5712" w:rsidP="00304B2F">
            <w:pPr>
              <w:pStyle w:val="ListParagraph"/>
              <w:numPr>
                <w:ilvl w:val="0"/>
                <w:numId w:val="14"/>
              </w:numPr>
              <w:spacing w:after="160"/>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We understand that per Q1222_01 published 3/9/22, this application must indicate only one tenancy. </w:t>
            </w:r>
          </w:p>
          <w:p w14:paraId="582E9674" w14:textId="77777777" w:rsidR="00CF5712" w:rsidRPr="00FC6043" w:rsidRDefault="00CF5712" w:rsidP="00304B2F">
            <w:pPr>
              <w:pStyle w:val="ListParagraph"/>
              <w:numPr>
                <w:ilvl w:val="0"/>
                <w:numId w:val="14"/>
              </w:numPr>
              <w:spacing w:after="160"/>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Our plan is to select “Family tenancy,” and then if awarded, we would seek a Project Concept Change request to amend the LURC to be 100% Family. </w:t>
            </w:r>
          </w:p>
          <w:p w14:paraId="0E4EC080" w14:textId="77777777" w:rsidR="00CF5712" w:rsidRPr="00FC6043" w:rsidRDefault="00CF5712" w:rsidP="00304B2F">
            <w:pPr>
              <w:pStyle w:val="ListParagraph"/>
              <w:numPr>
                <w:ilvl w:val="0"/>
                <w:numId w:val="14"/>
              </w:numPr>
              <w:spacing w:after="160"/>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We will not be able to amend the LURC prior to Full Application (May submission) because we would not own the property until after it is awarded. </w:t>
            </w:r>
          </w:p>
          <w:p w14:paraId="7E3BB89A" w14:textId="77777777" w:rsidR="00CF5712" w:rsidRPr="00FC6043" w:rsidRDefault="00CF5712" w:rsidP="00304B2F">
            <w:pPr>
              <w:spacing w:after="160" w:line="259" w:lineRule="auto"/>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Do we need to receive any approvals for this during the Pre-Application stage, or can we submit the Full Application as is? We anticipate passing Threshold because we will “designate the proposed development as targeting </w:t>
            </w:r>
            <w:r w:rsidRPr="00FC6043">
              <w:rPr>
                <w:rFonts w:ascii="Times New Roman" w:eastAsia="Times New Roman" w:hAnsi="Times New Roman" w:cs="Times New Roman"/>
                <w:b/>
                <w:bCs/>
                <w:sz w:val="20"/>
                <w:szCs w:val="20"/>
              </w:rPr>
              <w:t>one</w:t>
            </w:r>
            <w:r w:rsidRPr="00FC6043">
              <w:rPr>
                <w:rFonts w:ascii="Times New Roman" w:eastAsia="Times New Roman" w:hAnsi="Times New Roman" w:cs="Times New Roman"/>
                <w:sz w:val="20"/>
                <w:szCs w:val="20"/>
              </w:rPr>
              <w:t xml:space="preserve">” tenancy as stated in </w:t>
            </w:r>
            <w:r w:rsidRPr="00FC6043">
              <w:rPr>
                <w:rFonts w:ascii="Times New Roman" w:eastAsia="Times New Roman" w:hAnsi="Times New Roman" w:cs="Times New Roman"/>
                <w:b/>
                <w:bCs/>
                <w:sz w:val="20"/>
                <w:szCs w:val="20"/>
              </w:rPr>
              <w:t>(Threshold Criteria) Tenancy Characteristics</w:t>
            </w:r>
            <w:r w:rsidRPr="00FC6043">
              <w:rPr>
                <w:rFonts w:ascii="Times New Roman" w:eastAsia="Times New Roman" w:hAnsi="Times New Roman" w:cs="Times New Roman"/>
                <w:sz w:val="20"/>
                <w:szCs w:val="20"/>
              </w:rPr>
              <w:t>. However, there will be a discrepancy between the proposed and existing tenancies.”</w:t>
            </w:r>
          </w:p>
          <w:p w14:paraId="5425DE6F" w14:textId="77777777" w:rsidR="00CF5712" w:rsidRPr="00FC6043" w:rsidRDefault="00CF5712" w:rsidP="00304B2F">
            <w:pPr>
              <w:spacing w:after="160" w:line="259" w:lineRule="auto"/>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xml:space="preserve">: </w:t>
            </w:r>
          </w:p>
          <w:p w14:paraId="4BD33725" w14:textId="77777777" w:rsidR="00CF5712" w:rsidRPr="00FC6043" w:rsidRDefault="00CF5712" w:rsidP="00304B2F">
            <w:pPr>
              <w:pStyle w:val="ListParagraph"/>
              <w:numPr>
                <w:ilvl w:val="0"/>
                <w:numId w:val="13"/>
              </w:numPr>
              <w:spacing w:after="160" w:line="259" w:lineRule="auto"/>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To pass</w:t>
            </w:r>
            <w:r w:rsidRPr="00FC6043">
              <w:rPr>
                <w:rFonts w:ascii="Times New Roman" w:eastAsia="Times New Roman" w:hAnsi="Times New Roman" w:cs="Times New Roman"/>
                <w:b/>
                <w:bCs/>
                <w:sz w:val="20"/>
                <w:szCs w:val="20"/>
              </w:rPr>
              <w:t xml:space="preserve"> (Threshold Criteria) Tenancy Characteristics</w:t>
            </w:r>
            <w:r w:rsidRPr="00FC6043">
              <w:rPr>
                <w:rFonts w:ascii="Times New Roman" w:eastAsia="Times New Roman" w:hAnsi="Times New Roman" w:cs="Times New Roman"/>
                <w:sz w:val="20"/>
                <w:szCs w:val="20"/>
              </w:rPr>
              <w:t>, “</w:t>
            </w:r>
            <w:r w:rsidRPr="00FC6043">
              <w:rPr>
                <w:rFonts w:ascii="Times New Roman" w:eastAsia="Times New Roman" w:hAnsi="Times New Roman" w:cs="Times New Roman"/>
                <w:i/>
                <w:iCs/>
                <w:sz w:val="20"/>
                <w:szCs w:val="20"/>
              </w:rPr>
              <w:t>All Applicants must designate the proposed development as targeting one of the following tenancies.</w:t>
            </w:r>
            <w:r w:rsidRPr="00FC6043">
              <w:rPr>
                <w:rFonts w:ascii="Times New Roman" w:eastAsia="Times New Roman" w:hAnsi="Times New Roman" w:cs="Times New Roman"/>
                <w:sz w:val="20"/>
                <w:szCs w:val="20"/>
              </w:rPr>
              <w:t xml:space="preserve">” </w:t>
            </w:r>
          </w:p>
          <w:p w14:paraId="00F752B9" w14:textId="77777777" w:rsidR="00CF5712" w:rsidRPr="00FC6043" w:rsidRDefault="00CF5712" w:rsidP="00304B2F">
            <w:pPr>
              <w:pStyle w:val="ListParagraph"/>
              <w:numPr>
                <w:ilvl w:val="0"/>
                <w:numId w:val="13"/>
              </w:numPr>
              <w:spacing w:after="160" w:line="259" w:lineRule="auto"/>
              <w:rPr>
                <w:rFonts w:ascii="Times New Roman" w:eastAsia="Times New Roman" w:hAnsi="Times New Roman" w:cs="Times New Roman"/>
                <w:b/>
                <w:bCs/>
                <w:sz w:val="20"/>
                <w:szCs w:val="20"/>
              </w:rPr>
            </w:pPr>
            <w:r w:rsidRPr="00FC6043">
              <w:rPr>
                <w:rFonts w:ascii="Times New Roman" w:eastAsia="Times New Roman" w:hAnsi="Times New Roman" w:cs="Times New Roman"/>
                <w:b/>
                <w:bCs/>
                <w:sz w:val="20"/>
                <w:szCs w:val="20"/>
              </w:rPr>
              <w:t xml:space="preserve">(Core Plan) Definitions states: </w:t>
            </w:r>
            <w:r w:rsidRPr="00FC6043">
              <w:rPr>
                <w:rFonts w:ascii="Times New Roman" w:eastAsia="Times New Roman" w:hAnsi="Times New Roman" w:cs="Times New Roman"/>
                <w:sz w:val="20"/>
                <w:szCs w:val="20"/>
              </w:rPr>
              <w:t>“</w:t>
            </w:r>
            <w:r w:rsidRPr="00FC6043">
              <w:rPr>
                <w:rFonts w:ascii="Times New Roman" w:eastAsia="Times New Roman" w:hAnsi="Times New Roman" w:cs="Times New Roman"/>
                <w:i/>
                <w:iCs/>
                <w:sz w:val="20"/>
                <w:szCs w:val="20"/>
              </w:rPr>
              <w:t>‘Applicant’ means the General Partner</w:t>
            </w:r>
            <w:r w:rsidRPr="00FC6043">
              <w:rPr>
                <w:rFonts w:ascii="Times New Roman" w:eastAsia="Times New Roman" w:hAnsi="Times New Roman" w:cs="Times New Roman"/>
                <w:sz w:val="20"/>
                <w:szCs w:val="20"/>
              </w:rPr>
              <w:t>.”</w:t>
            </w:r>
            <w:r w:rsidRPr="00FC6043">
              <w:rPr>
                <w:rFonts w:ascii="Times New Roman" w:eastAsia="Times New Roman" w:hAnsi="Times New Roman" w:cs="Times New Roman"/>
                <w:b/>
                <w:bCs/>
                <w:sz w:val="20"/>
                <w:szCs w:val="20"/>
              </w:rPr>
              <w:t xml:space="preserve"> </w:t>
            </w:r>
          </w:p>
          <w:p w14:paraId="2B2D333D" w14:textId="77777777" w:rsidR="00CF5712" w:rsidRPr="00FC6043" w:rsidRDefault="00CF5712" w:rsidP="00304B2F">
            <w:pPr>
              <w:spacing w:after="160" w:line="259" w:lineRule="auto"/>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Therefore, so long as the General Partner designates that the proposed development will target only one tenancy (in this case, Family), there is no QAP rule requiring a waiver at the Pre-Application stage. If awarded, the General Partner can pursue a Project Concept Change.  </w:t>
            </w:r>
          </w:p>
        </w:tc>
      </w:tr>
      <w:tr w:rsidR="00CF5712" w:rsidRPr="00FC6043" w14:paraId="1017FE41" w14:textId="77777777" w:rsidTr="1995616E">
        <w:trPr>
          <w:jc w:val="center"/>
        </w:trPr>
        <w:tc>
          <w:tcPr>
            <w:tcW w:w="2157" w:type="dxa"/>
            <w:shd w:val="clear" w:color="auto" w:fill="auto"/>
            <w:tcMar>
              <w:top w:w="72" w:type="dxa"/>
              <w:left w:w="115" w:type="dxa"/>
              <w:bottom w:w="72" w:type="dxa"/>
              <w:right w:w="115" w:type="dxa"/>
            </w:tcMar>
            <w:vAlign w:val="center"/>
          </w:tcPr>
          <w:p w14:paraId="049DB3D0"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14:paraId="3107D7D8"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6.00 </w:t>
            </w:r>
          </w:p>
          <w:p w14:paraId="14F03578" w14:textId="77777777" w:rsidR="00CF5712" w:rsidRPr="00FC6043" w:rsidRDefault="00CF5712" w:rsidP="00304B2F">
            <w:pPr>
              <w:rPr>
                <w:rFonts w:ascii="Times New Roman" w:hAnsi="Times New Roman" w:cs="Times New Roman"/>
                <w:sz w:val="20"/>
                <w:szCs w:val="20"/>
              </w:rPr>
            </w:pPr>
            <w:proofErr w:type="spellStart"/>
            <w:r w:rsidRPr="00FC6043">
              <w:rPr>
                <w:rFonts w:ascii="Times New Roman" w:hAnsi="Times New Roman" w:cs="Times New Roman"/>
                <w:sz w:val="20"/>
                <w:szCs w:val="20"/>
              </w:rPr>
              <w:t>Emphasys</w:t>
            </w:r>
            <w:proofErr w:type="spellEnd"/>
          </w:p>
        </w:tc>
        <w:tc>
          <w:tcPr>
            <w:tcW w:w="9590" w:type="dxa"/>
            <w:shd w:val="clear" w:color="auto" w:fill="auto"/>
            <w:tcMar>
              <w:top w:w="72" w:type="dxa"/>
              <w:left w:w="115" w:type="dxa"/>
              <w:bottom w:w="72" w:type="dxa"/>
              <w:right w:w="115" w:type="dxa"/>
            </w:tcMar>
            <w:vAlign w:val="center"/>
          </w:tcPr>
          <w:p w14:paraId="5E400AE4" w14:textId="77777777" w:rsidR="00CF5712" w:rsidRPr="00FC6043" w:rsidRDefault="00CF5712" w:rsidP="00304B2F">
            <w:pPr>
              <w:spacing w:line="259" w:lineRule="auto"/>
              <w:rPr>
                <w:rFonts w:ascii="Times New Roman" w:eastAsia="Times New Roman" w:hAnsi="Times New Roman" w:cs="Times New Roman"/>
                <w:b/>
                <w:bCs/>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xml:space="preserve"> Q22_0310_04</w:t>
            </w:r>
          </w:p>
          <w:p w14:paraId="59EEC5E9" w14:textId="77777777" w:rsidR="00CF5712" w:rsidRPr="00FC6043" w:rsidRDefault="00CF5712" w:rsidP="00304B2F">
            <w:pPr>
              <w:spacing w:line="259" w:lineRule="auto"/>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Under the Fee Submission instructions, it says to label the envelope with “Pre-Application Fees for 2022PA-0___.” Will we receive an application number after we submit through </w:t>
            </w:r>
            <w:proofErr w:type="spellStart"/>
            <w:r w:rsidRPr="00FC6043">
              <w:rPr>
                <w:rFonts w:ascii="Times New Roman" w:eastAsia="Times New Roman" w:hAnsi="Times New Roman" w:cs="Times New Roman"/>
                <w:sz w:val="20"/>
                <w:szCs w:val="20"/>
              </w:rPr>
              <w:t>Emphasys</w:t>
            </w:r>
            <w:proofErr w:type="spellEnd"/>
            <w:r w:rsidRPr="00FC6043">
              <w:rPr>
                <w:rFonts w:ascii="Times New Roman" w:eastAsia="Times New Roman" w:hAnsi="Times New Roman" w:cs="Times New Roman"/>
                <w:sz w:val="20"/>
                <w:szCs w:val="20"/>
              </w:rPr>
              <w:t>?</w:t>
            </w:r>
          </w:p>
          <w:p w14:paraId="382B69DD" w14:textId="77777777" w:rsidR="00CF5712" w:rsidRPr="00FC6043" w:rsidRDefault="00CF5712" w:rsidP="00304B2F">
            <w:pPr>
              <w:spacing w:line="259" w:lineRule="auto"/>
              <w:rPr>
                <w:rFonts w:ascii="Times New Roman" w:eastAsia="Times New Roman" w:hAnsi="Times New Roman" w:cs="Times New Roman"/>
                <w:sz w:val="20"/>
                <w:szCs w:val="20"/>
              </w:rPr>
            </w:pPr>
          </w:p>
          <w:p w14:paraId="7489248A" w14:textId="77777777" w:rsidR="00CF5712" w:rsidRPr="00FC6043" w:rsidRDefault="00CF5712" w:rsidP="00304B2F">
            <w:pPr>
              <w:spacing w:line="259" w:lineRule="auto"/>
              <w:rPr>
                <w:rFonts w:ascii="Times New Roman" w:eastAsia="Times New Roman" w:hAnsi="Times New Roman" w:cs="Times New Roman"/>
                <w:b/>
                <w:bCs/>
                <w:sz w:val="20"/>
                <w:szCs w:val="20"/>
              </w:rPr>
            </w:pPr>
            <w:r w:rsidRPr="00FC6043">
              <w:rPr>
                <w:rFonts w:ascii="Times New Roman" w:eastAsia="Times New Roman" w:hAnsi="Times New Roman" w:cs="Times New Roman"/>
                <w:b/>
                <w:bCs/>
                <w:sz w:val="20"/>
                <w:szCs w:val="20"/>
              </w:rPr>
              <w:t>Answer:</w:t>
            </w:r>
          </w:p>
          <w:p w14:paraId="4C4BB97E" w14:textId="77777777" w:rsidR="00CF5712" w:rsidRPr="00FC6043" w:rsidRDefault="00CF5712" w:rsidP="00304B2F">
            <w:pPr>
              <w:spacing w:line="259" w:lineRule="auto"/>
              <w:rPr>
                <w:rFonts w:ascii="Times New Roman" w:eastAsia="Times New Roman" w:hAnsi="Times New Roman" w:cs="Times New Roman"/>
                <w:b/>
                <w:bCs/>
                <w:sz w:val="20"/>
                <w:szCs w:val="20"/>
              </w:rPr>
            </w:pPr>
            <w:r w:rsidRPr="00FC6043">
              <w:rPr>
                <w:rFonts w:ascii="Times New Roman" w:eastAsia="Times New Roman" w:hAnsi="Times New Roman" w:cs="Times New Roman"/>
                <w:sz w:val="20"/>
                <w:szCs w:val="20"/>
              </w:rPr>
              <w:t xml:space="preserve">Yes, you will receive a Pre-Application number after you submit through </w:t>
            </w:r>
            <w:proofErr w:type="spellStart"/>
            <w:r w:rsidRPr="00FC6043">
              <w:rPr>
                <w:rFonts w:ascii="Times New Roman" w:eastAsia="Times New Roman" w:hAnsi="Times New Roman" w:cs="Times New Roman"/>
                <w:sz w:val="20"/>
                <w:szCs w:val="20"/>
              </w:rPr>
              <w:t>Emphasys</w:t>
            </w:r>
            <w:proofErr w:type="spellEnd"/>
            <w:r w:rsidRPr="00FC6043">
              <w:rPr>
                <w:rFonts w:ascii="Times New Roman" w:eastAsia="Times New Roman" w:hAnsi="Times New Roman" w:cs="Times New Roman"/>
                <w:sz w:val="20"/>
                <w:szCs w:val="20"/>
              </w:rPr>
              <w:t>.</w:t>
            </w:r>
          </w:p>
        </w:tc>
      </w:tr>
      <w:tr w:rsidR="00CF5712" w:rsidRPr="00FC6043" w14:paraId="7B71C0C8" w14:textId="77777777" w:rsidTr="1995616E">
        <w:trPr>
          <w:jc w:val="center"/>
        </w:trPr>
        <w:tc>
          <w:tcPr>
            <w:tcW w:w="2157" w:type="dxa"/>
            <w:shd w:val="clear" w:color="auto" w:fill="auto"/>
            <w:tcMar>
              <w:top w:w="72" w:type="dxa"/>
              <w:left w:w="115" w:type="dxa"/>
              <w:bottom w:w="72" w:type="dxa"/>
              <w:right w:w="115" w:type="dxa"/>
            </w:tcMar>
            <w:vAlign w:val="center"/>
          </w:tcPr>
          <w:p w14:paraId="0381B12C"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14:paraId="2176A93F"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7.00</w:t>
            </w:r>
          </w:p>
          <w:p w14:paraId="60479B92"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Application Materials</w:t>
            </w:r>
          </w:p>
        </w:tc>
        <w:tc>
          <w:tcPr>
            <w:tcW w:w="9590" w:type="dxa"/>
            <w:shd w:val="clear" w:color="auto" w:fill="auto"/>
            <w:tcMar>
              <w:top w:w="72" w:type="dxa"/>
              <w:left w:w="115" w:type="dxa"/>
              <w:bottom w:w="72" w:type="dxa"/>
              <w:right w:w="115" w:type="dxa"/>
            </w:tcMar>
            <w:vAlign w:val="center"/>
          </w:tcPr>
          <w:p w14:paraId="36280708" w14:textId="77777777" w:rsidR="00CF5712" w:rsidRPr="00FC6043" w:rsidRDefault="00CF5712" w:rsidP="00304B2F">
            <w:pPr>
              <w:spacing w:line="259" w:lineRule="auto"/>
              <w:rPr>
                <w:rFonts w:ascii="Times New Roman" w:eastAsia="Times New Roman" w:hAnsi="Times New Roman" w:cs="Times New Roman"/>
                <w:b/>
                <w:bCs/>
                <w:sz w:val="20"/>
                <w:szCs w:val="20"/>
              </w:rPr>
            </w:pPr>
            <w:r w:rsidRPr="00FC6043">
              <w:rPr>
                <w:rFonts w:ascii="Times New Roman" w:eastAsia="Times New Roman" w:hAnsi="Times New Roman" w:cs="Times New Roman"/>
                <w:b/>
                <w:bCs/>
                <w:sz w:val="20"/>
                <w:szCs w:val="20"/>
              </w:rPr>
              <w:lastRenderedPageBreak/>
              <w:t xml:space="preserve">Question: </w:t>
            </w:r>
            <w:r w:rsidRPr="00FC6043">
              <w:rPr>
                <w:rFonts w:ascii="Times New Roman" w:eastAsia="Times New Roman" w:hAnsi="Times New Roman" w:cs="Times New Roman"/>
                <w:sz w:val="20"/>
                <w:szCs w:val="20"/>
              </w:rPr>
              <w:t>Q22_0310_02</w:t>
            </w:r>
          </w:p>
          <w:p w14:paraId="38A29353" w14:textId="77777777" w:rsidR="00CF5712" w:rsidRPr="00FC6043" w:rsidRDefault="00CF5712" w:rsidP="00304B2F">
            <w:pPr>
              <w:spacing w:line="259" w:lineRule="auto"/>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lastRenderedPageBreak/>
              <w:t xml:space="preserve">Will you please confirm if the ASDO Waivers need to be submitted to the DCA office at pre-application in a physical binder and flash drive, or if for pre-application, everything is to only be submitted through </w:t>
            </w:r>
            <w:proofErr w:type="spellStart"/>
            <w:r w:rsidRPr="00FC6043">
              <w:rPr>
                <w:rFonts w:ascii="Times New Roman" w:eastAsia="Times New Roman" w:hAnsi="Times New Roman" w:cs="Times New Roman"/>
                <w:sz w:val="20"/>
                <w:szCs w:val="20"/>
              </w:rPr>
              <w:t>Emphasys</w:t>
            </w:r>
            <w:proofErr w:type="spellEnd"/>
            <w:r w:rsidRPr="00FC6043">
              <w:rPr>
                <w:rFonts w:ascii="Times New Roman" w:eastAsia="Times New Roman" w:hAnsi="Times New Roman" w:cs="Times New Roman"/>
                <w:sz w:val="20"/>
                <w:szCs w:val="20"/>
              </w:rPr>
              <w:t>?</w:t>
            </w:r>
          </w:p>
          <w:p w14:paraId="4FFAB3B0" w14:textId="77777777" w:rsidR="00CF5712" w:rsidRPr="00FC6043" w:rsidRDefault="00CF5712" w:rsidP="00304B2F">
            <w:pPr>
              <w:spacing w:line="259" w:lineRule="auto"/>
              <w:rPr>
                <w:rFonts w:ascii="Times New Roman" w:eastAsia="Times New Roman" w:hAnsi="Times New Roman" w:cs="Times New Roman"/>
                <w:sz w:val="20"/>
                <w:szCs w:val="20"/>
              </w:rPr>
            </w:pPr>
          </w:p>
          <w:p w14:paraId="5FCC4D4A" w14:textId="77777777" w:rsidR="00CF5712" w:rsidRPr="00FC6043" w:rsidRDefault="00CF5712" w:rsidP="00304B2F">
            <w:pPr>
              <w:spacing w:after="160" w:line="259" w:lineRule="auto"/>
              <w:rPr>
                <w:rFonts w:ascii="Times New Roman" w:eastAsia="Times New Roman" w:hAnsi="Times New Roman" w:cs="Times New Roman"/>
                <w:b/>
                <w:bCs/>
                <w:sz w:val="20"/>
                <w:szCs w:val="20"/>
              </w:rPr>
            </w:pPr>
            <w:r w:rsidRPr="00FC6043">
              <w:rPr>
                <w:rFonts w:ascii="Times New Roman" w:eastAsia="Times New Roman" w:hAnsi="Times New Roman" w:cs="Times New Roman"/>
                <w:b/>
                <w:bCs/>
                <w:sz w:val="20"/>
                <w:szCs w:val="20"/>
              </w:rPr>
              <w:t xml:space="preserve">Answer: </w:t>
            </w:r>
          </w:p>
          <w:p w14:paraId="3BBDEE5E" w14:textId="77777777" w:rsidR="00CF5712" w:rsidRPr="00FC6043" w:rsidRDefault="00CF5712" w:rsidP="00304B2F">
            <w:pPr>
              <w:spacing w:after="160" w:line="259" w:lineRule="auto"/>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Checks are the only part of the Pre-Application that should be submitted outside of </w:t>
            </w:r>
            <w:proofErr w:type="spellStart"/>
            <w:r w:rsidRPr="00FC6043">
              <w:rPr>
                <w:rFonts w:ascii="Times New Roman" w:eastAsia="Times New Roman" w:hAnsi="Times New Roman" w:cs="Times New Roman"/>
                <w:sz w:val="20"/>
                <w:szCs w:val="20"/>
              </w:rPr>
              <w:t>Emphasys</w:t>
            </w:r>
            <w:proofErr w:type="spellEnd"/>
            <w:r w:rsidRPr="00FC6043">
              <w:rPr>
                <w:rFonts w:ascii="Times New Roman" w:eastAsia="Times New Roman" w:hAnsi="Times New Roman" w:cs="Times New Roman"/>
                <w:sz w:val="20"/>
                <w:szCs w:val="20"/>
              </w:rPr>
              <w:t>. The Pre-Application submission instructions state (</w:t>
            </w:r>
            <w:hyperlink r:id="rId54">
              <w:r w:rsidRPr="00FC6043">
                <w:rPr>
                  <w:rStyle w:val="Hyperlink"/>
                  <w:rFonts w:ascii="Times New Roman" w:eastAsia="Times New Roman" w:hAnsi="Times New Roman" w:cs="Times New Roman"/>
                  <w:color w:val="auto"/>
                  <w:sz w:val="20"/>
                  <w:szCs w:val="20"/>
                </w:rPr>
                <w:t>click here</w:t>
              </w:r>
            </w:hyperlink>
            <w:r w:rsidRPr="00FC6043">
              <w:rPr>
                <w:rFonts w:ascii="Times New Roman" w:eastAsia="Times New Roman" w:hAnsi="Times New Roman" w:cs="Times New Roman"/>
                <w:sz w:val="20"/>
                <w:szCs w:val="20"/>
              </w:rPr>
              <w:t>):</w:t>
            </w:r>
          </w:p>
          <w:p w14:paraId="006E67DD" w14:textId="77777777" w:rsidR="00CF5712" w:rsidRPr="00FC6043" w:rsidRDefault="00CF5712" w:rsidP="00304B2F">
            <w:pPr>
              <w:pStyle w:val="ListParagraph"/>
              <w:numPr>
                <w:ilvl w:val="0"/>
                <w:numId w:val="15"/>
              </w:numPr>
              <w:spacing w:after="160" w:line="259" w:lineRule="auto"/>
              <w:rPr>
                <w:rFonts w:ascii="Times New Roman" w:eastAsiaTheme="minorEastAsia" w:hAnsi="Times New Roman" w:cs="Times New Roman"/>
                <w:sz w:val="20"/>
                <w:szCs w:val="20"/>
              </w:rPr>
            </w:pPr>
            <w:r w:rsidRPr="00FC6043">
              <w:rPr>
                <w:rFonts w:ascii="Times New Roman" w:eastAsia="Times New Roman" w:hAnsi="Times New Roman" w:cs="Times New Roman"/>
                <w:sz w:val="20"/>
                <w:szCs w:val="20"/>
              </w:rPr>
              <w:t xml:space="preserve">“2022 Pre-Application documents must be submitted through </w:t>
            </w:r>
            <w:proofErr w:type="spellStart"/>
            <w:r w:rsidRPr="00FC6043">
              <w:rPr>
                <w:rFonts w:ascii="Times New Roman" w:eastAsia="Times New Roman" w:hAnsi="Times New Roman" w:cs="Times New Roman"/>
                <w:sz w:val="20"/>
                <w:szCs w:val="20"/>
              </w:rPr>
              <w:t>Emphasys</w:t>
            </w:r>
            <w:proofErr w:type="spellEnd"/>
            <w:r w:rsidRPr="00FC6043">
              <w:rPr>
                <w:rFonts w:ascii="Times New Roman" w:eastAsia="Times New Roman" w:hAnsi="Times New Roman" w:cs="Times New Roman"/>
                <w:sz w:val="20"/>
                <w:szCs w:val="20"/>
              </w:rPr>
              <w:t>”</w:t>
            </w:r>
          </w:p>
          <w:p w14:paraId="2693495A" w14:textId="77777777" w:rsidR="00CF5712" w:rsidRPr="00FC6043" w:rsidRDefault="00CF5712" w:rsidP="00304B2F">
            <w:pPr>
              <w:pStyle w:val="ListParagraph"/>
              <w:numPr>
                <w:ilvl w:val="0"/>
                <w:numId w:val="15"/>
              </w:numPr>
              <w:spacing w:after="160" w:line="259" w:lineRule="auto"/>
              <w:rPr>
                <w:rFonts w:ascii="Times New Roman" w:eastAsiaTheme="minorEastAsia" w:hAnsi="Times New Roman" w:cs="Times New Roman"/>
                <w:sz w:val="20"/>
                <w:szCs w:val="20"/>
              </w:rPr>
            </w:pPr>
            <w:r w:rsidRPr="00FC6043">
              <w:rPr>
                <w:rFonts w:ascii="Times New Roman" w:eastAsia="Times New Roman" w:hAnsi="Times New Roman" w:cs="Times New Roman"/>
                <w:sz w:val="20"/>
                <w:szCs w:val="20"/>
              </w:rPr>
              <w:t xml:space="preserve">“Fee payments will not be processed through </w:t>
            </w:r>
            <w:proofErr w:type="spellStart"/>
            <w:r w:rsidRPr="00FC6043">
              <w:rPr>
                <w:rFonts w:ascii="Times New Roman" w:eastAsia="Times New Roman" w:hAnsi="Times New Roman" w:cs="Times New Roman"/>
                <w:sz w:val="20"/>
                <w:szCs w:val="20"/>
              </w:rPr>
              <w:t>Emphasys</w:t>
            </w:r>
            <w:proofErr w:type="spellEnd"/>
            <w:r w:rsidRPr="00FC6043">
              <w:rPr>
                <w:rFonts w:ascii="Times New Roman" w:eastAsia="Times New Roman" w:hAnsi="Times New Roman" w:cs="Times New Roman"/>
                <w:sz w:val="20"/>
                <w:szCs w:val="20"/>
              </w:rPr>
              <w:t xml:space="preserve"> at this time”</w:t>
            </w:r>
          </w:p>
        </w:tc>
      </w:tr>
      <w:tr w:rsidR="00CF5712" w:rsidRPr="00FC6043" w14:paraId="4DAB1F74" w14:textId="77777777" w:rsidTr="1995616E">
        <w:trPr>
          <w:jc w:val="center"/>
        </w:trPr>
        <w:tc>
          <w:tcPr>
            <w:tcW w:w="2157" w:type="dxa"/>
            <w:shd w:val="clear" w:color="auto" w:fill="auto"/>
            <w:tcMar>
              <w:top w:w="72" w:type="dxa"/>
              <w:left w:w="115" w:type="dxa"/>
              <w:bottom w:w="72" w:type="dxa"/>
              <w:right w:w="115" w:type="dxa"/>
            </w:tcMar>
            <w:vAlign w:val="center"/>
          </w:tcPr>
          <w:p w14:paraId="55FDC21C"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3/10/22</w:t>
            </w:r>
          </w:p>
        </w:tc>
        <w:tc>
          <w:tcPr>
            <w:tcW w:w="2198" w:type="dxa"/>
            <w:shd w:val="clear" w:color="auto" w:fill="auto"/>
            <w:tcMar>
              <w:top w:w="72" w:type="dxa"/>
              <w:left w:w="115" w:type="dxa"/>
              <w:bottom w:w="72" w:type="dxa"/>
              <w:right w:w="115" w:type="dxa"/>
            </w:tcMar>
            <w:vAlign w:val="center"/>
          </w:tcPr>
          <w:p w14:paraId="030CA1BD"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7.00</w:t>
            </w:r>
          </w:p>
          <w:p w14:paraId="16A582EA"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Application Materials</w:t>
            </w:r>
          </w:p>
        </w:tc>
        <w:tc>
          <w:tcPr>
            <w:tcW w:w="9590" w:type="dxa"/>
            <w:shd w:val="clear" w:color="auto" w:fill="auto"/>
            <w:tcMar>
              <w:top w:w="72" w:type="dxa"/>
              <w:left w:w="115" w:type="dxa"/>
              <w:bottom w:w="72" w:type="dxa"/>
              <w:right w:w="115" w:type="dxa"/>
            </w:tcMar>
            <w:vAlign w:val="center"/>
          </w:tcPr>
          <w:p w14:paraId="669C07C6" w14:textId="77777777" w:rsidR="00CF5712" w:rsidRPr="00FC6043" w:rsidRDefault="00CF5712" w:rsidP="00304B2F">
            <w:pPr>
              <w:spacing w:after="160" w:line="259" w:lineRule="auto"/>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Q22_0310_01</w:t>
            </w:r>
          </w:p>
          <w:p w14:paraId="0AE333B0" w14:textId="77777777" w:rsidR="00CF5712" w:rsidRPr="00FC6043" w:rsidRDefault="00CF5712" w:rsidP="00304B2F">
            <w:pPr>
              <w:spacing w:line="259" w:lineRule="auto"/>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The fee submission instructions for pre-app says to mail the Credit Fee Submissions. Is it also an option to drop the check off at the Georgia Housing Finance Authority. If not, will the scanned copy of the properly executed check constitute a complete application, even if the mail delivers the check past the application deadline? </w:t>
            </w:r>
            <w:r w:rsidRPr="00FC6043">
              <w:rPr>
                <w:rFonts w:ascii="Times New Roman" w:hAnsi="Times New Roman" w:cs="Times New Roman"/>
                <w:sz w:val="20"/>
                <w:szCs w:val="20"/>
              </w:rPr>
              <w:br/>
            </w:r>
            <w:r w:rsidRPr="00FC6043">
              <w:rPr>
                <w:rFonts w:ascii="Times New Roman" w:hAnsi="Times New Roman" w:cs="Times New Roman"/>
                <w:sz w:val="20"/>
                <w:szCs w:val="20"/>
              </w:rPr>
              <w:br/>
            </w:r>
            <w:r w:rsidRPr="00FC6043">
              <w:rPr>
                <w:rFonts w:ascii="Times New Roman" w:eastAsia="Times New Roman" w:hAnsi="Times New Roman" w:cs="Times New Roman"/>
                <w:sz w:val="20"/>
                <w:szCs w:val="20"/>
              </w:rPr>
              <w:t xml:space="preserve">The instructions for submitting the preapplication fee say to also submit a pdf of the submission summary tab. Can you confirm that you do want this one page submitted in electronic form on a thumb-drive versus a printed hard copy. Any specific labeling or packaging requirements for the thumb-drive? </w:t>
            </w:r>
          </w:p>
          <w:p w14:paraId="4942AAF9" w14:textId="77777777" w:rsidR="00CF5712" w:rsidRPr="00FC6043" w:rsidRDefault="00CF5712" w:rsidP="00304B2F">
            <w:pPr>
              <w:spacing w:line="259" w:lineRule="auto"/>
              <w:rPr>
                <w:rFonts w:ascii="Times New Roman" w:eastAsia="Times New Roman" w:hAnsi="Times New Roman" w:cs="Times New Roman"/>
                <w:sz w:val="20"/>
                <w:szCs w:val="20"/>
              </w:rPr>
            </w:pPr>
          </w:p>
          <w:p w14:paraId="1DA5E99A" w14:textId="77777777" w:rsidR="00CF5712" w:rsidRPr="00FC6043" w:rsidRDefault="00CF5712" w:rsidP="00304B2F">
            <w:pPr>
              <w:spacing w:line="259" w:lineRule="auto"/>
              <w:rPr>
                <w:rFonts w:ascii="Times New Roman" w:eastAsia="Times New Roman" w:hAnsi="Times New Roman" w:cs="Times New Roman"/>
                <w:b/>
                <w:bCs/>
                <w:sz w:val="20"/>
                <w:szCs w:val="20"/>
              </w:rPr>
            </w:pPr>
            <w:r w:rsidRPr="00FC6043">
              <w:rPr>
                <w:rFonts w:ascii="Times New Roman" w:eastAsia="Times New Roman" w:hAnsi="Times New Roman" w:cs="Times New Roman"/>
                <w:b/>
                <w:bCs/>
                <w:sz w:val="20"/>
                <w:szCs w:val="20"/>
              </w:rPr>
              <w:t xml:space="preserve">Answer: </w:t>
            </w:r>
          </w:p>
          <w:p w14:paraId="00FF75F1" w14:textId="77777777" w:rsidR="00CF5712" w:rsidRPr="00FC6043" w:rsidRDefault="00CF5712" w:rsidP="00304B2F">
            <w:pPr>
              <w:spacing w:after="160" w:line="259" w:lineRule="auto"/>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Responses to each of the above:</w:t>
            </w:r>
          </w:p>
          <w:p w14:paraId="635C4C7B" w14:textId="77777777" w:rsidR="00CF5712" w:rsidRPr="00FC6043" w:rsidRDefault="00CF5712" w:rsidP="00304B2F">
            <w:pPr>
              <w:pStyle w:val="ListParagraph"/>
              <w:numPr>
                <w:ilvl w:val="0"/>
                <w:numId w:val="12"/>
              </w:numPr>
              <w:spacing w:after="160" w:line="259" w:lineRule="auto"/>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It is acceptable to drop the payment submission off at DCA in person in lieu of mail. </w:t>
            </w:r>
          </w:p>
          <w:p w14:paraId="66EEF1C9" w14:textId="77777777" w:rsidR="00CF5712" w:rsidRPr="00FC6043" w:rsidRDefault="00CF5712" w:rsidP="00304B2F">
            <w:pPr>
              <w:pStyle w:val="ListParagraph"/>
              <w:numPr>
                <w:ilvl w:val="0"/>
                <w:numId w:val="12"/>
              </w:numPr>
              <w:spacing w:after="160" w:line="259" w:lineRule="auto"/>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If the check was mailed by the Pre-Application deadline, but the check submission is received by DCA after the deadline, that is acceptable.</w:t>
            </w:r>
          </w:p>
          <w:p w14:paraId="77BE8EEC" w14:textId="77777777" w:rsidR="00CF5712" w:rsidRPr="00FC6043" w:rsidRDefault="00CF5712" w:rsidP="00304B2F">
            <w:pPr>
              <w:pStyle w:val="ListParagraph"/>
              <w:numPr>
                <w:ilvl w:val="0"/>
                <w:numId w:val="12"/>
              </w:numPr>
              <w:spacing w:after="160" w:line="259" w:lineRule="auto"/>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All electronic submissions should be submitted through the </w:t>
            </w:r>
            <w:proofErr w:type="spellStart"/>
            <w:r w:rsidRPr="00FC6043">
              <w:rPr>
                <w:rFonts w:ascii="Times New Roman" w:eastAsia="Times New Roman" w:hAnsi="Times New Roman" w:cs="Times New Roman"/>
                <w:sz w:val="20"/>
                <w:szCs w:val="20"/>
              </w:rPr>
              <w:t>Emphasys</w:t>
            </w:r>
            <w:proofErr w:type="spellEnd"/>
            <w:r w:rsidRPr="00FC6043">
              <w:rPr>
                <w:rFonts w:ascii="Times New Roman" w:eastAsia="Times New Roman" w:hAnsi="Times New Roman" w:cs="Times New Roman"/>
                <w:sz w:val="20"/>
                <w:szCs w:val="20"/>
              </w:rPr>
              <w:t xml:space="preserve"> Pre-Application. Please do not include a flash drive with your check submission.</w:t>
            </w:r>
          </w:p>
          <w:p w14:paraId="647DEAF2" w14:textId="77777777" w:rsidR="00CF5712" w:rsidRPr="00FC6043" w:rsidRDefault="00CF5712" w:rsidP="00304B2F">
            <w:pPr>
              <w:pStyle w:val="ListParagraph"/>
              <w:numPr>
                <w:ilvl w:val="0"/>
                <w:numId w:val="12"/>
              </w:numPr>
              <w:spacing w:after="160" w:line="259" w:lineRule="auto"/>
              <w:rPr>
                <w:rFonts w:ascii="Times New Roman" w:eastAsiaTheme="minorEastAsia" w:hAnsi="Times New Roman" w:cs="Times New Roman"/>
                <w:b/>
                <w:bCs/>
                <w:sz w:val="20"/>
                <w:szCs w:val="20"/>
              </w:rPr>
            </w:pPr>
            <w:r w:rsidRPr="00FC6043">
              <w:rPr>
                <w:rFonts w:ascii="Times New Roman" w:eastAsia="Times New Roman" w:hAnsi="Times New Roman" w:cs="Times New Roman"/>
                <w:b/>
                <w:bCs/>
                <w:sz w:val="20"/>
                <w:szCs w:val="20"/>
              </w:rPr>
              <w:t xml:space="preserve">For your physical check submission to DCA, please include a printed copy of the Submission Summary tab from the Supplemental Pre-Application workbook. </w:t>
            </w:r>
            <w:r w:rsidRPr="00FC6043">
              <w:rPr>
                <w:rFonts w:ascii="Times New Roman" w:eastAsia="Calibri" w:hAnsi="Times New Roman" w:cs="Times New Roman"/>
                <w:b/>
                <w:bCs/>
                <w:sz w:val="20"/>
                <w:szCs w:val="20"/>
              </w:rPr>
              <w:t xml:space="preserve"> </w:t>
            </w:r>
          </w:p>
        </w:tc>
      </w:tr>
      <w:tr w:rsidR="00CF5712" w:rsidRPr="00FC6043" w14:paraId="5BC21FF9" w14:textId="77777777" w:rsidTr="1995616E">
        <w:trPr>
          <w:jc w:val="center"/>
        </w:trPr>
        <w:tc>
          <w:tcPr>
            <w:tcW w:w="2157" w:type="dxa"/>
            <w:shd w:val="clear" w:color="auto" w:fill="auto"/>
            <w:tcMar>
              <w:top w:w="72" w:type="dxa"/>
              <w:left w:w="115" w:type="dxa"/>
              <w:bottom w:w="72" w:type="dxa"/>
              <w:right w:w="115" w:type="dxa"/>
            </w:tcMar>
            <w:vAlign w:val="center"/>
          </w:tcPr>
          <w:p w14:paraId="38E2814E"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14:paraId="648750D8"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9.00</w:t>
            </w:r>
          </w:p>
          <w:p w14:paraId="3635618F"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Other</w:t>
            </w:r>
          </w:p>
        </w:tc>
        <w:tc>
          <w:tcPr>
            <w:tcW w:w="9590" w:type="dxa"/>
            <w:shd w:val="clear" w:color="auto" w:fill="auto"/>
            <w:tcMar>
              <w:top w:w="72" w:type="dxa"/>
              <w:left w:w="115" w:type="dxa"/>
              <w:bottom w:w="72" w:type="dxa"/>
              <w:right w:w="115" w:type="dxa"/>
            </w:tcMar>
            <w:vAlign w:val="center"/>
          </w:tcPr>
          <w:p w14:paraId="38EC84CA" w14:textId="77777777" w:rsidR="00CF5712" w:rsidRPr="00FC6043" w:rsidRDefault="00CF5712" w:rsidP="00304B2F">
            <w:pPr>
              <w:rPr>
                <w:rFonts w:ascii="Times New Roman" w:eastAsia="Times New Roman" w:hAnsi="Times New Roman" w:cs="Times New Roman"/>
                <w:b/>
                <w:bCs/>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w:t>
            </w:r>
            <w:r w:rsidRPr="00FC6043">
              <w:rPr>
                <w:rFonts w:ascii="Times New Roman" w:eastAsia="Times New Roman" w:hAnsi="Times New Roman" w:cs="Times New Roman"/>
                <w:b/>
                <w:bCs/>
                <w:sz w:val="20"/>
                <w:szCs w:val="20"/>
              </w:rPr>
              <w:t xml:space="preserve"> Q22_0310_15</w:t>
            </w:r>
          </w:p>
          <w:p w14:paraId="64AF0B0E" w14:textId="77777777" w:rsidR="00CF5712" w:rsidRPr="00FC6043" w:rsidRDefault="00CF5712"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 have an urgent question related to my Pre-Application since it’s the day of the deadline (Friday, March 11</w:t>
            </w:r>
            <w:r w:rsidRPr="00FC6043">
              <w:rPr>
                <w:rFonts w:ascii="Times New Roman" w:eastAsia="Times New Roman" w:hAnsi="Times New Roman" w:cs="Times New Roman"/>
                <w:sz w:val="20"/>
                <w:szCs w:val="20"/>
                <w:vertAlign w:val="superscript"/>
              </w:rPr>
              <w:t>th</w:t>
            </w:r>
            <w:r w:rsidRPr="00FC6043">
              <w:rPr>
                <w:rFonts w:ascii="Times New Roman" w:eastAsia="Times New Roman" w:hAnsi="Times New Roman" w:cs="Times New Roman"/>
                <w:sz w:val="20"/>
                <w:szCs w:val="20"/>
              </w:rPr>
              <w:t xml:space="preserve">). Should I still submit my questions through the online Q&amp;A survey? </w:t>
            </w:r>
          </w:p>
          <w:p w14:paraId="2A47F17A" w14:textId="77777777" w:rsidR="00CF5712" w:rsidRPr="00FC6043" w:rsidRDefault="00CF5712" w:rsidP="00304B2F">
            <w:pPr>
              <w:rPr>
                <w:rFonts w:ascii="Times New Roman" w:eastAsia="Times New Roman" w:hAnsi="Times New Roman" w:cs="Times New Roman"/>
                <w:sz w:val="20"/>
                <w:szCs w:val="20"/>
              </w:rPr>
            </w:pPr>
          </w:p>
          <w:p w14:paraId="2507A38C" w14:textId="77777777" w:rsidR="00CF5712" w:rsidRPr="00FC6043" w:rsidRDefault="00CF5712" w:rsidP="00304B2F">
            <w:pPr>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w:t>
            </w:r>
          </w:p>
          <w:p w14:paraId="3119FD9D" w14:textId="77777777" w:rsidR="00CF5712" w:rsidRPr="00FC6043" w:rsidRDefault="00CF5712" w:rsidP="00304B2F">
            <w:pPr>
              <w:rPr>
                <w:rFonts w:ascii="Times New Roman" w:eastAsia="Times New Roman" w:hAnsi="Times New Roman" w:cs="Times New Roman"/>
                <w:sz w:val="20"/>
                <w:szCs w:val="20"/>
              </w:rPr>
            </w:pPr>
            <w:r w:rsidRPr="00FC6043">
              <w:rPr>
                <w:rFonts w:ascii="Times New Roman" w:hAnsi="Times New Roman" w:cs="Times New Roman"/>
                <w:sz w:val="20"/>
                <w:szCs w:val="20"/>
              </w:rPr>
              <w:lastRenderedPageBreak/>
              <w:t>Per the instructions at the top of this document (“</w:t>
            </w:r>
            <w:r w:rsidRPr="00FC6043">
              <w:rPr>
                <w:rFonts w:ascii="Times New Roman" w:hAnsi="Times New Roman" w:cs="Times New Roman"/>
                <w:b/>
                <w:bCs/>
                <w:sz w:val="20"/>
                <w:szCs w:val="20"/>
              </w:rPr>
              <w:t>Concerned about timing…?</w:t>
            </w:r>
            <w:r w:rsidRPr="00FC6043">
              <w:rPr>
                <w:rFonts w:ascii="Times New Roman" w:hAnsi="Times New Roman" w:cs="Times New Roman"/>
                <w:sz w:val="20"/>
                <w:szCs w:val="20"/>
              </w:rPr>
              <w:t xml:space="preserve">”), urgent questions can be submitted to </w:t>
            </w:r>
            <w:hyperlink r:id="rId55" w:history="1">
              <w:r w:rsidRPr="00FC6043">
                <w:rPr>
                  <w:rStyle w:val="Hyperlink"/>
                  <w:rFonts w:ascii="Times New Roman" w:hAnsi="Times New Roman" w:cs="Times New Roman"/>
                  <w:color w:val="auto"/>
                  <w:sz w:val="20"/>
                  <w:szCs w:val="20"/>
                </w:rPr>
                <w:t>hfdround@dca.ga.gov</w:t>
              </w:r>
            </w:hyperlink>
            <w:r w:rsidRPr="00FC6043">
              <w:rPr>
                <w:rFonts w:ascii="Times New Roman" w:hAnsi="Times New Roman" w:cs="Times New Roman"/>
                <w:sz w:val="20"/>
                <w:szCs w:val="20"/>
              </w:rPr>
              <w:t xml:space="preserve"> for immediate assistance. </w:t>
            </w:r>
          </w:p>
          <w:p w14:paraId="4D233C03" w14:textId="77777777" w:rsidR="00CF5712" w:rsidRPr="00FC6043" w:rsidRDefault="00CF5712" w:rsidP="00304B2F">
            <w:pPr>
              <w:rPr>
                <w:rFonts w:ascii="Times New Roman" w:eastAsia="Times New Roman" w:hAnsi="Times New Roman" w:cs="Times New Roman"/>
                <w:b/>
                <w:bCs/>
                <w:sz w:val="20"/>
                <w:szCs w:val="20"/>
              </w:rPr>
            </w:pPr>
            <w:r w:rsidRPr="00FC6043">
              <w:rPr>
                <w:rFonts w:ascii="Times New Roman" w:eastAsia="Times New Roman" w:hAnsi="Times New Roman" w:cs="Times New Roman"/>
                <w:sz w:val="20"/>
                <w:szCs w:val="20"/>
              </w:rPr>
              <w:t xml:space="preserve"> </w:t>
            </w:r>
            <w:r w:rsidRPr="00FC6043">
              <w:rPr>
                <w:rFonts w:ascii="Times New Roman" w:eastAsia="Times New Roman" w:hAnsi="Times New Roman" w:cs="Times New Roman"/>
                <w:b/>
                <w:bCs/>
                <w:sz w:val="20"/>
                <w:szCs w:val="20"/>
              </w:rPr>
              <w:t xml:space="preserve"> </w:t>
            </w:r>
          </w:p>
        </w:tc>
      </w:tr>
      <w:tr w:rsidR="00CF5712" w:rsidRPr="00FC6043" w14:paraId="67757D87" w14:textId="77777777" w:rsidTr="1995616E">
        <w:trPr>
          <w:jc w:val="center"/>
        </w:trPr>
        <w:tc>
          <w:tcPr>
            <w:tcW w:w="2157" w:type="dxa"/>
            <w:shd w:val="clear" w:color="auto" w:fill="auto"/>
            <w:tcMar>
              <w:top w:w="72" w:type="dxa"/>
              <w:left w:w="115" w:type="dxa"/>
              <w:bottom w:w="72" w:type="dxa"/>
              <w:right w:w="115" w:type="dxa"/>
            </w:tcMar>
            <w:vAlign w:val="center"/>
          </w:tcPr>
          <w:p w14:paraId="415167FA" w14:textId="77777777" w:rsidR="00CF5712" w:rsidRPr="00FC6043"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3/10/22</w:t>
            </w:r>
          </w:p>
        </w:tc>
        <w:tc>
          <w:tcPr>
            <w:tcW w:w="2198" w:type="dxa"/>
            <w:shd w:val="clear" w:color="auto" w:fill="auto"/>
            <w:tcMar>
              <w:top w:w="72" w:type="dxa"/>
              <w:left w:w="115" w:type="dxa"/>
              <w:bottom w:w="72" w:type="dxa"/>
              <w:right w:w="115" w:type="dxa"/>
            </w:tcMar>
            <w:vAlign w:val="center"/>
          </w:tcPr>
          <w:p w14:paraId="6B0EB776"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9.00</w:t>
            </w:r>
          </w:p>
          <w:p w14:paraId="2EA11B4F"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Other</w:t>
            </w:r>
          </w:p>
        </w:tc>
        <w:tc>
          <w:tcPr>
            <w:tcW w:w="9590" w:type="dxa"/>
            <w:shd w:val="clear" w:color="auto" w:fill="auto"/>
            <w:tcMar>
              <w:top w:w="72" w:type="dxa"/>
              <w:left w:w="115" w:type="dxa"/>
              <w:bottom w:w="72" w:type="dxa"/>
              <w:right w:w="115" w:type="dxa"/>
            </w:tcMar>
            <w:vAlign w:val="center"/>
          </w:tcPr>
          <w:p w14:paraId="75A17FD6" w14:textId="77777777" w:rsidR="00CF5712" w:rsidRPr="00FC6043" w:rsidRDefault="00CF5712" w:rsidP="00304B2F">
            <w:pPr>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Q22_03090_05</w:t>
            </w:r>
          </w:p>
          <w:p w14:paraId="4FB22249" w14:textId="77777777" w:rsidR="00CF5712" w:rsidRPr="00FC6043" w:rsidRDefault="00CF5712"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There is an option in the Pre-app to submit a </w:t>
            </w:r>
            <w:proofErr w:type="spellStart"/>
            <w:r w:rsidRPr="00FC6043">
              <w:rPr>
                <w:rFonts w:ascii="Times New Roman" w:eastAsia="Times New Roman" w:hAnsi="Times New Roman" w:cs="Times New Roman"/>
                <w:sz w:val="20"/>
                <w:szCs w:val="20"/>
              </w:rPr>
              <w:t>Resyndication</w:t>
            </w:r>
            <w:proofErr w:type="spellEnd"/>
            <w:r w:rsidRPr="00FC6043">
              <w:rPr>
                <w:rFonts w:ascii="Times New Roman" w:eastAsia="Times New Roman" w:hAnsi="Times New Roman" w:cs="Times New Roman"/>
                <w:sz w:val="20"/>
                <w:szCs w:val="20"/>
              </w:rPr>
              <w:t xml:space="preserve">-LURC modification and project concept change request. Does this allow for properties applying for </w:t>
            </w:r>
            <w:proofErr w:type="spellStart"/>
            <w:r w:rsidRPr="00FC6043">
              <w:rPr>
                <w:rFonts w:ascii="Times New Roman" w:eastAsia="Times New Roman" w:hAnsi="Times New Roman" w:cs="Times New Roman"/>
                <w:sz w:val="20"/>
                <w:szCs w:val="20"/>
              </w:rPr>
              <w:t>resyndication</w:t>
            </w:r>
            <w:proofErr w:type="spellEnd"/>
            <w:r w:rsidRPr="00FC6043">
              <w:rPr>
                <w:rFonts w:ascii="Times New Roman" w:eastAsia="Times New Roman" w:hAnsi="Times New Roman" w:cs="Times New Roman"/>
                <w:sz w:val="20"/>
                <w:szCs w:val="20"/>
              </w:rPr>
              <w:t xml:space="preserve"> the ability to change the set asides in the LURC allowing for Income Averaging on an existing tax credit property? We find nothing in the QAP prohibiting this request.</w:t>
            </w:r>
          </w:p>
          <w:p w14:paraId="7FDA39EF" w14:textId="77777777" w:rsidR="00CF5712" w:rsidRPr="00FC6043" w:rsidRDefault="00CF5712" w:rsidP="00304B2F">
            <w:pPr>
              <w:rPr>
                <w:rFonts w:ascii="Times New Roman" w:eastAsia="Times New Roman" w:hAnsi="Times New Roman" w:cs="Times New Roman"/>
                <w:sz w:val="20"/>
                <w:szCs w:val="20"/>
              </w:rPr>
            </w:pPr>
          </w:p>
          <w:p w14:paraId="71ED89D8" w14:textId="77777777" w:rsidR="00CF5712" w:rsidRPr="00FC6043" w:rsidRDefault="00CF5712" w:rsidP="00304B2F">
            <w:pPr>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xml:space="preserve">: </w:t>
            </w:r>
          </w:p>
          <w:p w14:paraId="40CE25C5" w14:textId="77777777" w:rsidR="00CF5712" w:rsidRPr="00FC6043" w:rsidRDefault="00CF5712" w:rsidP="00304B2F">
            <w:pPr>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DCA’s Income Averaging Policy</w:t>
            </w:r>
            <w:r w:rsidRPr="00FC6043">
              <w:rPr>
                <w:rFonts w:ascii="Times New Roman" w:eastAsia="Times New Roman" w:hAnsi="Times New Roman" w:cs="Times New Roman"/>
                <w:sz w:val="20"/>
                <w:szCs w:val="20"/>
              </w:rPr>
              <w:t xml:space="preserve">, subsection </w:t>
            </w:r>
            <w:r w:rsidRPr="00FC6043">
              <w:rPr>
                <w:rFonts w:ascii="Times New Roman" w:eastAsia="Times New Roman" w:hAnsi="Times New Roman" w:cs="Times New Roman"/>
                <w:b/>
                <w:bCs/>
                <w:sz w:val="20"/>
                <w:szCs w:val="20"/>
              </w:rPr>
              <w:t>B. DCA adopted requirements and interpretations</w:t>
            </w:r>
            <w:r w:rsidRPr="00FC6043">
              <w:rPr>
                <w:rFonts w:ascii="Times New Roman" w:eastAsia="Times New Roman" w:hAnsi="Times New Roman" w:cs="Times New Roman"/>
                <w:sz w:val="20"/>
                <w:szCs w:val="20"/>
              </w:rPr>
              <w:t xml:space="preserve"> states the following: “</w:t>
            </w:r>
            <w:r w:rsidRPr="00FC6043">
              <w:rPr>
                <w:rFonts w:ascii="Times New Roman" w:eastAsia="Times New Roman" w:hAnsi="Times New Roman" w:cs="Times New Roman"/>
                <w:i/>
                <w:iCs/>
                <w:sz w:val="20"/>
                <w:szCs w:val="20"/>
              </w:rPr>
              <w:t xml:space="preserve">2. </w:t>
            </w:r>
            <w:proofErr w:type="spellStart"/>
            <w:r w:rsidRPr="00FC6043">
              <w:rPr>
                <w:rFonts w:ascii="Times New Roman" w:eastAsia="Times New Roman" w:hAnsi="Times New Roman" w:cs="Times New Roman"/>
                <w:i/>
                <w:iCs/>
                <w:sz w:val="20"/>
                <w:szCs w:val="20"/>
              </w:rPr>
              <w:t>Resyndication</w:t>
            </w:r>
            <w:proofErr w:type="spellEnd"/>
            <w:r w:rsidRPr="00FC6043">
              <w:rPr>
                <w:rFonts w:ascii="Times New Roman" w:eastAsia="Times New Roman" w:hAnsi="Times New Roman" w:cs="Times New Roman"/>
                <w:i/>
                <w:iCs/>
                <w:sz w:val="20"/>
                <w:szCs w:val="20"/>
              </w:rPr>
              <w:t xml:space="preserve">: Projects with a recorded Housing Tax Credit Land Use Restrictive Covenant (LURC) are ineligible to change the set-aside election at </w:t>
            </w:r>
            <w:proofErr w:type="spellStart"/>
            <w:r w:rsidRPr="00FC6043">
              <w:rPr>
                <w:rFonts w:ascii="Times New Roman" w:eastAsia="Times New Roman" w:hAnsi="Times New Roman" w:cs="Times New Roman"/>
                <w:i/>
                <w:iCs/>
                <w:sz w:val="20"/>
                <w:szCs w:val="20"/>
              </w:rPr>
              <w:t>resyndication</w:t>
            </w:r>
            <w:proofErr w:type="spellEnd"/>
            <w:r w:rsidRPr="00FC6043">
              <w:rPr>
                <w:rFonts w:ascii="Times New Roman" w:eastAsia="Times New Roman" w:hAnsi="Times New Roman" w:cs="Times New Roman"/>
                <w:i/>
                <w:iCs/>
                <w:sz w:val="20"/>
                <w:szCs w:val="20"/>
              </w:rPr>
              <w:t>. Only newly constructed buildings, separate from the original project, can elect the Average Income set-aside via a waiver request to DCA. New units/BINs must be treated as a multiple building project, by checking “Yes” on line 8b on the Form 8609.</w:t>
            </w:r>
            <w:r w:rsidRPr="00FC6043">
              <w:rPr>
                <w:rFonts w:ascii="Times New Roman" w:eastAsia="Times New Roman" w:hAnsi="Times New Roman" w:cs="Times New Roman"/>
                <w:sz w:val="20"/>
                <w:szCs w:val="20"/>
              </w:rPr>
              <w:t>”</w:t>
            </w:r>
          </w:p>
          <w:p w14:paraId="3F8BCB9C" w14:textId="77777777" w:rsidR="00CF5712" w:rsidRPr="00FC6043" w:rsidRDefault="00CF5712" w:rsidP="00304B2F">
            <w:pPr>
              <w:rPr>
                <w:rFonts w:ascii="Times New Roman" w:eastAsia="Times New Roman" w:hAnsi="Times New Roman" w:cs="Times New Roman"/>
                <w:sz w:val="20"/>
                <w:szCs w:val="20"/>
              </w:rPr>
            </w:pPr>
          </w:p>
          <w:p w14:paraId="710EFFBA" w14:textId="77777777" w:rsidR="00CF5712" w:rsidRPr="00FC6043" w:rsidRDefault="00CF5712"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To view the Income Averaging Policy, (</w:t>
            </w:r>
            <w:hyperlink r:id="rId56">
              <w:r w:rsidRPr="00FC6043">
                <w:rPr>
                  <w:rStyle w:val="Hyperlink"/>
                  <w:rFonts w:ascii="Times New Roman" w:eastAsia="Times New Roman" w:hAnsi="Times New Roman" w:cs="Times New Roman"/>
                  <w:color w:val="auto"/>
                  <w:sz w:val="20"/>
                  <w:szCs w:val="20"/>
                </w:rPr>
                <w:t>click here</w:t>
              </w:r>
            </w:hyperlink>
            <w:r w:rsidRPr="00FC6043">
              <w:rPr>
                <w:rFonts w:ascii="Times New Roman" w:eastAsia="Times New Roman" w:hAnsi="Times New Roman" w:cs="Times New Roman"/>
                <w:sz w:val="20"/>
                <w:szCs w:val="20"/>
              </w:rPr>
              <w:t xml:space="preserve"> for DCA’s Compliance Monitoring homepage, visit the “Tax Credit” page, download “</w:t>
            </w:r>
            <w:r w:rsidRPr="00FC6043">
              <w:rPr>
                <w:rFonts w:ascii="Times New Roman" w:eastAsia="Times New Roman" w:hAnsi="Times New Roman" w:cs="Times New Roman"/>
                <w:b/>
                <w:bCs/>
                <w:sz w:val="20"/>
                <w:szCs w:val="20"/>
              </w:rPr>
              <w:t>DCA's Average Income Policy (updated 2021)</w:t>
            </w:r>
            <w:r w:rsidRPr="00FC6043">
              <w:rPr>
                <w:rFonts w:ascii="Times New Roman" w:eastAsia="Times New Roman" w:hAnsi="Times New Roman" w:cs="Times New Roman"/>
                <w:sz w:val="20"/>
                <w:szCs w:val="20"/>
              </w:rPr>
              <w:t xml:space="preserve">, and view subsection </w:t>
            </w:r>
            <w:r w:rsidRPr="00FC6043">
              <w:rPr>
                <w:rFonts w:ascii="Times New Roman" w:eastAsia="Times New Roman" w:hAnsi="Times New Roman" w:cs="Times New Roman"/>
                <w:b/>
                <w:bCs/>
                <w:sz w:val="20"/>
                <w:szCs w:val="20"/>
              </w:rPr>
              <w:t>B. DCA adopted requirements and interpretations</w:t>
            </w:r>
            <w:r w:rsidRPr="00FC6043">
              <w:rPr>
                <w:rFonts w:ascii="Times New Roman" w:eastAsia="Times New Roman" w:hAnsi="Times New Roman" w:cs="Times New Roman"/>
                <w:sz w:val="20"/>
                <w:szCs w:val="20"/>
              </w:rPr>
              <w:t>”).</w:t>
            </w:r>
          </w:p>
        </w:tc>
      </w:tr>
      <w:tr w:rsidR="00CF5712" w:rsidRPr="003872CA" w14:paraId="01994A4B" w14:textId="77777777" w:rsidTr="00E91E6E">
        <w:trPr>
          <w:jc w:val="center"/>
        </w:trPr>
        <w:tc>
          <w:tcPr>
            <w:tcW w:w="2157" w:type="dxa"/>
            <w:shd w:val="clear" w:color="auto" w:fill="auto"/>
            <w:tcMar>
              <w:top w:w="72" w:type="dxa"/>
              <w:left w:w="115" w:type="dxa"/>
              <w:bottom w:w="72" w:type="dxa"/>
              <w:right w:w="115" w:type="dxa"/>
            </w:tcMar>
            <w:vAlign w:val="center"/>
          </w:tcPr>
          <w:p w14:paraId="215D80BB" w14:textId="77777777" w:rsidR="00CF5712" w:rsidRPr="003872CA" w:rsidRDefault="00CF5712" w:rsidP="00304B2F">
            <w:pPr>
              <w:contextualSpacing/>
              <w:rPr>
                <w:rFonts w:ascii="Times New Roman" w:hAnsi="Times New Roman" w:cs="Times New Roman"/>
                <w:noProof/>
                <w:sz w:val="20"/>
                <w:szCs w:val="20"/>
              </w:rPr>
            </w:pPr>
            <w:r w:rsidRPr="003872CA">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1B2053DD" w14:textId="77777777" w:rsidR="00CF5712" w:rsidRPr="003872CA" w:rsidRDefault="00CF5712" w:rsidP="00304B2F">
            <w:pPr>
              <w:rPr>
                <w:rFonts w:ascii="Times New Roman" w:hAnsi="Times New Roman" w:cs="Times New Roman"/>
                <w:sz w:val="20"/>
                <w:szCs w:val="20"/>
              </w:rPr>
            </w:pPr>
            <w:r w:rsidRPr="003872CA">
              <w:rPr>
                <w:rFonts w:ascii="Times New Roman" w:hAnsi="Times New Roman" w:cs="Times New Roman"/>
                <w:sz w:val="20"/>
                <w:szCs w:val="20"/>
              </w:rPr>
              <w:t>1.12</w:t>
            </w:r>
          </w:p>
          <w:p w14:paraId="423DF52A" w14:textId="77777777" w:rsidR="00CF5712" w:rsidRPr="003872CA" w:rsidRDefault="00CF5712" w:rsidP="00304B2F">
            <w:pPr>
              <w:rPr>
                <w:rFonts w:ascii="Times New Roman" w:hAnsi="Times New Roman" w:cs="Times New Roman"/>
                <w:sz w:val="20"/>
                <w:szCs w:val="20"/>
              </w:rPr>
            </w:pPr>
            <w:r w:rsidRPr="003872CA">
              <w:rPr>
                <w:rFonts w:ascii="Times New Roman" w:hAnsi="Times New Roman" w:cs="Times New Roman"/>
                <w:sz w:val="20"/>
                <w:szCs w:val="20"/>
              </w:rPr>
              <w:t>Core Plan;</w:t>
            </w:r>
          </w:p>
          <w:p w14:paraId="5DF328B8" w14:textId="77777777" w:rsidR="00CF5712" w:rsidRPr="003872CA" w:rsidRDefault="00CF5712" w:rsidP="00304B2F">
            <w:pPr>
              <w:rPr>
                <w:rFonts w:ascii="Times New Roman" w:hAnsi="Times New Roman" w:cs="Times New Roman"/>
                <w:sz w:val="20"/>
                <w:szCs w:val="20"/>
              </w:rPr>
            </w:pPr>
            <w:r w:rsidRPr="003872CA">
              <w:rPr>
                <w:rFonts w:ascii="Times New Roman" w:hAnsi="Times New Roman" w:cs="Times New Roman"/>
                <w:sz w:val="20"/>
                <w:szCs w:val="20"/>
              </w:rPr>
              <w:t>Eligibility of Certain Project Configurations</w:t>
            </w:r>
          </w:p>
          <w:p w14:paraId="546DFA3A" w14:textId="77777777" w:rsidR="00CF5712" w:rsidRPr="003872CA" w:rsidRDefault="00CF5712" w:rsidP="00304B2F">
            <w:pPr>
              <w:rPr>
                <w:rFonts w:ascii="Times New Roman" w:hAnsi="Times New Roman" w:cs="Times New Roman"/>
                <w:sz w:val="20"/>
                <w:szCs w:val="20"/>
              </w:rPr>
            </w:pPr>
          </w:p>
          <w:p w14:paraId="1A2565AE" w14:textId="77777777" w:rsidR="00CF5712" w:rsidRPr="003872CA" w:rsidRDefault="00CF5712" w:rsidP="00304B2F">
            <w:pPr>
              <w:rPr>
                <w:rFonts w:ascii="Times New Roman" w:hAnsi="Times New Roman" w:cs="Times New Roman"/>
                <w:sz w:val="20"/>
                <w:szCs w:val="20"/>
              </w:rPr>
            </w:pPr>
          </w:p>
          <w:p w14:paraId="27BA7930" w14:textId="77777777" w:rsidR="00CF5712" w:rsidRPr="003872CA" w:rsidRDefault="00CF5712" w:rsidP="00304B2F">
            <w:pPr>
              <w:rPr>
                <w:rFonts w:ascii="Times New Roman" w:hAnsi="Times New Roman" w:cs="Times New Roman"/>
                <w:sz w:val="20"/>
                <w:szCs w:val="20"/>
              </w:rPr>
            </w:pPr>
            <w:r w:rsidRPr="003872CA">
              <w:rPr>
                <w:rFonts w:ascii="Times New Roman" w:hAnsi="Times New Roman" w:cs="Times New Roman"/>
                <w:sz w:val="20"/>
                <w:szCs w:val="20"/>
              </w:rPr>
              <w:t>(also 1.10 Core; 4% Federal Credit)</w:t>
            </w:r>
          </w:p>
        </w:tc>
        <w:tc>
          <w:tcPr>
            <w:tcW w:w="9590" w:type="dxa"/>
            <w:shd w:val="clear" w:color="auto" w:fill="auto"/>
            <w:tcMar>
              <w:top w:w="72" w:type="dxa"/>
              <w:left w:w="115" w:type="dxa"/>
              <w:bottom w:w="72" w:type="dxa"/>
              <w:right w:w="115" w:type="dxa"/>
            </w:tcMar>
            <w:vAlign w:val="center"/>
          </w:tcPr>
          <w:p w14:paraId="37C7EA06" w14:textId="77777777" w:rsidR="00CF5712" w:rsidRPr="003872CA" w:rsidRDefault="00CF5712" w:rsidP="00304B2F">
            <w:pPr>
              <w:pStyle w:val="paragraph"/>
              <w:spacing w:before="0" w:beforeAutospacing="0" w:after="0" w:afterAutospacing="0"/>
              <w:textAlignment w:val="baseline"/>
              <w:rPr>
                <w:sz w:val="20"/>
                <w:szCs w:val="20"/>
              </w:rPr>
            </w:pPr>
            <w:r w:rsidRPr="003872CA">
              <w:rPr>
                <w:rStyle w:val="normaltextrun"/>
                <w:b/>
                <w:bCs/>
                <w:sz w:val="20"/>
                <w:szCs w:val="20"/>
              </w:rPr>
              <w:t>Question</w:t>
            </w:r>
            <w:r w:rsidRPr="003872CA">
              <w:rPr>
                <w:rStyle w:val="normaltextrun"/>
                <w:sz w:val="20"/>
                <w:szCs w:val="20"/>
              </w:rPr>
              <w:t>: Q1222_01</w:t>
            </w:r>
            <w:r w:rsidRPr="003872CA">
              <w:rPr>
                <w:rStyle w:val="eop"/>
                <w:sz w:val="20"/>
                <w:szCs w:val="20"/>
              </w:rPr>
              <w:t> </w:t>
            </w:r>
          </w:p>
          <w:p w14:paraId="0B69BBE1" w14:textId="77777777" w:rsidR="00CF5712" w:rsidRPr="003872CA" w:rsidRDefault="00CF5712" w:rsidP="00304B2F">
            <w:pPr>
              <w:pStyle w:val="paragraph"/>
              <w:spacing w:before="0" w:beforeAutospacing="0" w:after="0" w:afterAutospacing="0"/>
              <w:textAlignment w:val="baseline"/>
              <w:rPr>
                <w:sz w:val="20"/>
                <w:szCs w:val="20"/>
              </w:rPr>
            </w:pPr>
            <w:r w:rsidRPr="003872CA">
              <w:rPr>
                <w:rStyle w:val="normaltextrun"/>
                <w:sz w:val="20"/>
                <w:szCs w:val="20"/>
              </w:rPr>
              <w:t>Could a two-phase development, purchased as one project, be submitted for Credits as one project under one application, given the scoring is the same for both phases?</w:t>
            </w:r>
            <w:r w:rsidRPr="003872CA">
              <w:rPr>
                <w:rStyle w:val="eop"/>
                <w:sz w:val="20"/>
                <w:szCs w:val="20"/>
              </w:rPr>
              <w:t> </w:t>
            </w:r>
          </w:p>
          <w:p w14:paraId="72595617" w14:textId="77777777" w:rsidR="00CF5712" w:rsidRPr="003872CA" w:rsidRDefault="00CF5712" w:rsidP="00304B2F">
            <w:pPr>
              <w:pStyle w:val="paragraph"/>
              <w:spacing w:before="0" w:beforeAutospacing="0" w:after="0" w:afterAutospacing="0"/>
              <w:textAlignment w:val="baseline"/>
              <w:rPr>
                <w:sz w:val="20"/>
                <w:szCs w:val="20"/>
              </w:rPr>
            </w:pPr>
            <w:r w:rsidRPr="003872CA">
              <w:rPr>
                <w:rStyle w:val="eop"/>
                <w:sz w:val="20"/>
                <w:szCs w:val="20"/>
              </w:rPr>
              <w:t> </w:t>
            </w:r>
          </w:p>
          <w:p w14:paraId="6848A8C3" w14:textId="77777777" w:rsidR="00CF5712" w:rsidRPr="003872CA" w:rsidRDefault="00CF5712" w:rsidP="00304B2F">
            <w:pPr>
              <w:pStyle w:val="paragraph"/>
              <w:spacing w:before="0" w:beforeAutospacing="0" w:after="0" w:afterAutospacing="0"/>
              <w:textAlignment w:val="baseline"/>
              <w:rPr>
                <w:sz w:val="20"/>
                <w:szCs w:val="20"/>
              </w:rPr>
            </w:pPr>
            <w:r w:rsidRPr="003872CA">
              <w:rPr>
                <w:rStyle w:val="normaltextrun"/>
                <w:b/>
                <w:bCs/>
                <w:sz w:val="20"/>
                <w:szCs w:val="20"/>
              </w:rPr>
              <w:t>Answer</w:t>
            </w:r>
            <w:r w:rsidRPr="003872CA">
              <w:rPr>
                <w:rStyle w:val="normaltextrun"/>
                <w:sz w:val="20"/>
                <w:szCs w:val="20"/>
              </w:rPr>
              <w:t>: </w:t>
            </w:r>
            <w:r w:rsidRPr="003872CA">
              <w:rPr>
                <w:rStyle w:val="eop"/>
                <w:sz w:val="20"/>
                <w:szCs w:val="20"/>
              </w:rPr>
              <w:t> </w:t>
            </w:r>
          </w:p>
          <w:p w14:paraId="467F3D25" w14:textId="77777777" w:rsidR="00CF5712" w:rsidRPr="003872CA" w:rsidRDefault="00CF5712" w:rsidP="00304B2F">
            <w:pPr>
              <w:pStyle w:val="paragraph"/>
              <w:spacing w:before="0" w:beforeAutospacing="0" w:after="0" w:afterAutospacing="0"/>
              <w:textAlignment w:val="baseline"/>
              <w:rPr>
                <w:sz w:val="20"/>
                <w:szCs w:val="20"/>
              </w:rPr>
            </w:pPr>
            <w:r w:rsidRPr="003872CA">
              <w:rPr>
                <w:rStyle w:val="normaltextrun"/>
                <w:sz w:val="20"/>
                <w:szCs w:val="20"/>
              </w:rPr>
              <w:t>Yes, assuming the combined application meets all applicable requirements in the QAP, combining both phases of a multi-phase development for one tax credit application is allowed. </w:t>
            </w:r>
            <w:r w:rsidRPr="003872CA">
              <w:rPr>
                <w:rStyle w:val="eop"/>
                <w:sz w:val="20"/>
                <w:szCs w:val="20"/>
              </w:rPr>
              <w:t> </w:t>
            </w:r>
          </w:p>
          <w:p w14:paraId="1A599B65" w14:textId="77777777" w:rsidR="00CF5712" w:rsidRPr="003872CA" w:rsidRDefault="00CF5712" w:rsidP="00304B2F">
            <w:pPr>
              <w:pStyle w:val="paragraph"/>
              <w:spacing w:before="0" w:beforeAutospacing="0" w:after="0" w:afterAutospacing="0"/>
              <w:textAlignment w:val="baseline"/>
              <w:rPr>
                <w:sz w:val="20"/>
                <w:szCs w:val="20"/>
              </w:rPr>
            </w:pPr>
            <w:r w:rsidRPr="003872CA">
              <w:rPr>
                <w:rStyle w:val="eop"/>
                <w:sz w:val="20"/>
                <w:szCs w:val="20"/>
              </w:rPr>
              <w:t> </w:t>
            </w:r>
          </w:p>
          <w:p w14:paraId="7AAB3B31" w14:textId="77777777" w:rsidR="00CF5712" w:rsidRPr="003872CA" w:rsidRDefault="00CF5712" w:rsidP="00304B2F">
            <w:pPr>
              <w:pStyle w:val="paragraph"/>
              <w:spacing w:before="0" w:beforeAutospacing="0" w:after="0" w:afterAutospacing="0"/>
              <w:textAlignment w:val="baseline"/>
              <w:rPr>
                <w:sz w:val="20"/>
                <w:szCs w:val="20"/>
              </w:rPr>
            </w:pPr>
            <w:r w:rsidRPr="003872CA">
              <w:rPr>
                <w:rStyle w:val="normaltextrun"/>
                <w:sz w:val="20"/>
                <w:szCs w:val="20"/>
              </w:rPr>
              <w:t>Please also see the following QAP excerpts that may be applicable, depending on the circumstances: </w:t>
            </w:r>
            <w:r w:rsidRPr="003872CA">
              <w:rPr>
                <w:rStyle w:val="eop"/>
                <w:sz w:val="20"/>
                <w:szCs w:val="20"/>
              </w:rPr>
              <w:t> </w:t>
            </w:r>
          </w:p>
          <w:p w14:paraId="160ACE46" w14:textId="77777777" w:rsidR="00CF5712" w:rsidRPr="003872CA" w:rsidRDefault="00CF5712" w:rsidP="00304B2F">
            <w:pPr>
              <w:pStyle w:val="paragraph"/>
              <w:spacing w:before="0" w:beforeAutospacing="0" w:after="0" w:afterAutospacing="0"/>
              <w:textAlignment w:val="baseline"/>
              <w:rPr>
                <w:sz w:val="20"/>
                <w:szCs w:val="20"/>
              </w:rPr>
            </w:pPr>
            <w:r w:rsidRPr="003872CA">
              <w:rPr>
                <w:rStyle w:val="eop"/>
                <w:sz w:val="20"/>
                <w:szCs w:val="20"/>
              </w:rPr>
              <w:t> </w:t>
            </w:r>
          </w:p>
          <w:p w14:paraId="3798167E" w14:textId="77777777" w:rsidR="00CF5712" w:rsidRPr="003872CA" w:rsidRDefault="00CF5712" w:rsidP="00304B2F">
            <w:pPr>
              <w:pStyle w:val="paragraph"/>
              <w:numPr>
                <w:ilvl w:val="0"/>
                <w:numId w:val="10"/>
              </w:numPr>
              <w:spacing w:before="0" w:beforeAutospacing="0" w:after="0" w:afterAutospacing="0"/>
              <w:ind w:left="1080" w:firstLine="0"/>
              <w:textAlignment w:val="baseline"/>
              <w:rPr>
                <w:sz w:val="20"/>
                <w:szCs w:val="20"/>
              </w:rPr>
            </w:pPr>
            <w:r w:rsidRPr="003872CA">
              <w:rPr>
                <w:rStyle w:val="normaltextrun"/>
                <w:sz w:val="20"/>
                <w:szCs w:val="20"/>
              </w:rPr>
              <w:t>(</w:t>
            </w:r>
            <w:r w:rsidRPr="003872CA">
              <w:rPr>
                <w:rStyle w:val="normaltextrun"/>
                <w:b/>
                <w:bCs/>
                <w:sz w:val="20"/>
                <w:szCs w:val="20"/>
              </w:rPr>
              <w:t>Core Plan</w:t>
            </w:r>
            <w:r w:rsidRPr="003872CA">
              <w:rPr>
                <w:rStyle w:val="normaltextrun"/>
                <w:sz w:val="20"/>
                <w:szCs w:val="20"/>
              </w:rPr>
              <w:t xml:space="preserve">), </w:t>
            </w:r>
            <w:r w:rsidRPr="003872CA">
              <w:rPr>
                <w:rStyle w:val="normaltextrun"/>
                <w:b/>
                <w:bCs/>
                <w:sz w:val="20"/>
                <w:szCs w:val="20"/>
              </w:rPr>
              <w:t>Eligibility of Certain Project Configurations</w:t>
            </w:r>
            <w:r w:rsidRPr="003872CA">
              <w:rPr>
                <w:rStyle w:val="normaltextrun"/>
                <w:sz w:val="20"/>
                <w:szCs w:val="20"/>
              </w:rPr>
              <w:t xml:space="preserve">, subsection </w:t>
            </w:r>
            <w:r w:rsidRPr="003872CA">
              <w:rPr>
                <w:rStyle w:val="normaltextrun"/>
                <w:b/>
                <w:bCs/>
                <w:sz w:val="20"/>
                <w:szCs w:val="20"/>
              </w:rPr>
              <w:t>A. Eligibility of Scattered Sites</w:t>
            </w:r>
            <w:r w:rsidRPr="003872CA">
              <w:rPr>
                <w:rStyle w:val="normaltextrun"/>
                <w:sz w:val="20"/>
                <w:szCs w:val="20"/>
              </w:rPr>
              <w:t> </w:t>
            </w:r>
            <w:r w:rsidRPr="003872CA">
              <w:rPr>
                <w:rStyle w:val="eop"/>
                <w:sz w:val="20"/>
                <w:szCs w:val="20"/>
              </w:rPr>
              <w:t> </w:t>
            </w:r>
          </w:p>
          <w:p w14:paraId="60A3A90D" w14:textId="77777777" w:rsidR="00CF5712" w:rsidRPr="003872CA" w:rsidRDefault="00CF5712" w:rsidP="00304B2F">
            <w:pPr>
              <w:pStyle w:val="paragraph"/>
              <w:numPr>
                <w:ilvl w:val="0"/>
                <w:numId w:val="10"/>
              </w:numPr>
              <w:spacing w:before="0" w:beforeAutospacing="0" w:after="0" w:afterAutospacing="0"/>
              <w:ind w:left="1080" w:firstLine="0"/>
              <w:textAlignment w:val="baseline"/>
              <w:rPr>
                <w:sz w:val="20"/>
                <w:szCs w:val="20"/>
              </w:rPr>
            </w:pPr>
            <w:r w:rsidRPr="003872CA">
              <w:rPr>
                <w:rStyle w:val="normaltextrun"/>
                <w:b/>
                <w:bCs/>
                <w:sz w:val="20"/>
                <w:szCs w:val="20"/>
              </w:rPr>
              <w:t>(Core Plan) 4% Federal Credit – Bond Financed Projects</w:t>
            </w:r>
            <w:r w:rsidRPr="003872CA">
              <w:rPr>
                <w:rStyle w:val="normaltextrun"/>
                <w:sz w:val="20"/>
                <w:szCs w:val="20"/>
              </w:rPr>
              <w:t xml:space="preserve">, subsection </w:t>
            </w:r>
            <w:r w:rsidRPr="003872CA">
              <w:rPr>
                <w:rStyle w:val="normaltextrun"/>
                <w:b/>
                <w:bCs/>
                <w:sz w:val="20"/>
                <w:szCs w:val="20"/>
              </w:rPr>
              <w:t>B. Application Restrictions:</w:t>
            </w:r>
            <w:r w:rsidRPr="003872CA">
              <w:rPr>
                <w:rStyle w:val="normaltextrun"/>
                <w:sz w:val="20"/>
                <w:szCs w:val="20"/>
              </w:rPr>
              <w:t xml:space="preserve"> For purposes of 4% Credit Applications, “Scattered site applications are only eligible for consideration if proposing rehabilitation of properties funded by USDA, a RAD conversion, or approved during the Pre-Application process.”</w:t>
            </w:r>
          </w:p>
        </w:tc>
      </w:tr>
      <w:tr w:rsidR="00CF5712" w:rsidRPr="00FC6043" w14:paraId="6115F98D" w14:textId="77777777" w:rsidTr="00E91E6E">
        <w:trPr>
          <w:jc w:val="center"/>
        </w:trPr>
        <w:tc>
          <w:tcPr>
            <w:tcW w:w="2157" w:type="dxa"/>
            <w:shd w:val="clear" w:color="auto" w:fill="auto"/>
            <w:tcMar>
              <w:top w:w="72" w:type="dxa"/>
              <w:left w:w="115" w:type="dxa"/>
              <w:bottom w:w="72" w:type="dxa"/>
              <w:right w:w="115" w:type="dxa"/>
            </w:tcMar>
            <w:vAlign w:val="center"/>
          </w:tcPr>
          <w:p w14:paraId="70C3C84E"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21E846DC"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 xml:space="preserve">1.13 </w:t>
            </w:r>
          </w:p>
          <w:p w14:paraId="66F321F0"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 xml:space="preserve">Core Plan; </w:t>
            </w:r>
          </w:p>
          <w:p w14:paraId="1869E0FC" w14:textId="77777777" w:rsidR="00CF5712" w:rsidRPr="003872CA"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lastRenderedPageBreak/>
              <w:t>Submission Requirements And Award Limitations</w:t>
            </w:r>
          </w:p>
          <w:p w14:paraId="30E8F37F" w14:textId="77777777" w:rsidR="00CF5712" w:rsidRPr="003872CA" w:rsidRDefault="00CF5712" w:rsidP="00304B2F">
            <w:pPr>
              <w:rPr>
                <w:rFonts w:ascii="Times New Roman" w:hAnsi="Times New Roman" w:cs="Times New Roman"/>
                <w:noProof/>
                <w:sz w:val="20"/>
                <w:szCs w:val="20"/>
              </w:rPr>
            </w:pPr>
          </w:p>
          <w:p w14:paraId="73D221B4" w14:textId="77777777" w:rsidR="00CF5712" w:rsidRPr="003872CA" w:rsidRDefault="00CF5712" w:rsidP="00304B2F">
            <w:pPr>
              <w:rPr>
                <w:rFonts w:ascii="Times New Roman" w:hAnsi="Times New Roman" w:cs="Times New Roman"/>
                <w:noProof/>
                <w:sz w:val="20"/>
                <w:szCs w:val="20"/>
              </w:rPr>
            </w:pPr>
          </w:p>
          <w:p w14:paraId="5F63FD09" w14:textId="77777777" w:rsidR="00CF5712" w:rsidRPr="00FC6043" w:rsidRDefault="00CF5712" w:rsidP="00304B2F">
            <w:pPr>
              <w:rPr>
                <w:rFonts w:ascii="Times New Roman" w:hAnsi="Times New Roman" w:cs="Times New Roman"/>
                <w:sz w:val="20"/>
                <w:szCs w:val="20"/>
              </w:rPr>
            </w:pPr>
            <w:r w:rsidRPr="003872CA">
              <w:rPr>
                <w:rFonts w:ascii="Times New Roman" w:hAnsi="Times New Roman" w:cs="Times New Roman"/>
                <w:noProof/>
                <w:sz w:val="20"/>
                <w:szCs w:val="20"/>
              </w:rPr>
              <w:t>(also 2.15 Threshold; Rehabilitation Standards)</w:t>
            </w:r>
          </w:p>
        </w:tc>
        <w:tc>
          <w:tcPr>
            <w:tcW w:w="9590" w:type="dxa"/>
            <w:shd w:val="clear" w:color="auto" w:fill="auto"/>
            <w:tcMar>
              <w:top w:w="72" w:type="dxa"/>
              <w:left w:w="115" w:type="dxa"/>
              <w:bottom w:w="72" w:type="dxa"/>
              <w:right w:w="115" w:type="dxa"/>
            </w:tcMar>
            <w:vAlign w:val="center"/>
          </w:tcPr>
          <w:p w14:paraId="19EF2BD9"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lastRenderedPageBreak/>
              <w:t>Question</w:t>
            </w:r>
            <w:r w:rsidRPr="00FC6043">
              <w:rPr>
                <w:rFonts w:ascii="Times New Roman" w:eastAsia="Times New Roman" w:hAnsi="Times New Roman" w:cs="Times New Roman"/>
                <w:sz w:val="20"/>
                <w:szCs w:val="20"/>
              </w:rPr>
              <w:t>: Q22_0309_03 </w:t>
            </w:r>
          </w:p>
          <w:p w14:paraId="0771D4B0"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I see that the </w:t>
            </w:r>
            <w:r w:rsidRPr="00FC6043">
              <w:rPr>
                <w:rFonts w:ascii="Times New Roman" w:eastAsia="Times New Roman" w:hAnsi="Times New Roman" w:cs="Times New Roman"/>
                <w:i/>
                <w:iCs/>
                <w:sz w:val="20"/>
                <w:szCs w:val="20"/>
              </w:rPr>
              <w:t>"</w:t>
            </w:r>
            <w:r w:rsidRPr="00FC6043">
              <w:rPr>
                <w:rFonts w:ascii="Times New Roman" w:eastAsia="Times New Roman" w:hAnsi="Times New Roman" w:cs="Times New Roman"/>
                <w:sz w:val="20"/>
                <w:szCs w:val="20"/>
              </w:rPr>
              <w:t>Rehabilitation Work Scope Form</w:t>
            </w:r>
            <w:r w:rsidRPr="00FC6043">
              <w:rPr>
                <w:rFonts w:ascii="Times New Roman" w:eastAsia="Times New Roman" w:hAnsi="Times New Roman" w:cs="Times New Roman"/>
                <w:i/>
                <w:iCs/>
                <w:sz w:val="20"/>
                <w:szCs w:val="20"/>
              </w:rPr>
              <w:t xml:space="preserve">" </w:t>
            </w:r>
            <w:r w:rsidRPr="00FC6043">
              <w:rPr>
                <w:rFonts w:ascii="Times New Roman" w:eastAsia="Times New Roman" w:hAnsi="Times New Roman" w:cs="Times New Roman"/>
                <w:sz w:val="20"/>
                <w:szCs w:val="20"/>
              </w:rPr>
              <w:t>is due at Pre-Application submission.</w:t>
            </w:r>
            <w:r w:rsidRPr="00FC6043">
              <w:rPr>
                <w:rFonts w:ascii="Times New Roman" w:eastAsia="Times New Roman" w:hAnsi="Times New Roman" w:cs="Times New Roman"/>
                <w:i/>
                <w:iCs/>
                <w:sz w:val="20"/>
                <w:szCs w:val="20"/>
              </w:rPr>
              <w:t xml:space="preserve"> </w:t>
            </w:r>
            <w:r w:rsidRPr="00FC6043">
              <w:rPr>
                <w:rFonts w:ascii="Times New Roman" w:eastAsia="Times New Roman" w:hAnsi="Times New Roman" w:cs="Times New Roman"/>
                <w:b/>
                <w:bCs/>
                <w:sz w:val="20"/>
                <w:szCs w:val="20"/>
              </w:rPr>
              <w:t>(Threshold Criteria) Rehabilitation Standards</w:t>
            </w:r>
            <w:r w:rsidRPr="00FC6043">
              <w:rPr>
                <w:rFonts w:ascii="Times New Roman" w:eastAsia="Times New Roman" w:hAnsi="Times New Roman" w:cs="Times New Roman"/>
                <w:sz w:val="20"/>
                <w:szCs w:val="20"/>
              </w:rPr>
              <w:t xml:space="preserve"> states the following in its discussion of this form: “DCA must be able to determine that </w:t>
            </w:r>
            <w:r w:rsidRPr="00FC6043">
              <w:rPr>
                <w:rFonts w:ascii="Times New Roman" w:eastAsia="Times New Roman" w:hAnsi="Times New Roman" w:cs="Times New Roman"/>
                <w:sz w:val="20"/>
                <w:szCs w:val="20"/>
              </w:rPr>
              <w:lastRenderedPageBreak/>
              <w:t>the work scope addresses…All remediation issues identified in the Phase I Environmental Site Assessment.” Does this mean that the Phase I is required at Pre-Application submission?  </w:t>
            </w:r>
          </w:p>
          <w:p w14:paraId="34F927E6"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557C72BA"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224A310C"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No, the Phase I is not required at Pre-Application. The above comment is asking about </w:t>
            </w:r>
            <w:r w:rsidRPr="00FC6043">
              <w:rPr>
                <w:rFonts w:ascii="Times New Roman" w:eastAsia="Times New Roman" w:hAnsi="Times New Roman" w:cs="Times New Roman"/>
                <w:b/>
                <w:bCs/>
                <w:sz w:val="20"/>
                <w:szCs w:val="20"/>
              </w:rPr>
              <w:t>(Threshold Criteria) Rehabilitation Standards</w:t>
            </w:r>
            <w:r w:rsidRPr="00FC6043">
              <w:rPr>
                <w:rFonts w:ascii="Times New Roman" w:eastAsia="Times New Roman" w:hAnsi="Times New Roman" w:cs="Times New Roman"/>
                <w:sz w:val="20"/>
                <w:szCs w:val="20"/>
              </w:rPr>
              <w:t xml:space="preserve"> as it pertains to </w:t>
            </w:r>
            <w:r w:rsidRPr="00FC6043">
              <w:rPr>
                <w:rFonts w:ascii="Times New Roman" w:eastAsia="Times New Roman" w:hAnsi="Times New Roman" w:cs="Times New Roman"/>
                <w:b/>
                <w:bCs/>
                <w:sz w:val="20"/>
                <w:szCs w:val="20"/>
              </w:rPr>
              <w:t>(Core Plan) Application Submission Requirements</w:t>
            </w:r>
            <w:r w:rsidRPr="00FC6043">
              <w:rPr>
                <w:rFonts w:ascii="Times New Roman" w:eastAsia="Times New Roman" w:hAnsi="Times New Roman" w:cs="Times New Roman"/>
                <w:sz w:val="20"/>
                <w:szCs w:val="20"/>
              </w:rPr>
              <w:t xml:space="preserve">, subsection </w:t>
            </w:r>
            <w:r w:rsidRPr="00FC6043">
              <w:rPr>
                <w:rFonts w:ascii="Times New Roman" w:eastAsia="Times New Roman" w:hAnsi="Times New Roman" w:cs="Times New Roman"/>
                <w:b/>
                <w:bCs/>
                <w:sz w:val="20"/>
                <w:szCs w:val="20"/>
              </w:rPr>
              <w:t>A. Pre-Determinations and Waivers</w:t>
            </w:r>
            <w:r w:rsidRPr="00FC6043">
              <w:rPr>
                <w:rFonts w:ascii="Times New Roman" w:eastAsia="Times New Roman" w:hAnsi="Times New Roman" w:cs="Times New Roman"/>
                <w:sz w:val="20"/>
                <w:szCs w:val="20"/>
              </w:rPr>
              <w:t>, where it states: “</w:t>
            </w:r>
            <w:r w:rsidRPr="00FC6043">
              <w:rPr>
                <w:rFonts w:ascii="Times New Roman" w:eastAsia="Times New Roman" w:hAnsi="Times New Roman" w:cs="Times New Roman"/>
                <w:i/>
                <w:iCs/>
                <w:sz w:val="20"/>
                <w:szCs w:val="20"/>
              </w:rPr>
              <w:t>Applications proposing rehabilitation or Adaptive Reuse [must submit the] DCA Rehabilitation Work Scope Form.</w:t>
            </w:r>
            <w:r w:rsidRPr="00FC6043">
              <w:rPr>
                <w:rFonts w:ascii="Times New Roman" w:eastAsia="Times New Roman" w:hAnsi="Times New Roman" w:cs="Times New Roman"/>
                <w:sz w:val="20"/>
                <w:szCs w:val="20"/>
              </w:rPr>
              <w:t>”  </w:t>
            </w:r>
          </w:p>
          <w:p w14:paraId="13486D48"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5C95276A"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The Rehabilitation Work Scope Form only needs to be completed insofar as it supports a Pre-Application request (primarily this refers to Architectural Standards waivers and Accessibility waivers). None of the “Pre-Determinations” listed in this section of Core Plan pertain to environmental remediation, therefore any portion of the Rehabilitation Work Scope Form pertaining to the Phase I need not be completed by the Pre-Application deadline.  </w:t>
            </w:r>
          </w:p>
        </w:tc>
      </w:tr>
      <w:tr w:rsidR="00CF5712" w:rsidRPr="00FC6043" w14:paraId="6FF5C2BE" w14:textId="77777777" w:rsidTr="00E91E6E">
        <w:trPr>
          <w:jc w:val="center"/>
        </w:trPr>
        <w:tc>
          <w:tcPr>
            <w:tcW w:w="2157" w:type="dxa"/>
            <w:shd w:val="clear" w:color="auto" w:fill="auto"/>
            <w:tcMar>
              <w:top w:w="72" w:type="dxa"/>
              <w:left w:w="115" w:type="dxa"/>
              <w:bottom w:w="72" w:type="dxa"/>
              <w:right w:w="115" w:type="dxa"/>
            </w:tcMar>
            <w:vAlign w:val="center"/>
          </w:tcPr>
          <w:p w14:paraId="23139394"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3/9/22</w:t>
            </w:r>
          </w:p>
        </w:tc>
        <w:tc>
          <w:tcPr>
            <w:tcW w:w="2198" w:type="dxa"/>
            <w:shd w:val="clear" w:color="auto" w:fill="auto"/>
            <w:tcMar>
              <w:top w:w="72" w:type="dxa"/>
              <w:left w:w="115" w:type="dxa"/>
              <w:bottom w:w="72" w:type="dxa"/>
              <w:right w:w="115" w:type="dxa"/>
            </w:tcMar>
            <w:vAlign w:val="center"/>
          </w:tcPr>
          <w:p w14:paraId="41116A2F"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 xml:space="preserve">1.13 </w:t>
            </w:r>
          </w:p>
          <w:p w14:paraId="5423699C"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 xml:space="preserve">Core Plan; </w:t>
            </w:r>
          </w:p>
          <w:p w14:paraId="6D976C05" w14:textId="77777777" w:rsidR="00CF5712" w:rsidRPr="003872CA" w:rsidRDefault="00CF5712" w:rsidP="00304B2F">
            <w:pPr>
              <w:rPr>
                <w:rFonts w:ascii="Times New Roman" w:hAnsi="Times New Roman" w:cs="Times New Roman"/>
                <w:noProof/>
                <w:sz w:val="20"/>
                <w:szCs w:val="20"/>
              </w:rPr>
            </w:pPr>
            <w:r w:rsidRPr="00FC6043">
              <w:rPr>
                <w:rFonts w:ascii="Times New Roman" w:hAnsi="Times New Roman" w:cs="Times New Roman"/>
                <w:noProof/>
                <w:sz w:val="20"/>
                <w:szCs w:val="20"/>
              </w:rPr>
              <w:t>Submission Requirements And Award Limitations</w:t>
            </w:r>
          </w:p>
          <w:p w14:paraId="651800AA" w14:textId="77777777" w:rsidR="00CF5712" w:rsidRPr="003872CA" w:rsidRDefault="00CF5712" w:rsidP="00304B2F">
            <w:pPr>
              <w:rPr>
                <w:rFonts w:ascii="Times New Roman" w:hAnsi="Times New Roman" w:cs="Times New Roman"/>
                <w:noProof/>
                <w:sz w:val="20"/>
                <w:szCs w:val="20"/>
              </w:rPr>
            </w:pPr>
          </w:p>
          <w:p w14:paraId="64DE558B" w14:textId="77777777" w:rsidR="00CF5712" w:rsidRPr="003872CA" w:rsidRDefault="00CF5712" w:rsidP="00304B2F">
            <w:pPr>
              <w:rPr>
                <w:rFonts w:ascii="Times New Roman" w:hAnsi="Times New Roman" w:cs="Times New Roman"/>
                <w:noProof/>
                <w:sz w:val="20"/>
                <w:szCs w:val="20"/>
              </w:rPr>
            </w:pPr>
          </w:p>
          <w:p w14:paraId="4084A2E4" w14:textId="77777777" w:rsidR="00CF5712" w:rsidRPr="00FC6043" w:rsidRDefault="00CF5712" w:rsidP="00304B2F">
            <w:pPr>
              <w:rPr>
                <w:rFonts w:ascii="Times New Roman" w:hAnsi="Times New Roman" w:cs="Times New Roman"/>
                <w:sz w:val="20"/>
                <w:szCs w:val="20"/>
              </w:rPr>
            </w:pPr>
            <w:r w:rsidRPr="003872CA">
              <w:rPr>
                <w:rFonts w:ascii="Times New Roman" w:hAnsi="Times New Roman" w:cs="Times New Roman"/>
                <w:noProof/>
                <w:sz w:val="20"/>
                <w:szCs w:val="20"/>
              </w:rPr>
              <w:t>(also 2.20 Threshold; Experience, Capacity, and Performance Requirements)</w:t>
            </w:r>
          </w:p>
        </w:tc>
        <w:tc>
          <w:tcPr>
            <w:tcW w:w="9590" w:type="dxa"/>
            <w:shd w:val="clear" w:color="auto" w:fill="auto"/>
            <w:tcMar>
              <w:top w:w="72" w:type="dxa"/>
              <w:left w:w="115" w:type="dxa"/>
              <w:bottom w:w="72" w:type="dxa"/>
              <w:right w:w="115" w:type="dxa"/>
            </w:tcMar>
            <w:vAlign w:val="center"/>
          </w:tcPr>
          <w:p w14:paraId="3B69E629"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Q22_0309_02 </w:t>
            </w:r>
          </w:p>
          <w:p w14:paraId="68AF8ADC"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If we are not looking to be reviewed for Qualifications at Pre-Application Submission and do not plan to submit any waivers, what do we need to submit on March 11th? </w:t>
            </w:r>
          </w:p>
          <w:p w14:paraId="316EFD34"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09F48138"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040E0635"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If you are not requesting a Pre-Application stage qualifications review under </w:t>
            </w:r>
            <w:r w:rsidRPr="00FC6043">
              <w:rPr>
                <w:rFonts w:ascii="Times New Roman" w:eastAsia="Times New Roman" w:hAnsi="Times New Roman" w:cs="Times New Roman"/>
                <w:b/>
                <w:bCs/>
                <w:sz w:val="20"/>
                <w:szCs w:val="20"/>
              </w:rPr>
              <w:t>(Threshold Criteria) Experience, Capacity, and Performance Requirements</w:t>
            </w:r>
            <w:r w:rsidRPr="00FC6043">
              <w:rPr>
                <w:rFonts w:ascii="Times New Roman" w:eastAsia="Times New Roman" w:hAnsi="Times New Roman" w:cs="Times New Roman"/>
                <w:sz w:val="20"/>
                <w:szCs w:val="20"/>
              </w:rPr>
              <w:t>, and none of the items that must be reviewed during the Pre-Application stage apply to your proposed development, then you are not required to submit anything by the Pre-Application deadline.  </w:t>
            </w:r>
          </w:p>
          <w:p w14:paraId="2910CFF6"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0506C665"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Please note that there are certain items that must be reviewed at Pre-Application that are neither waivers nor a qualifications review, for example the “Scattered Site Legal Opinion” and the “State basis boost” request listed under </w:t>
            </w:r>
            <w:r w:rsidRPr="00FC6043">
              <w:rPr>
                <w:rFonts w:ascii="Times New Roman" w:eastAsia="Times New Roman" w:hAnsi="Times New Roman" w:cs="Times New Roman"/>
                <w:b/>
                <w:bCs/>
                <w:sz w:val="20"/>
                <w:szCs w:val="20"/>
              </w:rPr>
              <w:t>(Core Plan) Submission Requirements and Award Limitations</w:t>
            </w:r>
            <w:r w:rsidRPr="00FC6043">
              <w:rPr>
                <w:rFonts w:ascii="Times New Roman" w:eastAsia="Times New Roman" w:hAnsi="Times New Roman" w:cs="Times New Roman"/>
                <w:sz w:val="20"/>
                <w:szCs w:val="20"/>
              </w:rPr>
              <w:t xml:space="preserve">, subsection </w:t>
            </w:r>
            <w:r w:rsidRPr="00FC6043">
              <w:rPr>
                <w:rFonts w:ascii="Times New Roman" w:eastAsia="Times New Roman" w:hAnsi="Times New Roman" w:cs="Times New Roman"/>
                <w:b/>
                <w:bCs/>
                <w:sz w:val="20"/>
                <w:szCs w:val="20"/>
              </w:rPr>
              <w:t>A. Pre-Determinations and Waivers</w:t>
            </w:r>
            <w:r w:rsidRPr="00FC6043">
              <w:rPr>
                <w:rFonts w:ascii="Times New Roman" w:eastAsia="Times New Roman" w:hAnsi="Times New Roman" w:cs="Times New Roman"/>
                <w:sz w:val="20"/>
                <w:szCs w:val="20"/>
              </w:rPr>
              <w:t>.  </w:t>
            </w:r>
          </w:p>
        </w:tc>
      </w:tr>
      <w:tr w:rsidR="00CF5712" w:rsidRPr="00FC6043" w14:paraId="4988141F" w14:textId="77777777" w:rsidTr="00E91E6E">
        <w:trPr>
          <w:jc w:val="center"/>
        </w:trPr>
        <w:tc>
          <w:tcPr>
            <w:tcW w:w="2157" w:type="dxa"/>
            <w:shd w:val="clear" w:color="auto" w:fill="auto"/>
            <w:tcMar>
              <w:top w:w="72" w:type="dxa"/>
              <w:left w:w="115" w:type="dxa"/>
              <w:bottom w:w="72" w:type="dxa"/>
              <w:right w:w="115" w:type="dxa"/>
            </w:tcMar>
            <w:vAlign w:val="center"/>
          </w:tcPr>
          <w:p w14:paraId="423CD9C0"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337A75CA"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2.03</w:t>
            </w:r>
          </w:p>
          <w:p w14:paraId="7C059474"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Threshold Criteria;</w:t>
            </w:r>
          </w:p>
          <w:p w14:paraId="7D1D30AE"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Tenancy Characteristics</w:t>
            </w:r>
          </w:p>
        </w:tc>
        <w:tc>
          <w:tcPr>
            <w:tcW w:w="9590" w:type="dxa"/>
            <w:shd w:val="clear" w:color="auto" w:fill="auto"/>
            <w:tcMar>
              <w:top w:w="72" w:type="dxa"/>
              <w:left w:w="115" w:type="dxa"/>
              <w:bottom w:w="72" w:type="dxa"/>
              <w:right w:w="115" w:type="dxa"/>
            </w:tcMar>
            <w:vAlign w:val="center"/>
          </w:tcPr>
          <w:p w14:paraId="63E17DDE"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Q1222_01 </w:t>
            </w:r>
          </w:p>
          <w:p w14:paraId="5CA694D3"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Can a project have both Family and Elderly tenancy, with a small portion of units set aside for Elderly? </w:t>
            </w:r>
          </w:p>
          <w:p w14:paraId="7DA8410F"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3AD4D78F"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125E4D36"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The QAP states in </w:t>
            </w:r>
            <w:r w:rsidRPr="00FC6043">
              <w:rPr>
                <w:rFonts w:ascii="Times New Roman" w:eastAsia="Times New Roman" w:hAnsi="Times New Roman" w:cs="Times New Roman"/>
                <w:b/>
                <w:bCs/>
                <w:sz w:val="20"/>
                <w:szCs w:val="20"/>
              </w:rPr>
              <w:t>Threshold, Tenancy Characteristics</w:t>
            </w:r>
            <w:r w:rsidRPr="00FC6043">
              <w:rPr>
                <w:rFonts w:ascii="Times New Roman" w:eastAsia="Times New Roman" w:hAnsi="Times New Roman" w:cs="Times New Roman"/>
                <w:sz w:val="20"/>
                <w:szCs w:val="20"/>
              </w:rPr>
              <w:t>: </w:t>
            </w:r>
          </w:p>
          <w:p w14:paraId="46C4D64D"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085E1EF8" w14:textId="77777777" w:rsidR="00CF5712" w:rsidRPr="00FC6043" w:rsidRDefault="00CF5712" w:rsidP="00304B2F">
            <w:pPr>
              <w:ind w:left="72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w:t>
            </w:r>
            <w:r w:rsidRPr="00FC6043">
              <w:rPr>
                <w:rFonts w:ascii="Times New Roman" w:eastAsia="Times New Roman" w:hAnsi="Times New Roman" w:cs="Times New Roman"/>
                <w:i/>
                <w:iCs/>
                <w:sz w:val="20"/>
                <w:szCs w:val="20"/>
              </w:rPr>
              <w:t>All Applicants must designate the proposed development as targeting one of the following tenancies [Family, Senior (Elderly or Housing for Older Persons), Other].”</w:t>
            </w:r>
            <w:r w:rsidRPr="00FC6043">
              <w:rPr>
                <w:rFonts w:ascii="Times New Roman" w:eastAsia="Times New Roman" w:hAnsi="Times New Roman" w:cs="Times New Roman"/>
                <w:sz w:val="20"/>
                <w:szCs w:val="20"/>
              </w:rPr>
              <w:t> </w:t>
            </w:r>
          </w:p>
          <w:p w14:paraId="1DD6BF27" w14:textId="77777777" w:rsidR="00CF5712" w:rsidRPr="00FC6043" w:rsidRDefault="00CF5712" w:rsidP="00304B2F">
            <w:pPr>
              <w:ind w:left="72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526FF157"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Applicants must select one tenancy per a</w:t>
            </w:r>
            <w:r w:rsidRPr="00FC6043">
              <w:rPr>
                <w:rFonts w:ascii="Times New Roman" w:hAnsi="Times New Roman" w:cs="Times New Roman"/>
                <w:sz w:val="20"/>
                <w:szCs w:val="20"/>
              </w:rPr>
              <w:t>pplication</w:t>
            </w:r>
            <w:r w:rsidRPr="00FC6043">
              <w:rPr>
                <w:rFonts w:ascii="Times New Roman" w:eastAsia="Times New Roman" w:hAnsi="Times New Roman" w:cs="Times New Roman"/>
                <w:sz w:val="20"/>
                <w:szCs w:val="20"/>
              </w:rPr>
              <w:t>. </w:t>
            </w:r>
          </w:p>
          <w:p w14:paraId="2B8A7CF6" w14:textId="77777777" w:rsidR="00CF5712" w:rsidRPr="00FC6043" w:rsidRDefault="00CF5712" w:rsidP="00304B2F">
            <w:pPr>
              <w:textAlignment w:val="baseline"/>
              <w:rPr>
                <w:rStyle w:val="normaltextrun"/>
                <w:rFonts w:ascii="Times New Roman" w:eastAsia="Times New Roman" w:hAnsi="Times New Roman" w:cs="Times New Roman"/>
                <w:sz w:val="20"/>
                <w:szCs w:val="20"/>
              </w:rPr>
            </w:pPr>
          </w:p>
          <w:p w14:paraId="7AE8A17C" w14:textId="77777777" w:rsidR="00CF5712" w:rsidRPr="00FC6043" w:rsidRDefault="00CF5712" w:rsidP="00304B2F">
            <w:pPr>
              <w:textAlignment w:val="baseline"/>
              <w:rPr>
                <w:rStyle w:val="normaltextrun"/>
                <w:rFonts w:ascii="Times New Roman" w:eastAsia="Times New Roman" w:hAnsi="Times New Roman" w:cs="Times New Roman"/>
                <w:sz w:val="20"/>
                <w:szCs w:val="20"/>
              </w:rPr>
            </w:pPr>
            <w:r w:rsidRPr="00FC6043">
              <w:rPr>
                <w:rStyle w:val="normaltextrun"/>
                <w:rFonts w:ascii="Times New Roman" w:eastAsia="Times New Roman" w:hAnsi="Times New Roman" w:cs="Times New Roman"/>
                <w:sz w:val="20"/>
                <w:szCs w:val="20"/>
              </w:rPr>
              <w:lastRenderedPageBreak/>
              <w:t>Included in this question was the comment that “[This tenancy circumstance] is not contemplated within the current QAP but was common on some projects a few decades ago.” DCA has logged this public input for purposes of 2023 QAP policy development.</w:t>
            </w:r>
          </w:p>
        </w:tc>
      </w:tr>
      <w:tr w:rsidR="00CF5712" w:rsidRPr="00FC6043" w14:paraId="1113141F" w14:textId="77777777" w:rsidTr="00E91E6E">
        <w:trPr>
          <w:jc w:val="center"/>
        </w:trPr>
        <w:tc>
          <w:tcPr>
            <w:tcW w:w="2157" w:type="dxa"/>
            <w:shd w:val="clear" w:color="auto" w:fill="auto"/>
            <w:tcMar>
              <w:top w:w="72" w:type="dxa"/>
              <w:left w:w="115" w:type="dxa"/>
              <w:bottom w:w="72" w:type="dxa"/>
              <w:right w:w="115" w:type="dxa"/>
            </w:tcMar>
            <w:vAlign w:val="center"/>
          </w:tcPr>
          <w:p w14:paraId="0478CFB1"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3/9/22</w:t>
            </w:r>
          </w:p>
        </w:tc>
        <w:tc>
          <w:tcPr>
            <w:tcW w:w="2198" w:type="dxa"/>
            <w:shd w:val="clear" w:color="auto" w:fill="auto"/>
            <w:tcMar>
              <w:top w:w="72" w:type="dxa"/>
              <w:left w:w="115" w:type="dxa"/>
              <w:bottom w:w="72" w:type="dxa"/>
              <w:right w:w="115" w:type="dxa"/>
            </w:tcMar>
            <w:vAlign w:val="center"/>
          </w:tcPr>
          <w:p w14:paraId="29C47864"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2.20 </w:t>
            </w:r>
          </w:p>
          <w:p w14:paraId="714B6BEB"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Threshold Criteria;</w:t>
            </w:r>
          </w:p>
          <w:p w14:paraId="7577FD2B" w14:textId="77777777" w:rsidR="00CF5712" w:rsidRPr="003872CA"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Experience, Capacity, and Performance Requirements for General Partner and Developer Entities</w:t>
            </w:r>
          </w:p>
          <w:p w14:paraId="173862EB" w14:textId="77777777" w:rsidR="00CF5712" w:rsidRPr="003872CA" w:rsidRDefault="00CF5712" w:rsidP="00304B2F">
            <w:pPr>
              <w:rPr>
                <w:rFonts w:ascii="Times New Roman" w:hAnsi="Times New Roman" w:cs="Times New Roman"/>
                <w:sz w:val="20"/>
                <w:szCs w:val="20"/>
              </w:rPr>
            </w:pPr>
          </w:p>
          <w:p w14:paraId="6937946E" w14:textId="77777777" w:rsidR="00CF5712" w:rsidRPr="003872CA" w:rsidRDefault="00CF5712" w:rsidP="00304B2F">
            <w:pPr>
              <w:rPr>
                <w:rFonts w:ascii="Times New Roman" w:hAnsi="Times New Roman" w:cs="Times New Roman"/>
                <w:sz w:val="20"/>
                <w:szCs w:val="20"/>
              </w:rPr>
            </w:pPr>
          </w:p>
          <w:p w14:paraId="14462F9B" w14:textId="77777777" w:rsidR="00CF5712" w:rsidRPr="00FC6043" w:rsidRDefault="00CF5712" w:rsidP="00304B2F">
            <w:pPr>
              <w:rPr>
                <w:rFonts w:ascii="Times New Roman" w:hAnsi="Times New Roman" w:cs="Times New Roman"/>
                <w:sz w:val="20"/>
                <w:szCs w:val="20"/>
              </w:rPr>
            </w:pPr>
            <w:r w:rsidRPr="003872CA">
              <w:rPr>
                <w:rFonts w:ascii="Times New Roman" w:hAnsi="Times New Roman" w:cs="Times New Roman"/>
                <w:sz w:val="20"/>
                <w:szCs w:val="20"/>
              </w:rPr>
              <w:t>(also 3.17 Scoring; Minority- and Women-Owned Business Engagement)</w:t>
            </w:r>
          </w:p>
        </w:tc>
        <w:tc>
          <w:tcPr>
            <w:tcW w:w="9590" w:type="dxa"/>
            <w:shd w:val="clear" w:color="auto" w:fill="auto"/>
            <w:tcMar>
              <w:top w:w="72" w:type="dxa"/>
              <w:left w:w="115" w:type="dxa"/>
              <w:bottom w:w="72" w:type="dxa"/>
              <w:right w:w="115" w:type="dxa"/>
            </w:tcMar>
            <w:vAlign w:val="center"/>
          </w:tcPr>
          <w:p w14:paraId="639D1982"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Q22_0309_05</w:t>
            </w:r>
            <w:r w:rsidRPr="00FC6043">
              <w:rPr>
                <w:rStyle w:val="eop"/>
                <w:sz w:val="20"/>
                <w:szCs w:val="20"/>
              </w:rPr>
              <w:t> </w:t>
            </w:r>
          </w:p>
          <w:p w14:paraId="1CE88604"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1F6A0F9D" w14:textId="77777777" w:rsidR="00CF5712" w:rsidRPr="00FC6043" w:rsidRDefault="00CF5712" w:rsidP="00304B2F">
            <w:pPr>
              <w:pStyle w:val="paragraph"/>
              <w:numPr>
                <w:ilvl w:val="0"/>
                <w:numId w:val="11"/>
              </w:numPr>
              <w:spacing w:before="0" w:beforeAutospacing="0" w:after="0" w:afterAutospacing="0"/>
              <w:ind w:left="1080" w:firstLine="0"/>
              <w:textAlignment w:val="baseline"/>
              <w:rPr>
                <w:rFonts w:eastAsia="MS Mincho"/>
                <w:sz w:val="20"/>
                <w:szCs w:val="20"/>
              </w:rPr>
            </w:pPr>
            <w:r w:rsidRPr="00FC6043">
              <w:rPr>
                <w:rStyle w:val="normaltextrun"/>
                <w:rFonts w:eastAsia="MS Mincho"/>
                <w:sz w:val="20"/>
                <w:szCs w:val="20"/>
              </w:rPr>
              <w:t>Can you provide some examples of the "evidence" of full-time employment and material participation in successful Tax Credit projects that an MBE needs to provide to qualify under Probationary Participation. If the MBE developer gained experience as an employee at another development company, then the Partnership documents, etc. would not reflect their material contribution. Can the developer provide a letter from their prior employer?</w:t>
            </w:r>
            <w:r w:rsidRPr="00FC6043">
              <w:rPr>
                <w:rStyle w:val="scxw67467753"/>
                <w:rFonts w:eastAsia="MS Mincho"/>
                <w:sz w:val="20"/>
                <w:szCs w:val="20"/>
              </w:rPr>
              <w:t> </w:t>
            </w:r>
            <w:r w:rsidRPr="00FC6043">
              <w:rPr>
                <w:rFonts w:eastAsia="MS Mincho"/>
                <w:sz w:val="20"/>
                <w:szCs w:val="20"/>
              </w:rPr>
              <w:br/>
            </w:r>
            <w:r w:rsidRPr="00FC6043">
              <w:rPr>
                <w:rStyle w:val="eop"/>
                <w:rFonts w:eastAsia="MS Mincho"/>
                <w:sz w:val="20"/>
                <w:szCs w:val="20"/>
              </w:rPr>
              <w:t> </w:t>
            </w:r>
          </w:p>
          <w:p w14:paraId="42E5AA70" w14:textId="77777777" w:rsidR="00CF5712" w:rsidRPr="00FC6043" w:rsidRDefault="00CF5712" w:rsidP="00304B2F">
            <w:pPr>
              <w:pStyle w:val="paragraph"/>
              <w:numPr>
                <w:ilvl w:val="0"/>
                <w:numId w:val="11"/>
              </w:numPr>
              <w:spacing w:before="0" w:beforeAutospacing="0" w:after="0" w:afterAutospacing="0"/>
              <w:ind w:left="1080" w:firstLine="0"/>
              <w:textAlignment w:val="baseline"/>
              <w:rPr>
                <w:rFonts w:eastAsia="MS Mincho"/>
                <w:sz w:val="20"/>
                <w:szCs w:val="20"/>
              </w:rPr>
            </w:pPr>
            <w:r w:rsidRPr="00FC6043">
              <w:rPr>
                <w:rStyle w:val="normaltextrun"/>
                <w:rFonts w:eastAsia="MS Mincho"/>
                <w:sz w:val="20"/>
                <w:szCs w:val="20"/>
              </w:rPr>
              <w:t>What type of evidence is acceptable to show that I have participated in successful Tax Credit deals? Some of my work was with another development company that I no longer work for. Will a letter from my prior employer be acceptable?</w:t>
            </w:r>
            <w:r w:rsidRPr="00FC6043">
              <w:rPr>
                <w:rStyle w:val="eop"/>
                <w:rFonts w:eastAsia="MS Mincho"/>
                <w:sz w:val="20"/>
                <w:szCs w:val="20"/>
              </w:rPr>
              <w:t> </w:t>
            </w:r>
          </w:p>
          <w:p w14:paraId="7FC8718F"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47B98A36"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33F81ED9"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50C42D84"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Please provide any evidence available to substantiate full-time employment and material participation. If DCA requires further evidence during the Pre-Application review, staff will reach out to solicit additional information. </w:t>
            </w:r>
            <w:r w:rsidRPr="00FC6043">
              <w:rPr>
                <w:rStyle w:val="eop"/>
                <w:sz w:val="20"/>
                <w:szCs w:val="20"/>
              </w:rPr>
              <w:t> </w:t>
            </w:r>
          </w:p>
        </w:tc>
      </w:tr>
      <w:tr w:rsidR="00CF5712" w:rsidRPr="00FC6043" w14:paraId="1EF7DD7C" w14:textId="77777777" w:rsidTr="00E91E6E">
        <w:trPr>
          <w:jc w:val="center"/>
        </w:trPr>
        <w:tc>
          <w:tcPr>
            <w:tcW w:w="2157" w:type="dxa"/>
            <w:shd w:val="clear" w:color="auto" w:fill="auto"/>
            <w:tcMar>
              <w:top w:w="72" w:type="dxa"/>
              <w:left w:w="115" w:type="dxa"/>
              <w:bottom w:w="72" w:type="dxa"/>
              <w:right w:w="115" w:type="dxa"/>
            </w:tcMar>
            <w:vAlign w:val="center"/>
          </w:tcPr>
          <w:p w14:paraId="23F7A3B5"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6E50244D"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2.25</w:t>
            </w:r>
          </w:p>
          <w:p w14:paraId="138D9E1A"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Threshold Criteria; </w:t>
            </w:r>
          </w:p>
          <w:p w14:paraId="3AF7164D"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sz w:val="20"/>
                <w:szCs w:val="20"/>
              </w:rPr>
              <w:t>Occupied Developments</w:t>
            </w:r>
          </w:p>
        </w:tc>
        <w:tc>
          <w:tcPr>
            <w:tcW w:w="9590" w:type="dxa"/>
            <w:shd w:val="clear" w:color="auto" w:fill="auto"/>
            <w:tcMar>
              <w:top w:w="72" w:type="dxa"/>
              <w:left w:w="115" w:type="dxa"/>
              <w:bottom w:w="72" w:type="dxa"/>
              <w:right w:w="115" w:type="dxa"/>
            </w:tcMar>
            <w:vAlign w:val="center"/>
          </w:tcPr>
          <w:p w14:paraId="341F4D0F"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Q22_0304_45 </w:t>
            </w:r>
          </w:p>
          <w:p w14:paraId="2FDBFE0F"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Page 40 of the 2022 Relocation Manual says that the "Initiation of Negotiation" date for LIHTC-only developments is the date the Applicant executes the Limited Partnership Agreement. Can you please confirm this is the date of the Amended and Restated Agreement when the property is syndicated? </w:t>
            </w:r>
          </w:p>
          <w:p w14:paraId="25AE5579"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2C11DC7F"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4444D04C"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Yes, this is the date of the Amended and Restated Agreement when the property is syndicated. </w:t>
            </w:r>
          </w:p>
        </w:tc>
      </w:tr>
      <w:tr w:rsidR="00CF5712" w:rsidRPr="00FC6043" w14:paraId="70079D00" w14:textId="77777777" w:rsidTr="00E91E6E">
        <w:trPr>
          <w:jc w:val="center"/>
        </w:trPr>
        <w:tc>
          <w:tcPr>
            <w:tcW w:w="2157" w:type="dxa"/>
            <w:shd w:val="clear" w:color="auto" w:fill="auto"/>
            <w:tcMar>
              <w:top w:w="72" w:type="dxa"/>
              <w:left w:w="115" w:type="dxa"/>
              <w:bottom w:w="72" w:type="dxa"/>
              <w:right w:w="115" w:type="dxa"/>
            </w:tcMar>
            <w:vAlign w:val="center"/>
          </w:tcPr>
          <w:p w14:paraId="25F8AAC6"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4FBC47C5"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2.28</w:t>
            </w:r>
          </w:p>
          <w:p w14:paraId="051A223E"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Threshold Criteria;</w:t>
            </w:r>
          </w:p>
          <w:p w14:paraId="56A0578C"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14:paraId="604B8A72"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Q22_0309_01 </w:t>
            </w:r>
          </w:p>
          <w:p w14:paraId="4D0B2988"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(Threshold Criteria) DCA Underwriting Policies</w:t>
            </w:r>
            <w:r w:rsidRPr="00FC6043">
              <w:rPr>
                <w:rFonts w:ascii="Times New Roman" w:eastAsia="Times New Roman" w:hAnsi="Times New Roman" w:cs="Times New Roman"/>
                <w:sz w:val="20"/>
                <w:szCs w:val="20"/>
              </w:rPr>
              <w:t xml:space="preserve">: requirement </w:t>
            </w:r>
            <w:r w:rsidRPr="00FC6043">
              <w:rPr>
                <w:rFonts w:ascii="Times New Roman" w:eastAsia="Times New Roman" w:hAnsi="Times New Roman" w:cs="Times New Roman"/>
                <w:b/>
                <w:bCs/>
                <w:sz w:val="20"/>
                <w:szCs w:val="20"/>
              </w:rPr>
              <w:t>11. Distribution across Unit / Bedroom Sizes</w:t>
            </w:r>
            <w:r w:rsidRPr="00FC6043">
              <w:rPr>
                <w:rFonts w:ascii="Times New Roman" w:eastAsia="Times New Roman" w:hAnsi="Times New Roman" w:cs="Times New Roman"/>
                <w:sz w:val="20"/>
                <w:szCs w:val="20"/>
              </w:rPr>
              <w:t>: "a) Rent. Projects with a multi-tiered rent structure must distribute the rents across unit sizes, unit types and buildings. These units need not be fixed, but may float in the same way high HOME rent and low HOME rent units may float within a project so long as the units and interior amenities are comparable." </w:t>
            </w:r>
          </w:p>
          <w:p w14:paraId="40451262"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34DF1A7C"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Can DCA confirm if this section is only applicable to Income Average unit mixes, or might it also apply to standard 40/60 deals as well?  For instance, if a 40/60 set-aside deal has x-number of units set aside at 60% AMI and x-number of units as market rate, would this distribution requirement apply, considering the combination of 60% units and market rate might be considered a "muti-tiered rent structure".  Likewise, considering a 40/60 set-aside deal that has elected deeper targeting to 58% overall, and has x-number of units at 60% AMI and x-number of units at 50% </w:t>
            </w:r>
            <w:r w:rsidRPr="00FC6043">
              <w:rPr>
                <w:rFonts w:ascii="Times New Roman" w:eastAsia="Times New Roman" w:hAnsi="Times New Roman" w:cs="Times New Roman"/>
                <w:sz w:val="20"/>
                <w:szCs w:val="20"/>
              </w:rPr>
              <w:lastRenderedPageBreak/>
              <w:t>AMI, would the 60% and 50% units in this scenario be subject to this distribution requirement, as this might be considered a "multi-tiered rent structure"?  </w:t>
            </w:r>
          </w:p>
          <w:p w14:paraId="6E07DB90"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3E7F1F52"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Is a Pre-Application waiver for Distribution Across Unit / Bedroom Sizes only necessary if the applicant is electing an Income Average set-aside and the unit mix difference between the proposed and exact units is not within 2 units? </w:t>
            </w:r>
          </w:p>
          <w:p w14:paraId="2DE157F2"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38F79982"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0DC8EBB8" w14:textId="77777777" w:rsidR="00CF5712" w:rsidRPr="00FC6043" w:rsidRDefault="00CF5712" w:rsidP="00304B2F">
            <w:pPr>
              <w:textAlignment w:val="baseline"/>
              <w:rPr>
                <w:rStyle w:val="normaltextrun"/>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The above-referenced requirement for “Projects with a multi-tiered rent structure” only applies to applications electing the Average Income Set Aside. See DCA’s Average Income Policy for more information (</w:t>
            </w:r>
            <w:hyperlink r:id="rId57" w:tgtFrame="_blank" w:history="1">
              <w:r w:rsidRPr="00FC6043">
                <w:rPr>
                  <w:rFonts w:ascii="Times New Roman" w:eastAsia="Times New Roman" w:hAnsi="Times New Roman" w:cs="Times New Roman"/>
                  <w:sz w:val="20"/>
                  <w:szCs w:val="20"/>
                  <w:u w:val="single"/>
                </w:rPr>
                <w:t>click here</w:t>
              </w:r>
            </w:hyperlink>
            <w:r w:rsidRPr="00FC6043">
              <w:rPr>
                <w:rFonts w:ascii="Times New Roman" w:eastAsia="Times New Roman" w:hAnsi="Times New Roman" w:cs="Times New Roman"/>
                <w:sz w:val="20"/>
                <w:szCs w:val="20"/>
              </w:rPr>
              <w:t xml:space="preserve"> for DCA’s Compliance Monitoring homepage, visit the “Tax Credit” page, download “</w:t>
            </w:r>
            <w:r w:rsidRPr="00FC6043">
              <w:rPr>
                <w:rFonts w:ascii="Times New Roman" w:eastAsia="Times New Roman" w:hAnsi="Times New Roman" w:cs="Times New Roman"/>
                <w:b/>
                <w:bCs/>
                <w:sz w:val="20"/>
                <w:szCs w:val="20"/>
              </w:rPr>
              <w:t>DCA's Average Income Policy (updated 2021)</w:t>
            </w:r>
            <w:r w:rsidRPr="00FC6043">
              <w:rPr>
                <w:rFonts w:ascii="Times New Roman" w:eastAsia="Times New Roman" w:hAnsi="Times New Roman" w:cs="Times New Roman"/>
                <w:sz w:val="20"/>
                <w:szCs w:val="20"/>
              </w:rPr>
              <w:t xml:space="preserve">, and view subsection </w:t>
            </w:r>
            <w:r w:rsidRPr="00FC6043">
              <w:rPr>
                <w:rFonts w:ascii="Times New Roman" w:eastAsia="Times New Roman" w:hAnsi="Times New Roman" w:cs="Times New Roman"/>
                <w:b/>
                <w:bCs/>
                <w:sz w:val="20"/>
                <w:szCs w:val="20"/>
              </w:rPr>
              <w:t>B. DCA adopted requirements and interpretations</w:t>
            </w:r>
            <w:r w:rsidRPr="00FC6043">
              <w:rPr>
                <w:rFonts w:ascii="Times New Roman" w:eastAsia="Times New Roman" w:hAnsi="Times New Roman" w:cs="Times New Roman"/>
                <w:sz w:val="20"/>
                <w:szCs w:val="20"/>
              </w:rPr>
              <w:t>”). </w:t>
            </w:r>
          </w:p>
        </w:tc>
      </w:tr>
      <w:tr w:rsidR="00CF5712" w:rsidRPr="00FC6043" w14:paraId="1BB718B5" w14:textId="77777777" w:rsidTr="00E91E6E">
        <w:trPr>
          <w:jc w:val="center"/>
        </w:trPr>
        <w:tc>
          <w:tcPr>
            <w:tcW w:w="2157" w:type="dxa"/>
            <w:shd w:val="clear" w:color="auto" w:fill="auto"/>
            <w:tcMar>
              <w:top w:w="72" w:type="dxa"/>
              <w:left w:w="115" w:type="dxa"/>
              <w:bottom w:w="72" w:type="dxa"/>
              <w:right w:w="115" w:type="dxa"/>
            </w:tcMar>
            <w:vAlign w:val="center"/>
          </w:tcPr>
          <w:p w14:paraId="6F1EFAD0"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3/8/22</w:t>
            </w:r>
          </w:p>
        </w:tc>
        <w:tc>
          <w:tcPr>
            <w:tcW w:w="2198" w:type="dxa"/>
            <w:shd w:val="clear" w:color="auto" w:fill="auto"/>
            <w:tcMar>
              <w:top w:w="72" w:type="dxa"/>
              <w:left w:w="115" w:type="dxa"/>
              <w:bottom w:w="72" w:type="dxa"/>
              <w:right w:w="115" w:type="dxa"/>
            </w:tcMar>
            <w:vAlign w:val="center"/>
          </w:tcPr>
          <w:p w14:paraId="1288FA79"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2.20 </w:t>
            </w:r>
          </w:p>
          <w:p w14:paraId="2BFD9FA4"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Threshold Criteria;</w:t>
            </w:r>
          </w:p>
          <w:p w14:paraId="3BE22C72"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6ECFF165"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Q22_0307_02</w:t>
            </w:r>
            <w:r w:rsidRPr="00FC6043">
              <w:rPr>
                <w:rStyle w:val="eop"/>
                <w:sz w:val="20"/>
                <w:szCs w:val="20"/>
              </w:rPr>
              <w:t> </w:t>
            </w:r>
          </w:p>
          <w:p w14:paraId="3A6CA3AE"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The development team is partnering with a public housing authority who owns multiple sites and land ready for redevelopment. The project team and construction type (new) have been identified. However, the final unit mix, site location is still being defined. The ownership structure (developer and GPs) is confirmed but the Proposed Ownership Entity and new GP entities specific to the deal have not been formed with Secretary of State. Can we submit a 2022 Pre-Application for Project Team Qualification Determination only?</w:t>
            </w:r>
            <w:r w:rsidRPr="00FC6043">
              <w:rPr>
                <w:rStyle w:val="eop"/>
                <w:sz w:val="20"/>
                <w:szCs w:val="20"/>
              </w:rPr>
              <w:t> </w:t>
            </w:r>
          </w:p>
          <w:p w14:paraId="74D02AF1"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710C4C7E"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 </w:t>
            </w:r>
            <w:r w:rsidRPr="00FC6043">
              <w:rPr>
                <w:rStyle w:val="eop"/>
                <w:sz w:val="20"/>
                <w:szCs w:val="20"/>
              </w:rPr>
              <w:t> </w:t>
            </w:r>
          </w:p>
          <w:p w14:paraId="7FDF822B"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 xml:space="preserve">Yes. Project team qualification determinations are made by construction type. Therefore, if a project team is in finalized and the construction type is finalized, the project team can receive a full review for purposes of </w:t>
            </w:r>
            <w:r w:rsidRPr="00FC6043">
              <w:rPr>
                <w:rStyle w:val="normaltextrun"/>
                <w:b/>
                <w:bCs/>
                <w:sz w:val="20"/>
                <w:szCs w:val="20"/>
              </w:rPr>
              <w:t xml:space="preserve">Experience, Capacity and Performance Requirements </w:t>
            </w:r>
            <w:r w:rsidRPr="00FC6043">
              <w:rPr>
                <w:rStyle w:val="contextualspellingandgrammarerror"/>
                <w:rFonts w:eastAsiaTheme="majorEastAsia"/>
                <w:b/>
                <w:bCs/>
                <w:sz w:val="20"/>
                <w:szCs w:val="20"/>
              </w:rPr>
              <w:t>For</w:t>
            </w:r>
            <w:r w:rsidRPr="00FC6043">
              <w:rPr>
                <w:rStyle w:val="normaltextrun"/>
                <w:b/>
                <w:bCs/>
                <w:sz w:val="20"/>
                <w:szCs w:val="20"/>
              </w:rPr>
              <w:t xml:space="preserve"> General Partner </w:t>
            </w:r>
            <w:r w:rsidRPr="00FC6043">
              <w:rPr>
                <w:rStyle w:val="contextualspellingandgrammarerror"/>
                <w:rFonts w:eastAsiaTheme="majorEastAsia"/>
                <w:b/>
                <w:bCs/>
                <w:sz w:val="20"/>
                <w:szCs w:val="20"/>
              </w:rPr>
              <w:t>And</w:t>
            </w:r>
            <w:r w:rsidRPr="00FC6043">
              <w:rPr>
                <w:rStyle w:val="normaltextrun"/>
                <w:b/>
                <w:bCs/>
                <w:sz w:val="20"/>
                <w:szCs w:val="20"/>
              </w:rPr>
              <w:t xml:space="preserve"> Developer Entities</w:t>
            </w:r>
            <w:r w:rsidRPr="00FC6043">
              <w:rPr>
                <w:rStyle w:val="normaltextrun"/>
                <w:sz w:val="20"/>
                <w:szCs w:val="20"/>
              </w:rPr>
              <w:t xml:space="preserve"> during the Pre-Application stage: </w:t>
            </w:r>
            <w:r w:rsidRPr="00FC6043">
              <w:rPr>
                <w:rStyle w:val="eop"/>
                <w:sz w:val="20"/>
                <w:szCs w:val="20"/>
              </w:rPr>
              <w:t> </w:t>
            </w:r>
          </w:p>
          <w:p w14:paraId="3C91AA53"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3B4011FC" w14:textId="77777777" w:rsidR="00CF5712" w:rsidRPr="00FC6043" w:rsidRDefault="00CF5712" w:rsidP="00304B2F">
            <w:pPr>
              <w:pStyle w:val="paragraph"/>
              <w:numPr>
                <w:ilvl w:val="0"/>
                <w:numId w:val="9"/>
              </w:numPr>
              <w:spacing w:before="0" w:beforeAutospacing="0" w:after="0" w:afterAutospacing="0"/>
              <w:ind w:left="1080" w:firstLine="0"/>
              <w:textAlignment w:val="baseline"/>
              <w:rPr>
                <w:sz w:val="20"/>
                <w:szCs w:val="20"/>
              </w:rPr>
            </w:pPr>
            <w:r w:rsidRPr="00FC6043">
              <w:rPr>
                <w:rStyle w:val="normaltextrun"/>
                <w:b/>
                <w:bCs/>
                <w:sz w:val="20"/>
                <w:szCs w:val="20"/>
              </w:rPr>
              <w:t xml:space="preserve">(Threshold Criteria) Experience, Capacity </w:t>
            </w:r>
            <w:r w:rsidRPr="00FC6043">
              <w:rPr>
                <w:rStyle w:val="contextualspellingandgrammarerror"/>
                <w:rFonts w:eastAsiaTheme="majorEastAsia"/>
                <w:b/>
                <w:bCs/>
                <w:sz w:val="20"/>
                <w:szCs w:val="20"/>
              </w:rPr>
              <w:t>And</w:t>
            </w:r>
            <w:r w:rsidRPr="00FC6043">
              <w:rPr>
                <w:rStyle w:val="normaltextrun"/>
                <w:b/>
                <w:bCs/>
                <w:sz w:val="20"/>
                <w:szCs w:val="20"/>
              </w:rPr>
              <w:t xml:space="preserve"> Performance Requirements </w:t>
            </w:r>
            <w:r w:rsidRPr="00FC6043">
              <w:rPr>
                <w:rStyle w:val="contextualspellingandgrammarerror"/>
                <w:rFonts w:eastAsiaTheme="majorEastAsia"/>
                <w:b/>
                <w:bCs/>
                <w:sz w:val="20"/>
                <w:szCs w:val="20"/>
              </w:rPr>
              <w:t>For</w:t>
            </w:r>
            <w:r w:rsidRPr="00FC6043">
              <w:rPr>
                <w:rStyle w:val="normaltextrun"/>
                <w:b/>
                <w:bCs/>
                <w:sz w:val="20"/>
                <w:szCs w:val="20"/>
              </w:rPr>
              <w:t xml:space="preserve"> General Partner </w:t>
            </w:r>
            <w:r w:rsidRPr="00FC6043">
              <w:rPr>
                <w:rStyle w:val="contextualspellingandgrammarerror"/>
                <w:rFonts w:eastAsiaTheme="majorEastAsia"/>
                <w:b/>
                <w:bCs/>
                <w:sz w:val="20"/>
                <w:szCs w:val="20"/>
              </w:rPr>
              <w:t>And</w:t>
            </w:r>
            <w:r w:rsidRPr="00FC6043">
              <w:rPr>
                <w:rStyle w:val="normaltextrun"/>
                <w:b/>
                <w:bCs/>
                <w:sz w:val="20"/>
                <w:szCs w:val="20"/>
              </w:rPr>
              <w:t xml:space="preserve"> Developer Entities</w:t>
            </w:r>
            <w:r w:rsidRPr="00FC6043">
              <w:rPr>
                <w:rStyle w:val="normaltextrun"/>
                <w:sz w:val="20"/>
                <w:szCs w:val="20"/>
              </w:rPr>
              <w:t>: “</w:t>
            </w:r>
            <w:r w:rsidRPr="00FC6043">
              <w:rPr>
                <w:rStyle w:val="normaltextrun"/>
                <w:i/>
                <w:iCs/>
                <w:sz w:val="20"/>
                <w:szCs w:val="20"/>
              </w:rPr>
              <w:t xml:space="preserve">Project Teams may be reviewed for qualifications at Pre-Application or Application Submission. To receive a full Threshold review at Pre-Application under this section, Applicant must have the project team and construction type finalized by Pre-Application. If either is “To Be Determined,” DCA will not conduct a </w:t>
            </w:r>
            <w:r w:rsidRPr="00FC6043">
              <w:rPr>
                <w:rStyle w:val="contextualspellingandgrammarerror"/>
                <w:rFonts w:eastAsiaTheme="majorEastAsia"/>
                <w:i/>
                <w:iCs/>
                <w:sz w:val="20"/>
                <w:szCs w:val="20"/>
              </w:rPr>
              <w:t>team qualifications</w:t>
            </w:r>
            <w:r w:rsidRPr="00FC6043">
              <w:rPr>
                <w:rStyle w:val="normaltextrun"/>
                <w:i/>
                <w:iCs/>
                <w:sz w:val="20"/>
                <w:szCs w:val="20"/>
              </w:rPr>
              <w:t xml:space="preserve"> review during the Pre-Application review phase.</w:t>
            </w:r>
            <w:r w:rsidRPr="00FC6043">
              <w:rPr>
                <w:rStyle w:val="normaltextrun"/>
                <w:sz w:val="20"/>
                <w:szCs w:val="20"/>
              </w:rPr>
              <w:t>”</w:t>
            </w:r>
            <w:r w:rsidRPr="00FC6043">
              <w:rPr>
                <w:rStyle w:val="eop"/>
                <w:sz w:val="20"/>
                <w:szCs w:val="20"/>
              </w:rPr>
              <w:t> </w:t>
            </w:r>
          </w:p>
          <w:p w14:paraId="23FED69A"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027B9490"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Further, “Project Team” is defined in (</w:t>
            </w:r>
            <w:r w:rsidRPr="00FC6043">
              <w:rPr>
                <w:rStyle w:val="normaltextrun"/>
                <w:b/>
                <w:bCs/>
                <w:sz w:val="20"/>
                <w:szCs w:val="20"/>
              </w:rPr>
              <w:t>Core Plan) Definitions</w:t>
            </w:r>
            <w:r w:rsidRPr="00FC6043">
              <w:rPr>
                <w:rStyle w:val="normaltextrun"/>
                <w:sz w:val="20"/>
                <w:szCs w:val="20"/>
              </w:rPr>
              <w:t xml:space="preserve"> as “the General Partner, Developer, Consultant and the Principal(s) thereof for a proposed.” This definition does not require that an ownership entity specific to the proposed tax credit development be registered with the Secretary of State. Where asked to specify an ownership entity in a </w:t>
            </w:r>
            <w:r w:rsidRPr="00FC6043">
              <w:rPr>
                <w:rStyle w:val="contextualspellingandgrammarerror"/>
                <w:rFonts w:eastAsiaTheme="majorEastAsia"/>
                <w:sz w:val="20"/>
                <w:szCs w:val="20"/>
              </w:rPr>
              <w:t>Pre-</w:t>
            </w:r>
            <w:r w:rsidRPr="00FC6043">
              <w:rPr>
                <w:rStyle w:val="normaltextrun"/>
                <w:sz w:val="20"/>
                <w:szCs w:val="20"/>
              </w:rPr>
              <w:t>Application form, applicants can input “TBD.”</w:t>
            </w:r>
            <w:r w:rsidRPr="00FC6043">
              <w:rPr>
                <w:rStyle w:val="eop"/>
                <w:sz w:val="20"/>
                <w:szCs w:val="20"/>
              </w:rPr>
              <w:t> </w:t>
            </w:r>
          </w:p>
          <w:p w14:paraId="59FEF7C8"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25749897"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 xml:space="preserve">Therefore, provided none of the other options listed under </w:t>
            </w:r>
            <w:r w:rsidRPr="00FC6043">
              <w:rPr>
                <w:rStyle w:val="normaltextrun"/>
                <w:b/>
                <w:bCs/>
                <w:sz w:val="20"/>
                <w:szCs w:val="20"/>
              </w:rPr>
              <w:t>(Core Plan) Submission Requirements and Award Limitations</w:t>
            </w:r>
            <w:r w:rsidRPr="00FC6043">
              <w:rPr>
                <w:rStyle w:val="normaltextrun"/>
                <w:sz w:val="20"/>
                <w:szCs w:val="20"/>
              </w:rPr>
              <w:t xml:space="preserve">, subsection </w:t>
            </w:r>
            <w:r w:rsidRPr="00FC6043">
              <w:rPr>
                <w:rStyle w:val="normaltextrun"/>
                <w:b/>
                <w:bCs/>
                <w:sz w:val="20"/>
                <w:szCs w:val="20"/>
              </w:rPr>
              <w:t>A. Pre-Determinations and Waivers</w:t>
            </w:r>
            <w:r w:rsidRPr="00FC6043">
              <w:rPr>
                <w:rStyle w:val="normaltextrun"/>
                <w:sz w:val="20"/>
                <w:szCs w:val="20"/>
              </w:rPr>
              <w:t xml:space="preserve"> applies to the application, the Project Team can </w:t>
            </w:r>
            <w:r w:rsidRPr="00FC6043">
              <w:rPr>
                <w:rStyle w:val="normaltextrun"/>
                <w:sz w:val="20"/>
                <w:szCs w:val="20"/>
              </w:rPr>
              <w:lastRenderedPageBreak/>
              <w:t xml:space="preserve">submit a </w:t>
            </w:r>
            <w:r w:rsidRPr="00FC6043">
              <w:rPr>
                <w:rStyle w:val="contextualspellingandgrammarerror"/>
                <w:rFonts w:eastAsiaTheme="majorEastAsia"/>
                <w:sz w:val="20"/>
                <w:szCs w:val="20"/>
              </w:rPr>
              <w:t>Pre-</w:t>
            </w:r>
            <w:r w:rsidRPr="00FC6043">
              <w:rPr>
                <w:rStyle w:val="normaltextrun"/>
                <w:sz w:val="20"/>
                <w:szCs w:val="20"/>
              </w:rPr>
              <w:t xml:space="preserve">Application solely for purposes of receiving a qualification determination review under </w:t>
            </w:r>
            <w:r w:rsidRPr="00FC6043">
              <w:rPr>
                <w:rStyle w:val="normaltextrun"/>
                <w:b/>
                <w:bCs/>
                <w:sz w:val="20"/>
                <w:szCs w:val="20"/>
              </w:rPr>
              <w:t>Experience, Capacity, and Performance Requirements</w:t>
            </w:r>
            <w:r w:rsidRPr="00FC6043">
              <w:rPr>
                <w:rStyle w:val="normaltextrun"/>
                <w:sz w:val="20"/>
                <w:szCs w:val="20"/>
              </w:rPr>
              <w:t>. </w:t>
            </w:r>
          </w:p>
          <w:p w14:paraId="050E96AD" w14:textId="77777777" w:rsidR="00CF5712" w:rsidRPr="00FC6043" w:rsidRDefault="00CF5712" w:rsidP="00304B2F">
            <w:pPr>
              <w:contextualSpacing/>
              <w:rPr>
                <w:rFonts w:ascii="Times New Roman" w:hAnsi="Times New Roman" w:cs="Times New Roman"/>
                <w:b/>
                <w:bCs/>
                <w:sz w:val="20"/>
                <w:szCs w:val="20"/>
              </w:rPr>
            </w:pPr>
          </w:p>
        </w:tc>
      </w:tr>
      <w:tr w:rsidR="00CF5712" w:rsidRPr="00FC6043" w14:paraId="06E88D57" w14:textId="77777777" w:rsidTr="00E91E6E">
        <w:trPr>
          <w:jc w:val="center"/>
        </w:trPr>
        <w:tc>
          <w:tcPr>
            <w:tcW w:w="2157" w:type="dxa"/>
            <w:shd w:val="clear" w:color="auto" w:fill="auto"/>
            <w:tcMar>
              <w:top w:w="72" w:type="dxa"/>
              <w:left w:w="115" w:type="dxa"/>
              <w:bottom w:w="72" w:type="dxa"/>
              <w:right w:w="115" w:type="dxa"/>
            </w:tcMar>
            <w:vAlign w:val="center"/>
          </w:tcPr>
          <w:p w14:paraId="5A3B9186"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3/8/22</w:t>
            </w:r>
          </w:p>
        </w:tc>
        <w:tc>
          <w:tcPr>
            <w:tcW w:w="2198" w:type="dxa"/>
            <w:shd w:val="clear" w:color="auto" w:fill="auto"/>
            <w:tcMar>
              <w:top w:w="72" w:type="dxa"/>
              <w:left w:w="115" w:type="dxa"/>
              <w:bottom w:w="72" w:type="dxa"/>
              <w:right w:w="115" w:type="dxa"/>
            </w:tcMar>
            <w:vAlign w:val="center"/>
          </w:tcPr>
          <w:p w14:paraId="3A4A9D3E"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2.25</w:t>
            </w:r>
          </w:p>
          <w:p w14:paraId="5B7F2C03"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Threshold Criteria; </w:t>
            </w:r>
          </w:p>
          <w:p w14:paraId="38C85CC9"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Occupied Developments</w:t>
            </w:r>
          </w:p>
        </w:tc>
        <w:tc>
          <w:tcPr>
            <w:tcW w:w="9590" w:type="dxa"/>
            <w:shd w:val="clear" w:color="auto" w:fill="auto"/>
            <w:tcMar>
              <w:top w:w="72" w:type="dxa"/>
              <w:left w:w="115" w:type="dxa"/>
              <w:bottom w:w="72" w:type="dxa"/>
              <w:right w:w="115" w:type="dxa"/>
            </w:tcMar>
            <w:vAlign w:val="center"/>
          </w:tcPr>
          <w:p w14:paraId="799C61DC"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Q22_0302_03</w:t>
            </w:r>
          </w:p>
          <w:p w14:paraId="7F6322C3" w14:textId="77777777" w:rsidR="00CF5712" w:rsidRPr="00FC6043" w:rsidRDefault="00CF5712"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In the 2022 Supplemental Pre-Application workbook (</w:t>
            </w:r>
            <w:hyperlink r:id="rId58" w:history="1">
              <w:r w:rsidRPr="00FC6043">
                <w:rPr>
                  <w:rStyle w:val="Hyperlink"/>
                  <w:rFonts w:ascii="Times New Roman" w:eastAsia="Times New Roman" w:hAnsi="Times New Roman" w:cs="Times New Roman"/>
                  <w:color w:val="auto"/>
                  <w:sz w:val="20"/>
                  <w:szCs w:val="20"/>
                </w:rPr>
                <w:t>click here</w:t>
              </w:r>
            </w:hyperlink>
            <w:r w:rsidRPr="00FC6043">
              <w:rPr>
                <w:rFonts w:ascii="Times New Roman" w:eastAsia="Times New Roman" w:hAnsi="Times New Roman" w:cs="Times New Roman"/>
                <w:sz w:val="20"/>
                <w:szCs w:val="20"/>
              </w:rPr>
              <w:t xml:space="preserve">), a Relocation Summary tab is included. The Instructions tab of this workbook includes the following related language: </w:t>
            </w:r>
          </w:p>
          <w:p w14:paraId="19399E22" w14:textId="77777777" w:rsidR="00CF5712" w:rsidRPr="00FC6043" w:rsidRDefault="00CF5712" w:rsidP="00304B2F">
            <w:pPr>
              <w:rPr>
                <w:rFonts w:ascii="Times New Roman" w:eastAsia="Times New Roman" w:hAnsi="Times New Roman" w:cs="Times New Roman"/>
                <w:sz w:val="20"/>
                <w:szCs w:val="20"/>
              </w:rPr>
            </w:pPr>
          </w:p>
          <w:p w14:paraId="52744B9A" w14:textId="77777777" w:rsidR="00CF5712" w:rsidRPr="00FC6043" w:rsidRDefault="00CF5712" w:rsidP="00304B2F">
            <w:pPr>
              <w:ind w:left="720"/>
              <w:rPr>
                <w:rFonts w:ascii="Times New Roman" w:eastAsia="Times New Roman" w:hAnsi="Times New Roman" w:cs="Times New Roman"/>
                <w:i/>
                <w:iCs/>
                <w:sz w:val="20"/>
                <w:szCs w:val="20"/>
              </w:rPr>
            </w:pPr>
            <w:r w:rsidRPr="00FC6043">
              <w:rPr>
                <w:rFonts w:ascii="Times New Roman" w:eastAsia="Times New Roman" w:hAnsi="Times New Roman" w:cs="Times New Roman"/>
                <w:i/>
                <w:iCs/>
                <w:sz w:val="20"/>
                <w:szCs w:val="20"/>
              </w:rPr>
              <w:t xml:space="preserve">"The Relocation Summary Form, for use only by applicants for Federal funding that have existing occupied residential buildings or businesses on the proposed site, is included in the excel workbook to be attached to your application on </w:t>
            </w:r>
            <w:proofErr w:type="spellStart"/>
            <w:r w:rsidRPr="00FC6043">
              <w:rPr>
                <w:rFonts w:ascii="Times New Roman" w:eastAsia="Times New Roman" w:hAnsi="Times New Roman" w:cs="Times New Roman"/>
                <w:i/>
                <w:iCs/>
                <w:sz w:val="20"/>
                <w:szCs w:val="20"/>
              </w:rPr>
              <w:t>Emphasys</w:t>
            </w:r>
            <w:proofErr w:type="spellEnd"/>
            <w:r w:rsidRPr="00FC6043">
              <w:rPr>
                <w:rFonts w:ascii="Times New Roman" w:eastAsia="Times New Roman" w:hAnsi="Times New Roman" w:cs="Times New Roman"/>
                <w:i/>
                <w:iCs/>
                <w:sz w:val="20"/>
                <w:szCs w:val="20"/>
              </w:rPr>
              <w:t>."</w:t>
            </w:r>
          </w:p>
          <w:p w14:paraId="52853733" w14:textId="77777777" w:rsidR="00CF5712" w:rsidRPr="00FC6043" w:rsidRDefault="00CF5712" w:rsidP="00304B2F">
            <w:pPr>
              <w:rPr>
                <w:rFonts w:ascii="Times New Roman" w:eastAsia="Times New Roman" w:hAnsi="Times New Roman" w:cs="Times New Roman"/>
                <w:sz w:val="20"/>
                <w:szCs w:val="20"/>
              </w:rPr>
            </w:pPr>
          </w:p>
          <w:p w14:paraId="5BA37AB7" w14:textId="77777777" w:rsidR="00CF5712" w:rsidRPr="00FC6043" w:rsidRDefault="00CF5712"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Can DCA confirm if it is necessary to complete this section if there is relocation involved, but there is no Federal funding involved (</w:t>
            </w:r>
            <w:proofErr w:type="spellStart"/>
            <w:r w:rsidRPr="00FC6043">
              <w:rPr>
                <w:rFonts w:ascii="Times New Roman" w:eastAsia="Times New Roman" w:hAnsi="Times New Roman" w:cs="Times New Roman"/>
                <w:sz w:val="20"/>
                <w:szCs w:val="20"/>
              </w:rPr>
              <w:t>ie</w:t>
            </w:r>
            <w:proofErr w:type="spellEnd"/>
            <w:r w:rsidRPr="00FC6043">
              <w:rPr>
                <w:rFonts w:ascii="Times New Roman" w:eastAsia="Times New Roman" w:hAnsi="Times New Roman" w:cs="Times New Roman"/>
                <w:sz w:val="20"/>
                <w:szCs w:val="20"/>
              </w:rPr>
              <w:t xml:space="preserve"> HOME, CDBG, etc.)?</w:t>
            </w:r>
          </w:p>
          <w:p w14:paraId="29A79A7E" w14:textId="77777777" w:rsidR="00CF5712" w:rsidRPr="00FC6043" w:rsidRDefault="00CF5712" w:rsidP="00304B2F">
            <w:pPr>
              <w:contextualSpacing/>
              <w:rPr>
                <w:rFonts w:ascii="Times New Roman" w:hAnsi="Times New Roman" w:cs="Times New Roman"/>
                <w:sz w:val="20"/>
                <w:szCs w:val="20"/>
              </w:rPr>
            </w:pPr>
          </w:p>
          <w:p w14:paraId="1DDEAFB6"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 xml:space="preserve">: </w:t>
            </w:r>
          </w:p>
          <w:p w14:paraId="0307AE17"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The 2022 QAP states under </w:t>
            </w:r>
            <w:r w:rsidRPr="00FC6043">
              <w:rPr>
                <w:rFonts w:ascii="Times New Roman" w:hAnsi="Times New Roman" w:cs="Times New Roman"/>
                <w:b/>
                <w:bCs/>
                <w:sz w:val="20"/>
                <w:szCs w:val="20"/>
              </w:rPr>
              <w:t>(Threshold Criteria) Occupied Developments</w:t>
            </w:r>
            <w:r w:rsidRPr="00FC6043">
              <w:rPr>
                <w:rFonts w:ascii="Times New Roman" w:hAnsi="Times New Roman" w:cs="Times New Roman"/>
                <w:sz w:val="20"/>
                <w:szCs w:val="20"/>
              </w:rPr>
              <w:t>, “</w:t>
            </w:r>
            <w:r w:rsidRPr="00FC6043">
              <w:rPr>
                <w:rFonts w:ascii="Times New Roman" w:hAnsi="Times New Roman" w:cs="Times New Roman"/>
                <w:i/>
                <w:iCs/>
                <w:sz w:val="20"/>
                <w:szCs w:val="20"/>
              </w:rPr>
              <w:t>All proposed developments with residents and non-residential tenants on-site since the earlier of pre-application, three months prior to Application Submission, and application for federal funds (if applicable) must meet the application and documentation submission requirements below and in the 2022 DCA Relocation Manual.</w:t>
            </w:r>
            <w:r w:rsidRPr="00FC6043">
              <w:rPr>
                <w:rFonts w:ascii="Times New Roman" w:hAnsi="Times New Roman" w:cs="Times New Roman"/>
                <w:sz w:val="20"/>
                <w:szCs w:val="20"/>
              </w:rPr>
              <w:t>”</w:t>
            </w:r>
          </w:p>
          <w:p w14:paraId="58AE5B15" w14:textId="77777777" w:rsidR="00CF5712" w:rsidRPr="00FC6043" w:rsidRDefault="00CF5712" w:rsidP="00304B2F">
            <w:pPr>
              <w:rPr>
                <w:rFonts w:ascii="Times New Roman" w:hAnsi="Times New Roman" w:cs="Times New Roman"/>
                <w:sz w:val="20"/>
                <w:szCs w:val="20"/>
              </w:rPr>
            </w:pPr>
          </w:p>
          <w:p w14:paraId="33E90D59"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For purposes of the 2022 Pre-Application process, all developments with structures onsite occupied by residents and non-residential tenants must complete the Relocation Summary tab, regardless of whether the application is for Housing Tax Credits only or also includes federal funding as a source.   </w:t>
            </w:r>
          </w:p>
          <w:p w14:paraId="0EB1DC36" w14:textId="77777777" w:rsidR="00CF5712" w:rsidRPr="00FC6043" w:rsidRDefault="00CF5712" w:rsidP="00304B2F">
            <w:pPr>
              <w:rPr>
                <w:rFonts w:ascii="Times New Roman" w:hAnsi="Times New Roman" w:cs="Times New Roman"/>
                <w:sz w:val="20"/>
                <w:szCs w:val="20"/>
              </w:rPr>
            </w:pPr>
          </w:p>
          <w:p w14:paraId="5859C507" w14:textId="77777777" w:rsidR="00CF5712" w:rsidRPr="00FC6043" w:rsidRDefault="00CF5712" w:rsidP="00304B2F">
            <w:pPr>
              <w:contextualSpacing/>
              <w:rPr>
                <w:rFonts w:ascii="Times New Roman" w:hAnsi="Times New Roman" w:cs="Times New Roman"/>
                <w:b/>
                <w:bCs/>
                <w:sz w:val="20"/>
                <w:szCs w:val="20"/>
              </w:rPr>
            </w:pPr>
            <w:r w:rsidRPr="00FC6043">
              <w:rPr>
                <w:rFonts w:ascii="Times New Roman" w:eastAsia="Times New Roman" w:hAnsi="Times New Roman" w:cs="Times New Roman"/>
                <w:sz w:val="20"/>
                <w:szCs w:val="20"/>
              </w:rPr>
              <w:t xml:space="preserve">An updated version of the </w:t>
            </w:r>
            <w:r w:rsidRPr="00FC6043">
              <w:rPr>
                <w:rFonts w:ascii="Times New Roman" w:eastAsia="Times New Roman" w:hAnsi="Times New Roman" w:cs="Times New Roman"/>
                <w:i/>
                <w:iCs/>
                <w:sz w:val="20"/>
                <w:szCs w:val="20"/>
              </w:rPr>
              <w:t xml:space="preserve">2022 Supplemental Pre-Application </w:t>
            </w:r>
            <w:r w:rsidRPr="00FC6043">
              <w:rPr>
                <w:rFonts w:ascii="Times New Roman" w:eastAsia="Times New Roman" w:hAnsi="Times New Roman" w:cs="Times New Roman"/>
                <w:sz w:val="20"/>
                <w:szCs w:val="20"/>
              </w:rPr>
              <w:t>form has been posted to the DCA website (</w:t>
            </w:r>
            <w:hyperlink r:id="rId59" w:history="1">
              <w:r w:rsidRPr="00FC6043">
                <w:rPr>
                  <w:rStyle w:val="Hyperlink"/>
                  <w:rFonts w:ascii="Times New Roman" w:eastAsia="Times New Roman" w:hAnsi="Times New Roman" w:cs="Times New Roman"/>
                  <w:color w:val="auto"/>
                  <w:sz w:val="20"/>
                  <w:szCs w:val="20"/>
                </w:rPr>
                <w:t>click here</w:t>
              </w:r>
            </w:hyperlink>
            <w:r w:rsidRPr="00FC6043">
              <w:rPr>
                <w:rFonts w:ascii="Times New Roman" w:eastAsia="Times New Roman" w:hAnsi="Times New Roman" w:cs="Times New Roman"/>
                <w:sz w:val="20"/>
                <w:szCs w:val="20"/>
              </w:rPr>
              <w:t>).</w:t>
            </w:r>
          </w:p>
        </w:tc>
      </w:tr>
      <w:tr w:rsidR="00CF5712" w:rsidRPr="00FC6043" w14:paraId="479C41AF" w14:textId="77777777" w:rsidTr="00E91E6E">
        <w:trPr>
          <w:jc w:val="center"/>
        </w:trPr>
        <w:tc>
          <w:tcPr>
            <w:tcW w:w="2157" w:type="dxa"/>
            <w:shd w:val="clear" w:color="auto" w:fill="auto"/>
            <w:tcMar>
              <w:top w:w="72" w:type="dxa"/>
              <w:left w:w="115" w:type="dxa"/>
              <w:bottom w:w="72" w:type="dxa"/>
              <w:right w:w="115" w:type="dxa"/>
            </w:tcMar>
            <w:vAlign w:val="center"/>
          </w:tcPr>
          <w:p w14:paraId="2282F662"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3/8/22</w:t>
            </w:r>
          </w:p>
        </w:tc>
        <w:tc>
          <w:tcPr>
            <w:tcW w:w="2198" w:type="dxa"/>
            <w:shd w:val="clear" w:color="auto" w:fill="auto"/>
            <w:tcMar>
              <w:top w:w="72" w:type="dxa"/>
              <w:left w:w="115" w:type="dxa"/>
              <w:bottom w:w="72" w:type="dxa"/>
              <w:right w:w="115" w:type="dxa"/>
            </w:tcMar>
            <w:vAlign w:val="center"/>
          </w:tcPr>
          <w:p w14:paraId="1532D4C9"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2.28</w:t>
            </w:r>
          </w:p>
          <w:p w14:paraId="5A19EBEC"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Threshold Criteria;</w:t>
            </w:r>
          </w:p>
          <w:p w14:paraId="2F7CB2D3"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14:paraId="5DE50651"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Q1025_01</w:t>
            </w:r>
          </w:p>
          <w:p w14:paraId="36303E13"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Regarding DCA Underwriting Policies: why can 100% Project-Based Section 8 projects not be underwritten at a 1.15 if lender and investor approves?</w:t>
            </w:r>
          </w:p>
          <w:p w14:paraId="73CA20E9" w14:textId="77777777" w:rsidR="00CF5712" w:rsidRPr="00FC6043" w:rsidRDefault="00CF5712" w:rsidP="00304B2F">
            <w:pPr>
              <w:contextualSpacing/>
              <w:rPr>
                <w:rFonts w:ascii="Times New Roman" w:hAnsi="Times New Roman" w:cs="Times New Roman"/>
                <w:sz w:val="20"/>
                <w:szCs w:val="20"/>
              </w:rPr>
            </w:pPr>
          </w:p>
          <w:p w14:paraId="2C5D8BD3"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 xml:space="preserve">: </w:t>
            </w:r>
          </w:p>
          <w:p w14:paraId="1BC9D6D3" w14:textId="77777777" w:rsidR="00CF5712" w:rsidRPr="00FC6043" w:rsidRDefault="00CF5712" w:rsidP="00304B2F">
            <w:pPr>
              <w:contextualSpacing/>
              <w:rPr>
                <w:rFonts w:ascii="Times New Roman" w:hAnsi="Times New Roman" w:cs="Times New Roman"/>
                <w:b/>
                <w:bCs/>
                <w:sz w:val="20"/>
                <w:szCs w:val="20"/>
              </w:rPr>
            </w:pPr>
            <w:r w:rsidRPr="00FC6043">
              <w:rPr>
                <w:rFonts w:ascii="Times New Roman" w:hAnsi="Times New Roman" w:cs="Times New Roman"/>
                <w:sz w:val="20"/>
                <w:szCs w:val="20"/>
              </w:rPr>
              <w:t xml:space="preserve">The above question is referencing the following requirement in </w:t>
            </w:r>
            <w:r w:rsidRPr="00FC6043">
              <w:rPr>
                <w:rFonts w:ascii="Times New Roman" w:hAnsi="Times New Roman" w:cs="Times New Roman"/>
                <w:b/>
                <w:bCs/>
                <w:sz w:val="20"/>
                <w:szCs w:val="20"/>
              </w:rPr>
              <w:t xml:space="preserve">(Threshold Criteria) DCA Underwriting Policies, 7. Debt Coverage Ratio (DCR): </w:t>
            </w:r>
            <w:r w:rsidRPr="00FC6043">
              <w:rPr>
                <w:rFonts w:ascii="Times New Roman" w:hAnsi="Times New Roman" w:cs="Times New Roman"/>
                <w:sz w:val="20"/>
                <w:szCs w:val="20"/>
              </w:rPr>
              <w:t>“As part of its financial feasibility analysis, DCA will require that developments with debt meet, at a minimum, a 1.20 debt coverage ratio for each year of the Compliance Period for new construction and 1.25 for developments involving rehabilitation”</w:t>
            </w:r>
          </w:p>
          <w:p w14:paraId="294326D5" w14:textId="77777777" w:rsidR="00CF5712" w:rsidRPr="00FC6043" w:rsidRDefault="00CF5712" w:rsidP="00304B2F">
            <w:pPr>
              <w:contextualSpacing/>
              <w:rPr>
                <w:rFonts w:ascii="Times New Roman" w:hAnsi="Times New Roman" w:cs="Times New Roman"/>
                <w:sz w:val="20"/>
                <w:szCs w:val="20"/>
              </w:rPr>
            </w:pPr>
          </w:p>
          <w:p w14:paraId="10358C7A"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sz w:val="20"/>
                <w:szCs w:val="20"/>
              </w:rPr>
              <w:t>DCA does not adjust the underwriting standards outlined in the QAP based on lender or investor requirements, except in certain circumstances outlined in QAP. For example, from the same above-referenced section: “</w:t>
            </w:r>
            <w:r w:rsidRPr="00FC6043">
              <w:rPr>
                <w:rFonts w:ascii="Times New Roman" w:eastAsia="Calibri" w:hAnsi="Times New Roman" w:cs="Times New Roman"/>
                <w:i/>
                <w:iCs/>
                <w:sz w:val="20"/>
                <w:szCs w:val="20"/>
              </w:rPr>
              <w:t xml:space="preserve">DCA may </w:t>
            </w:r>
            <w:r w:rsidRPr="00FC6043">
              <w:rPr>
                <w:rFonts w:ascii="Times New Roman" w:eastAsia="Calibri" w:hAnsi="Times New Roman" w:cs="Times New Roman"/>
                <w:i/>
                <w:iCs/>
                <w:sz w:val="20"/>
                <w:szCs w:val="20"/>
              </w:rPr>
              <w:lastRenderedPageBreak/>
              <w:t>waive its minimum debt coverage ratio for USDA 515 developments that clearly demonstrate feasibility, or reduce it to match other government program funding requirements provided that confirmation from the agency of the required DCR is included in their funding commitment.</w:t>
            </w:r>
            <w:r w:rsidRPr="00FC6043">
              <w:rPr>
                <w:rFonts w:ascii="Times New Roman" w:eastAsia="Calibri" w:hAnsi="Times New Roman" w:cs="Times New Roman"/>
                <w:sz w:val="20"/>
                <w:szCs w:val="20"/>
              </w:rPr>
              <w:t>”</w:t>
            </w:r>
            <w:r w:rsidRPr="00FC6043">
              <w:rPr>
                <w:rFonts w:ascii="Times New Roman" w:hAnsi="Times New Roman" w:cs="Times New Roman"/>
                <w:sz w:val="20"/>
                <w:szCs w:val="20"/>
              </w:rPr>
              <w:br/>
            </w:r>
          </w:p>
          <w:p w14:paraId="715AE8A7"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Please note that requirements differ for applications without debt (from the same section as above): </w:t>
            </w:r>
            <w:r w:rsidRPr="00FC6043">
              <w:rPr>
                <w:rFonts w:ascii="Times New Roman" w:eastAsia="Calibri" w:hAnsi="Times New Roman" w:cs="Times New Roman"/>
                <w:i/>
                <w:iCs/>
                <w:sz w:val="20"/>
                <w:szCs w:val="20"/>
              </w:rPr>
              <w:t xml:space="preserve">“Deals with no hard debt are allowed, but will be subject to additional scrutiny from DCA. Developments submitted with no hard debt will not have a DCR but will be required to undergo a subsidy layering review. This will be determined by a ratio of Effective Gross Income to Total Annual Expenses (including reserve for replacement). A ratio of 1.10 for new construction and 1.15 for developments involving rehabilitation is the minimum required to be considered feasible by DCA in Years 1-15.” </w:t>
            </w:r>
          </w:p>
        </w:tc>
      </w:tr>
      <w:tr w:rsidR="00CF5712" w:rsidRPr="00FC6043" w14:paraId="12A1E546" w14:textId="77777777" w:rsidTr="00E91E6E">
        <w:trPr>
          <w:jc w:val="center"/>
        </w:trPr>
        <w:tc>
          <w:tcPr>
            <w:tcW w:w="2157" w:type="dxa"/>
            <w:shd w:val="clear" w:color="auto" w:fill="auto"/>
            <w:tcMar>
              <w:top w:w="72" w:type="dxa"/>
              <w:left w:w="115" w:type="dxa"/>
              <w:bottom w:w="72" w:type="dxa"/>
              <w:right w:w="115" w:type="dxa"/>
            </w:tcMar>
            <w:vAlign w:val="center"/>
          </w:tcPr>
          <w:p w14:paraId="5090A985"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3/8/22</w:t>
            </w:r>
          </w:p>
        </w:tc>
        <w:tc>
          <w:tcPr>
            <w:tcW w:w="2198" w:type="dxa"/>
            <w:shd w:val="clear" w:color="auto" w:fill="auto"/>
            <w:tcMar>
              <w:top w:w="72" w:type="dxa"/>
              <w:left w:w="115" w:type="dxa"/>
              <w:bottom w:w="72" w:type="dxa"/>
              <w:right w:w="115" w:type="dxa"/>
            </w:tcMar>
            <w:vAlign w:val="center"/>
          </w:tcPr>
          <w:p w14:paraId="58C43014"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2.28</w:t>
            </w:r>
          </w:p>
          <w:p w14:paraId="79754428"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Threshold Criteria;</w:t>
            </w:r>
          </w:p>
          <w:p w14:paraId="22C4AB05"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14:paraId="6DE19549"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Q1025_02 </w:t>
            </w:r>
          </w:p>
          <w:p w14:paraId="022913C0"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Regarding DCA Underwriting Policies: why are 100% Project-Based Section 8 projects subjected to a 7% vacancy requirement when given proof that they could be at a 5% vacancy? </w:t>
            </w:r>
          </w:p>
          <w:p w14:paraId="7CE75489"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51A2F6EB"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73E77C8B"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DCA has a Pre-Application process in which applicants can submit a waiver of underwriting policies (“0104 Underwriting Waiver” in the </w:t>
            </w:r>
            <w:proofErr w:type="spellStart"/>
            <w:r w:rsidRPr="00FC6043">
              <w:rPr>
                <w:rFonts w:ascii="Times New Roman" w:eastAsia="Times New Roman" w:hAnsi="Times New Roman" w:cs="Times New Roman"/>
                <w:sz w:val="20"/>
                <w:szCs w:val="20"/>
              </w:rPr>
              <w:t>Emphasys</w:t>
            </w:r>
            <w:proofErr w:type="spellEnd"/>
            <w:r w:rsidRPr="00FC6043">
              <w:rPr>
                <w:rFonts w:ascii="Times New Roman" w:eastAsia="Times New Roman" w:hAnsi="Times New Roman" w:cs="Times New Roman"/>
                <w:sz w:val="20"/>
                <w:szCs w:val="20"/>
              </w:rPr>
              <w:t xml:space="preserve"> Pre-Application).  The Pre-Application should include documentation to substantiate the request.</w:t>
            </w:r>
          </w:p>
        </w:tc>
      </w:tr>
      <w:tr w:rsidR="00CF5712" w:rsidRPr="00FC6043" w14:paraId="1BA4379D" w14:textId="77777777" w:rsidTr="00E91E6E">
        <w:trPr>
          <w:jc w:val="center"/>
        </w:trPr>
        <w:tc>
          <w:tcPr>
            <w:tcW w:w="2157" w:type="dxa"/>
            <w:shd w:val="clear" w:color="auto" w:fill="auto"/>
            <w:tcMar>
              <w:top w:w="72" w:type="dxa"/>
              <w:left w:w="115" w:type="dxa"/>
              <w:bottom w:w="72" w:type="dxa"/>
              <w:right w:w="115" w:type="dxa"/>
            </w:tcMar>
            <w:vAlign w:val="center"/>
          </w:tcPr>
          <w:p w14:paraId="67E55CCF"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3/8/22</w:t>
            </w:r>
          </w:p>
        </w:tc>
        <w:tc>
          <w:tcPr>
            <w:tcW w:w="2198" w:type="dxa"/>
            <w:shd w:val="clear" w:color="auto" w:fill="auto"/>
            <w:tcMar>
              <w:top w:w="72" w:type="dxa"/>
              <w:left w:w="115" w:type="dxa"/>
              <w:bottom w:w="72" w:type="dxa"/>
              <w:right w:w="115" w:type="dxa"/>
            </w:tcMar>
            <w:vAlign w:val="center"/>
          </w:tcPr>
          <w:p w14:paraId="65265BBF"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2.28</w:t>
            </w:r>
          </w:p>
          <w:p w14:paraId="0B9A9378"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Threshold Criteria;</w:t>
            </w:r>
          </w:p>
          <w:p w14:paraId="44181758"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14:paraId="6B446003"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Q22_0304_06</w:t>
            </w:r>
          </w:p>
          <w:p w14:paraId="39243326"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sz w:val="20"/>
                <w:szCs w:val="20"/>
              </w:rPr>
              <w:t>• Threshold - Underwriting: 11. Distribution across Unit / Bedroom Sizes:</w:t>
            </w:r>
          </w:p>
          <w:p w14:paraId="3CCB0D8D"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sz w:val="20"/>
                <w:szCs w:val="20"/>
              </w:rPr>
              <w:t>o "a) Rent. Projects with a multi-tiered rent structure must distribute the</w:t>
            </w:r>
          </w:p>
          <w:p w14:paraId="54D39E68"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sz w:val="20"/>
                <w:szCs w:val="20"/>
              </w:rPr>
              <w:t>rents across unit sizes, unit types and buildings. These units need not be</w:t>
            </w:r>
          </w:p>
          <w:p w14:paraId="5570E0DC"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sz w:val="20"/>
                <w:szCs w:val="20"/>
              </w:rPr>
              <w:t>fixed, but may float in the same way high HOME rent and low HOME rent</w:t>
            </w:r>
          </w:p>
          <w:p w14:paraId="666F3308"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sz w:val="20"/>
                <w:szCs w:val="20"/>
              </w:rPr>
              <w:t>units may float within a project so long as the units and interior amenities</w:t>
            </w:r>
          </w:p>
          <w:p w14:paraId="5305B550"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sz w:val="20"/>
                <w:szCs w:val="20"/>
              </w:rPr>
              <w:t>are comparable."</w:t>
            </w:r>
          </w:p>
          <w:p w14:paraId="1D099E1F"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sz w:val="20"/>
                <w:szCs w:val="20"/>
              </w:rPr>
              <w:t>o Can DCA provide unit/rent mix examples illustrating what might be</w:t>
            </w:r>
          </w:p>
          <w:p w14:paraId="1503DFDC"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sz w:val="20"/>
                <w:szCs w:val="20"/>
              </w:rPr>
              <w:t>considered acceptable and unacceptable as it relates to "Projects with a</w:t>
            </w:r>
          </w:p>
          <w:p w14:paraId="50AFB12B"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sz w:val="20"/>
                <w:szCs w:val="20"/>
              </w:rPr>
              <w:t>multi-tiered rent structure must distribute the rents across unit sizes, unit</w:t>
            </w:r>
          </w:p>
          <w:p w14:paraId="7F2CABF0"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sz w:val="20"/>
                <w:szCs w:val="20"/>
              </w:rPr>
              <w:t>types and buildings."?</w:t>
            </w:r>
          </w:p>
          <w:p w14:paraId="6FCD16E9"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sz w:val="20"/>
                <w:szCs w:val="20"/>
              </w:rPr>
              <w:t>o If a unit/rent mix is submitted within the Rent Schedule &amp; Summary tab of</w:t>
            </w:r>
          </w:p>
          <w:p w14:paraId="29F4EB3F"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sz w:val="20"/>
                <w:szCs w:val="20"/>
              </w:rPr>
              <w:t>the Pre-Application Submission Form, will DCA provide a response to the</w:t>
            </w:r>
          </w:p>
          <w:p w14:paraId="33F19A71"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sz w:val="20"/>
                <w:szCs w:val="20"/>
              </w:rPr>
              <w:t>Pre-Application indicating if the distribution is acceptable or not. If</w:t>
            </w:r>
          </w:p>
          <w:p w14:paraId="56BEB0A0"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sz w:val="20"/>
                <w:szCs w:val="20"/>
              </w:rPr>
              <w:t>determined unacceptable, I assume the applicant will have the opportunity</w:t>
            </w:r>
          </w:p>
          <w:p w14:paraId="6C8AC037"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sz w:val="20"/>
                <w:szCs w:val="20"/>
              </w:rPr>
              <w:t>to adjust the mix for what is submitted in the full application, is that correct?</w:t>
            </w:r>
          </w:p>
          <w:p w14:paraId="21FCF2DF" w14:textId="77777777" w:rsidR="00CF5712" w:rsidRPr="00FC6043" w:rsidRDefault="00CF5712" w:rsidP="00304B2F">
            <w:pPr>
              <w:contextualSpacing/>
              <w:rPr>
                <w:rFonts w:ascii="Times New Roman" w:hAnsi="Times New Roman" w:cs="Times New Roman"/>
                <w:sz w:val="20"/>
                <w:szCs w:val="20"/>
              </w:rPr>
            </w:pPr>
          </w:p>
          <w:p w14:paraId="7FFE1645"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 xml:space="preserve">: </w:t>
            </w:r>
          </w:p>
          <w:p w14:paraId="51A95D49"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Regarding the request for an example and confirmation of whether a specific mix conforms with the policy: please note that the Revenue and Expenses tab of the Core Application has formulas built in to determine the equal </w:t>
            </w:r>
            <w:r w:rsidRPr="00FC6043">
              <w:rPr>
                <w:rFonts w:ascii="Times New Roman" w:hAnsi="Times New Roman" w:cs="Times New Roman"/>
                <w:sz w:val="20"/>
                <w:szCs w:val="20"/>
              </w:rPr>
              <w:lastRenderedPageBreak/>
              <w:t xml:space="preserve">distribution among the unit and bedroom sizes automatically. Per </w:t>
            </w:r>
            <w:r w:rsidRPr="00FC6043">
              <w:rPr>
                <w:rFonts w:ascii="Times New Roman" w:hAnsi="Times New Roman" w:cs="Times New Roman"/>
                <w:b/>
                <w:bCs/>
                <w:sz w:val="20"/>
                <w:szCs w:val="20"/>
              </w:rPr>
              <w:t>Q0221_02</w:t>
            </w:r>
            <w:r w:rsidRPr="00FC6043">
              <w:rPr>
                <w:rFonts w:ascii="Times New Roman" w:hAnsi="Times New Roman" w:cs="Times New Roman"/>
                <w:sz w:val="20"/>
                <w:szCs w:val="20"/>
              </w:rPr>
              <w:t xml:space="preserve"> published on 2/25/22, where helpful the most up-to-date Core Application can be used for purposes of a Pre-Application waiver request (see referenced Q&amp;A for direct link). </w:t>
            </w:r>
          </w:p>
          <w:p w14:paraId="696C9C0C" w14:textId="77777777" w:rsidR="00CF5712" w:rsidRPr="00FC6043" w:rsidRDefault="00CF5712" w:rsidP="00304B2F">
            <w:pPr>
              <w:rPr>
                <w:rFonts w:ascii="Times New Roman" w:hAnsi="Times New Roman" w:cs="Times New Roman"/>
                <w:sz w:val="20"/>
                <w:szCs w:val="20"/>
              </w:rPr>
            </w:pPr>
          </w:p>
          <w:p w14:paraId="06AB7319"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Equal distribution means the difference between the proposed and exact units is within 2 units. See DCA’s Average Income Policy for more information (</w:t>
            </w:r>
            <w:hyperlink r:id="rId60" w:history="1">
              <w:r w:rsidRPr="00FC6043">
                <w:rPr>
                  <w:rStyle w:val="Hyperlink"/>
                  <w:rFonts w:ascii="Times New Roman" w:hAnsi="Times New Roman" w:cs="Times New Roman"/>
                  <w:color w:val="auto"/>
                  <w:sz w:val="20"/>
                  <w:szCs w:val="20"/>
                </w:rPr>
                <w:t>click here</w:t>
              </w:r>
            </w:hyperlink>
            <w:r w:rsidRPr="00FC6043">
              <w:rPr>
                <w:rFonts w:ascii="Times New Roman" w:hAnsi="Times New Roman" w:cs="Times New Roman"/>
                <w:sz w:val="20"/>
                <w:szCs w:val="20"/>
              </w:rPr>
              <w:t xml:space="preserve"> for DCA’s Compliance Monitoring homepage, visit the “Tax Credit” page, download “</w:t>
            </w:r>
            <w:r w:rsidRPr="00FC6043">
              <w:rPr>
                <w:rFonts w:ascii="Times New Roman" w:hAnsi="Times New Roman" w:cs="Times New Roman"/>
                <w:b/>
                <w:bCs/>
                <w:sz w:val="20"/>
                <w:szCs w:val="20"/>
              </w:rPr>
              <w:t>DCA's Average Income Policy (updated 2021)</w:t>
            </w:r>
            <w:r w:rsidRPr="00FC6043">
              <w:rPr>
                <w:rFonts w:ascii="Times New Roman" w:hAnsi="Times New Roman" w:cs="Times New Roman"/>
                <w:sz w:val="20"/>
                <w:szCs w:val="20"/>
              </w:rPr>
              <w:t xml:space="preserve">, and view subsection </w:t>
            </w:r>
            <w:r w:rsidRPr="00FC6043">
              <w:rPr>
                <w:rFonts w:ascii="Times New Roman" w:hAnsi="Times New Roman" w:cs="Times New Roman"/>
                <w:b/>
                <w:bCs/>
                <w:sz w:val="20"/>
                <w:szCs w:val="20"/>
              </w:rPr>
              <w:t>B. DCA adopted requirements and interpretations</w:t>
            </w:r>
            <w:r w:rsidRPr="00FC6043">
              <w:rPr>
                <w:rFonts w:ascii="Times New Roman" w:hAnsi="Times New Roman" w:cs="Times New Roman"/>
                <w:sz w:val="20"/>
                <w:szCs w:val="20"/>
              </w:rPr>
              <w:t>”).</w:t>
            </w:r>
          </w:p>
          <w:p w14:paraId="7A6B276C" w14:textId="77777777" w:rsidR="00CF5712" w:rsidRPr="00FC6043" w:rsidRDefault="00CF5712" w:rsidP="00304B2F">
            <w:pPr>
              <w:rPr>
                <w:rFonts w:ascii="Times New Roman" w:hAnsi="Times New Roman" w:cs="Times New Roman"/>
                <w:sz w:val="20"/>
                <w:szCs w:val="20"/>
              </w:rPr>
            </w:pPr>
          </w:p>
          <w:p w14:paraId="7BD453EA" w14:textId="77777777" w:rsidR="00CF5712" w:rsidRPr="00FC6043" w:rsidRDefault="00CF5712" w:rsidP="00304B2F">
            <w:pPr>
              <w:contextualSpacing/>
              <w:rPr>
                <w:rFonts w:ascii="Times New Roman" w:hAnsi="Times New Roman" w:cs="Times New Roman"/>
                <w:b/>
                <w:bCs/>
                <w:sz w:val="20"/>
                <w:szCs w:val="20"/>
              </w:rPr>
            </w:pPr>
            <w:r w:rsidRPr="00FC6043">
              <w:rPr>
                <w:rFonts w:ascii="Times New Roman" w:hAnsi="Times New Roman" w:cs="Times New Roman"/>
                <w:sz w:val="20"/>
                <w:szCs w:val="20"/>
              </w:rPr>
              <w:t>DCA will accept pre-applications for waivers of this requirement.</w:t>
            </w:r>
          </w:p>
        </w:tc>
      </w:tr>
      <w:tr w:rsidR="00CF5712" w:rsidRPr="00FC6043" w14:paraId="66F1094D" w14:textId="77777777" w:rsidTr="00E91E6E">
        <w:trPr>
          <w:jc w:val="center"/>
        </w:trPr>
        <w:tc>
          <w:tcPr>
            <w:tcW w:w="2157" w:type="dxa"/>
            <w:shd w:val="clear" w:color="auto" w:fill="auto"/>
            <w:tcMar>
              <w:top w:w="72" w:type="dxa"/>
              <w:left w:w="115" w:type="dxa"/>
              <w:bottom w:w="72" w:type="dxa"/>
              <w:right w:w="115" w:type="dxa"/>
            </w:tcMar>
            <w:vAlign w:val="center"/>
          </w:tcPr>
          <w:p w14:paraId="05F64267"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3/8/22</w:t>
            </w:r>
          </w:p>
        </w:tc>
        <w:tc>
          <w:tcPr>
            <w:tcW w:w="2198" w:type="dxa"/>
            <w:shd w:val="clear" w:color="auto" w:fill="auto"/>
            <w:tcMar>
              <w:top w:w="72" w:type="dxa"/>
              <w:left w:w="115" w:type="dxa"/>
              <w:bottom w:w="72" w:type="dxa"/>
              <w:right w:w="115" w:type="dxa"/>
            </w:tcMar>
            <w:vAlign w:val="center"/>
          </w:tcPr>
          <w:p w14:paraId="535E1E04"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2.28 </w:t>
            </w:r>
          </w:p>
          <w:p w14:paraId="5CB26CEC"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Threshold Criteria;</w:t>
            </w:r>
          </w:p>
          <w:p w14:paraId="44098209"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DCA Underwriting Policies </w:t>
            </w:r>
          </w:p>
        </w:tc>
        <w:tc>
          <w:tcPr>
            <w:tcW w:w="9590" w:type="dxa"/>
            <w:shd w:val="clear" w:color="auto" w:fill="auto"/>
            <w:tcMar>
              <w:top w:w="72" w:type="dxa"/>
              <w:left w:w="115" w:type="dxa"/>
              <w:bottom w:w="72" w:type="dxa"/>
              <w:right w:w="115" w:type="dxa"/>
            </w:tcMar>
            <w:vAlign w:val="center"/>
          </w:tcPr>
          <w:p w14:paraId="3BCE671D"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Q22_0304_03</w:t>
            </w:r>
          </w:p>
          <w:p w14:paraId="7856A730"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In our underwriting model, we are meeting the DCR requirements, and a waiver is not required. If, prior to closing, USDA RD changes certain underwriting metrics during their underwriting approval process, it is understood that the owner would need to accept those changes. If any changes were required that make the project no longer meet the DCA DCR requirements, can you please confirm that DCA will work with the owner to accept these changes even though a waiver request is not submitted at pre-app?</w:t>
            </w:r>
          </w:p>
          <w:p w14:paraId="2F58CC9B" w14:textId="77777777" w:rsidR="00CF5712" w:rsidRPr="00FC6043" w:rsidRDefault="00CF5712" w:rsidP="00304B2F">
            <w:pPr>
              <w:contextualSpacing/>
              <w:rPr>
                <w:rFonts w:ascii="Times New Roman" w:hAnsi="Times New Roman" w:cs="Times New Roman"/>
                <w:sz w:val="20"/>
                <w:szCs w:val="20"/>
              </w:rPr>
            </w:pPr>
          </w:p>
          <w:p w14:paraId="7CAE2CFF"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 xml:space="preserve">: </w:t>
            </w:r>
          </w:p>
          <w:p w14:paraId="410138E9" w14:textId="77777777" w:rsidR="00CF5712" w:rsidRPr="00FC6043" w:rsidRDefault="00CF5712" w:rsidP="00304B2F">
            <w:pPr>
              <w:textAlignment w:val="baseline"/>
              <w:rPr>
                <w:rFonts w:ascii="Times New Roman" w:eastAsia="Times New Roman" w:hAnsi="Times New Roman" w:cs="Times New Roman"/>
                <w:b/>
                <w:bCs/>
                <w:sz w:val="20"/>
                <w:szCs w:val="20"/>
              </w:rPr>
            </w:pPr>
            <w:r w:rsidRPr="00FC6043">
              <w:rPr>
                <w:rFonts w:ascii="Times New Roman" w:hAnsi="Times New Roman" w:cs="Times New Roman"/>
                <w:sz w:val="20"/>
                <w:szCs w:val="20"/>
              </w:rPr>
              <w:t>DCA requires a Pre-Application waiver request for any underwriting requirements that will not be met in the Full Application (May submission). DCA’s expectation is that all underwriting approved during the initial application review will be met at Final Allocation Application (8609 submission). DCA does not by default accept requirements imposed by third parties after a Full Application has been awarded. Absent seeing a specific waiver request with supporting documentation for the envisioned changes, DCA cannot provide further guidance.</w:t>
            </w:r>
          </w:p>
        </w:tc>
      </w:tr>
      <w:tr w:rsidR="00CF5712" w:rsidRPr="00FC6043" w14:paraId="77E303EC" w14:textId="77777777" w:rsidTr="00E91E6E">
        <w:trPr>
          <w:jc w:val="center"/>
        </w:trPr>
        <w:tc>
          <w:tcPr>
            <w:tcW w:w="2157" w:type="dxa"/>
            <w:shd w:val="clear" w:color="auto" w:fill="auto"/>
            <w:tcMar>
              <w:top w:w="72" w:type="dxa"/>
              <w:left w:w="115" w:type="dxa"/>
              <w:bottom w:w="72" w:type="dxa"/>
              <w:right w:w="115" w:type="dxa"/>
            </w:tcMar>
            <w:vAlign w:val="center"/>
          </w:tcPr>
          <w:p w14:paraId="47FEB3D3"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3/8/22</w:t>
            </w:r>
          </w:p>
        </w:tc>
        <w:tc>
          <w:tcPr>
            <w:tcW w:w="2198" w:type="dxa"/>
            <w:shd w:val="clear" w:color="auto" w:fill="auto"/>
            <w:tcMar>
              <w:top w:w="72" w:type="dxa"/>
              <w:left w:w="115" w:type="dxa"/>
              <w:bottom w:w="72" w:type="dxa"/>
              <w:right w:w="115" w:type="dxa"/>
            </w:tcMar>
            <w:vAlign w:val="center"/>
          </w:tcPr>
          <w:p w14:paraId="1145923A"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6.00</w:t>
            </w:r>
          </w:p>
          <w:p w14:paraId="3507761D" w14:textId="77777777" w:rsidR="00CF5712" w:rsidRPr="00FC6043" w:rsidRDefault="00CF5712" w:rsidP="00304B2F">
            <w:pPr>
              <w:rPr>
                <w:rFonts w:ascii="Times New Roman" w:hAnsi="Times New Roman" w:cs="Times New Roman"/>
                <w:sz w:val="20"/>
                <w:szCs w:val="20"/>
              </w:rPr>
            </w:pPr>
            <w:proofErr w:type="spellStart"/>
            <w:r w:rsidRPr="00FC6043">
              <w:rPr>
                <w:rFonts w:ascii="Times New Roman" w:hAnsi="Times New Roman" w:cs="Times New Roman"/>
                <w:sz w:val="20"/>
                <w:szCs w:val="20"/>
              </w:rPr>
              <w:t>Emphasys</w:t>
            </w:r>
            <w:proofErr w:type="spellEnd"/>
            <w:r w:rsidRPr="00FC6043">
              <w:rPr>
                <w:rFonts w:ascii="Times New Roman" w:hAnsi="Times New Roman" w:cs="Times New Roman"/>
                <w:sz w:val="20"/>
                <w:szCs w:val="20"/>
              </w:rPr>
              <w:t xml:space="preserve"> </w:t>
            </w:r>
          </w:p>
        </w:tc>
        <w:tc>
          <w:tcPr>
            <w:tcW w:w="9590" w:type="dxa"/>
            <w:shd w:val="clear" w:color="auto" w:fill="auto"/>
            <w:tcMar>
              <w:top w:w="72" w:type="dxa"/>
              <w:left w:w="115" w:type="dxa"/>
              <w:bottom w:w="72" w:type="dxa"/>
              <w:right w:w="115" w:type="dxa"/>
            </w:tcMar>
            <w:vAlign w:val="center"/>
          </w:tcPr>
          <w:p w14:paraId="7A4B1577"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Q22_0304_04</w:t>
            </w:r>
          </w:p>
          <w:p w14:paraId="2D837BC1"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sz w:val="20"/>
                <w:szCs w:val="20"/>
              </w:rPr>
              <w:t xml:space="preserve">On the pre-application checklist in the application on </w:t>
            </w:r>
            <w:proofErr w:type="spellStart"/>
            <w:r w:rsidRPr="00FC6043">
              <w:rPr>
                <w:rFonts w:ascii="Times New Roman" w:hAnsi="Times New Roman" w:cs="Times New Roman"/>
                <w:sz w:val="20"/>
                <w:szCs w:val="20"/>
              </w:rPr>
              <w:t>Emphasys</w:t>
            </w:r>
            <w:proofErr w:type="spellEnd"/>
            <w:r w:rsidRPr="00FC6043">
              <w:rPr>
                <w:rFonts w:ascii="Times New Roman" w:hAnsi="Times New Roman" w:cs="Times New Roman"/>
                <w:sz w:val="20"/>
                <w:szCs w:val="20"/>
              </w:rPr>
              <w:t>, under 01 Waivers, there is an option to check yes or no for 0106 Income Averaging. If you select yes, there is a $1,500 fee due. I don't see in the QAP where there is a fee for income averaging, besides the monitoring fee, and I don't see where we need to request a waiver for income averaging. Is this line item asking if we are choosing income averaging, or am I misunderstanding the line item?</w:t>
            </w:r>
          </w:p>
          <w:p w14:paraId="282F68F7" w14:textId="77777777" w:rsidR="00CF5712" w:rsidRPr="00FC6043" w:rsidRDefault="00CF5712" w:rsidP="00304B2F">
            <w:pPr>
              <w:rPr>
                <w:rFonts w:ascii="Times New Roman" w:hAnsi="Times New Roman" w:cs="Times New Roman"/>
                <w:sz w:val="20"/>
                <w:szCs w:val="20"/>
              </w:rPr>
            </w:pPr>
          </w:p>
          <w:p w14:paraId="3DDA9B01"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 xml:space="preserve">: </w:t>
            </w:r>
          </w:p>
          <w:p w14:paraId="067955F3" w14:textId="77777777" w:rsidR="00CF5712" w:rsidRPr="00FC6043" w:rsidRDefault="00CF5712" w:rsidP="00304B2F">
            <w:pPr>
              <w:contextualSpacing/>
              <w:rPr>
                <w:rFonts w:ascii="Times New Roman" w:hAnsi="Times New Roman" w:cs="Times New Roman"/>
                <w:b/>
                <w:bCs/>
                <w:sz w:val="20"/>
                <w:szCs w:val="20"/>
              </w:rPr>
            </w:pPr>
            <w:r w:rsidRPr="00FC6043">
              <w:rPr>
                <w:rFonts w:ascii="Times New Roman" w:hAnsi="Times New Roman" w:cs="Times New Roman"/>
                <w:sz w:val="20"/>
                <w:szCs w:val="20"/>
              </w:rPr>
              <w:t xml:space="preserve">Unless an Applicant is seeking a waiver for the DCA requirement that income limits be proportionately distributed among bedroom sizes, Applicants should not select this option. </w:t>
            </w:r>
            <w:r w:rsidRPr="00FC6043">
              <w:rPr>
                <w:rFonts w:ascii="Times New Roman" w:eastAsia="Calibri" w:hAnsi="Times New Roman" w:cs="Times New Roman"/>
                <w:sz w:val="20"/>
                <w:szCs w:val="20"/>
              </w:rPr>
              <w:t>See DCA’s Average Income Policy for more information (</w:t>
            </w:r>
            <w:hyperlink r:id="rId61" w:history="1">
              <w:r w:rsidRPr="00FC6043">
                <w:rPr>
                  <w:rStyle w:val="Hyperlink"/>
                  <w:rFonts w:ascii="Times New Roman" w:eastAsia="Calibri" w:hAnsi="Times New Roman" w:cs="Times New Roman"/>
                  <w:color w:val="auto"/>
                  <w:sz w:val="20"/>
                  <w:szCs w:val="20"/>
                </w:rPr>
                <w:t>click here</w:t>
              </w:r>
            </w:hyperlink>
            <w:r w:rsidRPr="00FC6043">
              <w:rPr>
                <w:rFonts w:ascii="Times New Roman" w:eastAsia="Calibri" w:hAnsi="Times New Roman" w:cs="Times New Roman"/>
                <w:sz w:val="20"/>
                <w:szCs w:val="20"/>
              </w:rPr>
              <w:t xml:space="preserve"> for DCA’s Compliance Monitoring homepage, visit the “Tax Credit” page, download “</w:t>
            </w:r>
            <w:r w:rsidRPr="00FC6043">
              <w:rPr>
                <w:rFonts w:ascii="Times New Roman" w:eastAsia="Calibri" w:hAnsi="Times New Roman" w:cs="Times New Roman"/>
                <w:b/>
                <w:bCs/>
                <w:sz w:val="20"/>
                <w:szCs w:val="20"/>
              </w:rPr>
              <w:t>DCA's Average Income Policy (updated 2021)</w:t>
            </w:r>
            <w:r w:rsidRPr="00FC6043">
              <w:rPr>
                <w:rFonts w:ascii="Times New Roman" w:eastAsia="Calibri" w:hAnsi="Times New Roman" w:cs="Times New Roman"/>
                <w:sz w:val="20"/>
                <w:szCs w:val="20"/>
              </w:rPr>
              <w:t xml:space="preserve">, and view subsection </w:t>
            </w:r>
            <w:r w:rsidRPr="00FC6043">
              <w:rPr>
                <w:rFonts w:ascii="Times New Roman" w:eastAsia="Calibri" w:hAnsi="Times New Roman" w:cs="Times New Roman"/>
                <w:b/>
                <w:bCs/>
                <w:sz w:val="20"/>
                <w:szCs w:val="20"/>
              </w:rPr>
              <w:t>B. DCA adopted requirements and interpretations</w:t>
            </w:r>
            <w:r w:rsidRPr="00FC6043">
              <w:rPr>
                <w:rFonts w:ascii="Times New Roman" w:eastAsia="Calibri" w:hAnsi="Times New Roman" w:cs="Times New Roman"/>
                <w:sz w:val="20"/>
                <w:szCs w:val="20"/>
              </w:rPr>
              <w:t>”).</w:t>
            </w:r>
          </w:p>
        </w:tc>
      </w:tr>
      <w:tr w:rsidR="00CF5712" w:rsidRPr="00FC6043" w14:paraId="0D148627" w14:textId="77777777" w:rsidTr="00E91E6E">
        <w:trPr>
          <w:jc w:val="center"/>
        </w:trPr>
        <w:tc>
          <w:tcPr>
            <w:tcW w:w="2157" w:type="dxa"/>
            <w:shd w:val="clear" w:color="auto" w:fill="auto"/>
            <w:tcMar>
              <w:top w:w="72" w:type="dxa"/>
              <w:left w:w="115" w:type="dxa"/>
              <w:bottom w:w="72" w:type="dxa"/>
              <w:right w:w="115" w:type="dxa"/>
            </w:tcMar>
            <w:vAlign w:val="center"/>
          </w:tcPr>
          <w:p w14:paraId="5B1A5ADC"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1D1C99F1"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2.20 </w:t>
            </w:r>
          </w:p>
          <w:p w14:paraId="6D4A7B3B"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Threshold Criteria;</w:t>
            </w:r>
          </w:p>
          <w:p w14:paraId="5D66679D"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lastRenderedPageBreak/>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3CA1E281"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lastRenderedPageBreak/>
              <w:t>Question</w:t>
            </w:r>
            <w:r w:rsidRPr="00FC6043">
              <w:rPr>
                <w:rFonts w:ascii="Times New Roman" w:eastAsia="Times New Roman" w:hAnsi="Times New Roman" w:cs="Times New Roman"/>
                <w:sz w:val="20"/>
                <w:szCs w:val="20"/>
              </w:rPr>
              <w:t>: Q0302_01 </w:t>
            </w:r>
          </w:p>
          <w:p w14:paraId="297B3AFE"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lastRenderedPageBreak/>
              <w:t xml:space="preserve">I see that financials are not listed in the instructions of the pre-application workbook; however, upon reviewing the slides for the </w:t>
            </w:r>
            <w:proofErr w:type="spellStart"/>
            <w:r w:rsidRPr="00FC6043">
              <w:rPr>
                <w:rFonts w:ascii="Times New Roman" w:eastAsia="Times New Roman" w:hAnsi="Times New Roman" w:cs="Times New Roman"/>
                <w:sz w:val="20"/>
                <w:szCs w:val="20"/>
              </w:rPr>
              <w:t>Emphasys</w:t>
            </w:r>
            <w:proofErr w:type="spellEnd"/>
            <w:r w:rsidRPr="00FC6043">
              <w:rPr>
                <w:rFonts w:ascii="Times New Roman" w:eastAsia="Times New Roman" w:hAnsi="Times New Roman" w:cs="Times New Roman"/>
                <w:sz w:val="20"/>
                <w:szCs w:val="20"/>
              </w:rPr>
              <w:t xml:space="preserve"> tutorial financials are mentioned and there are examples of how to upload them. </w:t>
            </w:r>
          </w:p>
          <w:p w14:paraId="7792EABA"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5A43D436"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Can you please confirm if financials are required to be submitted at pre-application? If so, what years and documentation type is acceptable?  </w:t>
            </w:r>
          </w:p>
          <w:p w14:paraId="7730F228"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2BC6E0DE"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07AD73B4"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In the Pre-Application instruction slides (</w:t>
            </w:r>
            <w:hyperlink r:id="rId62" w:tgtFrame="_blank" w:history="1">
              <w:r w:rsidRPr="00FC6043">
                <w:rPr>
                  <w:rFonts w:ascii="Times New Roman" w:eastAsia="Times New Roman" w:hAnsi="Times New Roman" w:cs="Times New Roman"/>
                  <w:sz w:val="20"/>
                  <w:szCs w:val="20"/>
                  <w:u w:val="single"/>
                </w:rPr>
                <w:t>click here</w:t>
              </w:r>
            </w:hyperlink>
            <w:r w:rsidRPr="00FC6043">
              <w:rPr>
                <w:rFonts w:ascii="Times New Roman" w:eastAsia="Times New Roman" w:hAnsi="Times New Roman" w:cs="Times New Roman"/>
                <w:sz w:val="20"/>
                <w:szCs w:val="20"/>
              </w:rPr>
              <w:t xml:space="preserve"> and select “2022 Pre-Application- </w:t>
            </w:r>
            <w:proofErr w:type="spellStart"/>
            <w:r w:rsidRPr="00FC6043">
              <w:rPr>
                <w:rFonts w:ascii="Times New Roman" w:eastAsia="Times New Roman" w:hAnsi="Times New Roman" w:cs="Times New Roman"/>
                <w:sz w:val="20"/>
                <w:szCs w:val="20"/>
              </w:rPr>
              <w:t>Emphasys</w:t>
            </w:r>
            <w:proofErr w:type="spellEnd"/>
            <w:r w:rsidRPr="00FC6043">
              <w:rPr>
                <w:rFonts w:ascii="Times New Roman" w:eastAsia="Times New Roman" w:hAnsi="Times New Roman" w:cs="Times New Roman"/>
                <w:sz w:val="20"/>
                <w:szCs w:val="20"/>
              </w:rPr>
              <w:t xml:space="preserve"> Submission Instructions”), one of the file-naming examples is “0303FinancialStmts”. This is an example for purposes of naming a financial statement if it is applicable to upload to </w:t>
            </w:r>
            <w:proofErr w:type="spellStart"/>
            <w:r w:rsidRPr="00FC6043">
              <w:rPr>
                <w:rFonts w:ascii="Times New Roman" w:eastAsia="Times New Roman" w:hAnsi="Times New Roman" w:cs="Times New Roman"/>
                <w:sz w:val="20"/>
                <w:szCs w:val="20"/>
              </w:rPr>
              <w:t>Emphasys</w:t>
            </w:r>
            <w:proofErr w:type="spellEnd"/>
            <w:r w:rsidRPr="00FC6043">
              <w:rPr>
                <w:rFonts w:ascii="Times New Roman" w:eastAsia="Times New Roman" w:hAnsi="Times New Roman" w:cs="Times New Roman"/>
                <w:sz w:val="20"/>
                <w:szCs w:val="20"/>
              </w:rPr>
              <w:t>. However, financial statements are not required by default.  </w:t>
            </w:r>
          </w:p>
          <w:p w14:paraId="243C65B5"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3C1695C3"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The 2022 QAP states under </w:t>
            </w:r>
            <w:r w:rsidRPr="00FC6043">
              <w:rPr>
                <w:rFonts w:ascii="Times New Roman" w:eastAsia="Times New Roman" w:hAnsi="Times New Roman" w:cs="Times New Roman"/>
                <w:b/>
                <w:bCs/>
                <w:sz w:val="20"/>
                <w:szCs w:val="20"/>
              </w:rPr>
              <w:t>(Threshold Criteria) Experience, Capacity, and Performance Requirements for General Partners)</w:t>
            </w:r>
            <w:r w:rsidRPr="00FC6043">
              <w:rPr>
                <w:rFonts w:ascii="Times New Roman" w:eastAsia="Times New Roman" w:hAnsi="Times New Roman" w:cs="Times New Roman"/>
                <w:sz w:val="20"/>
                <w:szCs w:val="20"/>
              </w:rPr>
              <w:t>, subsection</w:t>
            </w:r>
            <w:r w:rsidRPr="00FC6043">
              <w:rPr>
                <w:rFonts w:ascii="Times New Roman" w:eastAsia="Times New Roman" w:hAnsi="Times New Roman" w:cs="Times New Roman"/>
                <w:b/>
                <w:bCs/>
                <w:sz w:val="20"/>
                <w:szCs w:val="20"/>
              </w:rPr>
              <w:t xml:space="preserve"> B. Requirements for Capacity (Certifying Entity)</w:t>
            </w:r>
            <w:r w:rsidRPr="00FC6043">
              <w:rPr>
                <w:rFonts w:ascii="Times New Roman" w:eastAsia="Times New Roman" w:hAnsi="Times New Roman" w:cs="Times New Roman"/>
                <w:sz w:val="20"/>
                <w:szCs w:val="20"/>
              </w:rPr>
              <w:t>:</w:t>
            </w:r>
            <w:r w:rsidRPr="00FC6043">
              <w:rPr>
                <w:rFonts w:ascii="Times New Roman" w:eastAsia="Times New Roman" w:hAnsi="Times New Roman" w:cs="Times New Roman"/>
                <w:b/>
                <w:bCs/>
                <w:sz w:val="20"/>
                <w:szCs w:val="20"/>
              </w:rPr>
              <w:t xml:space="preserve"> </w:t>
            </w:r>
            <w:r w:rsidRPr="00FC6043">
              <w:rPr>
                <w:rFonts w:ascii="Times New Roman" w:eastAsia="Times New Roman" w:hAnsi="Times New Roman" w:cs="Times New Roman"/>
                <w:sz w:val="20"/>
                <w:szCs w:val="20"/>
              </w:rPr>
              <w:t>“</w:t>
            </w:r>
            <w:r w:rsidRPr="00FC6043">
              <w:rPr>
                <w:rFonts w:ascii="Times New Roman" w:eastAsia="Times New Roman" w:hAnsi="Times New Roman" w:cs="Times New Roman"/>
                <w:i/>
                <w:iCs/>
                <w:sz w:val="20"/>
                <w:szCs w:val="20"/>
              </w:rPr>
              <w:t>DCA may request information including but not limited to…financial statements…</w:t>
            </w:r>
            <w:r w:rsidRPr="00FC6043">
              <w:rPr>
                <w:rFonts w:ascii="Times New Roman" w:eastAsia="Times New Roman" w:hAnsi="Times New Roman" w:cs="Times New Roman"/>
                <w:sz w:val="20"/>
                <w:szCs w:val="20"/>
              </w:rPr>
              <w:t>” </w:t>
            </w:r>
          </w:p>
          <w:p w14:paraId="497C3ED8"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3E83B89D"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Further, under the 2021 Q&amp;A process, DCA provided the following guidance on this issue (</w:t>
            </w:r>
            <w:hyperlink r:id="rId63" w:tgtFrame="_blank" w:history="1">
              <w:r w:rsidRPr="00FC6043">
                <w:rPr>
                  <w:rFonts w:ascii="Times New Roman" w:eastAsia="Times New Roman" w:hAnsi="Times New Roman" w:cs="Times New Roman"/>
                  <w:sz w:val="20"/>
                  <w:szCs w:val="20"/>
                  <w:u w:val="single"/>
                </w:rPr>
                <w:t>click here</w:t>
              </w:r>
            </w:hyperlink>
            <w:r w:rsidRPr="00FC6043">
              <w:rPr>
                <w:rFonts w:ascii="Times New Roman" w:eastAsia="Times New Roman" w:hAnsi="Times New Roman" w:cs="Times New Roman"/>
                <w:sz w:val="20"/>
                <w:szCs w:val="20"/>
              </w:rPr>
              <w:t xml:space="preserve"> and select “Q&amp;A Instructions and DCA Responses”):  </w:t>
            </w:r>
          </w:p>
          <w:p w14:paraId="5E4E3833" w14:textId="77777777" w:rsidR="00CF5712" w:rsidRPr="00FC6043" w:rsidRDefault="00CF5712" w:rsidP="00304B2F">
            <w:pPr>
              <w:ind w:left="72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r w:rsidRPr="00FC6043">
              <w:rPr>
                <w:rFonts w:ascii="Times New Roman" w:eastAsia="Times New Roman" w:hAnsi="Times New Roman" w:cs="Times New Roman"/>
                <w:sz w:val="20"/>
                <w:szCs w:val="20"/>
              </w:rPr>
              <w:br/>
            </w:r>
            <w:r w:rsidRPr="00FC6043">
              <w:rPr>
                <w:rFonts w:ascii="Times New Roman" w:eastAsia="Times New Roman" w:hAnsi="Times New Roman" w:cs="Times New Roman"/>
                <w:b/>
                <w:bCs/>
                <w:sz w:val="20"/>
                <w:szCs w:val="20"/>
              </w:rPr>
              <w:t>Q0226_03:</w:t>
            </w:r>
            <w:r w:rsidRPr="00FC6043">
              <w:rPr>
                <w:rFonts w:ascii="Times New Roman" w:eastAsia="Times New Roman" w:hAnsi="Times New Roman" w:cs="Times New Roman"/>
                <w:sz w:val="20"/>
                <w:szCs w:val="20"/>
              </w:rPr>
              <w:t xml:space="preserve"> “Financial statements are not required at Pre-Application unless requested by DCA during the Qualification review.”  </w:t>
            </w:r>
          </w:p>
          <w:p w14:paraId="79CEDC35"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0FE2DBBC"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This 2021 guidance also applies to the 2022 Pre-Application process.</w:t>
            </w:r>
          </w:p>
        </w:tc>
      </w:tr>
      <w:tr w:rsidR="00CF5712" w:rsidRPr="00FC6043" w14:paraId="48E24506" w14:textId="77777777" w:rsidTr="00E91E6E">
        <w:trPr>
          <w:jc w:val="center"/>
        </w:trPr>
        <w:tc>
          <w:tcPr>
            <w:tcW w:w="2157" w:type="dxa"/>
            <w:shd w:val="clear" w:color="auto" w:fill="auto"/>
            <w:tcMar>
              <w:top w:w="72" w:type="dxa"/>
              <w:left w:w="115" w:type="dxa"/>
              <w:bottom w:w="72" w:type="dxa"/>
              <w:right w:w="115" w:type="dxa"/>
            </w:tcMar>
            <w:vAlign w:val="center"/>
          </w:tcPr>
          <w:p w14:paraId="676B4B40"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3/7/22</w:t>
            </w:r>
          </w:p>
        </w:tc>
        <w:tc>
          <w:tcPr>
            <w:tcW w:w="2198" w:type="dxa"/>
            <w:shd w:val="clear" w:color="auto" w:fill="auto"/>
            <w:tcMar>
              <w:top w:w="72" w:type="dxa"/>
              <w:left w:w="115" w:type="dxa"/>
              <w:bottom w:w="72" w:type="dxa"/>
              <w:right w:w="115" w:type="dxa"/>
            </w:tcMar>
            <w:vAlign w:val="center"/>
          </w:tcPr>
          <w:p w14:paraId="1A32C239"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2.25</w:t>
            </w:r>
          </w:p>
          <w:p w14:paraId="2851D4BB"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Threshold Criteria; </w:t>
            </w:r>
          </w:p>
          <w:p w14:paraId="665AE379"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Occupied Developments</w:t>
            </w:r>
          </w:p>
          <w:p w14:paraId="47D5751E" w14:textId="77777777" w:rsidR="00CF5712" w:rsidRPr="00FC6043" w:rsidRDefault="00CF5712" w:rsidP="00304B2F">
            <w:pPr>
              <w:contextualSpacing/>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62FAE9C5"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Q22_0304_02 </w:t>
            </w:r>
          </w:p>
          <w:p w14:paraId="4EE71DA8"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On the Relocation Summary tab of the Supplemental Pre-Application workbook, the </w:t>
            </w:r>
          </w:p>
          <w:p w14:paraId="13698FE0"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following cells do not allow entry. Will a new version of the form be </w:t>
            </w:r>
          </w:p>
          <w:p w14:paraId="53C12FAF"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released or should we just add responses in the comments section? Cells </w:t>
            </w:r>
          </w:p>
          <w:p w14:paraId="354F25F7"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D13, D17, H22, and M22 </w:t>
            </w:r>
          </w:p>
          <w:p w14:paraId="387042F5"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45C57CC2"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444FEA74"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An updated version of the </w:t>
            </w:r>
            <w:r w:rsidRPr="00FC6043">
              <w:rPr>
                <w:rFonts w:ascii="Times New Roman" w:eastAsia="Times New Roman" w:hAnsi="Times New Roman" w:cs="Times New Roman"/>
                <w:i/>
                <w:iCs/>
                <w:sz w:val="20"/>
                <w:szCs w:val="20"/>
              </w:rPr>
              <w:t xml:space="preserve">2022 Supplemental Pre-Application </w:t>
            </w:r>
            <w:r w:rsidRPr="00FC6043">
              <w:rPr>
                <w:rFonts w:ascii="Times New Roman" w:eastAsia="Times New Roman" w:hAnsi="Times New Roman" w:cs="Times New Roman"/>
                <w:sz w:val="20"/>
                <w:szCs w:val="20"/>
              </w:rPr>
              <w:t>form has been posted to the DCA website (</w:t>
            </w:r>
            <w:hyperlink r:id="rId64" w:tgtFrame="_blank" w:history="1">
              <w:r w:rsidRPr="00FC6043">
                <w:rPr>
                  <w:rFonts w:ascii="Times New Roman" w:eastAsia="Times New Roman" w:hAnsi="Times New Roman" w:cs="Times New Roman"/>
                  <w:sz w:val="20"/>
                  <w:szCs w:val="20"/>
                  <w:u w:val="single"/>
                </w:rPr>
                <w:t>click here</w:t>
              </w:r>
            </w:hyperlink>
            <w:r w:rsidRPr="00FC6043">
              <w:rPr>
                <w:rFonts w:ascii="Times New Roman" w:eastAsia="Times New Roman" w:hAnsi="Times New Roman" w:cs="Times New Roman"/>
                <w:sz w:val="20"/>
                <w:szCs w:val="20"/>
              </w:rPr>
              <w:t>). Applicants are welcome to either use the updated form or add the relevant information into the comments box as proposed above. </w:t>
            </w:r>
          </w:p>
        </w:tc>
      </w:tr>
      <w:tr w:rsidR="00CF5712" w:rsidRPr="00FC6043" w14:paraId="30A1EB66" w14:textId="77777777" w:rsidTr="00E91E6E">
        <w:trPr>
          <w:jc w:val="center"/>
        </w:trPr>
        <w:tc>
          <w:tcPr>
            <w:tcW w:w="2157" w:type="dxa"/>
            <w:shd w:val="clear" w:color="auto" w:fill="auto"/>
            <w:tcMar>
              <w:top w:w="72" w:type="dxa"/>
              <w:left w:w="115" w:type="dxa"/>
              <w:bottom w:w="72" w:type="dxa"/>
              <w:right w:w="115" w:type="dxa"/>
            </w:tcMar>
            <w:vAlign w:val="center"/>
          </w:tcPr>
          <w:p w14:paraId="2B7ECBB3"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3A5967AC"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2.25</w:t>
            </w:r>
          </w:p>
          <w:p w14:paraId="12EAFC91"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Threshold Criteria; </w:t>
            </w:r>
          </w:p>
          <w:p w14:paraId="5BE7FA4D"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Occupied Developments</w:t>
            </w:r>
          </w:p>
          <w:p w14:paraId="6D7A3B94" w14:textId="77777777" w:rsidR="00CF5712" w:rsidRPr="00FC6043" w:rsidRDefault="00CF5712" w:rsidP="00304B2F">
            <w:pPr>
              <w:contextualSpacing/>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054C9448" w14:textId="77777777" w:rsidR="00CF5712" w:rsidRPr="00FC6043" w:rsidRDefault="00CF5712" w:rsidP="00304B2F">
            <w:pPr>
              <w:keepNext/>
              <w:keepLines/>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Q22_0304_05 </w:t>
            </w:r>
          </w:p>
          <w:p w14:paraId="65E136D7" w14:textId="77777777" w:rsidR="00CF5712" w:rsidRPr="00FC6043" w:rsidRDefault="00CF5712" w:rsidP="00304B2F">
            <w:pPr>
              <w:keepNext/>
              <w:keepLines/>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We are planning an acquisition rehabilitation of a property, and the property </w:t>
            </w:r>
          </w:p>
          <w:p w14:paraId="0C01C826" w14:textId="77777777" w:rsidR="00CF5712" w:rsidRPr="00FC6043" w:rsidRDefault="00CF5712" w:rsidP="00304B2F">
            <w:pPr>
              <w:keepNext/>
              <w:keepLines/>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is currently fully occupied. We are not planning on permanently displacing </w:t>
            </w:r>
          </w:p>
          <w:p w14:paraId="3B681ED0"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any residents. They all will be temporarily relocated for approximately </w:t>
            </w:r>
          </w:p>
          <w:p w14:paraId="2472F691"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10-20 days while their unit is being rehabbed. Since they are leaving their </w:t>
            </w:r>
          </w:p>
          <w:p w14:paraId="6969ECD1"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lastRenderedPageBreak/>
              <w:t>unit for a short period of time and being temporarily relocated, will you </w:t>
            </w:r>
          </w:p>
          <w:p w14:paraId="1FAF0D75"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please confirm that this is not considered an "in-place" rehab and a waiver </w:t>
            </w:r>
          </w:p>
          <w:p w14:paraId="19A3FAD4"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is not required? </w:t>
            </w:r>
          </w:p>
          <w:p w14:paraId="42DA48C5"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4B26786B"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1DE68C52"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Yes, this is not considered an "in-place" rehab and a waiver is not required.  Please see Q0223_01 for additional discussion comparing “in-place rehab” circumstances and “temporary relocation.” </w:t>
            </w:r>
          </w:p>
        </w:tc>
      </w:tr>
      <w:tr w:rsidR="00CF5712" w:rsidRPr="00FC6043" w14:paraId="2B5A1242" w14:textId="77777777" w:rsidTr="00E91E6E">
        <w:trPr>
          <w:jc w:val="center"/>
        </w:trPr>
        <w:tc>
          <w:tcPr>
            <w:tcW w:w="2157" w:type="dxa"/>
            <w:shd w:val="clear" w:color="auto" w:fill="auto"/>
            <w:tcMar>
              <w:top w:w="72" w:type="dxa"/>
              <w:left w:w="115" w:type="dxa"/>
              <w:bottom w:w="72" w:type="dxa"/>
              <w:right w:w="115" w:type="dxa"/>
            </w:tcMar>
            <w:vAlign w:val="center"/>
          </w:tcPr>
          <w:p w14:paraId="4ED07814"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3/7/22</w:t>
            </w:r>
          </w:p>
        </w:tc>
        <w:tc>
          <w:tcPr>
            <w:tcW w:w="2198" w:type="dxa"/>
            <w:shd w:val="clear" w:color="auto" w:fill="auto"/>
            <w:tcMar>
              <w:top w:w="72" w:type="dxa"/>
              <w:left w:w="115" w:type="dxa"/>
              <w:bottom w:w="72" w:type="dxa"/>
              <w:right w:w="115" w:type="dxa"/>
            </w:tcMar>
            <w:vAlign w:val="center"/>
          </w:tcPr>
          <w:p w14:paraId="2E9B70CE"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2.25</w:t>
            </w:r>
          </w:p>
          <w:p w14:paraId="1C436B00"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Threshold Criteria; </w:t>
            </w:r>
          </w:p>
          <w:p w14:paraId="616CA282"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Occupied Developments</w:t>
            </w:r>
          </w:p>
        </w:tc>
        <w:tc>
          <w:tcPr>
            <w:tcW w:w="9590" w:type="dxa"/>
            <w:shd w:val="clear" w:color="auto" w:fill="auto"/>
            <w:tcMar>
              <w:top w:w="72" w:type="dxa"/>
              <w:left w:w="115" w:type="dxa"/>
              <w:bottom w:w="72" w:type="dxa"/>
              <w:right w:w="115" w:type="dxa"/>
            </w:tcMar>
            <w:vAlign w:val="center"/>
          </w:tcPr>
          <w:p w14:paraId="1FA34852"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Q22_0302_06</w:t>
            </w:r>
          </w:p>
          <w:p w14:paraId="561A2544" w14:textId="77777777" w:rsidR="00CF5712" w:rsidRPr="00FC6043" w:rsidRDefault="00CF5712"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On page 7 of the </w:t>
            </w:r>
            <w:r w:rsidRPr="00FC6043">
              <w:rPr>
                <w:rFonts w:ascii="Times New Roman" w:eastAsia="Times New Roman" w:hAnsi="Times New Roman" w:cs="Times New Roman"/>
                <w:b/>
                <w:bCs/>
                <w:sz w:val="20"/>
                <w:szCs w:val="20"/>
              </w:rPr>
              <w:t xml:space="preserve">2022 Relocation Manual </w:t>
            </w:r>
            <w:r w:rsidRPr="00FC6043">
              <w:rPr>
                <w:rFonts w:ascii="Times New Roman" w:eastAsia="Times New Roman" w:hAnsi="Times New Roman" w:cs="Times New Roman"/>
                <w:sz w:val="20"/>
                <w:szCs w:val="20"/>
              </w:rPr>
              <w:t>(</w:t>
            </w:r>
            <w:hyperlink r:id="rId65" w:history="1">
              <w:r w:rsidRPr="00FC6043">
                <w:rPr>
                  <w:rStyle w:val="Hyperlink"/>
                  <w:rFonts w:ascii="Times New Roman" w:eastAsia="Times New Roman" w:hAnsi="Times New Roman" w:cs="Times New Roman"/>
                  <w:color w:val="auto"/>
                  <w:sz w:val="20"/>
                  <w:szCs w:val="20"/>
                </w:rPr>
                <w:t>click here</w:t>
              </w:r>
            </w:hyperlink>
            <w:r w:rsidRPr="00FC6043">
              <w:rPr>
                <w:rFonts w:ascii="Times New Roman" w:eastAsia="Times New Roman" w:hAnsi="Times New Roman" w:cs="Times New Roman"/>
                <w:sz w:val="20"/>
                <w:szCs w:val="20"/>
              </w:rPr>
              <w:t>), it states the following under General Information Notices:</w:t>
            </w:r>
          </w:p>
          <w:p w14:paraId="44147360" w14:textId="77777777" w:rsidR="00CF5712" w:rsidRPr="00FC6043" w:rsidRDefault="00CF5712" w:rsidP="00304B2F">
            <w:pPr>
              <w:rPr>
                <w:rFonts w:ascii="Times New Roman" w:eastAsia="Times New Roman" w:hAnsi="Times New Roman" w:cs="Times New Roman"/>
                <w:sz w:val="20"/>
                <w:szCs w:val="20"/>
              </w:rPr>
            </w:pPr>
          </w:p>
          <w:p w14:paraId="5F9B0343" w14:textId="77777777" w:rsidR="00CF5712" w:rsidRPr="00FC6043" w:rsidRDefault="00CF5712" w:rsidP="00304B2F">
            <w:pPr>
              <w:ind w:left="720"/>
              <w:rPr>
                <w:rFonts w:ascii="Times New Roman" w:eastAsia="Times New Roman" w:hAnsi="Times New Roman" w:cs="Times New Roman"/>
                <w:i/>
                <w:iCs/>
                <w:sz w:val="20"/>
                <w:szCs w:val="20"/>
              </w:rPr>
            </w:pPr>
            <w:r w:rsidRPr="00FC6043">
              <w:rPr>
                <w:rFonts w:ascii="Times New Roman" w:eastAsia="Times New Roman" w:hAnsi="Times New Roman" w:cs="Times New Roman"/>
                <w:i/>
                <w:iCs/>
                <w:sz w:val="20"/>
                <w:szCs w:val="20"/>
              </w:rPr>
              <w:t>"This notice must be provided between the ION Date and at least 15 days before initial submission to DCA of the application for federal funding or assistance."</w:t>
            </w:r>
          </w:p>
          <w:p w14:paraId="58D915ED" w14:textId="77777777" w:rsidR="00CF5712" w:rsidRPr="00FC6043" w:rsidRDefault="00CF5712" w:rsidP="00304B2F">
            <w:pPr>
              <w:ind w:left="720"/>
              <w:rPr>
                <w:rFonts w:ascii="Times New Roman" w:eastAsia="Times New Roman" w:hAnsi="Times New Roman" w:cs="Times New Roman"/>
                <w:sz w:val="20"/>
                <w:szCs w:val="20"/>
              </w:rPr>
            </w:pPr>
          </w:p>
          <w:p w14:paraId="1B2B1737" w14:textId="77777777" w:rsidR="00CF5712" w:rsidRPr="00FC6043" w:rsidRDefault="00CF5712"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Does "initial submission to DCA of the application" refer to the Pre-Application or the Full Application Submission?</w:t>
            </w:r>
          </w:p>
          <w:p w14:paraId="5F2664F5" w14:textId="77777777" w:rsidR="00CF5712" w:rsidRPr="00FC6043" w:rsidRDefault="00CF5712"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br/>
              <w:t xml:space="preserve">Further, the Multifamily LIHTC-Only Relocation Toolkit states the following (to view, </w:t>
            </w:r>
            <w:hyperlink r:id="rId66" w:history="1">
              <w:r w:rsidRPr="00FC6043">
                <w:rPr>
                  <w:rStyle w:val="Hyperlink"/>
                  <w:rFonts w:ascii="Times New Roman" w:eastAsia="Times New Roman" w:hAnsi="Times New Roman" w:cs="Times New Roman"/>
                  <w:color w:val="auto"/>
                  <w:sz w:val="20"/>
                  <w:szCs w:val="20"/>
                </w:rPr>
                <w:t>click here</w:t>
              </w:r>
            </w:hyperlink>
            <w:r w:rsidRPr="00FC6043">
              <w:rPr>
                <w:rFonts w:ascii="Times New Roman" w:eastAsia="Times New Roman" w:hAnsi="Times New Roman" w:cs="Times New Roman"/>
                <w:sz w:val="20"/>
                <w:szCs w:val="20"/>
              </w:rPr>
              <w:t xml:space="preserve"> and download the </w:t>
            </w:r>
            <w:r w:rsidRPr="00FC6043">
              <w:rPr>
                <w:rFonts w:ascii="Times New Roman" w:eastAsia="Times New Roman" w:hAnsi="Times New Roman" w:cs="Times New Roman"/>
                <w:i/>
                <w:iCs/>
                <w:sz w:val="20"/>
                <w:szCs w:val="20"/>
              </w:rPr>
              <w:t>Relocation Documents for Multifamily - LIHTC Only</w:t>
            </w:r>
            <w:r w:rsidRPr="00FC6043">
              <w:rPr>
                <w:rFonts w:ascii="Times New Roman" w:eastAsia="Times New Roman" w:hAnsi="Times New Roman" w:cs="Times New Roman"/>
                <w:sz w:val="20"/>
                <w:szCs w:val="20"/>
              </w:rPr>
              <w:t xml:space="preserve"> zip folder):</w:t>
            </w:r>
          </w:p>
          <w:p w14:paraId="5EFBEBE2" w14:textId="77777777" w:rsidR="00CF5712" w:rsidRPr="00FC6043" w:rsidRDefault="00CF5712" w:rsidP="00304B2F">
            <w:pPr>
              <w:rPr>
                <w:rFonts w:ascii="Times New Roman" w:eastAsia="Times New Roman" w:hAnsi="Times New Roman" w:cs="Times New Roman"/>
                <w:sz w:val="20"/>
                <w:szCs w:val="20"/>
              </w:rPr>
            </w:pPr>
          </w:p>
          <w:p w14:paraId="019537FD" w14:textId="77777777" w:rsidR="00CF5712" w:rsidRPr="00FC6043" w:rsidRDefault="00CF5712" w:rsidP="00304B2F">
            <w:pPr>
              <w:ind w:left="720"/>
              <w:rPr>
                <w:rFonts w:ascii="Times New Roman" w:eastAsia="Times New Roman" w:hAnsi="Times New Roman" w:cs="Times New Roman"/>
                <w:i/>
                <w:iCs/>
                <w:sz w:val="20"/>
                <w:szCs w:val="20"/>
              </w:rPr>
            </w:pPr>
            <w:r w:rsidRPr="00FC6043">
              <w:rPr>
                <w:rFonts w:ascii="Times New Roman" w:eastAsia="Times New Roman" w:hAnsi="Times New Roman" w:cs="Times New Roman"/>
                <w:i/>
                <w:iCs/>
                <w:sz w:val="20"/>
                <w:szCs w:val="20"/>
              </w:rPr>
              <w:t>"Submit General Information Notices (GIN) draft with Pre-Application."</w:t>
            </w:r>
          </w:p>
          <w:p w14:paraId="54919430" w14:textId="77777777" w:rsidR="00CF5712" w:rsidRPr="00FC6043" w:rsidRDefault="00CF5712" w:rsidP="00304B2F">
            <w:pPr>
              <w:rPr>
                <w:rFonts w:ascii="Times New Roman" w:eastAsia="Times New Roman" w:hAnsi="Times New Roman" w:cs="Times New Roman"/>
                <w:sz w:val="20"/>
                <w:szCs w:val="20"/>
              </w:rPr>
            </w:pPr>
          </w:p>
          <w:p w14:paraId="6FEEE6E1" w14:textId="77777777" w:rsidR="00CF5712" w:rsidRPr="00FC6043" w:rsidRDefault="00CF5712"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Does this mean that DCA will be providing comments or approval of the draft GIN notices submitted at Pre-Application, and therefore the approved GINs will not be able to be distributed to residents until after DCA's approval and the earlier of the ION Date and at least 15 days before Full Application Submission?</w:t>
            </w:r>
          </w:p>
          <w:p w14:paraId="3B1C2B31" w14:textId="77777777" w:rsidR="00CF5712" w:rsidRPr="00FC6043" w:rsidRDefault="00CF5712" w:rsidP="00304B2F">
            <w:pPr>
              <w:contextualSpacing/>
              <w:rPr>
                <w:rFonts w:ascii="Times New Roman" w:hAnsi="Times New Roman" w:cs="Times New Roman"/>
                <w:sz w:val="20"/>
                <w:szCs w:val="20"/>
              </w:rPr>
            </w:pPr>
          </w:p>
          <w:p w14:paraId="42B1CE8B" w14:textId="77777777" w:rsidR="00CF5712" w:rsidRPr="00FC6043" w:rsidRDefault="00CF5712" w:rsidP="00304B2F">
            <w:pPr>
              <w:keepNext/>
              <w:keepLines/>
              <w:contextualSpacing/>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 xml:space="preserve">: </w:t>
            </w:r>
          </w:p>
          <w:p w14:paraId="3A4D78DF" w14:textId="77777777" w:rsidR="00CF5712" w:rsidRPr="00FC6043" w:rsidRDefault="00CF5712" w:rsidP="00304B2F">
            <w:pPr>
              <w:keepNext/>
              <w:keepLines/>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The "initial submission to DCA of the application" refers to the Full Application submission due in May.</w:t>
            </w:r>
          </w:p>
          <w:p w14:paraId="4922DCB3" w14:textId="77777777" w:rsidR="00CF5712" w:rsidRPr="00FC6043" w:rsidRDefault="00CF5712" w:rsidP="00304B2F">
            <w:pPr>
              <w:keepNext/>
              <w:keepLines/>
              <w:rPr>
                <w:rFonts w:ascii="Times New Roman" w:hAnsi="Times New Roman" w:cs="Times New Roman"/>
                <w:sz w:val="20"/>
                <w:szCs w:val="20"/>
              </w:rPr>
            </w:pPr>
          </w:p>
          <w:p w14:paraId="5979A920" w14:textId="77777777" w:rsidR="00CF5712" w:rsidRPr="00FC6043" w:rsidRDefault="00CF5712" w:rsidP="00304B2F">
            <w:pPr>
              <w:keepNext/>
              <w:keepLines/>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Yes, GIN notices require DCA approval during the Pre-Application stage. The approved GINs will then be distributed to residents at least 15 days before Full Application submission.</w:t>
            </w:r>
          </w:p>
        </w:tc>
      </w:tr>
      <w:tr w:rsidR="00CF5712" w:rsidRPr="00FC6043" w14:paraId="14E9CA09" w14:textId="77777777" w:rsidTr="00E91E6E">
        <w:trPr>
          <w:jc w:val="center"/>
        </w:trPr>
        <w:tc>
          <w:tcPr>
            <w:tcW w:w="2157" w:type="dxa"/>
            <w:shd w:val="clear" w:color="auto" w:fill="auto"/>
            <w:tcMar>
              <w:top w:w="72" w:type="dxa"/>
              <w:left w:w="115" w:type="dxa"/>
              <w:bottom w:w="72" w:type="dxa"/>
              <w:right w:w="115" w:type="dxa"/>
            </w:tcMar>
            <w:vAlign w:val="center"/>
          </w:tcPr>
          <w:p w14:paraId="397B3B74"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47A4A3F0"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2.25</w:t>
            </w:r>
          </w:p>
          <w:p w14:paraId="1231FD04"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Threshold Criteria; </w:t>
            </w:r>
          </w:p>
          <w:p w14:paraId="22C4393A"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Occupied Developments</w:t>
            </w:r>
          </w:p>
        </w:tc>
        <w:tc>
          <w:tcPr>
            <w:tcW w:w="9590" w:type="dxa"/>
            <w:shd w:val="clear" w:color="auto" w:fill="auto"/>
            <w:tcMar>
              <w:top w:w="72" w:type="dxa"/>
              <w:left w:w="115" w:type="dxa"/>
              <w:bottom w:w="72" w:type="dxa"/>
              <w:right w:w="115" w:type="dxa"/>
            </w:tcMar>
            <w:vAlign w:val="center"/>
          </w:tcPr>
          <w:p w14:paraId="5CD43771" w14:textId="77777777" w:rsidR="00CF5712" w:rsidRPr="00FC6043" w:rsidRDefault="00CF5712" w:rsidP="00304B2F">
            <w:pPr>
              <w:keepNext/>
              <w:keepLines/>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Q0223_01</w:t>
            </w:r>
          </w:p>
          <w:p w14:paraId="545FCDEE" w14:textId="77777777" w:rsidR="00CF5712" w:rsidRPr="00FC6043" w:rsidRDefault="00CF5712" w:rsidP="00304B2F">
            <w:pPr>
              <w:keepNext/>
              <w:keepLines/>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In the multifamily LIHTC Relocation template, it says that if in-place rehab is expected you must submit a waiver at pre-application. On pg. 6, under the checklist, it says that certain tabs in the relocation workbook should be completed for the Permanent Displacement Waiver. Is this the same case for the in-place rehab waiver? Or is all that is required for in-place rehab, the waiver and the draft GIN?</w:t>
            </w:r>
          </w:p>
          <w:p w14:paraId="7A6C022B" w14:textId="77777777" w:rsidR="00CF5712" w:rsidRPr="00FC6043" w:rsidRDefault="00CF5712" w:rsidP="00304B2F">
            <w:pPr>
              <w:rPr>
                <w:rFonts w:ascii="Times New Roman" w:eastAsia="Times New Roman" w:hAnsi="Times New Roman" w:cs="Times New Roman"/>
                <w:sz w:val="20"/>
                <w:szCs w:val="20"/>
              </w:rPr>
            </w:pPr>
          </w:p>
          <w:p w14:paraId="1C9C1C3E" w14:textId="77777777" w:rsidR="00CF5712" w:rsidRPr="00FC6043" w:rsidRDefault="00CF5712" w:rsidP="00304B2F">
            <w:pPr>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lastRenderedPageBreak/>
              <w:t xml:space="preserve">The document I’m referencing is “Toolkit.Multifamily-LIHTCOnly.pdf” in the downloadable folder, “Relocation Documents for Multifamily - LIHTC Only”, on the DCA website (under 2022 Federal Compliance &amp; Relocation Manuals and Forms). </w:t>
            </w:r>
          </w:p>
          <w:p w14:paraId="2BF42A4D" w14:textId="77777777" w:rsidR="00CF5712" w:rsidRPr="00FC6043" w:rsidRDefault="00CF5712" w:rsidP="00304B2F">
            <w:pPr>
              <w:contextualSpacing/>
              <w:rPr>
                <w:rFonts w:ascii="Times New Roman" w:hAnsi="Times New Roman" w:cs="Times New Roman"/>
                <w:sz w:val="20"/>
                <w:szCs w:val="20"/>
              </w:rPr>
            </w:pPr>
          </w:p>
          <w:p w14:paraId="51079327"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 xml:space="preserve">: </w:t>
            </w:r>
          </w:p>
          <w:p w14:paraId="2AA52E70"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First, please note that in most cases, Applicants reaching out to DCA about in-place rehabilitation waivers are actually conflating the terms “temporary relocation” and “in-place rehabilitation.” Please see the below distinctions: </w:t>
            </w:r>
          </w:p>
          <w:p w14:paraId="1DF34E6A"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2244"/>
              <w:gridCol w:w="7101"/>
            </w:tblGrid>
            <w:tr w:rsidR="00CF5712" w:rsidRPr="00FC6043" w14:paraId="171E22DE" w14:textId="77777777" w:rsidTr="00DD3AA4">
              <w:tc>
                <w:tcPr>
                  <w:tcW w:w="2245" w:type="dxa"/>
                </w:tcPr>
                <w:p w14:paraId="1A13F62D" w14:textId="77777777" w:rsidR="00CF5712" w:rsidRPr="00FC6043" w:rsidRDefault="00CF5712" w:rsidP="00D330DE">
                  <w:pPr>
                    <w:keepNext/>
                    <w:keepLines/>
                    <w:jc w:val="center"/>
                    <w:rPr>
                      <w:rFonts w:ascii="Times New Roman" w:hAnsi="Times New Roman" w:cs="Times New Roman"/>
                      <w:b/>
                      <w:bCs/>
                      <w:sz w:val="20"/>
                      <w:szCs w:val="20"/>
                    </w:rPr>
                  </w:pPr>
                  <w:r w:rsidRPr="00FC6043">
                    <w:rPr>
                      <w:rFonts w:ascii="Times New Roman" w:hAnsi="Times New Roman" w:cs="Times New Roman"/>
                      <w:b/>
                      <w:bCs/>
                      <w:sz w:val="20"/>
                      <w:szCs w:val="20"/>
                    </w:rPr>
                    <w:t>Term</w:t>
                  </w:r>
                </w:p>
              </w:tc>
              <w:tc>
                <w:tcPr>
                  <w:tcW w:w="7105" w:type="dxa"/>
                </w:tcPr>
                <w:p w14:paraId="0AD7E2A2" w14:textId="77777777" w:rsidR="00CF5712" w:rsidRPr="00FC6043" w:rsidRDefault="00CF5712" w:rsidP="00D330DE">
                  <w:pPr>
                    <w:keepNext/>
                    <w:keepLines/>
                    <w:jc w:val="center"/>
                    <w:rPr>
                      <w:rFonts w:ascii="Times New Roman" w:hAnsi="Times New Roman" w:cs="Times New Roman"/>
                      <w:b/>
                      <w:bCs/>
                      <w:sz w:val="20"/>
                      <w:szCs w:val="20"/>
                    </w:rPr>
                  </w:pPr>
                  <w:r w:rsidRPr="00FC6043">
                    <w:rPr>
                      <w:rFonts w:ascii="Times New Roman" w:hAnsi="Times New Roman" w:cs="Times New Roman"/>
                      <w:b/>
                      <w:bCs/>
                      <w:sz w:val="20"/>
                      <w:szCs w:val="20"/>
                    </w:rPr>
                    <w:t>Definition</w:t>
                  </w:r>
                </w:p>
              </w:tc>
            </w:tr>
            <w:tr w:rsidR="00CF5712" w:rsidRPr="00FC6043" w14:paraId="7AB608A6" w14:textId="77777777" w:rsidTr="00DD3AA4">
              <w:tc>
                <w:tcPr>
                  <w:tcW w:w="2245" w:type="dxa"/>
                </w:tcPr>
                <w:p w14:paraId="7A2C5318" w14:textId="77777777" w:rsidR="00CF5712" w:rsidRPr="00FC6043" w:rsidRDefault="00CF5712" w:rsidP="00D330DE">
                  <w:pPr>
                    <w:keepNext/>
                    <w:keepLines/>
                    <w:rPr>
                      <w:rFonts w:ascii="Times New Roman" w:hAnsi="Times New Roman" w:cs="Times New Roman"/>
                      <w:sz w:val="20"/>
                      <w:szCs w:val="20"/>
                    </w:rPr>
                  </w:pPr>
                  <w:r w:rsidRPr="00FC6043">
                    <w:rPr>
                      <w:rFonts w:ascii="Times New Roman" w:hAnsi="Times New Roman" w:cs="Times New Roman"/>
                      <w:sz w:val="20"/>
                      <w:szCs w:val="20"/>
                    </w:rPr>
                    <w:t>Temporary relocation</w:t>
                  </w:r>
                </w:p>
              </w:tc>
              <w:tc>
                <w:tcPr>
                  <w:tcW w:w="7105" w:type="dxa"/>
                </w:tcPr>
                <w:p w14:paraId="117CC59E" w14:textId="77777777" w:rsidR="00CF5712" w:rsidRPr="00FC6043" w:rsidRDefault="00CF5712" w:rsidP="00D330DE">
                  <w:pPr>
                    <w:keepNext/>
                    <w:keepLines/>
                    <w:rPr>
                      <w:rFonts w:ascii="Times New Roman" w:hAnsi="Times New Roman" w:cs="Times New Roman"/>
                      <w:sz w:val="20"/>
                      <w:szCs w:val="20"/>
                    </w:rPr>
                  </w:pPr>
                  <w:r w:rsidRPr="00FC6043">
                    <w:rPr>
                      <w:rFonts w:ascii="Times New Roman" w:hAnsi="Times New Roman" w:cs="Times New Roman"/>
                      <w:sz w:val="20"/>
                      <w:szCs w:val="20"/>
                    </w:rPr>
                    <w:t>Temporary relocation refers to when an occupant must occupy temporary shelter during the rehabilitation process for at least one overnight.</w:t>
                  </w:r>
                </w:p>
              </w:tc>
            </w:tr>
            <w:tr w:rsidR="00CF5712" w:rsidRPr="00FC6043" w14:paraId="26F6F25C" w14:textId="77777777" w:rsidTr="00DD3AA4">
              <w:tc>
                <w:tcPr>
                  <w:tcW w:w="2245" w:type="dxa"/>
                </w:tcPr>
                <w:p w14:paraId="3476C8BC" w14:textId="77777777" w:rsidR="00CF5712" w:rsidRPr="00FC6043" w:rsidRDefault="00CF5712" w:rsidP="00D330DE">
                  <w:pPr>
                    <w:keepNext/>
                    <w:keepLines/>
                    <w:rPr>
                      <w:rFonts w:ascii="Times New Roman" w:hAnsi="Times New Roman" w:cs="Times New Roman"/>
                      <w:sz w:val="20"/>
                      <w:szCs w:val="20"/>
                    </w:rPr>
                  </w:pPr>
                  <w:r w:rsidRPr="00FC6043">
                    <w:rPr>
                      <w:rFonts w:ascii="Times New Roman" w:hAnsi="Times New Roman" w:cs="Times New Roman"/>
                      <w:sz w:val="20"/>
                      <w:szCs w:val="20"/>
                    </w:rPr>
                    <w:t>In-place rehabilitation</w:t>
                  </w:r>
                </w:p>
              </w:tc>
              <w:tc>
                <w:tcPr>
                  <w:tcW w:w="7105" w:type="dxa"/>
                </w:tcPr>
                <w:p w14:paraId="4BFF94A9" w14:textId="77777777" w:rsidR="00CF5712" w:rsidRPr="00FC6043" w:rsidRDefault="00CF5712" w:rsidP="00D330DE">
                  <w:pPr>
                    <w:keepNext/>
                    <w:keepLines/>
                    <w:rPr>
                      <w:rFonts w:ascii="Times New Roman" w:hAnsi="Times New Roman" w:cs="Times New Roman"/>
                      <w:sz w:val="20"/>
                      <w:szCs w:val="20"/>
                    </w:rPr>
                  </w:pPr>
                  <w:r w:rsidRPr="00FC6043">
                    <w:rPr>
                      <w:rFonts w:ascii="Times New Roman" w:eastAsia="Calibri" w:hAnsi="Times New Roman" w:cs="Times New Roman"/>
                      <w:sz w:val="20"/>
                      <w:szCs w:val="20"/>
                    </w:rPr>
                    <w:t xml:space="preserve">In-place rehabilitation is when the resident is not relocated. The resident spends the day away (e.g., in a community center), then returns to their unit that night. This is only possible if all rehabilitation for the unit can be completed in one day. </w:t>
                  </w:r>
                </w:p>
              </w:tc>
            </w:tr>
          </w:tbl>
          <w:p w14:paraId="6ABC7A87"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 </w:t>
            </w:r>
          </w:p>
          <w:p w14:paraId="5BB57557" w14:textId="77777777" w:rsidR="00CF5712" w:rsidRPr="00FC6043" w:rsidRDefault="00CF5712" w:rsidP="00304B2F">
            <w:pPr>
              <w:contextualSpacing/>
              <w:jc w:val="both"/>
              <w:rPr>
                <w:rFonts w:ascii="Times New Roman" w:eastAsia="Calibri" w:hAnsi="Times New Roman" w:cs="Times New Roman"/>
                <w:sz w:val="20"/>
                <w:szCs w:val="20"/>
              </w:rPr>
            </w:pPr>
            <w:r w:rsidRPr="00FC6043">
              <w:rPr>
                <w:rFonts w:ascii="Times New Roman" w:eastAsia="Calibri" w:hAnsi="Times New Roman" w:cs="Times New Roman"/>
                <w:sz w:val="20"/>
                <w:szCs w:val="20"/>
              </w:rPr>
              <w:t>D</w:t>
            </w:r>
            <w:r w:rsidRPr="00FC6043">
              <w:rPr>
                <w:rFonts w:ascii="Times New Roman" w:hAnsi="Times New Roman" w:cs="Times New Roman"/>
                <w:sz w:val="20"/>
                <w:szCs w:val="20"/>
              </w:rPr>
              <w:t xml:space="preserve">ue to DCA’s construction requirements, true in-place rehabilitation rarely occurs. Further, </w:t>
            </w:r>
            <w:r w:rsidRPr="00FC6043">
              <w:rPr>
                <w:rFonts w:ascii="Times New Roman" w:eastAsia="Calibri" w:hAnsi="Times New Roman" w:cs="Times New Roman"/>
                <w:sz w:val="20"/>
                <w:szCs w:val="20"/>
              </w:rPr>
              <w:t xml:space="preserve">in-place rehabilitation requires significant planning and logistics. This is why a relocation waiver is required for in-place rehabilitation. </w:t>
            </w:r>
          </w:p>
          <w:p w14:paraId="5B6384D0" w14:textId="77777777" w:rsidR="00CF5712" w:rsidRPr="00FC6043" w:rsidRDefault="00CF5712" w:rsidP="00304B2F">
            <w:pPr>
              <w:contextualSpacing/>
              <w:jc w:val="both"/>
              <w:rPr>
                <w:rFonts w:ascii="Times New Roman" w:eastAsia="Calibri" w:hAnsi="Times New Roman" w:cs="Times New Roman"/>
                <w:sz w:val="20"/>
                <w:szCs w:val="20"/>
              </w:rPr>
            </w:pPr>
          </w:p>
          <w:p w14:paraId="13EB0338" w14:textId="77777777" w:rsidR="00CF5712" w:rsidRPr="00FC6043" w:rsidRDefault="00CF5712" w:rsidP="00304B2F">
            <w:pPr>
              <w:contextualSpacing/>
              <w:jc w:val="both"/>
              <w:rPr>
                <w:rFonts w:ascii="Times New Roman" w:eastAsia="Calibri" w:hAnsi="Times New Roman" w:cs="Times New Roman"/>
                <w:sz w:val="20"/>
                <w:szCs w:val="20"/>
              </w:rPr>
            </w:pPr>
            <w:r w:rsidRPr="00FC6043">
              <w:rPr>
                <w:rFonts w:ascii="Times New Roman" w:eastAsia="Calibri" w:hAnsi="Times New Roman" w:cs="Times New Roman"/>
                <w:sz w:val="20"/>
                <w:szCs w:val="20"/>
              </w:rPr>
              <w:t>For applicants pursuing in-place rehabilitation as described above, the following waiver submission requirements apply (</w:t>
            </w:r>
            <w:hyperlink r:id="rId67" w:history="1">
              <w:r w:rsidRPr="00FC6043">
                <w:rPr>
                  <w:rStyle w:val="Hyperlink"/>
                  <w:rFonts w:ascii="Times New Roman" w:eastAsia="Calibri" w:hAnsi="Times New Roman" w:cs="Times New Roman"/>
                  <w:color w:val="auto"/>
                  <w:sz w:val="20"/>
                  <w:szCs w:val="20"/>
                </w:rPr>
                <w:t>click here</w:t>
              </w:r>
            </w:hyperlink>
            <w:r w:rsidRPr="00FC6043">
              <w:rPr>
                <w:rFonts w:ascii="Times New Roman" w:eastAsia="Calibri" w:hAnsi="Times New Roman" w:cs="Times New Roman"/>
                <w:sz w:val="20"/>
                <w:szCs w:val="20"/>
              </w:rPr>
              <w:t xml:space="preserve"> to access all references Manuals and Forms):</w:t>
            </w:r>
          </w:p>
          <w:p w14:paraId="39E74526" w14:textId="77777777" w:rsidR="00CF5712" w:rsidRPr="00FC6043" w:rsidRDefault="00CF5712" w:rsidP="00304B2F">
            <w:pPr>
              <w:contextualSpacing/>
              <w:jc w:val="both"/>
              <w:rPr>
                <w:rFonts w:ascii="Times New Roman" w:eastAsia="Calibri" w:hAnsi="Times New Roman" w:cs="Times New Roman"/>
                <w:sz w:val="20"/>
                <w:szCs w:val="20"/>
              </w:rPr>
            </w:pPr>
          </w:p>
          <w:p w14:paraId="7854996B" w14:textId="77777777" w:rsidR="00CF5712" w:rsidRPr="00FC6043" w:rsidRDefault="00CF5712" w:rsidP="00304B2F">
            <w:pPr>
              <w:pStyle w:val="ListParagraph"/>
              <w:numPr>
                <w:ilvl w:val="0"/>
                <w:numId w:val="8"/>
              </w:numPr>
              <w:rPr>
                <w:rFonts w:ascii="Times New Roman" w:eastAsia="Calibri" w:hAnsi="Times New Roman" w:cs="Times New Roman"/>
                <w:sz w:val="20"/>
                <w:szCs w:val="20"/>
              </w:rPr>
            </w:pPr>
            <w:r w:rsidRPr="00FC6043">
              <w:rPr>
                <w:rFonts w:ascii="Times New Roman" w:eastAsia="Calibri" w:hAnsi="Times New Roman" w:cs="Times New Roman"/>
                <w:sz w:val="20"/>
                <w:szCs w:val="20"/>
              </w:rPr>
              <w:t xml:space="preserve">Relocation and Displacement Plan including a Narrative describing how the In-Place Rehabilitation will occur and the provisions of what will be made available on a daily basis to residents who are waiting that day for their units to be rehabilitated. </w:t>
            </w:r>
          </w:p>
          <w:p w14:paraId="608E9D2C" w14:textId="77777777" w:rsidR="00CF5712" w:rsidRPr="00FC6043" w:rsidRDefault="00CF5712" w:rsidP="00304B2F">
            <w:pPr>
              <w:pStyle w:val="ListParagraph"/>
              <w:numPr>
                <w:ilvl w:val="1"/>
                <w:numId w:val="8"/>
              </w:numPr>
              <w:rPr>
                <w:rFonts w:ascii="Times New Roman" w:eastAsia="Calibri" w:hAnsi="Times New Roman" w:cs="Times New Roman"/>
                <w:sz w:val="20"/>
                <w:szCs w:val="20"/>
              </w:rPr>
            </w:pPr>
            <w:r w:rsidRPr="00FC6043">
              <w:rPr>
                <w:rFonts w:ascii="Times New Roman" w:eastAsia="Calibri" w:hAnsi="Times New Roman" w:cs="Times New Roman"/>
                <w:sz w:val="20"/>
                <w:szCs w:val="20"/>
              </w:rPr>
              <w:t>Please see description of In-Place Waiver Relocation Requirements on pages 16 and 17 of the DCA Relocation Manual.</w:t>
            </w:r>
          </w:p>
          <w:p w14:paraId="5A309233" w14:textId="77777777" w:rsidR="00CF5712" w:rsidRPr="00FC6043" w:rsidRDefault="00CF5712" w:rsidP="00304B2F">
            <w:pPr>
              <w:pStyle w:val="ListParagraph"/>
              <w:numPr>
                <w:ilvl w:val="1"/>
                <w:numId w:val="8"/>
              </w:numPr>
              <w:rPr>
                <w:rFonts w:ascii="Times New Roman" w:eastAsia="Calibri" w:hAnsi="Times New Roman" w:cs="Times New Roman"/>
                <w:sz w:val="20"/>
                <w:szCs w:val="20"/>
              </w:rPr>
            </w:pPr>
            <w:r w:rsidRPr="00FC6043">
              <w:rPr>
                <w:rFonts w:ascii="Times New Roman" w:eastAsia="Calibri" w:hAnsi="Times New Roman" w:cs="Times New Roman"/>
                <w:sz w:val="20"/>
                <w:szCs w:val="20"/>
              </w:rPr>
              <w:t>For relevant requirements, go to “</w:t>
            </w:r>
            <w:r w:rsidRPr="00FC6043">
              <w:rPr>
                <w:rFonts w:ascii="Times New Roman" w:eastAsia="Calibri" w:hAnsi="Times New Roman" w:cs="Times New Roman"/>
                <w:i/>
                <w:iCs/>
                <w:sz w:val="20"/>
                <w:szCs w:val="20"/>
              </w:rPr>
              <w:t>2022 Federal Compliance &amp; Relocation Manuals and Forms</w:t>
            </w:r>
            <w:r w:rsidRPr="00FC6043">
              <w:rPr>
                <w:rFonts w:ascii="Times New Roman" w:eastAsia="Calibri" w:hAnsi="Times New Roman" w:cs="Times New Roman"/>
                <w:sz w:val="20"/>
                <w:szCs w:val="20"/>
              </w:rPr>
              <w:t>” on DCA website (</w:t>
            </w:r>
            <w:hyperlink r:id="rId68" w:history="1">
              <w:r w:rsidRPr="00FC6043">
                <w:rPr>
                  <w:rStyle w:val="Hyperlink"/>
                  <w:rFonts w:ascii="Times New Roman" w:eastAsia="Calibri" w:hAnsi="Times New Roman" w:cs="Times New Roman"/>
                  <w:color w:val="auto"/>
                  <w:sz w:val="20"/>
                  <w:szCs w:val="20"/>
                </w:rPr>
                <w:t>click here</w:t>
              </w:r>
            </w:hyperlink>
            <w:r w:rsidRPr="00FC6043">
              <w:rPr>
                <w:rFonts w:ascii="Times New Roman" w:eastAsia="Calibri" w:hAnsi="Times New Roman" w:cs="Times New Roman"/>
                <w:sz w:val="20"/>
                <w:szCs w:val="20"/>
              </w:rPr>
              <w:t>) -- download “</w:t>
            </w:r>
            <w:r w:rsidRPr="00FC6043">
              <w:rPr>
                <w:rFonts w:ascii="Times New Roman" w:eastAsia="Calibri" w:hAnsi="Times New Roman" w:cs="Times New Roman"/>
                <w:i/>
                <w:iCs/>
                <w:sz w:val="20"/>
                <w:szCs w:val="20"/>
              </w:rPr>
              <w:t>2022 DCA Relocation Manual.pdf</w:t>
            </w:r>
            <w:r w:rsidRPr="00FC6043">
              <w:rPr>
                <w:rFonts w:ascii="Times New Roman" w:eastAsia="Calibri" w:hAnsi="Times New Roman" w:cs="Times New Roman"/>
                <w:sz w:val="20"/>
                <w:szCs w:val="20"/>
              </w:rPr>
              <w:t>” -- see section “</w:t>
            </w:r>
            <w:r w:rsidRPr="00FC6043">
              <w:rPr>
                <w:rFonts w:ascii="Times New Roman" w:eastAsia="Calibri" w:hAnsi="Times New Roman" w:cs="Times New Roman"/>
                <w:i/>
                <w:iCs/>
                <w:sz w:val="20"/>
                <w:szCs w:val="20"/>
              </w:rPr>
              <w:t>In-Place Rehab with Waiver</w:t>
            </w:r>
            <w:r w:rsidRPr="00FC6043">
              <w:rPr>
                <w:rFonts w:ascii="Times New Roman" w:eastAsia="Calibri" w:hAnsi="Times New Roman" w:cs="Times New Roman"/>
                <w:sz w:val="20"/>
                <w:szCs w:val="20"/>
              </w:rPr>
              <w:t>.”</w:t>
            </w:r>
          </w:p>
          <w:p w14:paraId="146599FA" w14:textId="77777777" w:rsidR="00CF5712" w:rsidRPr="00FC6043" w:rsidRDefault="00CF5712" w:rsidP="00304B2F">
            <w:pPr>
              <w:pStyle w:val="ListParagraph"/>
              <w:numPr>
                <w:ilvl w:val="0"/>
                <w:numId w:val="8"/>
              </w:numPr>
              <w:rPr>
                <w:rFonts w:ascii="Times New Roman" w:eastAsia="Calibri" w:hAnsi="Times New Roman" w:cs="Times New Roman"/>
                <w:sz w:val="20"/>
                <w:szCs w:val="20"/>
              </w:rPr>
            </w:pPr>
            <w:r w:rsidRPr="00FC6043">
              <w:rPr>
                <w:rFonts w:ascii="Times New Roman" w:eastAsia="Calibri" w:hAnsi="Times New Roman" w:cs="Times New Roman"/>
                <w:sz w:val="20"/>
                <w:szCs w:val="20"/>
              </w:rPr>
              <w:t xml:space="preserve">Updated Relocation and Displacement Workbook: Submit the Workbook based on the checklist below: </w:t>
            </w:r>
          </w:p>
          <w:p w14:paraId="18D0D16E" w14:textId="77777777" w:rsidR="00CF5712" w:rsidRPr="00FC6043" w:rsidRDefault="00CF5712" w:rsidP="00304B2F">
            <w:pPr>
              <w:pStyle w:val="ListParagraph"/>
              <w:numPr>
                <w:ilvl w:val="1"/>
                <w:numId w:val="8"/>
              </w:numPr>
              <w:rPr>
                <w:rFonts w:ascii="Times New Roman" w:eastAsia="Calibri" w:hAnsi="Times New Roman" w:cs="Times New Roman"/>
                <w:sz w:val="20"/>
                <w:szCs w:val="20"/>
              </w:rPr>
            </w:pPr>
            <w:r w:rsidRPr="00FC6043">
              <w:rPr>
                <w:rFonts w:ascii="Times New Roman" w:eastAsia="Calibri" w:hAnsi="Times New Roman" w:cs="Times New Roman"/>
                <w:sz w:val="20"/>
                <w:szCs w:val="20"/>
              </w:rPr>
              <w:t>Go to “</w:t>
            </w:r>
            <w:r w:rsidRPr="00FC6043">
              <w:rPr>
                <w:rFonts w:ascii="Times New Roman" w:eastAsia="Calibri" w:hAnsi="Times New Roman" w:cs="Times New Roman"/>
                <w:i/>
                <w:iCs/>
                <w:sz w:val="20"/>
                <w:szCs w:val="20"/>
              </w:rPr>
              <w:t>2022 Federal Compliance &amp; Relocation Manuals and Forms</w:t>
            </w:r>
            <w:r w:rsidRPr="00FC6043">
              <w:rPr>
                <w:rFonts w:ascii="Times New Roman" w:eastAsia="Calibri" w:hAnsi="Times New Roman" w:cs="Times New Roman"/>
                <w:sz w:val="20"/>
                <w:szCs w:val="20"/>
              </w:rPr>
              <w:t>” on DCA website (</w:t>
            </w:r>
            <w:hyperlink r:id="rId69" w:history="1">
              <w:r w:rsidRPr="00FC6043">
                <w:rPr>
                  <w:rStyle w:val="Hyperlink"/>
                  <w:rFonts w:ascii="Times New Roman" w:eastAsia="Calibri" w:hAnsi="Times New Roman" w:cs="Times New Roman"/>
                  <w:color w:val="auto"/>
                  <w:sz w:val="20"/>
                  <w:szCs w:val="20"/>
                </w:rPr>
                <w:t>click here</w:t>
              </w:r>
            </w:hyperlink>
            <w:r w:rsidRPr="00FC6043">
              <w:rPr>
                <w:rFonts w:ascii="Times New Roman" w:eastAsia="Calibri" w:hAnsi="Times New Roman" w:cs="Times New Roman"/>
                <w:sz w:val="20"/>
                <w:szCs w:val="20"/>
              </w:rPr>
              <w:t>) -- download “</w:t>
            </w:r>
            <w:r w:rsidRPr="00FC6043">
              <w:rPr>
                <w:rFonts w:ascii="Times New Roman" w:eastAsia="Calibri" w:hAnsi="Times New Roman" w:cs="Times New Roman"/>
                <w:i/>
                <w:iCs/>
                <w:sz w:val="20"/>
                <w:szCs w:val="20"/>
              </w:rPr>
              <w:t>Relocation Documents for Multifamily - LIHTC Only.zip</w:t>
            </w:r>
            <w:r w:rsidRPr="00FC6043">
              <w:rPr>
                <w:rFonts w:ascii="Times New Roman" w:eastAsia="Calibri" w:hAnsi="Times New Roman" w:cs="Times New Roman"/>
                <w:sz w:val="20"/>
                <w:szCs w:val="20"/>
              </w:rPr>
              <w:t>” -- “</w:t>
            </w:r>
            <w:r w:rsidRPr="00FC6043">
              <w:rPr>
                <w:rFonts w:ascii="Times New Roman" w:eastAsia="Calibri" w:hAnsi="Times New Roman" w:cs="Times New Roman"/>
                <w:i/>
                <w:iCs/>
                <w:sz w:val="20"/>
                <w:szCs w:val="20"/>
              </w:rPr>
              <w:t xml:space="preserve">Toolkit.Multifamily-LIHTCOnly.pdf” -- </w:t>
            </w:r>
            <w:r w:rsidRPr="00FC6043">
              <w:rPr>
                <w:rFonts w:ascii="Times New Roman" w:eastAsia="Calibri" w:hAnsi="Times New Roman" w:cs="Times New Roman"/>
                <w:sz w:val="20"/>
                <w:szCs w:val="20"/>
              </w:rPr>
              <w:t>see</w:t>
            </w:r>
            <w:r w:rsidRPr="00FC6043">
              <w:rPr>
                <w:rFonts w:ascii="Times New Roman" w:eastAsia="Calibri" w:hAnsi="Times New Roman" w:cs="Times New Roman"/>
                <w:i/>
                <w:iCs/>
                <w:sz w:val="20"/>
                <w:szCs w:val="20"/>
              </w:rPr>
              <w:t xml:space="preserve"> </w:t>
            </w:r>
            <w:r w:rsidRPr="00FC6043">
              <w:rPr>
                <w:rFonts w:ascii="Times New Roman" w:eastAsia="Calibri" w:hAnsi="Times New Roman" w:cs="Times New Roman"/>
                <w:sz w:val="20"/>
                <w:szCs w:val="20"/>
              </w:rPr>
              <w:t xml:space="preserve">section </w:t>
            </w:r>
            <w:r w:rsidRPr="00FC6043">
              <w:rPr>
                <w:rFonts w:ascii="Times New Roman" w:eastAsia="Calibri" w:hAnsi="Times New Roman" w:cs="Times New Roman"/>
                <w:i/>
                <w:iCs/>
                <w:sz w:val="20"/>
                <w:szCs w:val="20"/>
              </w:rPr>
              <w:t>Relocation Workbook Checklist</w:t>
            </w:r>
            <w:r w:rsidRPr="00FC6043">
              <w:rPr>
                <w:rFonts w:ascii="Times New Roman" w:eastAsia="Calibri" w:hAnsi="Times New Roman" w:cs="Times New Roman"/>
                <w:sz w:val="20"/>
                <w:szCs w:val="20"/>
              </w:rPr>
              <w:t xml:space="preserve">, checklist associated with subsection </w:t>
            </w:r>
            <w:r w:rsidRPr="00FC6043">
              <w:rPr>
                <w:rFonts w:ascii="Times New Roman" w:eastAsia="Calibri" w:hAnsi="Times New Roman" w:cs="Times New Roman"/>
                <w:i/>
                <w:iCs/>
                <w:sz w:val="20"/>
                <w:szCs w:val="20"/>
              </w:rPr>
              <w:t>Pre-Application Submission.</w:t>
            </w:r>
            <w:r w:rsidRPr="00FC6043">
              <w:rPr>
                <w:rFonts w:ascii="Times New Roman" w:eastAsia="Calibri" w:hAnsi="Times New Roman" w:cs="Times New Roman"/>
                <w:sz w:val="20"/>
                <w:szCs w:val="20"/>
              </w:rPr>
              <w:t xml:space="preserve"> </w:t>
            </w:r>
          </w:p>
          <w:p w14:paraId="1DFF38FD" w14:textId="77777777" w:rsidR="00CF5712" w:rsidRPr="00FC6043" w:rsidRDefault="00CF5712" w:rsidP="00304B2F">
            <w:pPr>
              <w:pStyle w:val="ListParagraph"/>
              <w:numPr>
                <w:ilvl w:val="0"/>
                <w:numId w:val="8"/>
              </w:numPr>
              <w:rPr>
                <w:rFonts w:ascii="Times New Roman" w:eastAsia="Calibri" w:hAnsi="Times New Roman" w:cs="Times New Roman"/>
                <w:sz w:val="20"/>
                <w:szCs w:val="20"/>
              </w:rPr>
            </w:pPr>
            <w:r w:rsidRPr="00FC6043">
              <w:rPr>
                <w:rFonts w:ascii="Times New Roman" w:eastAsia="Calibri" w:hAnsi="Times New Roman" w:cs="Times New Roman"/>
                <w:sz w:val="20"/>
                <w:szCs w:val="20"/>
              </w:rPr>
              <w:t xml:space="preserve">Manually fill in the Pre-Application Relocation Summary tab. </w:t>
            </w:r>
          </w:p>
          <w:p w14:paraId="6339F516" w14:textId="77777777" w:rsidR="00CF5712" w:rsidRPr="00FC6043" w:rsidRDefault="00CF5712" w:rsidP="00304B2F">
            <w:pPr>
              <w:pStyle w:val="ListParagraph"/>
              <w:numPr>
                <w:ilvl w:val="1"/>
                <w:numId w:val="8"/>
              </w:numPr>
              <w:rPr>
                <w:rFonts w:ascii="Times New Roman" w:eastAsia="Calibri" w:hAnsi="Times New Roman" w:cs="Times New Roman"/>
                <w:sz w:val="20"/>
                <w:szCs w:val="20"/>
              </w:rPr>
            </w:pPr>
            <w:r w:rsidRPr="00FC6043">
              <w:rPr>
                <w:rFonts w:ascii="Times New Roman" w:eastAsia="Calibri" w:hAnsi="Times New Roman" w:cs="Times New Roman"/>
                <w:sz w:val="20"/>
                <w:szCs w:val="20"/>
              </w:rPr>
              <w:t>Go to “</w:t>
            </w:r>
            <w:r w:rsidRPr="00FC6043">
              <w:rPr>
                <w:rFonts w:ascii="Times New Roman" w:eastAsia="Calibri" w:hAnsi="Times New Roman" w:cs="Times New Roman"/>
                <w:i/>
                <w:iCs/>
                <w:sz w:val="20"/>
                <w:szCs w:val="20"/>
              </w:rPr>
              <w:t>2022 Pre-Application Forms</w:t>
            </w:r>
            <w:r w:rsidRPr="00FC6043">
              <w:rPr>
                <w:rFonts w:ascii="Times New Roman" w:eastAsia="Calibri" w:hAnsi="Times New Roman" w:cs="Times New Roman"/>
                <w:sz w:val="20"/>
                <w:szCs w:val="20"/>
              </w:rPr>
              <w:t>” --  download “</w:t>
            </w:r>
            <w:r w:rsidRPr="00FC6043">
              <w:rPr>
                <w:rFonts w:ascii="Times New Roman" w:eastAsia="Calibri" w:hAnsi="Times New Roman" w:cs="Times New Roman"/>
                <w:i/>
                <w:iCs/>
                <w:sz w:val="20"/>
                <w:szCs w:val="20"/>
              </w:rPr>
              <w:t>2022 Supplemental Pre-Application (includes Submission Summary tab for Fee Transmittal)</w:t>
            </w:r>
            <w:r w:rsidRPr="00FC6043">
              <w:rPr>
                <w:rFonts w:ascii="Times New Roman" w:eastAsia="Calibri" w:hAnsi="Times New Roman" w:cs="Times New Roman"/>
                <w:sz w:val="20"/>
                <w:szCs w:val="20"/>
              </w:rPr>
              <w:t>” -- see “</w:t>
            </w:r>
            <w:r w:rsidRPr="00FC6043">
              <w:rPr>
                <w:rFonts w:ascii="Times New Roman" w:eastAsia="Calibri" w:hAnsi="Times New Roman" w:cs="Times New Roman"/>
                <w:i/>
                <w:iCs/>
                <w:sz w:val="20"/>
                <w:szCs w:val="20"/>
              </w:rPr>
              <w:t>Relocation Summary</w:t>
            </w:r>
            <w:r w:rsidRPr="00FC6043">
              <w:rPr>
                <w:rFonts w:ascii="Times New Roman" w:eastAsia="Calibri" w:hAnsi="Times New Roman" w:cs="Times New Roman"/>
                <w:sz w:val="20"/>
                <w:szCs w:val="20"/>
              </w:rPr>
              <w:t xml:space="preserve">” tab. </w:t>
            </w:r>
          </w:p>
          <w:p w14:paraId="417C2927" w14:textId="77777777" w:rsidR="00CF5712" w:rsidRPr="00FC6043" w:rsidRDefault="00CF5712" w:rsidP="00304B2F">
            <w:pPr>
              <w:pStyle w:val="ListParagraph"/>
              <w:numPr>
                <w:ilvl w:val="0"/>
                <w:numId w:val="8"/>
              </w:numPr>
              <w:rPr>
                <w:rFonts w:ascii="Times New Roman" w:eastAsia="Calibri" w:hAnsi="Times New Roman" w:cs="Times New Roman"/>
                <w:sz w:val="20"/>
                <w:szCs w:val="20"/>
              </w:rPr>
            </w:pPr>
            <w:r w:rsidRPr="00FC6043">
              <w:rPr>
                <w:rFonts w:ascii="Times New Roman" w:eastAsia="Calibri" w:hAnsi="Times New Roman" w:cs="Times New Roman"/>
                <w:sz w:val="20"/>
                <w:szCs w:val="20"/>
              </w:rPr>
              <w:t xml:space="preserve">Written confirmation from federal agency (if applicable); and </w:t>
            </w:r>
          </w:p>
          <w:p w14:paraId="5343A70A" w14:textId="77777777" w:rsidR="00CF5712" w:rsidRPr="00FC6043" w:rsidRDefault="00CF5712" w:rsidP="00304B2F">
            <w:pPr>
              <w:pStyle w:val="ListParagraph"/>
              <w:numPr>
                <w:ilvl w:val="0"/>
                <w:numId w:val="8"/>
              </w:numPr>
              <w:rPr>
                <w:rFonts w:ascii="Times New Roman" w:eastAsia="Calibri" w:hAnsi="Times New Roman" w:cs="Times New Roman"/>
                <w:sz w:val="20"/>
                <w:szCs w:val="20"/>
              </w:rPr>
            </w:pPr>
            <w:r w:rsidRPr="00FC6043">
              <w:rPr>
                <w:rFonts w:ascii="Times New Roman" w:eastAsia="Calibri" w:hAnsi="Times New Roman" w:cs="Times New Roman"/>
                <w:sz w:val="20"/>
                <w:szCs w:val="20"/>
              </w:rPr>
              <w:t>Any other supporting documentation.</w:t>
            </w:r>
          </w:p>
          <w:p w14:paraId="656C1DB9" w14:textId="77777777" w:rsidR="00CF5712" w:rsidRPr="00FC6043" w:rsidRDefault="00CF5712" w:rsidP="00304B2F">
            <w:pPr>
              <w:contextualSpacing/>
              <w:rPr>
                <w:rFonts w:ascii="Times New Roman" w:eastAsia="Calibri" w:hAnsi="Times New Roman" w:cs="Times New Roman"/>
                <w:sz w:val="20"/>
                <w:szCs w:val="20"/>
              </w:rPr>
            </w:pPr>
          </w:p>
          <w:p w14:paraId="7FBD1C0B" w14:textId="77777777" w:rsidR="00CF5712" w:rsidRPr="00FC6043" w:rsidRDefault="00CF5712" w:rsidP="00304B2F">
            <w:pPr>
              <w:contextualSpacing/>
              <w:rPr>
                <w:rFonts w:ascii="Times New Roman" w:eastAsia="Calibri" w:hAnsi="Times New Roman" w:cs="Times New Roman"/>
                <w:sz w:val="20"/>
                <w:szCs w:val="20"/>
              </w:rPr>
            </w:pPr>
            <w:r w:rsidRPr="00FC6043">
              <w:rPr>
                <w:rFonts w:ascii="Times New Roman" w:eastAsia="Calibri" w:hAnsi="Times New Roman" w:cs="Times New Roman"/>
                <w:sz w:val="20"/>
                <w:szCs w:val="20"/>
              </w:rPr>
              <w:t xml:space="preserve">The same tabs in the checklist on page 6 must be completed in the Relocation Excel Workbook for an In-Place Rehab Waiver. This completed waiver documentation is required along with a copy of the GIN Draft.  </w:t>
            </w:r>
          </w:p>
        </w:tc>
      </w:tr>
      <w:tr w:rsidR="00CF5712" w:rsidRPr="00FC6043" w14:paraId="0B39CF4A" w14:textId="77777777" w:rsidTr="00E91E6E">
        <w:trPr>
          <w:jc w:val="center"/>
        </w:trPr>
        <w:tc>
          <w:tcPr>
            <w:tcW w:w="2157" w:type="dxa"/>
            <w:shd w:val="clear" w:color="auto" w:fill="auto"/>
            <w:tcMar>
              <w:top w:w="72" w:type="dxa"/>
              <w:left w:w="115" w:type="dxa"/>
              <w:bottom w:w="72" w:type="dxa"/>
              <w:right w:w="115" w:type="dxa"/>
            </w:tcMar>
            <w:vAlign w:val="center"/>
          </w:tcPr>
          <w:p w14:paraId="67F86E72"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3/7/22</w:t>
            </w:r>
          </w:p>
        </w:tc>
        <w:tc>
          <w:tcPr>
            <w:tcW w:w="2198" w:type="dxa"/>
            <w:shd w:val="clear" w:color="auto" w:fill="auto"/>
            <w:tcMar>
              <w:top w:w="72" w:type="dxa"/>
              <w:left w:w="115" w:type="dxa"/>
              <w:bottom w:w="72" w:type="dxa"/>
              <w:right w:w="115" w:type="dxa"/>
            </w:tcMar>
            <w:vAlign w:val="center"/>
          </w:tcPr>
          <w:p w14:paraId="40B1E793"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7.00</w:t>
            </w:r>
          </w:p>
          <w:p w14:paraId="040DDC48"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Application Materials</w:t>
            </w:r>
          </w:p>
        </w:tc>
        <w:tc>
          <w:tcPr>
            <w:tcW w:w="9590" w:type="dxa"/>
            <w:shd w:val="clear" w:color="auto" w:fill="auto"/>
            <w:tcMar>
              <w:top w:w="72" w:type="dxa"/>
              <w:left w:w="115" w:type="dxa"/>
              <w:bottom w:w="72" w:type="dxa"/>
              <w:right w:w="115" w:type="dxa"/>
            </w:tcMar>
            <w:vAlign w:val="center"/>
          </w:tcPr>
          <w:p w14:paraId="22C85C86"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Q22_0304_01 </w:t>
            </w:r>
          </w:p>
          <w:p w14:paraId="7B923427"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Do the fees paid at pre-application need to be paid by certified funds? </w:t>
            </w:r>
          </w:p>
          <w:p w14:paraId="32E7B434"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7DF9086D"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55C5401F"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In the 2022 Supplemental Pre-Application (under Pre-Application 2022 Pre-Application Forms, </w:t>
            </w:r>
            <w:hyperlink r:id="rId70" w:tgtFrame="_blank" w:history="1">
              <w:r w:rsidRPr="00FC6043">
                <w:rPr>
                  <w:rFonts w:ascii="Times New Roman" w:eastAsia="Times New Roman" w:hAnsi="Times New Roman" w:cs="Times New Roman"/>
                  <w:sz w:val="20"/>
                  <w:szCs w:val="20"/>
                  <w:u w:val="single"/>
                </w:rPr>
                <w:t>click here</w:t>
              </w:r>
            </w:hyperlink>
            <w:r w:rsidRPr="00FC6043">
              <w:rPr>
                <w:rFonts w:ascii="Times New Roman" w:eastAsia="Times New Roman" w:hAnsi="Times New Roman" w:cs="Times New Roman"/>
                <w:sz w:val="20"/>
                <w:szCs w:val="20"/>
              </w:rPr>
              <w:t xml:space="preserve">), the </w:t>
            </w:r>
            <w:r w:rsidRPr="00FC6043">
              <w:rPr>
                <w:rFonts w:ascii="Times New Roman" w:eastAsia="Times New Roman" w:hAnsi="Times New Roman" w:cs="Times New Roman"/>
                <w:b/>
                <w:bCs/>
                <w:sz w:val="20"/>
                <w:szCs w:val="20"/>
              </w:rPr>
              <w:t>Fee Submission Instructions</w:t>
            </w:r>
            <w:r w:rsidRPr="00FC6043">
              <w:rPr>
                <w:rFonts w:ascii="Times New Roman" w:eastAsia="Times New Roman" w:hAnsi="Times New Roman" w:cs="Times New Roman"/>
                <w:sz w:val="20"/>
                <w:szCs w:val="20"/>
              </w:rPr>
              <w:t xml:space="preserve"> require a “</w:t>
            </w:r>
            <w:r w:rsidRPr="00FC6043">
              <w:rPr>
                <w:rFonts w:ascii="Times New Roman" w:eastAsia="Times New Roman" w:hAnsi="Times New Roman" w:cs="Times New Roman"/>
                <w:i/>
                <w:iCs/>
                <w:sz w:val="20"/>
                <w:szCs w:val="20"/>
              </w:rPr>
              <w:t>properly executed check</w:t>
            </w:r>
            <w:r w:rsidRPr="00FC6043">
              <w:rPr>
                <w:rFonts w:ascii="Times New Roman" w:eastAsia="Times New Roman" w:hAnsi="Times New Roman" w:cs="Times New Roman"/>
                <w:sz w:val="20"/>
                <w:szCs w:val="20"/>
              </w:rPr>
              <w:t>.” DCA does not require fees to be paid by certified funds.  </w:t>
            </w:r>
          </w:p>
        </w:tc>
      </w:tr>
      <w:tr w:rsidR="00CF5712" w:rsidRPr="00FC6043" w14:paraId="010046BE" w14:textId="77777777" w:rsidTr="00E91E6E">
        <w:trPr>
          <w:jc w:val="center"/>
        </w:trPr>
        <w:tc>
          <w:tcPr>
            <w:tcW w:w="2157" w:type="dxa"/>
            <w:shd w:val="clear" w:color="auto" w:fill="auto"/>
            <w:tcMar>
              <w:top w:w="72" w:type="dxa"/>
              <w:left w:w="115" w:type="dxa"/>
              <w:bottom w:w="72" w:type="dxa"/>
              <w:right w:w="115" w:type="dxa"/>
            </w:tcMar>
            <w:vAlign w:val="center"/>
          </w:tcPr>
          <w:p w14:paraId="43D1FE2F"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6A1122AB"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7.00</w:t>
            </w:r>
          </w:p>
          <w:p w14:paraId="2E6BF2E8"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noProof/>
                <w:sz w:val="20"/>
                <w:szCs w:val="20"/>
              </w:rPr>
              <w:t>Application Materials</w:t>
            </w:r>
          </w:p>
        </w:tc>
        <w:tc>
          <w:tcPr>
            <w:tcW w:w="9590" w:type="dxa"/>
            <w:shd w:val="clear" w:color="auto" w:fill="auto"/>
            <w:tcMar>
              <w:top w:w="72" w:type="dxa"/>
              <w:left w:w="115" w:type="dxa"/>
              <w:bottom w:w="72" w:type="dxa"/>
              <w:right w:w="115" w:type="dxa"/>
            </w:tcMar>
            <w:vAlign w:val="center"/>
          </w:tcPr>
          <w:p w14:paraId="7E5280A0"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Q0223_04 </w:t>
            </w:r>
          </w:p>
          <w:p w14:paraId="3E1D6BDE"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On the 2022 Capacity Form of the Pre-Application, it states to list projects that have not yet finished construction and/or begun lease up.  In the 2022 Performance Workbook instructions, it states that the Capacity Form should include projects the Certifying Entity is participating in but have not completed leasing.   </w:t>
            </w:r>
          </w:p>
          <w:p w14:paraId="09BFF34D"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23E587AC"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For a project that is currently leasing up, per the directions on the Capacity Form, the project would not be listed on this form because it has begun lease-up.  Per the Instructions, our project would be listed on this form because it has not completed leasing.  Could you please clarify which projects should go on the Capacity Form? </w:t>
            </w:r>
          </w:p>
          <w:p w14:paraId="37929BE4"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0E733B78"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75BD2290"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The instructions referenced are the following: </w:t>
            </w:r>
          </w:p>
          <w:p w14:paraId="73E3E273"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CF5712" w:rsidRPr="00FC6043" w14:paraId="347EA036" w14:textId="77777777" w:rsidTr="005F175E">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0873449A" w14:textId="77777777" w:rsidR="00CF5712" w:rsidRPr="00FC6043" w:rsidRDefault="00CF5712" w:rsidP="00304B2F">
                  <w:pPr>
                    <w:keepNext/>
                    <w:keepLines/>
                    <w:spacing w:after="0" w:line="240" w:lineRule="auto"/>
                    <w:jc w:val="cente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Performance Workbook:</w:t>
                  </w:r>
                  <w:r w:rsidRPr="00FC6043">
                    <w:rPr>
                      <w:rFonts w:ascii="Times New Roman" w:eastAsia="Times New Roman" w:hAnsi="Times New Roman" w:cs="Times New Roman"/>
                      <w:sz w:val="20"/>
                      <w:szCs w:val="20"/>
                    </w:rPr>
                    <w:t> </w:t>
                  </w:r>
                </w:p>
                <w:p w14:paraId="491B6DEF" w14:textId="77777777" w:rsidR="00CF5712" w:rsidRPr="00FC6043" w:rsidRDefault="00CF5712" w:rsidP="00304B2F">
                  <w:pPr>
                    <w:keepNext/>
                    <w:keepLines/>
                    <w:spacing w:after="0" w:line="240" w:lineRule="auto"/>
                    <w:jc w:val="cente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Instructions for Capacity Form</w:t>
                  </w:r>
                  <w:r w:rsidRPr="00FC6043">
                    <w:rPr>
                      <w:rFonts w:ascii="Times New Roman" w:eastAsia="Times New Roman" w:hAnsi="Times New Roman" w:cs="Times New Roman"/>
                      <w:sz w:val="20"/>
                      <w:szCs w:val="20"/>
                    </w:rPr>
                    <w:t> </w:t>
                  </w:r>
                </w:p>
              </w:tc>
              <w:tc>
                <w:tcPr>
                  <w:tcW w:w="4665" w:type="dxa"/>
                  <w:tcBorders>
                    <w:top w:val="single" w:sz="6" w:space="0" w:color="auto"/>
                    <w:left w:val="nil"/>
                    <w:bottom w:val="single" w:sz="6" w:space="0" w:color="auto"/>
                    <w:right w:val="single" w:sz="6" w:space="0" w:color="auto"/>
                  </w:tcBorders>
                  <w:shd w:val="clear" w:color="auto" w:fill="auto"/>
                  <w:hideMark/>
                </w:tcPr>
                <w:p w14:paraId="3C55472F" w14:textId="77777777" w:rsidR="00CF5712" w:rsidRPr="00FC6043" w:rsidRDefault="00CF5712" w:rsidP="00304B2F">
                  <w:pPr>
                    <w:keepNext/>
                    <w:keepLines/>
                    <w:spacing w:after="0" w:line="240" w:lineRule="auto"/>
                    <w:jc w:val="cente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Performance Workbook:</w:t>
                  </w:r>
                  <w:r w:rsidRPr="00FC6043">
                    <w:rPr>
                      <w:rFonts w:ascii="Times New Roman" w:eastAsia="Times New Roman" w:hAnsi="Times New Roman" w:cs="Times New Roman"/>
                      <w:sz w:val="20"/>
                      <w:szCs w:val="20"/>
                    </w:rPr>
                    <w:t> </w:t>
                  </w:r>
                </w:p>
                <w:p w14:paraId="2E98BC5A" w14:textId="77777777" w:rsidR="00CF5712" w:rsidRPr="00FC6043" w:rsidRDefault="00CF5712" w:rsidP="00304B2F">
                  <w:pPr>
                    <w:keepNext/>
                    <w:keepLines/>
                    <w:spacing w:after="0" w:line="240" w:lineRule="auto"/>
                    <w:jc w:val="cente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Capacity Form</w:t>
                  </w:r>
                  <w:r w:rsidRPr="00FC6043">
                    <w:rPr>
                      <w:rFonts w:ascii="Times New Roman" w:eastAsia="Times New Roman" w:hAnsi="Times New Roman" w:cs="Times New Roman"/>
                      <w:sz w:val="20"/>
                      <w:szCs w:val="20"/>
                    </w:rPr>
                    <w:t> </w:t>
                  </w:r>
                </w:p>
              </w:tc>
            </w:tr>
            <w:tr w:rsidR="00CF5712" w:rsidRPr="00FC6043" w14:paraId="484EBA24" w14:textId="77777777" w:rsidTr="005F175E">
              <w:tc>
                <w:tcPr>
                  <w:tcW w:w="4665" w:type="dxa"/>
                  <w:tcBorders>
                    <w:top w:val="nil"/>
                    <w:left w:val="single" w:sz="6" w:space="0" w:color="auto"/>
                    <w:bottom w:val="single" w:sz="6" w:space="0" w:color="auto"/>
                    <w:right w:val="single" w:sz="6" w:space="0" w:color="auto"/>
                  </w:tcBorders>
                  <w:shd w:val="clear" w:color="auto" w:fill="auto"/>
                  <w:hideMark/>
                </w:tcPr>
                <w:p w14:paraId="78D51773" w14:textId="77777777" w:rsidR="00CF5712" w:rsidRPr="00FC6043" w:rsidRDefault="00CF5712" w:rsidP="00304B2F">
                  <w:pPr>
                    <w:keepNext/>
                    <w:keepLines/>
                    <w:spacing w:after="0" w:line="240" w:lineRule="auto"/>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“…list all affordable housing projects…[that] have not completed leasing.”  </w:t>
                  </w:r>
                </w:p>
              </w:tc>
              <w:tc>
                <w:tcPr>
                  <w:tcW w:w="4665" w:type="dxa"/>
                  <w:tcBorders>
                    <w:top w:val="nil"/>
                    <w:left w:val="nil"/>
                    <w:bottom w:val="single" w:sz="6" w:space="0" w:color="auto"/>
                    <w:right w:val="single" w:sz="6" w:space="0" w:color="auto"/>
                  </w:tcBorders>
                  <w:shd w:val="clear" w:color="auto" w:fill="auto"/>
                  <w:hideMark/>
                </w:tcPr>
                <w:p w14:paraId="21F17CD5" w14:textId="77777777" w:rsidR="00CF5712" w:rsidRPr="00FC6043" w:rsidRDefault="00CF5712" w:rsidP="00304B2F">
                  <w:pPr>
                    <w:keepNext/>
                    <w:keepLines/>
                    <w:spacing w:after="0" w:line="240" w:lineRule="auto"/>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“The Certifying Entity must list each affordable housing property currently [under review]… and/or any other multifamily development…that has not yet finished construction and/or begun lease up…” </w:t>
                  </w:r>
                </w:p>
              </w:tc>
            </w:tr>
          </w:tbl>
          <w:p w14:paraId="0F47CADA"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503DC385"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For purposes of a property that has placed in service and begun lease-up, in the above question, the applicant is interpreting the instructions on the right to mean, “list each affordable housing property…that has not yet finished construction and/or </w:t>
            </w:r>
            <w:r w:rsidRPr="00FC6043">
              <w:rPr>
                <w:rFonts w:ascii="Times New Roman" w:eastAsia="Times New Roman" w:hAnsi="Times New Roman" w:cs="Times New Roman"/>
                <w:b/>
                <w:bCs/>
                <w:sz w:val="20"/>
                <w:szCs w:val="20"/>
              </w:rPr>
              <w:t>[not yet]</w:t>
            </w:r>
            <w:r w:rsidRPr="00FC6043">
              <w:rPr>
                <w:rFonts w:ascii="Times New Roman" w:eastAsia="Times New Roman" w:hAnsi="Times New Roman" w:cs="Times New Roman"/>
                <w:sz w:val="20"/>
                <w:szCs w:val="20"/>
              </w:rPr>
              <w:t xml:space="preserve"> begun lease up…” This is not a correct interpretation. In the form instructions, “not yet” only refers to “finished construction.” </w:t>
            </w:r>
          </w:p>
          <w:p w14:paraId="6C82933D"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685787C4"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Any property that has begun lease up but has not reached stabilized occupancy should be included on the Capacity Form. </w:t>
            </w:r>
          </w:p>
        </w:tc>
      </w:tr>
      <w:tr w:rsidR="00CF5712" w:rsidRPr="00FC6043" w14:paraId="78D488AE" w14:textId="77777777" w:rsidTr="00E91E6E">
        <w:trPr>
          <w:jc w:val="center"/>
        </w:trPr>
        <w:tc>
          <w:tcPr>
            <w:tcW w:w="2157" w:type="dxa"/>
            <w:shd w:val="clear" w:color="auto" w:fill="auto"/>
            <w:tcMar>
              <w:top w:w="72" w:type="dxa"/>
              <w:left w:w="115" w:type="dxa"/>
              <w:bottom w:w="72" w:type="dxa"/>
              <w:right w:w="115" w:type="dxa"/>
            </w:tcMar>
            <w:vAlign w:val="center"/>
          </w:tcPr>
          <w:p w14:paraId="02A6A704"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4E61FC93"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7.00</w:t>
            </w:r>
          </w:p>
          <w:p w14:paraId="20237A9E"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lastRenderedPageBreak/>
              <w:t>Application Materials</w:t>
            </w:r>
          </w:p>
        </w:tc>
        <w:tc>
          <w:tcPr>
            <w:tcW w:w="9590" w:type="dxa"/>
            <w:shd w:val="clear" w:color="auto" w:fill="auto"/>
            <w:tcMar>
              <w:top w:w="72" w:type="dxa"/>
              <w:left w:w="115" w:type="dxa"/>
              <w:bottom w:w="72" w:type="dxa"/>
              <w:right w:w="115" w:type="dxa"/>
            </w:tcMar>
            <w:vAlign w:val="center"/>
          </w:tcPr>
          <w:p w14:paraId="0C23B726"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lastRenderedPageBreak/>
              <w:t>Question</w:t>
            </w:r>
            <w:r w:rsidRPr="00FC6043">
              <w:rPr>
                <w:rFonts w:ascii="Times New Roman" w:hAnsi="Times New Roman" w:cs="Times New Roman"/>
                <w:sz w:val="20"/>
                <w:szCs w:val="20"/>
              </w:rPr>
              <w:t>: Q22_0302_02</w:t>
            </w:r>
          </w:p>
          <w:p w14:paraId="5135E5AD"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sz w:val="20"/>
                <w:szCs w:val="20"/>
              </w:rPr>
              <w:lastRenderedPageBreak/>
              <w:t xml:space="preserve">A Rent Schedule &amp; Summary tab is included in the Pre-Application Submission Transmittal form, which also indicates similar proposed unit mix information will need to be entered into the </w:t>
            </w:r>
            <w:proofErr w:type="spellStart"/>
            <w:r w:rsidRPr="00FC6043">
              <w:rPr>
                <w:rFonts w:ascii="Times New Roman" w:hAnsi="Times New Roman" w:cs="Times New Roman"/>
                <w:sz w:val="20"/>
                <w:szCs w:val="20"/>
              </w:rPr>
              <w:t>Emphasys</w:t>
            </w:r>
            <w:proofErr w:type="spellEnd"/>
            <w:r w:rsidRPr="00FC6043">
              <w:rPr>
                <w:rFonts w:ascii="Times New Roman" w:hAnsi="Times New Roman" w:cs="Times New Roman"/>
                <w:sz w:val="20"/>
                <w:szCs w:val="20"/>
              </w:rPr>
              <w:t xml:space="preserve"> Pre-App submission portal.</w:t>
            </w:r>
          </w:p>
          <w:p w14:paraId="1BB8F285" w14:textId="77777777" w:rsidR="00CF5712" w:rsidRPr="00FC6043" w:rsidRDefault="00CF5712" w:rsidP="00304B2F">
            <w:pPr>
              <w:contextualSpacing/>
              <w:rPr>
                <w:rFonts w:ascii="Times New Roman" w:hAnsi="Times New Roman" w:cs="Times New Roman"/>
                <w:sz w:val="20"/>
                <w:szCs w:val="20"/>
              </w:rPr>
            </w:pPr>
          </w:p>
          <w:p w14:paraId="213C9589"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sz w:val="20"/>
                <w:szCs w:val="20"/>
              </w:rPr>
              <w:t xml:space="preserve">Can DCA confirm if it is necessary to complete the Rent Schedule &amp; Summary tab, as well as any other unit mix information to be requested in the </w:t>
            </w:r>
            <w:proofErr w:type="spellStart"/>
            <w:r w:rsidRPr="00FC6043">
              <w:rPr>
                <w:rFonts w:ascii="Times New Roman" w:hAnsi="Times New Roman" w:cs="Times New Roman"/>
                <w:sz w:val="20"/>
                <w:szCs w:val="20"/>
              </w:rPr>
              <w:t>Emphasys</w:t>
            </w:r>
            <w:proofErr w:type="spellEnd"/>
            <w:r w:rsidRPr="00FC6043">
              <w:rPr>
                <w:rFonts w:ascii="Times New Roman" w:hAnsi="Times New Roman" w:cs="Times New Roman"/>
                <w:sz w:val="20"/>
                <w:szCs w:val="20"/>
              </w:rPr>
              <w:t xml:space="preserve"> portal, at Pre-Application, if the applicant is not requesting any pre-application waivers?</w:t>
            </w:r>
          </w:p>
          <w:p w14:paraId="2C416B9B" w14:textId="77777777" w:rsidR="00CF5712" w:rsidRPr="00FC6043" w:rsidRDefault="00CF5712" w:rsidP="00304B2F">
            <w:pPr>
              <w:contextualSpacing/>
              <w:rPr>
                <w:rFonts w:ascii="Times New Roman" w:hAnsi="Times New Roman" w:cs="Times New Roman"/>
                <w:sz w:val="20"/>
                <w:szCs w:val="20"/>
              </w:rPr>
            </w:pPr>
          </w:p>
          <w:p w14:paraId="64C9F40B"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sz w:val="20"/>
                <w:szCs w:val="20"/>
              </w:rPr>
              <w:t>If it is necessary to provide this information at Pre-Application, can DCA clarify if this information can change between Pre-Application and Application Submission (</w:t>
            </w:r>
            <w:proofErr w:type="spellStart"/>
            <w:r w:rsidRPr="00FC6043">
              <w:rPr>
                <w:rFonts w:ascii="Times New Roman" w:hAnsi="Times New Roman" w:cs="Times New Roman"/>
                <w:sz w:val="20"/>
                <w:szCs w:val="20"/>
              </w:rPr>
              <w:t>ie</w:t>
            </w:r>
            <w:proofErr w:type="spellEnd"/>
            <w:r w:rsidRPr="00FC6043">
              <w:rPr>
                <w:rFonts w:ascii="Times New Roman" w:hAnsi="Times New Roman" w:cs="Times New Roman"/>
                <w:sz w:val="20"/>
                <w:szCs w:val="20"/>
              </w:rPr>
              <w:t>; total units, bedroom mix, income targeting, proposed rents, utility allowances, or PBRA subsidy)?</w:t>
            </w:r>
          </w:p>
          <w:p w14:paraId="32A448ED" w14:textId="77777777" w:rsidR="00CF5712" w:rsidRPr="00FC6043" w:rsidRDefault="00CF5712" w:rsidP="00304B2F">
            <w:pPr>
              <w:contextualSpacing/>
              <w:rPr>
                <w:rFonts w:ascii="Times New Roman" w:hAnsi="Times New Roman" w:cs="Times New Roman"/>
                <w:sz w:val="20"/>
                <w:szCs w:val="20"/>
              </w:rPr>
            </w:pPr>
          </w:p>
          <w:p w14:paraId="638E7A65"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 xml:space="preserve">: </w:t>
            </w:r>
          </w:p>
          <w:p w14:paraId="6BFA6DC6"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sz w:val="20"/>
                <w:szCs w:val="20"/>
              </w:rPr>
              <w:t xml:space="preserve">Where the Pre-Application requests unit mix information, it is for purposes of DCA staff assessing a waiver request related to this information. </w:t>
            </w:r>
          </w:p>
          <w:p w14:paraId="01523327" w14:textId="77777777" w:rsidR="00CF5712" w:rsidRPr="00FC6043" w:rsidRDefault="00CF5712" w:rsidP="00304B2F">
            <w:pPr>
              <w:contextualSpacing/>
              <w:rPr>
                <w:rFonts w:ascii="Times New Roman" w:hAnsi="Times New Roman" w:cs="Times New Roman"/>
                <w:sz w:val="20"/>
                <w:szCs w:val="20"/>
              </w:rPr>
            </w:pPr>
          </w:p>
          <w:p w14:paraId="49811A23" w14:textId="77777777" w:rsidR="00CF5712" w:rsidRPr="00FC6043" w:rsidRDefault="00CF5712" w:rsidP="00304B2F">
            <w:pPr>
              <w:rPr>
                <w:rStyle w:val="normaltextrun"/>
                <w:rFonts w:ascii="Times New Roman" w:hAnsi="Times New Roman" w:cs="Times New Roman"/>
                <w:sz w:val="20"/>
                <w:szCs w:val="20"/>
              </w:rPr>
            </w:pPr>
            <w:r w:rsidRPr="00FC6043">
              <w:rPr>
                <w:rFonts w:ascii="Times New Roman" w:hAnsi="Times New Roman" w:cs="Times New Roman"/>
                <w:sz w:val="20"/>
                <w:szCs w:val="20"/>
              </w:rPr>
              <w:t xml:space="preserve">If your Pre-Application submission will not include a waiver request, then you do not need to complete those portions of the application requesting unit mix information (e.g., the </w:t>
            </w:r>
            <w:r w:rsidRPr="00FC6043">
              <w:rPr>
                <w:rFonts w:ascii="Times New Roman" w:hAnsi="Times New Roman" w:cs="Times New Roman"/>
                <w:i/>
                <w:iCs/>
                <w:sz w:val="20"/>
                <w:szCs w:val="20"/>
              </w:rPr>
              <w:t>Rent Schedule &amp; Summary</w:t>
            </w:r>
            <w:r w:rsidRPr="00FC6043">
              <w:rPr>
                <w:rFonts w:ascii="Times New Roman" w:hAnsi="Times New Roman" w:cs="Times New Roman"/>
                <w:sz w:val="20"/>
                <w:szCs w:val="20"/>
              </w:rPr>
              <w:t xml:space="preserve"> tab of the </w:t>
            </w:r>
            <w:r w:rsidRPr="00FC6043">
              <w:rPr>
                <w:rFonts w:ascii="Times New Roman" w:hAnsi="Times New Roman" w:cs="Times New Roman"/>
                <w:i/>
                <w:iCs/>
                <w:sz w:val="20"/>
                <w:szCs w:val="20"/>
              </w:rPr>
              <w:t>2022 Supplementary Pre-Application</w:t>
            </w:r>
            <w:r w:rsidRPr="00FC6043">
              <w:rPr>
                <w:rFonts w:ascii="Times New Roman" w:hAnsi="Times New Roman" w:cs="Times New Roman"/>
                <w:sz w:val="20"/>
                <w:szCs w:val="20"/>
              </w:rPr>
              <w:t xml:space="preserve">, </w:t>
            </w:r>
            <w:hyperlink r:id="rId71" w:history="1">
              <w:r w:rsidRPr="00FC6043">
                <w:rPr>
                  <w:rStyle w:val="Hyperlink"/>
                  <w:rFonts w:ascii="Times New Roman" w:hAnsi="Times New Roman" w:cs="Times New Roman"/>
                  <w:color w:val="auto"/>
                  <w:sz w:val="20"/>
                  <w:szCs w:val="20"/>
                </w:rPr>
                <w:t>click here</w:t>
              </w:r>
            </w:hyperlink>
            <w:r w:rsidRPr="00FC6043">
              <w:rPr>
                <w:rFonts w:ascii="Times New Roman" w:hAnsi="Times New Roman" w:cs="Times New Roman"/>
                <w:sz w:val="20"/>
                <w:szCs w:val="20"/>
              </w:rPr>
              <w:t xml:space="preserve"> to view). </w:t>
            </w:r>
          </w:p>
        </w:tc>
      </w:tr>
      <w:tr w:rsidR="00CF5712" w:rsidRPr="00FC6043" w14:paraId="7C53163E" w14:textId="77777777" w:rsidTr="00E91E6E">
        <w:trPr>
          <w:jc w:val="center"/>
        </w:trPr>
        <w:tc>
          <w:tcPr>
            <w:tcW w:w="2157" w:type="dxa"/>
            <w:shd w:val="clear" w:color="auto" w:fill="auto"/>
            <w:tcMar>
              <w:top w:w="72" w:type="dxa"/>
              <w:left w:w="115" w:type="dxa"/>
              <w:bottom w:w="72" w:type="dxa"/>
              <w:right w:w="115" w:type="dxa"/>
            </w:tcMar>
            <w:vAlign w:val="center"/>
          </w:tcPr>
          <w:p w14:paraId="0C8C69F5"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3/3/22</w:t>
            </w:r>
          </w:p>
        </w:tc>
        <w:tc>
          <w:tcPr>
            <w:tcW w:w="2198" w:type="dxa"/>
            <w:shd w:val="clear" w:color="auto" w:fill="auto"/>
            <w:tcMar>
              <w:top w:w="72" w:type="dxa"/>
              <w:left w:w="115" w:type="dxa"/>
              <w:bottom w:w="72" w:type="dxa"/>
              <w:right w:w="115" w:type="dxa"/>
            </w:tcMar>
            <w:vAlign w:val="center"/>
          </w:tcPr>
          <w:p w14:paraId="01C9A177"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 xml:space="preserve">1.13 </w:t>
            </w:r>
          </w:p>
          <w:p w14:paraId="2F441452"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 xml:space="preserve">Core Plan; </w:t>
            </w:r>
          </w:p>
          <w:p w14:paraId="61CC4935"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Submission Requirements And Award Limitations</w:t>
            </w:r>
          </w:p>
        </w:tc>
        <w:tc>
          <w:tcPr>
            <w:tcW w:w="9590" w:type="dxa"/>
            <w:shd w:val="clear" w:color="auto" w:fill="auto"/>
            <w:tcMar>
              <w:top w:w="72" w:type="dxa"/>
              <w:left w:w="115" w:type="dxa"/>
              <w:bottom w:w="72" w:type="dxa"/>
              <w:right w:w="115" w:type="dxa"/>
            </w:tcMar>
            <w:vAlign w:val="center"/>
          </w:tcPr>
          <w:p w14:paraId="752168AB"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Q0216_03</w:t>
            </w:r>
            <w:r w:rsidRPr="00FC6043">
              <w:rPr>
                <w:rStyle w:val="eop"/>
                <w:sz w:val="20"/>
                <w:szCs w:val="20"/>
              </w:rPr>
              <w:t> </w:t>
            </w:r>
          </w:p>
          <w:p w14:paraId="1DB94FF9"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Please confirm that the DCA Rehabilitation Work Scope Form is required for 9% Rehab Pre-Applications. </w:t>
            </w:r>
            <w:r w:rsidRPr="00FC6043">
              <w:rPr>
                <w:rStyle w:val="eop"/>
                <w:sz w:val="20"/>
                <w:szCs w:val="20"/>
              </w:rPr>
              <w:t> </w:t>
            </w:r>
          </w:p>
          <w:p w14:paraId="693DD401"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03FB0E52"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For context: The pre-application is due at the very early stages of pre-development and considering the volatility of the market, the Rehab Work Scope will not provide an accurate estimate of the costs for the rehab.  Additionally, GC's and sub-contractors will be reluctant to put a project out for pricing multiple times.</w:t>
            </w:r>
            <w:r w:rsidRPr="00FC6043">
              <w:rPr>
                <w:rStyle w:val="eop"/>
                <w:sz w:val="20"/>
                <w:szCs w:val="20"/>
              </w:rPr>
              <w:t> </w:t>
            </w:r>
          </w:p>
          <w:p w14:paraId="51611F1A"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15F314F2"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w:t>
            </w:r>
            <w:r w:rsidRPr="00FC6043">
              <w:rPr>
                <w:rStyle w:val="eop"/>
                <w:sz w:val="20"/>
                <w:szCs w:val="20"/>
              </w:rPr>
              <w:t> </w:t>
            </w:r>
          </w:p>
          <w:p w14:paraId="29773BFE"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DCA has logged this public input for future consideration in our online QAP Public Input Survey (</w:t>
            </w:r>
            <w:hyperlink r:id="rId72" w:tgtFrame="_blank" w:history="1">
              <w:r w:rsidRPr="00FC6043">
                <w:rPr>
                  <w:rStyle w:val="normaltextrun"/>
                  <w:sz w:val="20"/>
                  <w:szCs w:val="20"/>
                  <w:u w:val="single"/>
                </w:rPr>
                <w:t>click here</w:t>
              </w:r>
            </w:hyperlink>
            <w:r w:rsidRPr="00FC6043">
              <w:rPr>
                <w:rStyle w:val="normaltextrun"/>
                <w:sz w:val="20"/>
                <w:szCs w:val="20"/>
              </w:rPr>
              <w:t xml:space="preserve"> to provide additional input). However, for purposes of the 2022 Competitive Round, the QAP states:</w:t>
            </w:r>
            <w:r w:rsidRPr="00FC6043">
              <w:rPr>
                <w:rStyle w:val="eop"/>
                <w:sz w:val="20"/>
                <w:szCs w:val="20"/>
              </w:rPr>
              <w:t> </w:t>
            </w:r>
          </w:p>
          <w:p w14:paraId="5E453BF7"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211A5184" w14:textId="77777777" w:rsidR="00CF5712" w:rsidRPr="00FC6043" w:rsidRDefault="00CF5712" w:rsidP="00304B2F">
            <w:pPr>
              <w:pStyle w:val="paragraph"/>
              <w:spacing w:before="0" w:beforeAutospacing="0" w:after="0" w:afterAutospacing="0"/>
              <w:ind w:left="1080"/>
              <w:textAlignment w:val="baseline"/>
              <w:rPr>
                <w:sz w:val="20"/>
                <w:szCs w:val="20"/>
              </w:rPr>
            </w:pPr>
            <w:r w:rsidRPr="00FC6043">
              <w:rPr>
                <w:rStyle w:val="normaltextrun"/>
                <w:b/>
                <w:bCs/>
                <w:sz w:val="20"/>
                <w:szCs w:val="20"/>
              </w:rPr>
              <w:t>(Core Plan) Submission Requirements and Award Limitations</w:t>
            </w:r>
            <w:r w:rsidRPr="00FC6043">
              <w:rPr>
                <w:rStyle w:val="normaltextrun"/>
                <w:sz w:val="20"/>
                <w:szCs w:val="20"/>
              </w:rPr>
              <w:t xml:space="preserve">, subsection </w:t>
            </w:r>
            <w:r w:rsidRPr="00FC6043">
              <w:rPr>
                <w:rStyle w:val="normaltextrun"/>
                <w:b/>
                <w:bCs/>
                <w:sz w:val="20"/>
                <w:szCs w:val="20"/>
              </w:rPr>
              <w:t>A. Pre-Determinations and Waivers</w:t>
            </w:r>
            <w:r w:rsidRPr="00FC6043">
              <w:rPr>
                <w:rStyle w:val="normaltextrun"/>
                <w:sz w:val="20"/>
                <w:szCs w:val="20"/>
              </w:rPr>
              <w:t>: “</w:t>
            </w:r>
            <w:r w:rsidRPr="00FC6043">
              <w:rPr>
                <w:rStyle w:val="normaltextrun"/>
                <w:i/>
                <w:iCs/>
                <w:sz w:val="20"/>
                <w:szCs w:val="20"/>
              </w:rPr>
              <w:t>Applicants must submit the following requests with pre-applications…Applications proposing rehabilitation or Adaptive Reuse:…DCA Rehabilitation Work Scope Form</w:t>
            </w:r>
            <w:r w:rsidRPr="00FC6043">
              <w:rPr>
                <w:rStyle w:val="normaltextrun"/>
                <w:sz w:val="20"/>
                <w:szCs w:val="20"/>
              </w:rPr>
              <w:t>” </w:t>
            </w:r>
            <w:r w:rsidRPr="00FC6043">
              <w:rPr>
                <w:rStyle w:val="eop"/>
                <w:sz w:val="20"/>
                <w:szCs w:val="20"/>
              </w:rPr>
              <w:t> </w:t>
            </w:r>
          </w:p>
          <w:p w14:paraId="09B6062E"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2717C24B"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 xml:space="preserve">For more discussion about supporting documentation during the Pre-Application stage, please see Q&amp;A posting </w:t>
            </w:r>
            <w:r w:rsidRPr="00FC6043">
              <w:rPr>
                <w:rStyle w:val="normaltextrun"/>
                <w:b/>
                <w:bCs/>
                <w:sz w:val="20"/>
                <w:szCs w:val="20"/>
              </w:rPr>
              <w:t>Q0216_01</w:t>
            </w:r>
            <w:r w:rsidRPr="00FC6043">
              <w:rPr>
                <w:rStyle w:val="normaltextrun"/>
                <w:sz w:val="20"/>
                <w:szCs w:val="20"/>
              </w:rPr>
              <w:t>. </w:t>
            </w:r>
          </w:p>
          <w:p w14:paraId="558577D5" w14:textId="77777777" w:rsidR="00CF5712" w:rsidRPr="00FC6043" w:rsidRDefault="00CF5712" w:rsidP="00304B2F">
            <w:pPr>
              <w:textAlignment w:val="baseline"/>
              <w:rPr>
                <w:rFonts w:ascii="Times New Roman" w:eastAsia="Times New Roman" w:hAnsi="Times New Roman" w:cs="Times New Roman"/>
                <w:b/>
                <w:bCs/>
                <w:sz w:val="20"/>
                <w:szCs w:val="20"/>
              </w:rPr>
            </w:pPr>
          </w:p>
        </w:tc>
      </w:tr>
      <w:tr w:rsidR="00CF5712" w:rsidRPr="00FC6043" w14:paraId="63481AAB" w14:textId="77777777" w:rsidTr="00E91E6E">
        <w:trPr>
          <w:jc w:val="center"/>
        </w:trPr>
        <w:tc>
          <w:tcPr>
            <w:tcW w:w="2157" w:type="dxa"/>
            <w:shd w:val="clear" w:color="auto" w:fill="auto"/>
            <w:tcMar>
              <w:top w:w="72" w:type="dxa"/>
              <w:left w:w="115" w:type="dxa"/>
              <w:bottom w:w="72" w:type="dxa"/>
              <w:right w:w="115" w:type="dxa"/>
            </w:tcMar>
            <w:vAlign w:val="center"/>
          </w:tcPr>
          <w:p w14:paraId="1A894FFF"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3/3/22</w:t>
            </w:r>
          </w:p>
        </w:tc>
        <w:tc>
          <w:tcPr>
            <w:tcW w:w="2198" w:type="dxa"/>
            <w:shd w:val="clear" w:color="auto" w:fill="auto"/>
            <w:tcMar>
              <w:top w:w="72" w:type="dxa"/>
              <w:left w:w="115" w:type="dxa"/>
              <w:bottom w:w="72" w:type="dxa"/>
              <w:right w:w="115" w:type="dxa"/>
            </w:tcMar>
            <w:vAlign w:val="center"/>
          </w:tcPr>
          <w:p w14:paraId="20CEACB3"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 xml:space="preserve">1.13 </w:t>
            </w:r>
          </w:p>
          <w:p w14:paraId="33C4184F"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lastRenderedPageBreak/>
              <w:t xml:space="preserve">Core Plan; </w:t>
            </w:r>
          </w:p>
          <w:p w14:paraId="04E55AE8"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Submission Requirements And Award Limitations</w:t>
            </w:r>
          </w:p>
        </w:tc>
        <w:tc>
          <w:tcPr>
            <w:tcW w:w="9590" w:type="dxa"/>
            <w:shd w:val="clear" w:color="auto" w:fill="auto"/>
            <w:tcMar>
              <w:top w:w="72" w:type="dxa"/>
              <w:left w:w="115" w:type="dxa"/>
              <w:bottom w:w="72" w:type="dxa"/>
              <w:right w:w="115" w:type="dxa"/>
            </w:tcMar>
            <w:vAlign w:val="center"/>
          </w:tcPr>
          <w:p w14:paraId="6DDD1F57"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lastRenderedPageBreak/>
              <w:t>Question</w:t>
            </w:r>
            <w:r w:rsidRPr="00FC6043">
              <w:rPr>
                <w:rFonts w:ascii="Times New Roman" w:hAnsi="Times New Roman" w:cs="Times New Roman"/>
                <w:sz w:val="20"/>
                <w:szCs w:val="20"/>
              </w:rPr>
              <w:t>: Q0216_01</w:t>
            </w:r>
          </w:p>
          <w:p w14:paraId="57083B20"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sz w:val="20"/>
                <w:szCs w:val="20"/>
              </w:rPr>
              <w:lastRenderedPageBreak/>
              <w:t xml:space="preserve">My Physical Needs Assessment (PNA) will not be ready by the Pre-Application Deadline. Will my Pre-Application Submission package, which includes Architectural waivers, be rejected for failure to include a PNA? </w:t>
            </w:r>
          </w:p>
          <w:p w14:paraId="71D11177" w14:textId="77777777" w:rsidR="00CF5712" w:rsidRPr="00FC6043" w:rsidRDefault="00CF5712" w:rsidP="00304B2F">
            <w:pPr>
              <w:contextualSpacing/>
              <w:rPr>
                <w:rFonts w:ascii="Times New Roman" w:hAnsi="Times New Roman" w:cs="Times New Roman"/>
                <w:sz w:val="20"/>
                <w:szCs w:val="20"/>
              </w:rPr>
            </w:pPr>
          </w:p>
          <w:p w14:paraId="7C97F012"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 xml:space="preserve">: </w:t>
            </w:r>
          </w:p>
          <w:p w14:paraId="6BE1EDD4"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sz w:val="20"/>
                <w:szCs w:val="20"/>
              </w:rPr>
              <w:t xml:space="preserve">The QAP states the following in </w:t>
            </w:r>
            <w:r w:rsidRPr="00FC6043">
              <w:rPr>
                <w:rFonts w:ascii="Times New Roman" w:hAnsi="Times New Roman" w:cs="Times New Roman"/>
                <w:b/>
                <w:bCs/>
                <w:sz w:val="20"/>
                <w:szCs w:val="20"/>
              </w:rPr>
              <w:t>Core Plan, Submission Requirements and Award Limitations, A. Pre-Determinations and Waivers</w:t>
            </w:r>
            <w:r w:rsidRPr="00FC6043">
              <w:rPr>
                <w:rFonts w:ascii="Times New Roman" w:hAnsi="Times New Roman" w:cs="Times New Roman"/>
                <w:sz w:val="20"/>
                <w:szCs w:val="20"/>
              </w:rPr>
              <w:t xml:space="preserve">: </w:t>
            </w:r>
            <w:r w:rsidRPr="00FC6043">
              <w:rPr>
                <w:rFonts w:ascii="Times New Roman" w:hAnsi="Times New Roman" w:cs="Times New Roman"/>
                <w:sz w:val="20"/>
                <w:szCs w:val="20"/>
              </w:rPr>
              <w:br/>
            </w:r>
          </w:p>
          <w:p w14:paraId="556DD1A1" w14:textId="77777777" w:rsidR="00CF5712" w:rsidRPr="00FC6043" w:rsidRDefault="00CF5712" w:rsidP="00304B2F">
            <w:pPr>
              <w:pStyle w:val="ListParagraph"/>
              <w:rPr>
                <w:rFonts w:ascii="Times New Roman" w:hAnsi="Times New Roman" w:cs="Times New Roman"/>
                <w:sz w:val="20"/>
                <w:szCs w:val="20"/>
              </w:rPr>
            </w:pPr>
            <w:r w:rsidRPr="00FC6043">
              <w:rPr>
                <w:rFonts w:ascii="Times New Roman" w:hAnsi="Times New Roman" w:cs="Times New Roman"/>
                <w:sz w:val="20"/>
                <w:szCs w:val="20"/>
              </w:rPr>
              <w:t>“</w:t>
            </w:r>
            <w:r w:rsidRPr="00FC6043">
              <w:rPr>
                <w:rFonts w:ascii="Times New Roman" w:hAnsi="Times New Roman" w:cs="Times New Roman"/>
                <w:i/>
                <w:iCs/>
                <w:sz w:val="20"/>
                <w:szCs w:val="20"/>
              </w:rPr>
              <w:t>Applicants must submit the following requests with pre-applications…Applications proposing rehabilitation or Adaptive Reuse:…Physical Needs Assessment report</w:t>
            </w:r>
            <w:r w:rsidRPr="00FC6043">
              <w:rPr>
                <w:rFonts w:ascii="Times New Roman" w:hAnsi="Times New Roman" w:cs="Times New Roman"/>
                <w:sz w:val="20"/>
                <w:szCs w:val="20"/>
              </w:rPr>
              <w:t>…</w:t>
            </w:r>
            <w:r w:rsidRPr="00FC6043">
              <w:rPr>
                <w:rFonts w:ascii="Times New Roman" w:hAnsi="Times New Roman" w:cs="Times New Roman"/>
                <w:i/>
                <w:iCs/>
                <w:sz w:val="20"/>
                <w:szCs w:val="20"/>
              </w:rPr>
              <w:t>All of the above-listed waivers must be submitted at the pre-application stage.</w:t>
            </w:r>
            <w:r w:rsidRPr="00FC6043">
              <w:rPr>
                <w:rFonts w:ascii="Times New Roman" w:hAnsi="Times New Roman" w:cs="Times New Roman"/>
                <w:sz w:val="20"/>
                <w:szCs w:val="20"/>
              </w:rPr>
              <w:t>”</w:t>
            </w:r>
            <w:r w:rsidRPr="00FC6043">
              <w:rPr>
                <w:rFonts w:ascii="Times New Roman" w:hAnsi="Times New Roman" w:cs="Times New Roman"/>
                <w:sz w:val="20"/>
                <w:szCs w:val="20"/>
              </w:rPr>
              <w:br/>
            </w:r>
          </w:p>
          <w:p w14:paraId="710FF1D1" w14:textId="77777777" w:rsidR="00CF5712" w:rsidRPr="00FC6043" w:rsidRDefault="00CF5712" w:rsidP="00304B2F">
            <w:pPr>
              <w:rPr>
                <w:rFonts w:ascii="Times New Roman" w:hAnsi="Times New Roman" w:cs="Times New Roman"/>
                <w:sz w:val="20"/>
                <w:szCs w:val="20"/>
              </w:rPr>
            </w:pPr>
            <w:r w:rsidRPr="00FC6043">
              <w:rPr>
                <w:rFonts w:ascii="Times New Roman" w:hAnsi="Times New Roman" w:cs="Times New Roman"/>
                <w:sz w:val="20"/>
                <w:szCs w:val="20"/>
              </w:rPr>
              <w:t xml:space="preserve">All waivers must be submitted by the Pre-Application deadline. If DCA requires additional documentation to assess a waiver request and said documentation was not originally included in the Pre-Application submission package, DCA will request this documentation. </w:t>
            </w:r>
          </w:p>
          <w:p w14:paraId="0BBCC116" w14:textId="77777777" w:rsidR="00CF5712" w:rsidRPr="00FC6043" w:rsidRDefault="00CF5712" w:rsidP="00304B2F">
            <w:pPr>
              <w:pStyle w:val="paragraph"/>
              <w:spacing w:before="0" w:beforeAutospacing="0" w:after="0" w:afterAutospacing="0"/>
              <w:textAlignment w:val="baseline"/>
              <w:rPr>
                <w:rStyle w:val="normaltextrun"/>
                <w:b/>
                <w:bCs/>
                <w:sz w:val="20"/>
                <w:szCs w:val="20"/>
              </w:rPr>
            </w:pPr>
          </w:p>
        </w:tc>
      </w:tr>
      <w:tr w:rsidR="00CF5712" w:rsidRPr="00FC6043" w14:paraId="18DA7C66" w14:textId="77777777" w:rsidTr="00E91E6E">
        <w:trPr>
          <w:jc w:val="center"/>
        </w:trPr>
        <w:tc>
          <w:tcPr>
            <w:tcW w:w="2157" w:type="dxa"/>
            <w:shd w:val="clear" w:color="auto" w:fill="auto"/>
            <w:tcMar>
              <w:top w:w="72" w:type="dxa"/>
              <w:left w:w="115" w:type="dxa"/>
              <w:bottom w:w="72" w:type="dxa"/>
              <w:right w:w="115" w:type="dxa"/>
            </w:tcMar>
            <w:vAlign w:val="center"/>
          </w:tcPr>
          <w:p w14:paraId="6033FC5E"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3/3/22</w:t>
            </w:r>
          </w:p>
        </w:tc>
        <w:tc>
          <w:tcPr>
            <w:tcW w:w="2198" w:type="dxa"/>
            <w:shd w:val="clear" w:color="auto" w:fill="auto"/>
            <w:tcMar>
              <w:top w:w="72" w:type="dxa"/>
              <w:left w:w="115" w:type="dxa"/>
              <w:bottom w:w="72" w:type="dxa"/>
              <w:right w:w="115" w:type="dxa"/>
            </w:tcMar>
            <w:vAlign w:val="center"/>
          </w:tcPr>
          <w:p w14:paraId="456591B7"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1.16</w:t>
            </w:r>
          </w:p>
          <w:p w14:paraId="64940513" w14:textId="77777777" w:rsidR="00CF5712" w:rsidRPr="003872CA" w:rsidRDefault="00CF5712" w:rsidP="00304B2F">
            <w:pPr>
              <w:contextualSpacing/>
              <w:rPr>
                <w:rFonts w:ascii="Times New Roman" w:hAnsi="Times New Roman" w:cs="Times New Roman"/>
                <w:noProof/>
                <w:sz w:val="20"/>
                <w:szCs w:val="20"/>
              </w:rPr>
            </w:pPr>
            <w:r w:rsidRPr="003872CA">
              <w:rPr>
                <w:rFonts w:ascii="Times New Roman" w:hAnsi="Times New Roman" w:cs="Times New Roman"/>
                <w:noProof/>
                <w:sz w:val="20"/>
                <w:szCs w:val="20"/>
              </w:rPr>
              <w:t>Core Plan;</w:t>
            </w:r>
          </w:p>
          <w:p w14:paraId="1D93A3D0"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Evaluation of 9% Tax Credit Competitive Applications</w:t>
            </w:r>
          </w:p>
        </w:tc>
        <w:tc>
          <w:tcPr>
            <w:tcW w:w="9590" w:type="dxa"/>
            <w:shd w:val="clear" w:color="auto" w:fill="auto"/>
            <w:tcMar>
              <w:top w:w="72" w:type="dxa"/>
              <w:left w:w="115" w:type="dxa"/>
              <w:bottom w:w="72" w:type="dxa"/>
              <w:right w:w="115" w:type="dxa"/>
            </w:tcMar>
            <w:vAlign w:val="center"/>
          </w:tcPr>
          <w:p w14:paraId="44002A58"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Question</w:t>
            </w:r>
            <w:r w:rsidRPr="00FC6043">
              <w:rPr>
                <w:rFonts w:ascii="Times New Roman" w:hAnsi="Times New Roman" w:cs="Times New Roman"/>
                <w:sz w:val="20"/>
                <w:szCs w:val="20"/>
              </w:rPr>
              <w:t>: Q0222_03</w:t>
            </w:r>
          </w:p>
          <w:p w14:paraId="55654C42"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sz w:val="20"/>
                <w:szCs w:val="20"/>
              </w:rPr>
              <w:t>Will solely assisted USDA 515 properties be eligible for 9% tax credit funding under the current 2022 QAP?</w:t>
            </w:r>
          </w:p>
          <w:p w14:paraId="2A2B5519" w14:textId="77777777" w:rsidR="00CF5712" w:rsidRPr="00FC6043" w:rsidRDefault="00CF5712" w:rsidP="00304B2F">
            <w:pPr>
              <w:contextualSpacing/>
              <w:rPr>
                <w:rFonts w:ascii="Times New Roman" w:hAnsi="Times New Roman" w:cs="Times New Roman"/>
                <w:sz w:val="20"/>
                <w:szCs w:val="20"/>
              </w:rPr>
            </w:pPr>
          </w:p>
          <w:p w14:paraId="5B6C60BE"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b/>
                <w:bCs/>
                <w:sz w:val="20"/>
                <w:szCs w:val="20"/>
              </w:rPr>
              <w:t>Answer</w:t>
            </w:r>
            <w:r w:rsidRPr="00FC6043">
              <w:rPr>
                <w:rFonts w:ascii="Times New Roman" w:hAnsi="Times New Roman" w:cs="Times New Roman"/>
                <w:sz w:val="20"/>
                <w:szCs w:val="20"/>
              </w:rPr>
              <w:t xml:space="preserve">: </w:t>
            </w:r>
          </w:p>
          <w:p w14:paraId="67C84FDC"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sz w:val="20"/>
                <w:szCs w:val="20"/>
              </w:rPr>
              <w:t xml:space="preserve">The QAP lists all 9% Competitive Round sub-determinations in </w:t>
            </w:r>
            <w:r w:rsidRPr="00FC6043">
              <w:rPr>
                <w:rFonts w:ascii="Times New Roman" w:hAnsi="Times New Roman" w:cs="Times New Roman"/>
                <w:b/>
                <w:bCs/>
                <w:sz w:val="20"/>
                <w:szCs w:val="20"/>
              </w:rPr>
              <w:t>(Core Plan) Evaluation Of 9% Tax Credit Competitive Applications, D. Selection, 2. Sequence of Competitive Round Award Determinations</w:t>
            </w:r>
            <w:r w:rsidRPr="00FC6043">
              <w:rPr>
                <w:rFonts w:ascii="Times New Roman" w:hAnsi="Times New Roman" w:cs="Times New Roman"/>
                <w:sz w:val="20"/>
                <w:szCs w:val="20"/>
              </w:rPr>
              <w:t>. These include:</w:t>
            </w:r>
            <w:r w:rsidRPr="00FC6043">
              <w:rPr>
                <w:rFonts w:ascii="Times New Roman" w:hAnsi="Times New Roman" w:cs="Times New Roman"/>
                <w:sz w:val="20"/>
                <w:szCs w:val="20"/>
              </w:rPr>
              <w:br/>
            </w:r>
          </w:p>
          <w:p w14:paraId="0AAC87E9" w14:textId="77777777" w:rsidR="00CF5712" w:rsidRPr="00FC6043" w:rsidRDefault="00CF5712" w:rsidP="00304B2F">
            <w:pPr>
              <w:pStyle w:val="ListParagraph"/>
              <w:numPr>
                <w:ilvl w:val="0"/>
                <w:numId w:val="7"/>
              </w:numPr>
              <w:rPr>
                <w:rFonts w:ascii="Times New Roman" w:hAnsi="Times New Roman" w:cs="Times New Roman"/>
                <w:sz w:val="20"/>
                <w:szCs w:val="20"/>
              </w:rPr>
            </w:pPr>
            <w:r w:rsidRPr="00FC6043">
              <w:rPr>
                <w:rFonts w:ascii="Times New Roman" w:hAnsi="Times New Roman" w:cs="Times New Roman"/>
                <w:sz w:val="20"/>
                <w:szCs w:val="20"/>
              </w:rPr>
              <w:t>Preservation Set Asides: RAD, Housing Tax Credit, and HUD-assisted properties</w:t>
            </w:r>
          </w:p>
          <w:p w14:paraId="17E6B915" w14:textId="77777777" w:rsidR="00CF5712" w:rsidRPr="00FC6043" w:rsidRDefault="00CF5712" w:rsidP="00304B2F">
            <w:pPr>
              <w:pStyle w:val="ListParagraph"/>
              <w:numPr>
                <w:ilvl w:val="0"/>
                <w:numId w:val="7"/>
              </w:numPr>
              <w:rPr>
                <w:rFonts w:ascii="Times New Roman" w:hAnsi="Times New Roman" w:cs="Times New Roman"/>
                <w:sz w:val="20"/>
                <w:szCs w:val="20"/>
              </w:rPr>
            </w:pPr>
            <w:r w:rsidRPr="00FC6043">
              <w:rPr>
                <w:rFonts w:ascii="Times New Roman" w:hAnsi="Times New Roman" w:cs="Times New Roman"/>
                <w:sz w:val="20"/>
                <w:szCs w:val="20"/>
              </w:rPr>
              <w:t xml:space="preserve">New Supply competitions  </w:t>
            </w:r>
          </w:p>
          <w:p w14:paraId="09572064" w14:textId="77777777" w:rsidR="00CF5712" w:rsidRPr="00FC6043" w:rsidRDefault="00CF5712" w:rsidP="00304B2F">
            <w:pPr>
              <w:rPr>
                <w:rFonts w:ascii="Times New Roman" w:hAnsi="Times New Roman" w:cs="Times New Roman"/>
                <w:sz w:val="20"/>
                <w:szCs w:val="20"/>
              </w:rPr>
            </w:pPr>
          </w:p>
          <w:p w14:paraId="6E8253EC" w14:textId="77777777" w:rsidR="00CF5712" w:rsidRPr="00FC6043" w:rsidRDefault="00CF5712" w:rsidP="00304B2F">
            <w:pPr>
              <w:textAlignment w:val="baseline"/>
              <w:rPr>
                <w:rStyle w:val="normaltextrun"/>
                <w:rFonts w:ascii="Times New Roman" w:hAnsi="Times New Roman" w:cs="Times New Roman"/>
                <w:b/>
                <w:bCs/>
                <w:sz w:val="20"/>
                <w:szCs w:val="20"/>
              </w:rPr>
            </w:pPr>
            <w:r w:rsidRPr="00FC6043">
              <w:rPr>
                <w:rFonts w:ascii="Times New Roman" w:hAnsi="Times New Roman" w:cs="Times New Roman"/>
                <w:sz w:val="20"/>
                <w:szCs w:val="20"/>
              </w:rPr>
              <w:t>However, DCA anticipates publishing a NOFA targeting USDA preservation with HOME funds this year, separate from the 9% Competitive Round. To receive updates regarding the NOFA, please subscribe to our email list (</w:t>
            </w:r>
            <w:hyperlink r:id="rId73">
              <w:r w:rsidRPr="00FC6043">
                <w:rPr>
                  <w:rStyle w:val="Hyperlink"/>
                  <w:rFonts w:ascii="Times New Roman" w:hAnsi="Times New Roman" w:cs="Times New Roman"/>
                  <w:color w:val="auto"/>
                  <w:sz w:val="20"/>
                  <w:szCs w:val="20"/>
                </w:rPr>
                <w:t>click here</w:t>
              </w:r>
            </w:hyperlink>
            <w:r w:rsidRPr="00FC6043">
              <w:rPr>
                <w:rFonts w:ascii="Times New Roman" w:hAnsi="Times New Roman" w:cs="Times New Roman"/>
                <w:sz w:val="20"/>
                <w:szCs w:val="20"/>
              </w:rPr>
              <w:t xml:space="preserve"> and go to “Join our email list”).</w:t>
            </w:r>
          </w:p>
        </w:tc>
      </w:tr>
      <w:tr w:rsidR="00CF5712" w:rsidRPr="00FC6043" w14:paraId="4B3B2758" w14:textId="77777777" w:rsidTr="00E91E6E">
        <w:trPr>
          <w:jc w:val="center"/>
        </w:trPr>
        <w:tc>
          <w:tcPr>
            <w:tcW w:w="2157" w:type="dxa"/>
            <w:shd w:val="clear" w:color="auto" w:fill="auto"/>
            <w:tcMar>
              <w:top w:w="72" w:type="dxa"/>
              <w:left w:w="115" w:type="dxa"/>
              <w:bottom w:w="72" w:type="dxa"/>
              <w:right w:w="115" w:type="dxa"/>
            </w:tcMar>
            <w:vAlign w:val="center"/>
          </w:tcPr>
          <w:p w14:paraId="10E30BAE"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3/3/22</w:t>
            </w:r>
          </w:p>
        </w:tc>
        <w:tc>
          <w:tcPr>
            <w:tcW w:w="2198" w:type="dxa"/>
            <w:shd w:val="clear" w:color="auto" w:fill="auto"/>
            <w:tcMar>
              <w:top w:w="72" w:type="dxa"/>
              <w:left w:w="115" w:type="dxa"/>
              <w:bottom w:w="72" w:type="dxa"/>
              <w:right w:w="115" w:type="dxa"/>
            </w:tcMar>
            <w:vAlign w:val="center"/>
          </w:tcPr>
          <w:p w14:paraId="7143D5A5"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2.25</w:t>
            </w:r>
          </w:p>
          <w:p w14:paraId="52680710"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Threshold Criteria;</w:t>
            </w:r>
          </w:p>
          <w:p w14:paraId="7BE3CED8"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Occupied Developments</w:t>
            </w:r>
          </w:p>
        </w:tc>
        <w:tc>
          <w:tcPr>
            <w:tcW w:w="9590" w:type="dxa"/>
            <w:shd w:val="clear" w:color="auto" w:fill="auto"/>
            <w:tcMar>
              <w:top w:w="72" w:type="dxa"/>
              <w:left w:w="115" w:type="dxa"/>
              <w:bottom w:w="72" w:type="dxa"/>
              <w:right w:w="115" w:type="dxa"/>
            </w:tcMar>
            <w:vAlign w:val="center"/>
          </w:tcPr>
          <w:p w14:paraId="6D833318"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Q0216_02 </w:t>
            </w:r>
          </w:p>
          <w:p w14:paraId="5D4C1F05"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It is likely that some of our market rate residents will not qualify for a tax credit unit after re-syndication and rehabilitation. Do we need to apply for a waiver during the Pre-Application stage?  </w:t>
            </w:r>
          </w:p>
          <w:p w14:paraId="4C4EF408"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r w:rsidRPr="00FC6043">
              <w:rPr>
                <w:rFonts w:ascii="Times New Roman" w:eastAsia="Times New Roman" w:hAnsi="Times New Roman" w:cs="Times New Roman"/>
                <w:sz w:val="20"/>
                <w:szCs w:val="20"/>
              </w:rPr>
              <w:br/>
            </w: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0BF4C25B"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Yes. The QAP states:  </w:t>
            </w:r>
          </w:p>
          <w:p w14:paraId="47D0E2AB"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33948A25" w14:textId="77777777" w:rsidR="00CF5712" w:rsidRPr="00FC6043" w:rsidRDefault="00CF5712" w:rsidP="00304B2F">
            <w:pPr>
              <w:ind w:left="720"/>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lastRenderedPageBreak/>
              <w:t>Threshold Criteria, Occupied Developments</w:t>
            </w:r>
            <w:r w:rsidRPr="00FC6043">
              <w:rPr>
                <w:rFonts w:ascii="Times New Roman" w:eastAsia="Times New Roman" w:hAnsi="Times New Roman" w:cs="Times New Roman"/>
                <w:sz w:val="20"/>
                <w:szCs w:val="20"/>
              </w:rPr>
              <w:t>: “</w:t>
            </w:r>
            <w:r w:rsidRPr="00FC6043">
              <w:rPr>
                <w:rFonts w:ascii="Times New Roman" w:eastAsia="Times New Roman" w:hAnsi="Times New Roman" w:cs="Times New Roman"/>
                <w:i/>
                <w:iCs/>
                <w:sz w:val="20"/>
                <w:szCs w:val="20"/>
              </w:rPr>
              <w:t>Applicants that foresee in-place rehabilitation or permanent displacement of residents or non-residential tenants must submit a waiver request at pre-application</w:t>
            </w:r>
            <w:r w:rsidRPr="00FC6043">
              <w:rPr>
                <w:rFonts w:ascii="Times New Roman" w:eastAsia="Times New Roman" w:hAnsi="Times New Roman" w:cs="Times New Roman"/>
                <w:sz w:val="20"/>
                <w:szCs w:val="20"/>
              </w:rPr>
              <w:t>.” </w:t>
            </w:r>
          </w:p>
          <w:p w14:paraId="648486FB" w14:textId="77777777" w:rsidR="00CF5712" w:rsidRPr="00FC6043" w:rsidRDefault="00CF5712" w:rsidP="00304B2F">
            <w:pPr>
              <w:contextualSpacing/>
              <w:rPr>
                <w:rFonts w:ascii="Times New Roman" w:hAnsi="Times New Roman" w:cs="Times New Roman"/>
                <w:b/>
                <w:bCs/>
                <w:sz w:val="20"/>
                <w:szCs w:val="20"/>
              </w:rPr>
            </w:pPr>
          </w:p>
        </w:tc>
      </w:tr>
      <w:tr w:rsidR="00CF5712" w:rsidRPr="00FC6043" w14:paraId="115D9B38" w14:textId="77777777" w:rsidTr="00E91E6E">
        <w:trPr>
          <w:jc w:val="center"/>
        </w:trPr>
        <w:tc>
          <w:tcPr>
            <w:tcW w:w="2157" w:type="dxa"/>
            <w:shd w:val="clear" w:color="auto" w:fill="auto"/>
            <w:tcMar>
              <w:top w:w="72" w:type="dxa"/>
              <w:left w:w="115" w:type="dxa"/>
              <w:bottom w:w="72" w:type="dxa"/>
              <w:right w:w="115" w:type="dxa"/>
            </w:tcMar>
            <w:vAlign w:val="center"/>
          </w:tcPr>
          <w:p w14:paraId="376144D8"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lastRenderedPageBreak/>
              <w:t>3/3/22</w:t>
            </w:r>
          </w:p>
        </w:tc>
        <w:tc>
          <w:tcPr>
            <w:tcW w:w="2198" w:type="dxa"/>
            <w:shd w:val="clear" w:color="auto" w:fill="auto"/>
            <w:tcMar>
              <w:top w:w="72" w:type="dxa"/>
              <w:left w:w="115" w:type="dxa"/>
              <w:bottom w:w="72" w:type="dxa"/>
              <w:right w:w="115" w:type="dxa"/>
            </w:tcMar>
            <w:vAlign w:val="center"/>
          </w:tcPr>
          <w:p w14:paraId="299ADF32"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 xml:space="preserve">6.00 </w:t>
            </w:r>
          </w:p>
          <w:p w14:paraId="35715B01"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Emphasys</w:t>
            </w:r>
          </w:p>
        </w:tc>
        <w:tc>
          <w:tcPr>
            <w:tcW w:w="9590" w:type="dxa"/>
            <w:shd w:val="clear" w:color="auto" w:fill="auto"/>
            <w:tcMar>
              <w:top w:w="72" w:type="dxa"/>
              <w:left w:w="115" w:type="dxa"/>
              <w:bottom w:w="72" w:type="dxa"/>
              <w:right w:w="115" w:type="dxa"/>
            </w:tcMar>
            <w:vAlign w:val="center"/>
          </w:tcPr>
          <w:p w14:paraId="58BD0709" w14:textId="77777777" w:rsidR="00CF5712" w:rsidRPr="00FC6043" w:rsidRDefault="00CF5712" w:rsidP="00304B2F">
            <w:pPr>
              <w:pStyle w:val="paragraph"/>
              <w:spacing w:before="0" w:beforeAutospacing="0" w:after="0" w:afterAutospacing="0"/>
              <w:textAlignment w:val="baseline"/>
              <w:rPr>
                <w:rStyle w:val="normaltextrun"/>
                <w:sz w:val="20"/>
                <w:szCs w:val="20"/>
              </w:rPr>
            </w:pPr>
            <w:r w:rsidRPr="00FC6043">
              <w:rPr>
                <w:rStyle w:val="normaltextrun"/>
                <w:b/>
                <w:bCs/>
                <w:sz w:val="20"/>
                <w:szCs w:val="20"/>
              </w:rPr>
              <w:t>Question</w:t>
            </w:r>
            <w:r w:rsidRPr="00FC6043">
              <w:rPr>
                <w:rStyle w:val="normaltextrun"/>
                <w:sz w:val="20"/>
                <w:szCs w:val="20"/>
              </w:rPr>
              <w:t>: Q0302_15</w:t>
            </w:r>
          </w:p>
          <w:p w14:paraId="66C3BDA8" w14:textId="77777777" w:rsidR="00CF5712" w:rsidRPr="00FC6043" w:rsidRDefault="00CF5712" w:rsidP="00304B2F">
            <w:pPr>
              <w:pStyle w:val="paragraph"/>
              <w:spacing w:before="0" w:beforeAutospacing="0" w:after="0" w:afterAutospacing="0"/>
              <w:textAlignment w:val="baseline"/>
              <w:rPr>
                <w:rStyle w:val="normaltextrun"/>
                <w:sz w:val="20"/>
                <w:szCs w:val="20"/>
              </w:rPr>
            </w:pPr>
            <w:r w:rsidRPr="00FC6043">
              <w:rPr>
                <w:rStyle w:val="normaltextrun"/>
                <w:sz w:val="20"/>
                <w:szCs w:val="20"/>
              </w:rPr>
              <w:t xml:space="preserve">On March 1st, the “DCA Housing Finance Updates” email blast stated that the </w:t>
            </w:r>
            <w:proofErr w:type="spellStart"/>
            <w:r w:rsidRPr="00FC6043">
              <w:rPr>
                <w:rStyle w:val="normaltextrun"/>
                <w:sz w:val="20"/>
                <w:szCs w:val="20"/>
              </w:rPr>
              <w:t>Emphasys</w:t>
            </w:r>
            <w:proofErr w:type="spellEnd"/>
            <w:r w:rsidRPr="00FC6043">
              <w:rPr>
                <w:rStyle w:val="normaltextrun"/>
                <w:sz w:val="20"/>
                <w:szCs w:val="20"/>
              </w:rPr>
              <w:t xml:space="preserve"> Pre-Application was posted, but at the bottom it also included the same email blast from the week prior indicating that DCA staff “are working to integrate the Pre-Application into </w:t>
            </w:r>
            <w:proofErr w:type="spellStart"/>
            <w:r w:rsidRPr="00FC6043">
              <w:rPr>
                <w:rStyle w:val="normaltextrun"/>
                <w:sz w:val="20"/>
                <w:szCs w:val="20"/>
              </w:rPr>
              <w:t>Emphasys</w:t>
            </w:r>
            <w:proofErr w:type="spellEnd"/>
            <w:r w:rsidRPr="00FC6043">
              <w:rPr>
                <w:rStyle w:val="normaltextrun"/>
                <w:sz w:val="20"/>
                <w:szCs w:val="20"/>
              </w:rPr>
              <w:t xml:space="preserve">.” Please confirm the status of the </w:t>
            </w:r>
            <w:proofErr w:type="spellStart"/>
            <w:r w:rsidRPr="00FC6043">
              <w:rPr>
                <w:rStyle w:val="normaltextrun"/>
                <w:sz w:val="20"/>
                <w:szCs w:val="20"/>
              </w:rPr>
              <w:t>Emphasys</w:t>
            </w:r>
            <w:proofErr w:type="spellEnd"/>
            <w:r w:rsidRPr="00FC6043">
              <w:rPr>
                <w:rStyle w:val="normaltextrun"/>
                <w:sz w:val="20"/>
                <w:szCs w:val="20"/>
              </w:rPr>
              <w:t xml:space="preserve"> Pre-Application. </w:t>
            </w:r>
          </w:p>
          <w:p w14:paraId="7E4FCA9E" w14:textId="77777777" w:rsidR="00CF5712" w:rsidRPr="00FC6043" w:rsidRDefault="00CF5712" w:rsidP="00304B2F">
            <w:pPr>
              <w:pStyle w:val="paragraph"/>
              <w:spacing w:before="0" w:beforeAutospacing="0" w:after="0" w:afterAutospacing="0"/>
              <w:textAlignment w:val="baseline"/>
              <w:rPr>
                <w:rStyle w:val="normaltextrun"/>
                <w:sz w:val="20"/>
                <w:szCs w:val="20"/>
              </w:rPr>
            </w:pPr>
          </w:p>
          <w:p w14:paraId="561D0183" w14:textId="77777777" w:rsidR="00CF5712" w:rsidRPr="00FC6043" w:rsidRDefault="00CF5712" w:rsidP="00304B2F">
            <w:pPr>
              <w:pStyle w:val="paragraph"/>
              <w:spacing w:before="0" w:beforeAutospacing="0" w:after="0" w:afterAutospacing="0"/>
              <w:textAlignment w:val="baseline"/>
              <w:rPr>
                <w:rStyle w:val="normaltextrun"/>
                <w:sz w:val="20"/>
                <w:szCs w:val="20"/>
              </w:rPr>
            </w:pPr>
            <w:r w:rsidRPr="00FC6043">
              <w:rPr>
                <w:rStyle w:val="normaltextrun"/>
                <w:b/>
                <w:bCs/>
                <w:sz w:val="20"/>
                <w:szCs w:val="20"/>
              </w:rPr>
              <w:t>Answer</w:t>
            </w:r>
            <w:r w:rsidRPr="00FC6043">
              <w:rPr>
                <w:rStyle w:val="normaltextrun"/>
                <w:sz w:val="20"/>
                <w:szCs w:val="20"/>
              </w:rPr>
              <w:t xml:space="preserve">: </w:t>
            </w:r>
          </w:p>
          <w:p w14:paraId="31CFF102" w14:textId="77777777" w:rsidR="00CF5712" w:rsidRPr="00FC6043" w:rsidRDefault="00CF5712" w:rsidP="00304B2F">
            <w:pPr>
              <w:pStyle w:val="paragraph"/>
              <w:spacing w:before="0" w:beforeAutospacing="0" w:after="0" w:afterAutospacing="0"/>
              <w:textAlignment w:val="baseline"/>
              <w:rPr>
                <w:rStyle w:val="normaltextrun"/>
                <w:sz w:val="20"/>
                <w:szCs w:val="20"/>
              </w:rPr>
            </w:pPr>
            <w:r w:rsidRPr="00FC6043">
              <w:rPr>
                <w:rStyle w:val="normaltextrun"/>
                <w:sz w:val="20"/>
                <w:szCs w:val="20"/>
              </w:rPr>
              <w:t>In the March 1</w:t>
            </w:r>
            <w:r w:rsidRPr="00FC6043">
              <w:rPr>
                <w:rStyle w:val="normaltextrun"/>
                <w:sz w:val="20"/>
                <w:szCs w:val="20"/>
                <w:vertAlign w:val="superscript"/>
              </w:rPr>
              <w:t>st</w:t>
            </w:r>
            <w:r w:rsidRPr="00FC6043">
              <w:rPr>
                <w:rStyle w:val="normaltextrun"/>
                <w:sz w:val="20"/>
                <w:szCs w:val="20"/>
              </w:rPr>
              <w:t xml:space="preserve"> email blast referenced, the inclusion of the prior week’s email notification about DCA staff “working to integrate the Pre-Application into </w:t>
            </w:r>
            <w:proofErr w:type="spellStart"/>
            <w:r w:rsidRPr="00FC6043">
              <w:rPr>
                <w:rStyle w:val="normaltextrun"/>
                <w:sz w:val="20"/>
                <w:szCs w:val="20"/>
              </w:rPr>
              <w:t>Emphasys</w:t>
            </w:r>
            <w:proofErr w:type="spellEnd"/>
            <w:r w:rsidRPr="00FC6043">
              <w:rPr>
                <w:rStyle w:val="normaltextrun"/>
                <w:sz w:val="20"/>
                <w:szCs w:val="20"/>
              </w:rPr>
              <w:t xml:space="preserve">” was an error. The </w:t>
            </w:r>
            <w:proofErr w:type="spellStart"/>
            <w:r w:rsidRPr="00FC6043">
              <w:rPr>
                <w:rStyle w:val="normaltextrun"/>
                <w:sz w:val="20"/>
                <w:szCs w:val="20"/>
              </w:rPr>
              <w:t>Emphasys</w:t>
            </w:r>
            <w:proofErr w:type="spellEnd"/>
            <w:r w:rsidRPr="00FC6043">
              <w:rPr>
                <w:rStyle w:val="normaltextrun"/>
                <w:sz w:val="20"/>
                <w:szCs w:val="20"/>
              </w:rPr>
              <w:t xml:space="preserve"> Pre-Application was posted the week of February 25</w:t>
            </w:r>
            <w:r w:rsidRPr="00FC6043">
              <w:rPr>
                <w:rStyle w:val="normaltextrun"/>
                <w:sz w:val="20"/>
                <w:szCs w:val="20"/>
                <w:vertAlign w:val="superscript"/>
              </w:rPr>
              <w:t>th</w:t>
            </w:r>
            <w:r w:rsidRPr="00FC6043">
              <w:rPr>
                <w:rStyle w:val="normaltextrun"/>
                <w:sz w:val="20"/>
                <w:szCs w:val="20"/>
              </w:rPr>
              <w:t xml:space="preserve">. </w:t>
            </w:r>
          </w:p>
        </w:tc>
      </w:tr>
      <w:tr w:rsidR="00CF5712" w:rsidRPr="00FC6043" w14:paraId="355A10AD" w14:textId="77777777" w:rsidTr="00E91E6E">
        <w:trPr>
          <w:jc w:val="center"/>
        </w:trPr>
        <w:tc>
          <w:tcPr>
            <w:tcW w:w="2157" w:type="dxa"/>
            <w:shd w:val="clear" w:color="auto" w:fill="auto"/>
            <w:tcMar>
              <w:top w:w="72" w:type="dxa"/>
              <w:left w:w="115" w:type="dxa"/>
              <w:bottom w:w="72" w:type="dxa"/>
              <w:right w:w="115" w:type="dxa"/>
            </w:tcMar>
            <w:vAlign w:val="center"/>
          </w:tcPr>
          <w:p w14:paraId="4F185D61"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3/3/22</w:t>
            </w:r>
          </w:p>
        </w:tc>
        <w:tc>
          <w:tcPr>
            <w:tcW w:w="2198" w:type="dxa"/>
            <w:shd w:val="clear" w:color="auto" w:fill="auto"/>
            <w:tcMar>
              <w:top w:w="72" w:type="dxa"/>
              <w:left w:w="115" w:type="dxa"/>
              <w:bottom w:w="72" w:type="dxa"/>
              <w:right w:w="115" w:type="dxa"/>
            </w:tcMar>
            <w:vAlign w:val="center"/>
          </w:tcPr>
          <w:p w14:paraId="74C32841"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7.00</w:t>
            </w:r>
          </w:p>
          <w:p w14:paraId="7DEC3388"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 xml:space="preserve">Application </w:t>
            </w:r>
            <w:r w:rsidRPr="003872CA">
              <w:rPr>
                <w:rFonts w:ascii="Times New Roman" w:hAnsi="Times New Roman" w:cs="Times New Roman"/>
                <w:noProof/>
                <w:sz w:val="20"/>
                <w:szCs w:val="20"/>
              </w:rPr>
              <w:t>Materials</w:t>
            </w:r>
          </w:p>
        </w:tc>
        <w:tc>
          <w:tcPr>
            <w:tcW w:w="9590" w:type="dxa"/>
            <w:shd w:val="clear" w:color="auto" w:fill="auto"/>
            <w:tcMar>
              <w:top w:w="72" w:type="dxa"/>
              <w:left w:w="115" w:type="dxa"/>
              <w:bottom w:w="72" w:type="dxa"/>
              <w:right w:w="115" w:type="dxa"/>
            </w:tcMar>
            <w:vAlign w:val="center"/>
          </w:tcPr>
          <w:p w14:paraId="6981D43A"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Q0223_03 </w:t>
            </w:r>
          </w:p>
          <w:p w14:paraId="34B79D99" w14:textId="77777777" w:rsidR="00CF5712" w:rsidRPr="00FC6043" w:rsidRDefault="00CF5712" w:rsidP="00304B2F">
            <w:pPr>
              <w:keepNext/>
              <w:keepLines/>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xml:space="preserve">When reviewing the 2022 9% Pre-App Submission Instructions for </w:t>
            </w:r>
            <w:proofErr w:type="spellStart"/>
            <w:r w:rsidRPr="00FC6043">
              <w:rPr>
                <w:rFonts w:ascii="Times New Roman" w:eastAsia="Times New Roman" w:hAnsi="Times New Roman" w:cs="Times New Roman"/>
                <w:sz w:val="20"/>
                <w:szCs w:val="20"/>
              </w:rPr>
              <w:t>Emphasys</w:t>
            </w:r>
            <w:proofErr w:type="spellEnd"/>
            <w:r w:rsidRPr="00FC6043">
              <w:rPr>
                <w:rFonts w:ascii="Times New Roman" w:eastAsia="Times New Roman" w:hAnsi="Times New Roman" w:cs="Times New Roman"/>
                <w:sz w:val="20"/>
                <w:szCs w:val="20"/>
              </w:rPr>
              <w:t xml:space="preserve"> it references a form that I am not finding either on the website or part of the Performance Workbook. The file is called "Supplemental Pre-Application" and is supposed to be part of the "Submission Summary Tab". Is this not viewable until the Pre-Application is available in </w:t>
            </w:r>
            <w:proofErr w:type="spellStart"/>
            <w:r w:rsidRPr="00FC6043">
              <w:rPr>
                <w:rFonts w:ascii="Times New Roman" w:eastAsia="Times New Roman" w:hAnsi="Times New Roman" w:cs="Times New Roman"/>
                <w:sz w:val="20"/>
                <w:szCs w:val="20"/>
              </w:rPr>
              <w:t>Emphasys</w:t>
            </w:r>
            <w:proofErr w:type="spellEnd"/>
            <w:r w:rsidRPr="00FC6043">
              <w:rPr>
                <w:rFonts w:ascii="Times New Roman" w:eastAsia="Times New Roman" w:hAnsi="Times New Roman" w:cs="Times New Roman"/>
                <w:sz w:val="20"/>
                <w:szCs w:val="20"/>
              </w:rPr>
              <w:t>?  </w:t>
            </w:r>
          </w:p>
          <w:p w14:paraId="0325B8F9"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5935D962"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01E175E6"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The Supplemental Pre-Application is posted to the DCA website on the 2022 Pre-Application Forms page, which can be found via the Application Manuals and Forms link on the Housing Tax Credit Program (LIHTC) webpage (</w:t>
            </w:r>
            <w:hyperlink r:id="rId74" w:tgtFrame="_blank" w:history="1">
              <w:r w:rsidRPr="00FC6043">
                <w:rPr>
                  <w:rFonts w:ascii="Times New Roman" w:eastAsia="Times New Roman" w:hAnsi="Times New Roman" w:cs="Times New Roman"/>
                  <w:sz w:val="20"/>
                  <w:szCs w:val="20"/>
                  <w:u w:val="single"/>
                </w:rPr>
                <w:t>click here</w:t>
              </w:r>
            </w:hyperlink>
            <w:r w:rsidRPr="00FC6043">
              <w:rPr>
                <w:rFonts w:ascii="Times New Roman" w:eastAsia="Times New Roman" w:hAnsi="Times New Roman" w:cs="Times New Roman"/>
                <w:sz w:val="20"/>
                <w:szCs w:val="20"/>
              </w:rPr>
              <w:t>). </w:t>
            </w:r>
          </w:p>
          <w:p w14:paraId="4174B53F" w14:textId="77777777" w:rsidR="00CF5712" w:rsidRPr="00FC6043" w:rsidRDefault="00CF5712" w:rsidP="00304B2F">
            <w:pPr>
              <w:contextualSpacing/>
              <w:rPr>
                <w:rFonts w:ascii="Times New Roman" w:hAnsi="Times New Roman" w:cs="Times New Roman"/>
                <w:b/>
                <w:bCs/>
                <w:sz w:val="20"/>
                <w:szCs w:val="20"/>
              </w:rPr>
            </w:pPr>
          </w:p>
        </w:tc>
      </w:tr>
      <w:tr w:rsidR="00CF5712" w:rsidRPr="00FC6043" w14:paraId="3FF6D07B" w14:textId="77777777" w:rsidTr="00E91E6E">
        <w:trPr>
          <w:jc w:val="center"/>
        </w:trPr>
        <w:tc>
          <w:tcPr>
            <w:tcW w:w="2157" w:type="dxa"/>
            <w:shd w:val="clear" w:color="auto" w:fill="auto"/>
            <w:tcMar>
              <w:top w:w="72" w:type="dxa"/>
              <w:left w:w="115" w:type="dxa"/>
              <w:bottom w:w="72" w:type="dxa"/>
              <w:right w:w="115" w:type="dxa"/>
            </w:tcMar>
            <w:vAlign w:val="center"/>
          </w:tcPr>
          <w:p w14:paraId="5B3E7EB5"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2/25/22</w:t>
            </w:r>
          </w:p>
        </w:tc>
        <w:tc>
          <w:tcPr>
            <w:tcW w:w="2198" w:type="dxa"/>
            <w:shd w:val="clear" w:color="auto" w:fill="auto"/>
            <w:tcMar>
              <w:top w:w="72" w:type="dxa"/>
              <w:left w:w="115" w:type="dxa"/>
              <w:bottom w:w="72" w:type="dxa"/>
              <w:right w:w="115" w:type="dxa"/>
            </w:tcMar>
            <w:vAlign w:val="center"/>
          </w:tcPr>
          <w:p w14:paraId="078FD8FF"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1.19</w:t>
            </w:r>
          </w:p>
          <w:p w14:paraId="3484700D"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Core Plan;</w:t>
            </w:r>
          </w:p>
          <w:p w14:paraId="57CB6C27"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DCA Pre-Application Fees and Deadline Schedules</w:t>
            </w:r>
          </w:p>
        </w:tc>
        <w:tc>
          <w:tcPr>
            <w:tcW w:w="9590" w:type="dxa"/>
            <w:shd w:val="clear" w:color="auto" w:fill="auto"/>
            <w:tcMar>
              <w:top w:w="72" w:type="dxa"/>
              <w:left w:w="115" w:type="dxa"/>
              <w:bottom w:w="72" w:type="dxa"/>
              <w:right w:w="115" w:type="dxa"/>
            </w:tcMar>
            <w:vAlign w:val="center"/>
          </w:tcPr>
          <w:p w14:paraId="3200EE4F" w14:textId="77777777" w:rsidR="00CF5712" w:rsidRPr="00FC6043" w:rsidRDefault="00CF5712" w:rsidP="00304B2F">
            <w:pPr>
              <w:pStyle w:val="paragraph"/>
              <w:spacing w:before="0" w:beforeAutospacing="0" w:after="0" w:afterAutospacing="0"/>
              <w:textAlignment w:val="baseline"/>
              <w:rPr>
                <w:rStyle w:val="normaltextrun"/>
                <w:sz w:val="20"/>
                <w:szCs w:val="20"/>
              </w:rPr>
            </w:pPr>
            <w:r w:rsidRPr="00FC6043">
              <w:rPr>
                <w:rStyle w:val="normaltextrun"/>
                <w:b/>
                <w:bCs/>
                <w:sz w:val="20"/>
                <w:szCs w:val="20"/>
              </w:rPr>
              <w:t>Question</w:t>
            </w:r>
            <w:r w:rsidRPr="00FC6043">
              <w:rPr>
                <w:rStyle w:val="normaltextrun"/>
                <w:sz w:val="20"/>
                <w:szCs w:val="20"/>
              </w:rPr>
              <w:t>: Q0201_05</w:t>
            </w:r>
          </w:p>
          <w:p w14:paraId="68C313E1" w14:textId="77777777" w:rsidR="00CF5712" w:rsidRPr="00FC6043" w:rsidRDefault="00CF5712" w:rsidP="00304B2F">
            <w:pPr>
              <w:pStyle w:val="paragraph"/>
              <w:spacing w:before="0" w:beforeAutospacing="0" w:after="0" w:afterAutospacing="0"/>
              <w:textAlignment w:val="baseline"/>
              <w:rPr>
                <w:rStyle w:val="normaltextrun"/>
                <w:sz w:val="20"/>
                <w:szCs w:val="20"/>
              </w:rPr>
            </w:pPr>
            <w:r w:rsidRPr="00FC6043">
              <w:rPr>
                <w:rStyle w:val="normaltextrun"/>
                <w:sz w:val="20"/>
                <w:szCs w:val="20"/>
              </w:rPr>
              <w:t xml:space="preserve">When is the 9% Credits Pre-Application deadline? </w:t>
            </w:r>
          </w:p>
          <w:p w14:paraId="1EDE8E02" w14:textId="77777777" w:rsidR="00CF5712" w:rsidRPr="00FC6043" w:rsidRDefault="00CF5712" w:rsidP="00304B2F">
            <w:pPr>
              <w:pStyle w:val="paragraph"/>
              <w:spacing w:before="0" w:beforeAutospacing="0" w:after="0" w:afterAutospacing="0"/>
              <w:textAlignment w:val="baseline"/>
              <w:rPr>
                <w:rStyle w:val="normaltextrun"/>
                <w:sz w:val="20"/>
                <w:szCs w:val="20"/>
              </w:rPr>
            </w:pPr>
          </w:p>
          <w:p w14:paraId="5AFAB273" w14:textId="77777777" w:rsidR="00CF5712" w:rsidRPr="00FC6043" w:rsidRDefault="00CF5712" w:rsidP="00304B2F">
            <w:pPr>
              <w:pStyle w:val="paragraph"/>
              <w:spacing w:before="0" w:beforeAutospacing="0" w:after="0" w:afterAutospacing="0"/>
              <w:textAlignment w:val="baseline"/>
              <w:rPr>
                <w:rStyle w:val="normaltextrun"/>
                <w:sz w:val="20"/>
                <w:szCs w:val="20"/>
              </w:rPr>
            </w:pPr>
            <w:r w:rsidRPr="00FC6043">
              <w:rPr>
                <w:rStyle w:val="normaltextrun"/>
                <w:b/>
                <w:bCs/>
                <w:sz w:val="20"/>
                <w:szCs w:val="20"/>
              </w:rPr>
              <w:t>Answer</w:t>
            </w:r>
            <w:r w:rsidRPr="00FC6043">
              <w:rPr>
                <w:rStyle w:val="normaltextrun"/>
                <w:sz w:val="20"/>
                <w:szCs w:val="20"/>
              </w:rPr>
              <w:t xml:space="preserve">: </w:t>
            </w:r>
          </w:p>
          <w:p w14:paraId="5E9CC9CE" w14:textId="77777777" w:rsidR="00CF5712" w:rsidRPr="00FC6043" w:rsidRDefault="00CF5712" w:rsidP="00304B2F">
            <w:pPr>
              <w:pStyle w:val="paragraph"/>
              <w:spacing w:before="0" w:beforeAutospacing="0" w:after="0" w:afterAutospacing="0"/>
              <w:textAlignment w:val="baseline"/>
              <w:rPr>
                <w:rStyle w:val="normaltextrun"/>
                <w:sz w:val="20"/>
                <w:szCs w:val="20"/>
              </w:rPr>
            </w:pPr>
            <w:r w:rsidRPr="00FC6043">
              <w:rPr>
                <w:rStyle w:val="normaltextrun"/>
                <w:sz w:val="20"/>
                <w:szCs w:val="20"/>
              </w:rPr>
              <w:t xml:space="preserve">DCA has extended the 9% Credits Pre-Application deadline to Friday, March 11th, 2022. This extension applies to all 9% Credit deadlines previously listed as “3/4/22” in </w:t>
            </w:r>
            <w:r w:rsidRPr="00FC6043">
              <w:rPr>
                <w:rStyle w:val="normaltextrun"/>
                <w:i/>
                <w:iCs/>
                <w:sz w:val="20"/>
                <w:szCs w:val="20"/>
              </w:rPr>
              <w:t>Core Plan, Exhibit A: DCA Pre-Application Fees and Deadline Schedules</w:t>
            </w:r>
            <w:r w:rsidRPr="00FC6043">
              <w:rPr>
                <w:rStyle w:val="normaltextrun"/>
                <w:sz w:val="20"/>
                <w:szCs w:val="20"/>
              </w:rPr>
              <w:t>.</w:t>
            </w:r>
          </w:p>
        </w:tc>
      </w:tr>
      <w:tr w:rsidR="00CF5712" w:rsidRPr="00FC6043" w14:paraId="4A153DD7" w14:textId="77777777" w:rsidTr="00E91E6E">
        <w:trPr>
          <w:jc w:val="center"/>
        </w:trPr>
        <w:tc>
          <w:tcPr>
            <w:tcW w:w="2157" w:type="dxa"/>
            <w:shd w:val="clear" w:color="auto" w:fill="auto"/>
            <w:tcMar>
              <w:top w:w="72" w:type="dxa"/>
              <w:left w:w="115" w:type="dxa"/>
              <w:bottom w:w="72" w:type="dxa"/>
              <w:right w:w="115" w:type="dxa"/>
            </w:tcMar>
            <w:vAlign w:val="center"/>
          </w:tcPr>
          <w:p w14:paraId="7AA8E70E"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2/25/22</w:t>
            </w:r>
          </w:p>
        </w:tc>
        <w:tc>
          <w:tcPr>
            <w:tcW w:w="2198" w:type="dxa"/>
            <w:shd w:val="clear" w:color="auto" w:fill="auto"/>
            <w:tcMar>
              <w:top w:w="72" w:type="dxa"/>
              <w:left w:w="115" w:type="dxa"/>
              <w:bottom w:w="72" w:type="dxa"/>
              <w:right w:w="115" w:type="dxa"/>
            </w:tcMar>
            <w:vAlign w:val="center"/>
          </w:tcPr>
          <w:p w14:paraId="3CB50543"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1.19</w:t>
            </w:r>
          </w:p>
          <w:p w14:paraId="0797BAE1"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Core Plan;</w:t>
            </w:r>
          </w:p>
          <w:p w14:paraId="62E8ED8D"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 xml:space="preserve">DCA Pre-Application Fees and Deadline Schedules </w:t>
            </w:r>
          </w:p>
          <w:p w14:paraId="1CEE33AF" w14:textId="77777777" w:rsidR="00CF5712" w:rsidRPr="00FC6043" w:rsidRDefault="00CF5712" w:rsidP="00304B2F">
            <w:pPr>
              <w:contextualSpacing/>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794184E8" w14:textId="77777777" w:rsidR="00CF5712" w:rsidRPr="00FC6043" w:rsidRDefault="00CF5712" w:rsidP="00304B2F">
            <w:pPr>
              <w:pStyle w:val="paragraph"/>
              <w:spacing w:before="0" w:beforeAutospacing="0" w:after="0" w:afterAutospacing="0"/>
              <w:textAlignment w:val="baseline"/>
              <w:rPr>
                <w:rStyle w:val="normaltextrun"/>
                <w:sz w:val="20"/>
                <w:szCs w:val="20"/>
              </w:rPr>
            </w:pPr>
            <w:r w:rsidRPr="00FC6043">
              <w:rPr>
                <w:rStyle w:val="normaltextrun"/>
                <w:b/>
                <w:bCs/>
                <w:sz w:val="20"/>
                <w:szCs w:val="20"/>
              </w:rPr>
              <w:t>Question</w:t>
            </w:r>
            <w:r w:rsidRPr="00FC6043">
              <w:rPr>
                <w:rStyle w:val="normaltextrun"/>
                <w:sz w:val="20"/>
                <w:szCs w:val="20"/>
              </w:rPr>
              <w:t>: Q0201_06</w:t>
            </w:r>
          </w:p>
          <w:p w14:paraId="6194AB4B" w14:textId="77777777" w:rsidR="00CF5712" w:rsidRPr="00FC6043" w:rsidRDefault="00CF5712" w:rsidP="00304B2F">
            <w:pPr>
              <w:pStyle w:val="paragraph"/>
              <w:spacing w:before="0" w:beforeAutospacing="0" w:after="0" w:afterAutospacing="0"/>
              <w:textAlignment w:val="baseline"/>
              <w:rPr>
                <w:rStyle w:val="normaltextrun"/>
                <w:sz w:val="20"/>
                <w:szCs w:val="20"/>
              </w:rPr>
            </w:pPr>
            <w:r w:rsidRPr="00FC6043">
              <w:rPr>
                <w:rStyle w:val="normaltextrun"/>
                <w:sz w:val="20"/>
                <w:szCs w:val="20"/>
              </w:rPr>
              <w:t xml:space="preserve">When is the deadline for submitting a Full Application for consideration under the 2022 9% Credits Competitive Round? </w:t>
            </w:r>
          </w:p>
          <w:p w14:paraId="1F7C558F" w14:textId="77777777" w:rsidR="00CF5712" w:rsidRPr="00FC6043" w:rsidRDefault="00CF5712" w:rsidP="00304B2F">
            <w:pPr>
              <w:pStyle w:val="paragraph"/>
              <w:spacing w:before="0" w:beforeAutospacing="0" w:after="0" w:afterAutospacing="0"/>
              <w:textAlignment w:val="baseline"/>
              <w:rPr>
                <w:rStyle w:val="normaltextrun"/>
                <w:sz w:val="20"/>
                <w:szCs w:val="20"/>
              </w:rPr>
            </w:pPr>
          </w:p>
          <w:p w14:paraId="7FEB0558" w14:textId="77777777" w:rsidR="00CF5712" w:rsidRPr="00FC6043" w:rsidRDefault="00CF5712" w:rsidP="00304B2F">
            <w:pPr>
              <w:pStyle w:val="paragraph"/>
              <w:spacing w:before="0" w:beforeAutospacing="0" w:after="0" w:afterAutospacing="0"/>
              <w:textAlignment w:val="baseline"/>
              <w:rPr>
                <w:rStyle w:val="normaltextrun"/>
                <w:sz w:val="20"/>
                <w:szCs w:val="20"/>
              </w:rPr>
            </w:pPr>
            <w:r w:rsidRPr="00FC6043">
              <w:rPr>
                <w:rStyle w:val="normaltextrun"/>
                <w:b/>
                <w:bCs/>
                <w:sz w:val="20"/>
                <w:szCs w:val="20"/>
              </w:rPr>
              <w:t>Answer</w:t>
            </w:r>
            <w:r w:rsidRPr="00FC6043">
              <w:rPr>
                <w:rStyle w:val="normaltextrun"/>
                <w:sz w:val="20"/>
                <w:szCs w:val="20"/>
              </w:rPr>
              <w:t xml:space="preserve">: </w:t>
            </w:r>
          </w:p>
          <w:p w14:paraId="7638FC39" w14:textId="77777777" w:rsidR="00CF5712" w:rsidRPr="00FC6043" w:rsidRDefault="00CF5712" w:rsidP="00304B2F">
            <w:pPr>
              <w:pStyle w:val="paragraph"/>
              <w:spacing w:before="0" w:beforeAutospacing="0" w:after="0" w:afterAutospacing="0"/>
              <w:textAlignment w:val="baseline"/>
              <w:rPr>
                <w:rStyle w:val="normaltextrun"/>
                <w:sz w:val="20"/>
                <w:szCs w:val="20"/>
              </w:rPr>
            </w:pPr>
            <w:r w:rsidRPr="00FC6043">
              <w:rPr>
                <w:rStyle w:val="normaltextrun"/>
                <w:sz w:val="20"/>
                <w:szCs w:val="20"/>
              </w:rPr>
              <w:lastRenderedPageBreak/>
              <w:t>The “Application Submission” deadline for 9% Credit applications is May 20</w:t>
            </w:r>
            <w:r w:rsidRPr="00FC6043">
              <w:rPr>
                <w:rStyle w:val="normaltextrun"/>
                <w:sz w:val="20"/>
                <w:szCs w:val="20"/>
                <w:vertAlign w:val="superscript"/>
              </w:rPr>
              <w:t>th</w:t>
            </w:r>
            <w:r w:rsidRPr="00FC6043">
              <w:rPr>
                <w:rStyle w:val="normaltextrun"/>
                <w:sz w:val="20"/>
                <w:szCs w:val="20"/>
              </w:rPr>
              <w:t xml:space="preserve">, 2022. </w:t>
            </w:r>
          </w:p>
          <w:p w14:paraId="03310F45" w14:textId="77777777" w:rsidR="00CF5712" w:rsidRPr="00FC6043" w:rsidRDefault="00CF5712" w:rsidP="00304B2F">
            <w:pPr>
              <w:pStyle w:val="paragraph"/>
              <w:spacing w:before="0" w:beforeAutospacing="0" w:after="0" w:afterAutospacing="0"/>
              <w:textAlignment w:val="baseline"/>
              <w:rPr>
                <w:rStyle w:val="normaltextrun"/>
                <w:sz w:val="20"/>
                <w:szCs w:val="20"/>
              </w:rPr>
            </w:pPr>
          </w:p>
          <w:p w14:paraId="0C238796" w14:textId="77777777" w:rsidR="00CF5712" w:rsidRPr="00FC6043" w:rsidRDefault="00CF5712" w:rsidP="00304B2F">
            <w:pPr>
              <w:pStyle w:val="paragraph"/>
              <w:spacing w:before="0" w:beforeAutospacing="0" w:after="0" w:afterAutospacing="0"/>
              <w:textAlignment w:val="baseline"/>
              <w:rPr>
                <w:rStyle w:val="normaltextrun"/>
                <w:sz w:val="20"/>
                <w:szCs w:val="20"/>
              </w:rPr>
            </w:pPr>
            <w:r w:rsidRPr="00FC6043">
              <w:rPr>
                <w:rStyle w:val="normaltextrun"/>
                <w:sz w:val="20"/>
                <w:szCs w:val="20"/>
              </w:rPr>
              <w:t xml:space="preserve">The term “Application Submission,” used throughout the QAP, refers to this date for purposes of the 9% Credits Competitive Round. See the “9% Deadline” column in </w:t>
            </w:r>
            <w:r w:rsidRPr="00FC6043">
              <w:rPr>
                <w:rStyle w:val="normaltextrun"/>
                <w:i/>
                <w:iCs/>
                <w:sz w:val="20"/>
                <w:szCs w:val="20"/>
              </w:rPr>
              <w:t>Core Plan, DCA Pre-Application Fees and Deadline Schedules</w:t>
            </w:r>
            <w:r w:rsidRPr="00FC6043">
              <w:rPr>
                <w:rStyle w:val="normaltextrun"/>
                <w:sz w:val="20"/>
                <w:szCs w:val="20"/>
              </w:rPr>
              <w:t xml:space="preserve"> for all deadlines associated with the 9% Credits Competitive Round. </w:t>
            </w:r>
          </w:p>
        </w:tc>
      </w:tr>
      <w:tr w:rsidR="00CF5712" w:rsidRPr="00FC6043" w14:paraId="3F35A17C" w14:textId="77777777" w:rsidTr="00E91E6E">
        <w:trPr>
          <w:jc w:val="center"/>
        </w:trPr>
        <w:tc>
          <w:tcPr>
            <w:tcW w:w="2157" w:type="dxa"/>
            <w:shd w:val="clear" w:color="auto" w:fill="auto"/>
            <w:tcMar>
              <w:top w:w="72" w:type="dxa"/>
              <w:left w:w="115" w:type="dxa"/>
              <w:bottom w:w="72" w:type="dxa"/>
              <w:right w:w="115" w:type="dxa"/>
            </w:tcMar>
            <w:vAlign w:val="center"/>
          </w:tcPr>
          <w:p w14:paraId="2BF2425B"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lastRenderedPageBreak/>
              <w:t>2/25/22</w:t>
            </w:r>
          </w:p>
        </w:tc>
        <w:tc>
          <w:tcPr>
            <w:tcW w:w="2198" w:type="dxa"/>
            <w:shd w:val="clear" w:color="auto" w:fill="auto"/>
            <w:tcMar>
              <w:top w:w="72" w:type="dxa"/>
              <w:left w:w="115" w:type="dxa"/>
              <w:bottom w:w="72" w:type="dxa"/>
              <w:right w:w="115" w:type="dxa"/>
            </w:tcMar>
            <w:vAlign w:val="center"/>
          </w:tcPr>
          <w:p w14:paraId="07E85EC6"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2.20</w:t>
            </w:r>
          </w:p>
          <w:p w14:paraId="788890DE"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 xml:space="preserve">Threshold Criteria; </w:t>
            </w:r>
          </w:p>
          <w:p w14:paraId="2A2A84AB"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3C305CE1"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b/>
                <w:bCs/>
                <w:sz w:val="20"/>
                <w:szCs w:val="20"/>
              </w:rPr>
              <w:t>Question</w:t>
            </w:r>
            <w:r w:rsidRPr="00FC6043">
              <w:rPr>
                <w:rStyle w:val="normaltextrun"/>
                <w:sz w:val="20"/>
                <w:szCs w:val="20"/>
              </w:rPr>
              <w:t>: Q0218_02</w:t>
            </w:r>
            <w:r w:rsidRPr="00FC6043">
              <w:rPr>
                <w:rStyle w:val="eop"/>
                <w:sz w:val="20"/>
                <w:szCs w:val="20"/>
              </w:rPr>
              <w:t> </w:t>
            </w:r>
          </w:p>
          <w:p w14:paraId="2667E587"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We were pre-qualified last year. Do we need to submit another pre-application for qualifications review this year or could we rely on last year’s qualified determination? </w:t>
            </w:r>
            <w:r w:rsidRPr="00FC6043">
              <w:rPr>
                <w:rStyle w:val="eop"/>
                <w:sz w:val="20"/>
                <w:szCs w:val="20"/>
              </w:rPr>
              <w:t> </w:t>
            </w:r>
            <w:r w:rsidRPr="00FC6043">
              <w:rPr>
                <w:rStyle w:val="normaltextrun"/>
                <w:sz w:val="20"/>
                <w:szCs w:val="20"/>
              </w:rPr>
              <w:t>If the latter, do we just submit last year’s qualifications approval with our Full Application? </w:t>
            </w:r>
            <w:r w:rsidRPr="00FC6043">
              <w:rPr>
                <w:rStyle w:val="eop"/>
                <w:sz w:val="20"/>
                <w:szCs w:val="20"/>
              </w:rPr>
              <w:t> </w:t>
            </w:r>
          </w:p>
          <w:p w14:paraId="7ADD31F3"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12D2232D" w14:textId="77777777" w:rsidR="00CF5712" w:rsidRPr="00FC6043" w:rsidRDefault="00CF5712" w:rsidP="00D330DE">
            <w:pPr>
              <w:pStyle w:val="paragraph"/>
              <w:spacing w:before="0" w:beforeAutospacing="0" w:after="0" w:afterAutospacing="0"/>
              <w:textAlignment w:val="baseline"/>
              <w:rPr>
                <w:sz w:val="20"/>
                <w:szCs w:val="20"/>
              </w:rPr>
            </w:pPr>
            <w:r w:rsidRPr="00FC6043">
              <w:rPr>
                <w:rStyle w:val="normaltextrun"/>
                <w:b/>
                <w:bCs/>
                <w:sz w:val="20"/>
                <w:szCs w:val="20"/>
              </w:rPr>
              <w:t>Answer</w:t>
            </w:r>
            <w:r w:rsidRPr="00FC6043">
              <w:rPr>
                <w:rStyle w:val="normaltextrun"/>
                <w:sz w:val="20"/>
                <w:szCs w:val="20"/>
              </w:rPr>
              <w:t>:</w:t>
            </w:r>
            <w:r w:rsidRPr="00FC6043">
              <w:rPr>
                <w:rStyle w:val="eop"/>
                <w:sz w:val="20"/>
                <w:szCs w:val="20"/>
              </w:rPr>
              <w:t> </w:t>
            </w:r>
          </w:p>
          <w:p w14:paraId="229C3E68"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 xml:space="preserve">The 2022 QAP states in </w:t>
            </w:r>
            <w:r w:rsidRPr="00FC6043">
              <w:rPr>
                <w:rStyle w:val="normaltextrun"/>
                <w:i/>
                <w:iCs/>
                <w:sz w:val="20"/>
                <w:szCs w:val="20"/>
              </w:rPr>
              <w:t>Threshold Criteria, Experience, Capacity and Performance Requirements for General Partner and Developer Entities: </w:t>
            </w:r>
            <w:r w:rsidRPr="00FC6043">
              <w:rPr>
                <w:rStyle w:val="normaltextrun"/>
                <w:i/>
                <w:iCs/>
                <w:sz w:val="20"/>
                <w:szCs w:val="20"/>
              </w:rPr>
              <w:br/>
            </w:r>
            <w:r w:rsidRPr="00FC6043">
              <w:rPr>
                <w:rStyle w:val="eop"/>
                <w:i/>
                <w:iCs/>
                <w:sz w:val="20"/>
                <w:szCs w:val="20"/>
              </w:rPr>
              <w:t> </w:t>
            </w:r>
          </w:p>
          <w:p w14:paraId="5F12D314" w14:textId="77777777" w:rsidR="00CF5712" w:rsidRPr="00FC6043" w:rsidRDefault="00CF5712" w:rsidP="00304B2F">
            <w:pPr>
              <w:pStyle w:val="paragraph"/>
              <w:numPr>
                <w:ilvl w:val="0"/>
                <w:numId w:val="5"/>
              </w:numPr>
              <w:spacing w:before="0" w:beforeAutospacing="0" w:after="0" w:afterAutospacing="0"/>
              <w:textAlignment w:val="baseline"/>
              <w:rPr>
                <w:sz w:val="20"/>
                <w:szCs w:val="20"/>
              </w:rPr>
            </w:pPr>
            <w:r w:rsidRPr="00FC6043">
              <w:rPr>
                <w:rStyle w:val="normaltextrun"/>
                <w:i/>
                <w:iCs/>
                <w:sz w:val="20"/>
                <w:szCs w:val="20"/>
              </w:rPr>
              <w:t>Overview</w:t>
            </w:r>
            <w:r w:rsidRPr="00FC6043">
              <w:rPr>
                <w:rStyle w:val="normaltextrun"/>
                <w:sz w:val="20"/>
                <w:szCs w:val="20"/>
              </w:rPr>
              <w:t>:</w:t>
            </w:r>
            <w:r w:rsidRPr="00FC6043">
              <w:rPr>
                <w:rStyle w:val="normaltextrun"/>
                <w:b/>
                <w:bCs/>
                <w:sz w:val="20"/>
                <w:szCs w:val="20"/>
              </w:rPr>
              <w:t xml:space="preserve"> </w:t>
            </w:r>
            <w:r w:rsidRPr="00FC6043">
              <w:rPr>
                <w:rStyle w:val="normaltextrun"/>
                <w:sz w:val="20"/>
                <w:szCs w:val="20"/>
              </w:rPr>
              <w:t>“DCA reviews the following four areas of the proposed Project Team: Experience, Capacity, Performance, Compliance History…”</w:t>
            </w:r>
            <w:r w:rsidRPr="00FC6043">
              <w:rPr>
                <w:rStyle w:val="eop"/>
                <w:sz w:val="20"/>
                <w:szCs w:val="20"/>
              </w:rPr>
              <w:t> </w:t>
            </w:r>
          </w:p>
          <w:p w14:paraId="7038820D" w14:textId="77777777" w:rsidR="00CF5712" w:rsidRPr="00FC6043" w:rsidRDefault="00CF5712" w:rsidP="00304B2F">
            <w:pPr>
              <w:pStyle w:val="paragraph"/>
              <w:numPr>
                <w:ilvl w:val="0"/>
                <w:numId w:val="5"/>
              </w:numPr>
              <w:spacing w:before="0" w:beforeAutospacing="0" w:after="0" w:afterAutospacing="0"/>
              <w:textAlignment w:val="baseline"/>
              <w:rPr>
                <w:sz w:val="20"/>
                <w:szCs w:val="20"/>
              </w:rPr>
            </w:pPr>
            <w:r w:rsidRPr="00FC6043">
              <w:rPr>
                <w:rStyle w:val="normaltextrun"/>
                <w:i/>
                <w:iCs/>
                <w:sz w:val="20"/>
                <w:szCs w:val="20"/>
              </w:rPr>
              <w:t>C. Requirements for Experience (Certifying Entity)</w:t>
            </w:r>
            <w:r w:rsidRPr="00FC6043">
              <w:rPr>
                <w:rStyle w:val="normaltextrun"/>
                <w:sz w:val="20"/>
                <w:szCs w:val="20"/>
              </w:rPr>
              <w:t>: “A certifying entity that was deemed to meet experience requirements in 2021 is only exempt from submitting documentation of experience for the 2022 round. All other sections…of the performance workbook must be completed. Only those certifying entities that have received a determination letter of “Qualified” in the 2021 round will be deemed to qualify under grandfathering.”</w:t>
            </w:r>
            <w:r w:rsidRPr="00FC6043">
              <w:rPr>
                <w:rStyle w:val="eop"/>
                <w:sz w:val="20"/>
                <w:szCs w:val="20"/>
              </w:rPr>
              <w:t> </w:t>
            </w:r>
          </w:p>
          <w:p w14:paraId="42E21A1E"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eop"/>
                <w:sz w:val="20"/>
                <w:szCs w:val="20"/>
              </w:rPr>
              <w:t> </w:t>
            </w:r>
          </w:p>
          <w:p w14:paraId="7710D23A" w14:textId="77777777" w:rsidR="00CF5712" w:rsidRPr="00FC6043" w:rsidRDefault="00CF5712" w:rsidP="00304B2F">
            <w:pPr>
              <w:pStyle w:val="paragraph"/>
              <w:spacing w:before="0" w:beforeAutospacing="0" w:after="0" w:afterAutospacing="0"/>
              <w:textAlignment w:val="baseline"/>
              <w:rPr>
                <w:sz w:val="20"/>
                <w:szCs w:val="20"/>
              </w:rPr>
            </w:pPr>
            <w:r w:rsidRPr="00FC6043">
              <w:rPr>
                <w:rStyle w:val="normaltextrun"/>
                <w:sz w:val="20"/>
                <w:szCs w:val="20"/>
              </w:rPr>
              <w:t>Applicants seeking Experience approval under “grandfathering,” as described above, can submit the letter received from DCA confirming qualifications approval for the 2021 Competitive Round. All other parts of the qualifications review must be submitted in full for the 2022 Competitive Round. </w:t>
            </w:r>
          </w:p>
          <w:p w14:paraId="5B5DF966" w14:textId="77777777" w:rsidR="00CF5712" w:rsidRPr="00FC6043" w:rsidRDefault="00CF5712" w:rsidP="00304B2F">
            <w:pPr>
              <w:contextualSpacing/>
              <w:rPr>
                <w:rFonts w:ascii="Times New Roman" w:hAnsi="Times New Roman" w:cs="Times New Roman"/>
                <w:b/>
                <w:bCs/>
                <w:sz w:val="20"/>
                <w:szCs w:val="20"/>
              </w:rPr>
            </w:pPr>
          </w:p>
        </w:tc>
      </w:tr>
      <w:tr w:rsidR="00CF5712" w:rsidRPr="00FC6043" w14:paraId="7FE66556" w14:textId="77777777" w:rsidTr="00E91E6E">
        <w:trPr>
          <w:jc w:val="center"/>
        </w:trPr>
        <w:tc>
          <w:tcPr>
            <w:tcW w:w="2157" w:type="dxa"/>
            <w:shd w:val="clear" w:color="auto" w:fill="auto"/>
            <w:tcMar>
              <w:top w:w="72" w:type="dxa"/>
              <w:left w:w="115" w:type="dxa"/>
              <w:bottom w:w="72" w:type="dxa"/>
              <w:right w:w="115" w:type="dxa"/>
            </w:tcMar>
            <w:vAlign w:val="center"/>
          </w:tcPr>
          <w:p w14:paraId="0780ED50"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2/25/22</w:t>
            </w:r>
          </w:p>
        </w:tc>
        <w:tc>
          <w:tcPr>
            <w:tcW w:w="2198" w:type="dxa"/>
            <w:shd w:val="clear" w:color="auto" w:fill="auto"/>
            <w:tcMar>
              <w:top w:w="72" w:type="dxa"/>
              <w:left w:w="115" w:type="dxa"/>
              <w:bottom w:w="72" w:type="dxa"/>
              <w:right w:w="115" w:type="dxa"/>
            </w:tcMar>
            <w:vAlign w:val="center"/>
          </w:tcPr>
          <w:p w14:paraId="781CD2AD"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sz w:val="20"/>
                <w:szCs w:val="20"/>
              </w:rPr>
              <w:t>7.00</w:t>
            </w:r>
          </w:p>
          <w:p w14:paraId="04CB3508"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sz w:val="20"/>
                <w:szCs w:val="20"/>
              </w:rPr>
              <w:t>Application Materials</w:t>
            </w:r>
          </w:p>
          <w:p w14:paraId="02BE22E4" w14:textId="77777777" w:rsidR="00CF5712" w:rsidRPr="00FC6043" w:rsidRDefault="00CF5712" w:rsidP="00304B2F">
            <w:pPr>
              <w:contextualSpacing/>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534D3408"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Question</w:t>
            </w:r>
            <w:r w:rsidRPr="00FC6043">
              <w:rPr>
                <w:rFonts w:ascii="Times New Roman" w:eastAsia="Times New Roman" w:hAnsi="Times New Roman" w:cs="Times New Roman"/>
                <w:sz w:val="20"/>
                <w:szCs w:val="20"/>
              </w:rPr>
              <w:t>: Q0221_02 </w:t>
            </w:r>
          </w:p>
          <w:p w14:paraId="53D20161"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For certain Pre-Application waiver requests, we have to submit a draft Core Application. When does DCA anticipate posting the Core Application? Or can we use the most recent Core Application version available?  </w:t>
            </w:r>
          </w:p>
          <w:p w14:paraId="3A8BDB5A"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 </w:t>
            </w:r>
          </w:p>
          <w:p w14:paraId="226AE1DD"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b/>
                <w:bCs/>
                <w:sz w:val="20"/>
                <w:szCs w:val="20"/>
              </w:rPr>
              <w:t>Answer</w:t>
            </w:r>
            <w:r w:rsidRPr="00FC6043">
              <w:rPr>
                <w:rFonts w:ascii="Times New Roman" w:eastAsia="Times New Roman" w:hAnsi="Times New Roman" w:cs="Times New Roman"/>
                <w:sz w:val="20"/>
                <w:szCs w:val="20"/>
              </w:rPr>
              <w:t>:  </w:t>
            </w:r>
          </w:p>
          <w:p w14:paraId="7967B0C6" w14:textId="77777777" w:rsidR="00CF5712" w:rsidRPr="00FC6043" w:rsidRDefault="00CF5712" w:rsidP="00304B2F">
            <w:pPr>
              <w:textAlignment w:val="baseline"/>
              <w:rPr>
                <w:rFonts w:ascii="Times New Roman" w:eastAsia="Times New Roman" w:hAnsi="Times New Roman" w:cs="Times New Roman"/>
                <w:sz w:val="20"/>
                <w:szCs w:val="20"/>
              </w:rPr>
            </w:pPr>
            <w:r w:rsidRPr="00FC6043">
              <w:rPr>
                <w:rFonts w:ascii="Times New Roman" w:eastAsia="Times New Roman" w:hAnsi="Times New Roman" w:cs="Times New Roman"/>
                <w:sz w:val="20"/>
                <w:szCs w:val="20"/>
              </w:rPr>
              <w:t>Where a draft Core Application is needed for a Pre-Application submission, please utilize the most recent available, which at this time is the 2021 Core Application (</w:t>
            </w:r>
            <w:hyperlink r:id="rId75" w:tgtFrame="_blank" w:history="1">
              <w:r w:rsidRPr="00FC6043">
                <w:rPr>
                  <w:rFonts w:ascii="Times New Roman" w:eastAsia="Times New Roman" w:hAnsi="Times New Roman" w:cs="Times New Roman"/>
                  <w:sz w:val="20"/>
                  <w:szCs w:val="20"/>
                  <w:u w:val="single"/>
                </w:rPr>
                <w:t>click here</w:t>
              </w:r>
            </w:hyperlink>
            <w:r w:rsidRPr="00FC6043">
              <w:rPr>
                <w:rFonts w:ascii="Times New Roman" w:eastAsia="Times New Roman" w:hAnsi="Times New Roman" w:cs="Times New Roman"/>
                <w:sz w:val="20"/>
                <w:szCs w:val="20"/>
              </w:rPr>
              <w:t xml:space="preserve"> to view posted Application Manuals and Forms by year).</w:t>
            </w:r>
          </w:p>
          <w:p w14:paraId="19F5A5CD" w14:textId="77777777" w:rsidR="00CF5712" w:rsidRPr="00FC6043" w:rsidRDefault="00CF5712" w:rsidP="00304B2F">
            <w:pPr>
              <w:pStyle w:val="paragraph"/>
              <w:spacing w:before="0" w:beforeAutospacing="0" w:after="0" w:afterAutospacing="0"/>
              <w:textAlignment w:val="baseline"/>
              <w:rPr>
                <w:rStyle w:val="normaltextrun"/>
                <w:b/>
                <w:bCs/>
                <w:sz w:val="20"/>
                <w:szCs w:val="20"/>
              </w:rPr>
            </w:pPr>
          </w:p>
        </w:tc>
      </w:tr>
      <w:tr w:rsidR="00CF5712" w:rsidRPr="00FC6043" w14:paraId="38D2CFCA" w14:textId="77777777" w:rsidTr="00E91E6E">
        <w:trPr>
          <w:jc w:val="center"/>
        </w:trPr>
        <w:tc>
          <w:tcPr>
            <w:tcW w:w="2157" w:type="dxa"/>
            <w:shd w:val="clear" w:color="auto" w:fill="auto"/>
            <w:tcMar>
              <w:top w:w="72" w:type="dxa"/>
              <w:left w:w="115" w:type="dxa"/>
              <w:bottom w:w="72" w:type="dxa"/>
              <w:right w:w="115" w:type="dxa"/>
            </w:tcMar>
            <w:vAlign w:val="center"/>
          </w:tcPr>
          <w:p w14:paraId="44CA9977"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2/25/22</w:t>
            </w:r>
          </w:p>
        </w:tc>
        <w:tc>
          <w:tcPr>
            <w:tcW w:w="2198" w:type="dxa"/>
            <w:shd w:val="clear" w:color="auto" w:fill="auto"/>
            <w:tcMar>
              <w:top w:w="72" w:type="dxa"/>
              <w:left w:w="115" w:type="dxa"/>
              <w:bottom w:w="72" w:type="dxa"/>
              <w:right w:w="115" w:type="dxa"/>
            </w:tcMar>
            <w:vAlign w:val="center"/>
          </w:tcPr>
          <w:p w14:paraId="2B6E4293"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 xml:space="preserve">9.00 </w:t>
            </w:r>
          </w:p>
          <w:p w14:paraId="3FFCBACC"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Other;</w:t>
            </w:r>
          </w:p>
          <w:p w14:paraId="5D970331" w14:textId="77777777" w:rsidR="00CF5712" w:rsidRPr="00FC6043" w:rsidRDefault="00CF5712" w:rsidP="00304B2F">
            <w:pPr>
              <w:contextualSpacing/>
              <w:rPr>
                <w:rFonts w:ascii="Times New Roman" w:hAnsi="Times New Roman" w:cs="Times New Roman"/>
                <w:noProof/>
                <w:sz w:val="20"/>
                <w:szCs w:val="20"/>
              </w:rPr>
            </w:pPr>
            <w:r w:rsidRPr="00FC6043">
              <w:rPr>
                <w:rFonts w:ascii="Times New Roman" w:hAnsi="Times New Roman" w:cs="Times New Roman"/>
                <w:noProof/>
                <w:sz w:val="20"/>
                <w:szCs w:val="20"/>
              </w:rPr>
              <w:t xml:space="preserve">2021 QAP requirement </w:t>
            </w:r>
          </w:p>
        </w:tc>
        <w:tc>
          <w:tcPr>
            <w:tcW w:w="9590" w:type="dxa"/>
            <w:shd w:val="clear" w:color="auto" w:fill="auto"/>
            <w:tcMar>
              <w:top w:w="72" w:type="dxa"/>
              <w:left w:w="115" w:type="dxa"/>
              <w:bottom w:w="72" w:type="dxa"/>
              <w:right w:w="115" w:type="dxa"/>
            </w:tcMar>
            <w:vAlign w:val="center"/>
          </w:tcPr>
          <w:p w14:paraId="05625BE6" w14:textId="77777777" w:rsidR="00CF5712" w:rsidRPr="00FC6043" w:rsidRDefault="00CF5712" w:rsidP="00304B2F">
            <w:pPr>
              <w:contextualSpacing/>
              <w:rPr>
                <w:rFonts w:ascii="Times New Roman" w:hAnsi="Times New Roman" w:cs="Times New Roman"/>
                <w:b/>
                <w:bCs/>
                <w:sz w:val="20"/>
                <w:szCs w:val="20"/>
              </w:rPr>
            </w:pPr>
            <w:r w:rsidRPr="00FC6043">
              <w:rPr>
                <w:rFonts w:ascii="Times New Roman" w:hAnsi="Times New Roman" w:cs="Times New Roman"/>
                <w:b/>
                <w:bCs/>
                <w:sz w:val="20"/>
                <w:szCs w:val="20"/>
              </w:rPr>
              <w:t xml:space="preserve">Question: </w:t>
            </w:r>
            <w:r w:rsidRPr="00FC6043">
              <w:rPr>
                <w:rFonts w:ascii="Times New Roman" w:hAnsi="Times New Roman" w:cs="Times New Roman"/>
                <w:sz w:val="20"/>
                <w:szCs w:val="20"/>
              </w:rPr>
              <w:t>Q0218_01</w:t>
            </w:r>
          </w:p>
          <w:p w14:paraId="296C4C04"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sz w:val="20"/>
                <w:szCs w:val="20"/>
              </w:rPr>
              <w:t xml:space="preserve">Do we still need to submit a Cost Limit waiver at the Pre-Application stage?  </w:t>
            </w:r>
            <w:r w:rsidRPr="00FC6043">
              <w:rPr>
                <w:rFonts w:ascii="Times New Roman" w:hAnsi="Times New Roman" w:cs="Times New Roman"/>
                <w:b/>
                <w:bCs/>
                <w:sz w:val="20"/>
                <w:szCs w:val="20"/>
              </w:rPr>
              <w:t xml:space="preserve"> </w:t>
            </w:r>
          </w:p>
          <w:p w14:paraId="3AACF78A" w14:textId="77777777" w:rsidR="00CF5712" w:rsidRPr="00FC6043" w:rsidRDefault="00CF5712" w:rsidP="00304B2F">
            <w:pPr>
              <w:contextualSpacing/>
              <w:rPr>
                <w:rFonts w:ascii="Times New Roman" w:hAnsi="Times New Roman" w:cs="Times New Roman"/>
                <w:b/>
                <w:bCs/>
                <w:sz w:val="20"/>
                <w:szCs w:val="20"/>
              </w:rPr>
            </w:pPr>
          </w:p>
          <w:p w14:paraId="18A14AEB" w14:textId="77777777" w:rsidR="00CF5712" w:rsidRPr="00FC6043" w:rsidRDefault="00CF5712" w:rsidP="00304B2F">
            <w:pPr>
              <w:contextualSpacing/>
              <w:rPr>
                <w:rFonts w:ascii="Times New Roman" w:hAnsi="Times New Roman" w:cs="Times New Roman"/>
                <w:b/>
                <w:bCs/>
                <w:sz w:val="20"/>
                <w:szCs w:val="20"/>
              </w:rPr>
            </w:pPr>
            <w:r w:rsidRPr="00FC6043">
              <w:rPr>
                <w:rFonts w:ascii="Times New Roman" w:hAnsi="Times New Roman" w:cs="Times New Roman"/>
                <w:b/>
                <w:bCs/>
                <w:sz w:val="20"/>
                <w:szCs w:val="20"/>
              </w:rPr>
              <w:lastRenderedPageBreak/>
              <w:t xml:space="preserve">Answer:  </w:t>
            </w:r>
          </w:p>
          <w:p w14:paraId="7EC3CE6B" w14:textId="77777777" w:rsidR="00CF5712" w:rsidRPr="00FC6043" w:rsidRDefault="00CF5712" w:rsidP="00304B2F">
            <w:pPr>
              <w:contextualSpacing/>
              <w:rPr>
                <w:rFonts w:ascii="Times New Roman" w:hAnsi="Times New Roman" w:cs="Times New Roman"/>
                <w:sz w:val="20"/>
                <w:szCs w:val="20"/>
              </w:rPr>
            </w:pPr>
            <w:r w:rsidRPr="00FC6043">
              <w:rPr>
                <w:rFonts w:ascii="Times New Roman" w:hAnsi="Times New Roman" w:cs="Times New Roman"/>
                <w:i/>
                <w:iCs/>
                <w:sz w:val="20"/>
                <w:szCs w:val="20"/>
              </w:rPr>
              <w:t>Threshold Criteria, Cost Limits</w:t>
            </w:r>
            <w:r w:rsidRPr="00FC6043">
              <w:rPr>
                <w:rFonts w:ascii="Times New Roman" w:hAnsi="Times New Roman" w:cs="Times New Roman"/>
                <w:sz w:val="20"/>
                <w:szCs w:val="20"/>
              </w:rPr>
              <w:t xml:space="preserve"> was dropped from the 2021 QAP. Therefore, there is no cost limit requirement to waive under the 2022 QAP.  </w:t>
            </w:r>
          </w:p>
        </w:tc>
      </w:tr>
    </w:tbl>
    <w:p w14:paraId="433F1041" w14:textId="77777777" w:rsidR="009A7564" w:rsidRPr="00A938F4" w:rsidRDefault="009A7564" w:rsidP="00424900">
      <w:pPr>
        <w:spacing w:after="0" w:line="240" w:lineRule="auto"/>
        <w:contextualSpacing/>
        <w:rPr>
          <w:rFonts w:ascii="Times New Roman" w:hAnsi="Times New Roman" w:cs="Times New Roman"/>
          <w:noProof/>
        </w:rPr>
      </w:pPr>
    </w:p>
    <w:sectPr w:rsidR="009A7564" w:rsidRPr="00A938F4" w:rsidSect="00A341E3">
      <w:headerReference w:type="default" r:id="rId76"/>
      <w:footerReference w:type="default" r:id="rId77"/>
      <w:headerReference w:type="first" r:id="rId78"/>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A1719" w14:textId="77777777" w:rsidR="00A4050A" w:rsidRDefault="00A4050A" w:rsidP="00441946">
      <w:pPr>
        <w:spacing w:after="0" w:line="240" w:lineRule="auto"/>
      </w:pPr>
      <w:r>
        <w:separator/>
      </w:r>
    </w:p>
  </w:endnote>
  <w:endnote w:type="continuationSeparator" w:id="0">
    <w:p w14:paraId="344C2378" w14:textId="77777777" w:rsidR="00A4050A" w:rsidRDefault="00A4050A" w:rsidP="00441946">
      <w:pPr>
        <w:spacing w:after="0" w:line="240" w:lineRule="auto"/>
      </w:pPr>
      <w:r>
        <w:continuationSeparator/>
      </w:r>
    </w:p>
  </w:endnote>
  <w:endnote w:type="continuationNotice" w:id="1">
    <w:p w14:paraId="6A9EBABA" w14:textId="77777777" w:rsidR="00A4050A" w:rsidRDefault="00A405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FDD60" w14:textId="77777777" w:rsidR="009C4ADE" w:rsidRDefault="009C4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1B4B4" w14:textId="77777777" w:rsidR="00A4050A" w:rsidRDefault="00A4050A" w:rsidP="00441946">
      <w:pPr>
        <w:spacing w:after="0" w:line="240" w:lineRule="auto"/>
      </w:pPr>
      <w:r>
        <w:separator/>
      </w:r>
    </w:p>
  </w:footnote>
  <w:footnote w:type="continuationSeparator" w:id="0">
    <w:p w14:paraId="08502CD9" w14:textId="77777777" w:rsidR="00A4050A" w:rsidRDefault="00A4050A" w:rsidP="00441946">
      <w:pPr>
        <w:spacing w:after="0" w:line="240" w:lineRule="auto"/>
      </w:pPr>
      <w:r>
        <w:continuationSeparator/>
      </w:r>
    </w:p>
  </w:footnote>
  <w:footnote w:type="continuationNotice" w:id="1">
    <w:p w14:paraId="3B44B7E2" w14:textId="77777777" w:rsidR="00A4050A" w:rsidRDefault="00A405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642CB" w14:textId="77777777" w:rsidR="009C4ADE" w:rsidRDefault="009C4A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6F81A" w14:textId="761E2A05" w:rsidR="00B104DA" w:rsidRPr="00AA437D" w:rsidRDefault="00B104DA">
    <w:pPr>
      <w:pStyle w:val="Header"/>
      <w:rPr>
        <w:rFonts w:ascii="Times New Roman" w:hAnsi="Times New Roman" w:cs="Times New Roman"/>
        <w:sz w:val="24"/>
        <w:szCs w:val="24"/>
      </w:rPr>
    </w:pPr>
    <w:r w:rsidRPr="00AA437D">
      <w:rPr>
        <w:rFonts w:ascii="Times New Roman" w:hAnsi="Times New Roman" w:cs="Times New Roman"/>
        <w:sz w:val="24"/>
        <w:szCs w:val="24"/>
      </w:rPr>
      <w:t xml:space="preserve">Governor Brian Kemp </w:t>
    </w:r>
    <w:r w:rsidRPr="00AA437D">
      <w:rPr>
        <w:rFonts w:ascii="Times New Roman" w:hAnsi="Times New Roman" w:cs="Times New Roman"/>
        <w:sz w:val="24"/>
        <w:szCs w:val="24"/>
      </w:rPr>
      <w:ptab w:relativeTo="margin" w:alignment="center" w:leader="none"/>
    </w:r>
    <w:r w:rsidRPr="00AA437D">
      <w:rPr>
        <w:rFonts w:ascii="Times New Roman" w:hAnsi="Times New Roman" w:cs="Times New Roman"/>
        <w:sz w:val="24"/>
        <w:szCs w:val="24"/>
      </w:rPr>
      <w:ptab w:relativeTo="margin" w:alignment="right" w:leader="none"/>
    </w:r>
    <w:r w:rsidRPr="00AA437D">
      <w:rPr>
        <w:rFonts w:ascii="Times New Roman" w:hAnsi="Times New Roman" w:cs="Times New Roman"/>
        <w:sz w:val="24"/>
        <w:szCs w:val="24"/>
      </w:rPr>
      <w:t>Executive Director Christopher Nunn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70066"/>
    <w:multiLevelType w:val="multilevel"/>
    <w:tmpl w:val="DF4CF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B6C7E"/>
    <w:multiLevelType w:val="multilevel"/>
    <w:tmpl w:val="D816751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4E2C61"/>
    <w:multiLevelType w:val="multilevel"/>
    <w:tmpl w:val="5D84FF9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9A6A37"/>
    <w:multiLevelType w:val="hybridMultilevel"/>
    <w:tmpl w:val="F64C6280"/>
    <w:lvl w:ilvl="0" w:tplc="47A4AEC4">
      <w:start w:val="1"/>
      <w:numFmt w:val="bullet"/>
      <w:lvlText w:val=""/>
      <w:lvlJc w:val="left"/>
      <w:pPr>
        <w:ind w:left="720" w:hanging="360"/>
      </w:pPr>
      <w:rPr>
        <w:rFonts w:ascii="Symbol" w:hAnsi="Symbol" w:hint="default"/>
      </w:rPr>
    </w:lvl>
    <w:lvl w:ilvl="1" w:tplc="270A0CEA">
      <w:start w:val="1"/>
      <w:numFmt w:val="bullet"/>
      <w:lvlText w:val="o"/>
      <w:lvlJc w:val="left"/>
      <w:pPr>
        <w:ind w:left="1440" w:hanging="360"/>
      </w:pPr>
      <w:rPr>
        <w:rFonts w:ascii="Courier New" w:hAnsi="Courier New" w:hint="default"/>
      </w:rPr>
    </w:lvl>
    <w:lvl w:ilvl="2" w:tplc="B4E68B2E">
      <w:start w:val="1"/>
      <w:numFmt w:val="bullet"/>
      <w:lvlText w:val=""/>
      <w:lvlJc w:val="left"/>
      <w:pPr>
        <w:ind w:left="2160" w:hanging="360"/>
      </w:pPr>
      <w:rPr>
        <w:rFonts w:ascii="Wingdings" w:hAnsi="Wingdings" w:hint="default"/>
      </w:rPr>
    </w:lvl>
    <w:lvl w:ilvl="3" w:tplc="D63E8CF8">
      <w:start w:val="1"/>
      <w:numFmt w:val="bullet"/>
      <w:lvlText w:val=""/>
      <w:lvlJc w:val="left"/>
      <w:pPr>
        <w:ind w:left="2880" w:hanging="360"/>
      </w:pPr>
      <w:rPr>
        <w:rFonts w:ascii="Symbol" w:hAnsi="Symbol" w:hint="default"/>
      </w:rPr>
    </w:lvl>
    <w:lvl w:ilvl="4" w:tplc="8AF4307A">
      <w:start w:val="1"/>
      <w:numFmt w:val="bullet"/>
      <w:lvlText w:val="o"/>
      <w:lvlJc w:val="left"/>
      <w:pPr>
        <w:ind w:left="3600" w:hanging="360"/>
      </w:pPr>
      <w:rPr>
        <w:rFonts w:ascii="Courier New" w:hAnsi="Courier New" w:hint="default"/>
      </w:rPr>
    </w:lvl>
    <w:lvl w:ilvl="5" w:tplc="2738E1EA">
      <w:start w:val="1"/>
      <w:numFmt w:val="bullet"/>
      <w:lvlText w:val=""/>
      <w:lvlJc w:val="left"/>
      <w:pPr>
        <w:ind w:left="4320" w:hanging="360"/>
      </w:pPr>
      <w:rPr>
        <w:rFonts w:ascii="Wingdings" w:hAnsi="Wingdings" w:hint="default"/>
      </w:rPr>
    </w:lvl>
    <w:lvl w:ilvl="6" w:tplc="62F6ECEA">
      <w:start w:val="1"/>
      <w:numFmt w:val="bullet"/>
      <w:lvlText w:val=""/>
      <w:lvlJc w:val="left"/>
      <w:pPr>
        <w:ind w:left="5040" w:hanging="360"/>
      </w:pPr>
      <w:rPr>
        <w:rFonts w:ascii="Symbol" w:hAnsi="Symbol" w:hint="default"/>
      </w:rPr>
    </w:lvl>
    <w:lvl w:ilvl="7" w:tplc="9314EE28">
      <w:start w:val="1"/>
      <w:numFmt w:val="bullet"/>
      <w:lvlText w:val="o"/>
      <w:lvlJc w:val="left"/>
      <w:pPr>
        <w:ind w:left="5760" w:hanging="360"/>
      </w:pPr>
      <w:rPr>
        <w:rFonts w:ascii="Courier New" w:hAnsi="Courier New" w:hint="default"/>
      </w:rPr>
    </w:lvl>
    <w:lvl w:ilvl="8" w:tplc="0B0C4E18">
      <w:start w:val="1"/>
      <w:numFmt w:val="bullet"/>
      <w:lvlText w:val=""/>
      <w:lvlJc w:val="left"/>
      <w:pPr>
        <w:ind w:left="6480" w:hanging="360"/>
      </w:pPr>
      <w:rPr>
        <w:rFonts w:ascii="Wingdings" w:hAnsi="Wingdings" w:hint="default"/>
      </w:rPr>
    </w:lvl>
  </w:abstractNum>
  <w:abstractNum w:abstractNumId="4" w15:restartNumberingAfterBreak="0">
    <w:nsid w:val="0ABF69ED"/>
    <w:multiLevelType w:val="multilevel"/>
    <w:tmpl w:val="FE665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BF5ABD"/>
    <w:multiLevelType w:val="multilevel"/>
    <w:tmpl w:val="86B65C0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833128"/>
    <w:multiLevelType w:val="multilevel"/>
    <w:tmpl w:val="16F4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8C58B9"/>
    <w:multiLevelType w:val="multilevel"/>
    <w:tmpl w:val="EAB4A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92381B"/>
    <w:multiLevelType w:val="multilevel"/>
    <w:tmpl w:val="208288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490678"/>
    <w:multiLevelType w:val="hybridMultilevel"/>
    <w:tmpl w:val="C1A68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680C59"/>
    <w:multiLevelType w:val="multilevel"/>
    <w:tmpl w:val="D7CEAD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5A57B1"/>
    <w:multiLevelType w:val="hybridMultilevel"/>
    <w:tmpl w:val="E38AB278"/>
    <w:lvl w:ilvl="0" w:tplc="3508BE56">
      <w:start w:val="1"/>
      <w:numFmt w:val="bullet"/>
      <w:lvlText w:val=""/>
      <w:lvlJc w:val="left"/>
      <w:pPr>
        <w:ind w:left="720" w:hanging="360"/>
      </w:pPr>
      <w:rPr>
        <w:rFonts w:ascii="Symbol" w:hAnsi="Symbol" w:hint="default"/>
      </w:rPr>
    </w:lvl>
    <w:lvl w:ilvl="1" w:tplc="8AAC5AB2">
      <w:start w:val="1"/>
      <w:numFmt w:val="bullet"/>
      <w:lvlText w:val="o"/>
      <w:lvlJc w:val="left"/>
      <w:pPr>
        <w:ind w:left="1440" w:hanging="360"/>
      </w:pPr>
      <w:rPr>
        <w:rFonts w:ascii="Courier New" w:hAnsi="Courier New" w:hint="default"/>
      </w:rPr>
    </w:lvl>
    <w:lvl w:ilvl="2" w:tplc="F77C1C70">
      <w:start w:val="1"/>
      <w:numFmt w:val="bullet"/>
      <w:lvlText w:val=""/>
      <w:lvlJc w:val="left"/>
      <w:pPr>
        <w:ind w:left="2160" w:hanging="360"/>
      </w:pPr>
      <w:rPr>
        <w:rFonts w:ascii="Wingdings" w:hAnsi="Wingdings" w:hint="default"/>
      </w:rPr>
    </w:lvl>
    <w:lvl w:ilvl="3" w:tplc="7BBC59F0">
      <w:start w:val="1"/>
      <w:numFmt w:val="bullet"/>
      <w:lvlText w:val=""/>
      <w:lvlJc w:val="left"/>
      <w:pPr>
        <w:ind w:left="2880" w:hanging="360"/>
      </w:pPr>
      <w:rPr>
        <w:rFonts w:ascii="Symbol" w:hAnsi="Symbol" w:hint="default"/>
      </w:rPr>
    </w:lvl>
    <w:lvl w:ilvl="4" w:tplc="CAAA9796">
      <w:start w:val="1"/>
      <w:numFmt w:val="bullet"/>
      <w:lvlText w:val="o"/>
      <w:lvlJc w:val="left"/>
      <w:pPr>
        <w:ind w:left="3600" w:hanging="360"/>
      </w:pPr>
      <w:rPr>
        <w:rFonts w:ascii="Courier New" w:hAnsi="Courier New" w:hint="default"/>
      </w:rPr>
    </w:lvl>
    <w:lvl w:ilvl="5" w:tplc="C3E6C694">
      <w:start w:val="1"/>
      <w:numFmt w:val="bullet"/>
      <w:lvlText w:val=""/>
      <w:lvlJc w:val="left"/>
      <w:pPr>
        <w:ind w:left="4320" w:hanging="360"/>
      </w:pPr>
      <w:rPr>
        <w:rFonts w:ascii="Wingdings" w:hAnsi="Wingdings" w:hint="default"/>
      </w:rPr>
    </w:lvl>
    <w:lvl w:ilvl="6" w:tplc="BBDA3C18">
      <w:start w:val="1"/>
      <w:numFmt w:val="bullet"/>
      <w:lvlText w:val=""/>
      <w:lvlJc w:val="left"/>
      <w:pPr>
        <w:ind w:left="5040" w:hanging="360"/>
      </w:pPr>
      <w:rPr>
        <w:rFonts w:ascii="Symbol" w:hAnsi="Symbol" w:hint="default"/>
      </w:rPr>
    </w:lvl>
    <w:lvl w:ilvl="7" w:tplc="C7BABC48">
      <w:start w:val="1"/>
      <w:numFmt w:val="bullet"/>
      <w:lvlText w:val="o"/>
      <w:lvlJc w:val="left"/>
      <w:pPr>
        <w:ind w:left="5760" w:hanging="360"/>
      </w:pPr>
      <w:rPr>
        <w:rFonts w:ascii="Courier New" w:hAnsi="Courier New" w:hint="default"/>
      </w:rPr>
    </w:lvl>
    <w:lvl w:ilvl="8" w:tplc="C1B27896">
      <w:start w:val="1"/>
      <w:numFmt w:val="bullet"/>
      <w:lvlText w:val=""/>
      <w:lvlJc w:val="left"/>
      <w:pPr>
        <w:ind w:left="6480" w:hanging="360"/>
      </w:pPr>
      <w:rPr>
        <w:rFonts w:ascii="Wingdings" w:hAnsi="Wingdings" w:hint="default"/>
      </w:rPr>
    </w:lvl>
  </w:abstractNum>
  <w:abstractNum w:abstractNumId="12" w15:restartNumberingAfterBreak="0">
    <w:nsid w:val="25A851F7"/>
    <w:multiLevelType w:val="hybridMultilevel"/>
    <w:tmpl w:val="87FC5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385DB3"/>
    <w:multiLevelType w:val="multilevel"/>
    <w:tmpl w:val="EB6C36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663549"/>
    <w:multiLevelType w:val="hybridMultilevel"/>
    <w:tmpl w:val="BD76E0A8"/>
    <w:lvl w:ilvl="0" w:tplc="47807888">
      <w:start w:val="1"/>
      <w:numFmt w:val="bullet"/>
      <w:lvlText w:val=""/>
      <w:lvlJc w:val="left"/>
      <w:pPr>
        <w:ind w:left="720" w:hanging="360"/>
      </w:pPr>
      <w:rPr>
        <w:rFonts w:ascii="Symbol" w:hAnsi="Symbol" w:hint="default"/>
      </w:rPr>
    </w:lvl>
    <w:lvl w:ilvl="1" w:tplc="93E42318">
      <w:start w:val="1"/>
      <w:numFmt w:val="bullet"/>
      <w:lvlText w:val="o"/>
      <w:lvlJc w:val="left"/>
      <w:pPr>
        <w:ind w:left="1440" w:hanging="360"/>
      </w:pPr>
      <w:rPr>
        <w:rFonts w:ascii="Courier New" w:hAnsi="Courier New" w:hint="default"/>
      </w:rPr>
    </w:lvl>
    <w:lvl w:ilvl="2" w:tplc="C8CE1A46">
      <w:start w:val="1"/>
      <w:numFmt w:val="bullet"/>
      <w:lvlText w:val=""/>
      <w:lvlJc w:val="left"/>
      <w:pPr>
        <w:ind w:left="2160" w:hanging="360"/>
      </w:pPr>
      <w:rPr>
        <w:rFonts w:ascii="Wingdings" w:hAnsi="Wingdings" w:hint="default"/>
      </w:rPr>
    </w:lvl>
    <w:lvl w:ilvl="3" w:tplc="3536A546">
      <w:start w:val="1"/>
      <w:numFmt w:val="bullet"/>
      <w:lvlText w:val=""/>
      <w:lvlJc w:val="left"/>
      <w:pPr>
        <w:ind w:left="2880" w:hanging="360"/>
      </w:pPr>
      <w:rPr>
        <w:rFonts w:ascii="Symbol" w:hAnsi="Symbol" w:hint="default"/>
      </w:rPr>
    </w:lvl>
    <w:lvl w:ilvl="4" w:tplc="FD58E216">
      <w:start w:val="1"/>
      <w:numFmt w:val="bullet"/>
      <w:lvlText w:val="o"/>
      <w:lvlJc w:val="left"/>
      <w:pPr>
        <w:ind w:left="3600" w:hanging="360"/>
      </w:pPr>
      <w:rPr>
        <w:rFonts w:ascii="Courier New" w:hAnsi="Courier New" w:hint="default"/>
      </w:rPr>
    </w:lvl>
    <w:lvl w:ilvl="5" w:tplc="EDDC9344">
      <w:start w:val="1"/>
      <w:numFmt w:val="bullet"/>
      <w:lvlText w:val=""/>
      <w:lvlJc w:val="left"/>
      <w:pPr>
        <w:ind w:left="4320" w:hanging="360"/>
      </w:pPr>
      <w:rPr>
        <w:rFonts w:ascii="Wingdings" w:hAnsi="Wingdings" w:hint="default"/>
      </w:rPr>
    </w:lvl>
    <w:lvl w:ilvl="6" w:tplc="24925EC4">
      <w:start w:val="1"/>
      <w:numFmt w:val="bullet"/>
      <w:lvlText w:val=""/>
      <w:lvlJc w:val="left"/>
      <w:pPr>
        <w:ind w:left="5040" w:hanging="360"/>
      </w:pPr>
      <w:rPr>
        <w:rFonts w:ascii="Symbol" w:hAnsi="Symbol" w:hint="default"/>
      </w:rPr>
    </w:lvl>
    <w:lvl w:ilvl="7" w:tplc="0BAAD948">
      <w:start w:val="1"/>
      <w:numFmt w:val="bullet"/>
      <w:lvlText w:val="o"/>
      <w:lvlJc w:val="left"/>
      <w:pPr>
        <w:ind w:left="5760" w:hanging="360"/>
      </w:pPr>
      <w:rPr>
        <w:rFonts w:ascii="Courier New" w:hAnsi="Courier New" w:hint="default"/>
      </w:rPr>
    </w:lvl>
    <w:lvl w:ilvl="8" w:tplc="3A927A02">
      <w:start w:val="1"/>
      <w:numFmt w:val="bullet"/>
      <w:lvlText w:val=""/>
      <w:lvlJc w:val="left"/>
      <w:pPr>
        <w:ind w:left="6480" w:hanging="360"/>
      </w:pPr>
      <w:rPr>
        <w:rFonts w:ascii="Wingdings" w:hAnsi="Wingdings" w:hint="default"/>
      </w:rPr>
    </w:lvl>
  </w:abstractNum>
  <w:abstractNum w:abstractNumId="15" w15:restartNumberingAfterBreak="0">
    <w:nsid w:val="2CB023E2"/>
    <w:multiLevelType w:val="multilevel"/>
    <w:tmpl w:val="A970A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727CF4"/>
    <w:multiLevelType w:val="multilevel"/>
    <w:tmpl w:val="F5D0B1F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E2443F"/>
    <w:multiLevelType w:val="hybridMultilevel"/>
    <w:tmpl w:val="CDE6853C"/>
    <w:lvl w:ilvl="0" w:tplc="EC1235D4">
      <w:start w:val="1"/>
      <w:numFmt w:val="bullet"/>
      <w:lvlText w:val=""/>
      <w:lvlJc w:val="left"/>
      <w:pPr>
        <w:ind w:left="720" w:hanging="360"/>
      </w:pPr>
      <w:rPr>
        <w:rFonts w:ascii="Symbol" w:hAnsi="Symbol" w:hint="default"/>
      </w:rPr>
    </w:lvl>
    <w:lvl w:ilvl="1" w:tplc="871CD566">
      <w:start w:val="1"/>
      <w:numFmt w:val="bullet"/>
      <w:lvlText w:val="o"/>
      <w:lvlJc w:val="left"/>
      <w:pPr>
        <w:ind w:left="1440" w:hanging="360"/>
      </w:pPr>
      <w:rPr>
        <w:rFonts w:ascii="Courier New" w:hAnsi="Courier New" w:hint="default"/>
      </w:rPr>
    </w:lvl>
    <w:lvl w:ilvl="2" w:tplc="45E86744">
      <w:start w:val="1"/>
      <w:numFmt w:val="bullet"/>
      <w:lvlText w:val=""/>
      <w:lvlJc w:val="left"/>
      <w:pPr>
        <w:ind w:left="2160" w:hanging="360"/>
      </w:pPr>
      <w:rPr>
        <w:rFonts w:ascii="Wingdings" w:hAnsi="Wingdings" w:hint="default"/>
      </w:rPr>
    </w:lvl>
    <w:lvl w:ilvl="3" w:tplc="0632EC1C">
      <w:start w:val="1"/>
      <w:numFmt w:val="bullet"/>
      <w:lvlText w:val=""/>
      <w:lvlJc w:val="left"/>
      <w:pPr>
        <w:ind w:left="2880" w:hanging="360"/>
      </w:pPr>
      <w:rPr>
        <w:rFonts w:ascii="Symbol" w:hAnsi="Symbol" w:hint="default"/>
      </w:rPr>
    </w:lvl>
    <w:lvl w:ilvl="4" w:tplc="79F2ACE2">
      <w:start w:val="1"/>
      <w:numFmt w:val="bullet"/>
      <w:lvlText w:val="o"/>
      <w:lvlJc w:val="left"/>
      <w:pPr>
        <w:ind w:left="3600" w:hanging="360"/>
      </w:pPr>
      <w:rPr>
        <w:rFonts w:ascii="Courier New" w:hAnsi="Courier New" w:hint="default"/>
      </w:rPr>
    </w:lvl>
    <w:lvl w:ilvl="5" w:tplc="E078D6C2">
      <w:start w:val="1"/>
      <w:numFmt w:val="bullet"/>
      <w:lvlText w:val=""/>
      <w:lvlJc w:val="left"/>
      <w:pPr>
        <w:ind w:left="4320" w:hanging="360"/>
      </w:pPr>
      <w:rPr>
        <w:rFonts w:ascii="Wingdings" w:hAnsi="Wingdings" w:hint="default"/>
      </w:rPr>
    </w:lvl>
    <w:lvl w:ilvl="6" w:tplc="57C47C1C">
      <w:start w:val="1"/>
      <w:numFmt w:val="bullet"/>
      <w:lvlText w:val=""/>
      <w:lvlJc w:val="left"/>
      <w:pPr>
        <w:ind w:left="5040" w:hanging="360"/>
      </w:pPr>
      <w:rPr>
        <w:rFonts w:ascii="Symbol" w:hAnsi="Symbol" w:hint="default"/>
      </w:rPr>
    </w:lvl>
    <w:lvl w:ilvl="7" w:tplc="B69857CC">
      <w:start w:val="1"/>
      <w:numFmt w:val="bullet"/>
      <w:lvlText w:val="o"/>
      <w:lvlJc w:val="left"/>
      <w:pPr>
        <w:ind w:left="5760" w:hanging="360"/>
      </w:pPr>
      <w:rPr>
        <w:rFonts w:ascii="Courier New" w:hAnsi="Courier New" w:hint="default"/>
      </w:rPr>
    </w:lvl>
    <w:lvl w:ilvl="8" w:tplc="A87E62F6">
      <w:start w:val="1"/>
      <w:numFmt w:val="bullet"/>
      <w:lvlText w:val=""/>
      <w:lvlJc w:val="left"/>
      <w:pPr>
        <w:ind w:left="6480" w:hanging="360"/>
      </w:pPr>
      <w:rPr>
        <w:rFonts w:ascii="Wingdings" w:hAnsi="Wingdings" w:hint="default"/>
      </w:rPr>
    </w:lvl>
  </w:abstractNum>
  <w:abstractNum w:abstractNumId="18" w15:restartNumberingAfterBreak="0">
    <w:nsid w:val="2F2B35D8"/>
    <w:multiLevelType w:val="multilevel"/>
    <w:tmpl w:val="BE8E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7732EE"/>
    <w:multiLevelType w:val="multilevel"/>
    <w:tmpl w:val="48AC4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F8249D6"/>
    <w:multiLevelType w:val="hybridMultilevel"/>
    <w:tmpl w:val="B846F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9513CF"/>
    <w:multiLevelType w:val="hybridMultilevel"/>
    <w:tmpl w:val="3C446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EE4133"/>
    <w:multiLevelType w:val="multilevel"/>
    <w:tmpl w:val="287A40EC"/>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32B46C48"/>
    <w:multiLevelType w:val="multilevel"/>
    <w:tmpl w:val="C2721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2EE21A6"/>
    <w:multiLevelType w:val="multilevel"/>
    <w:tmpl w:val="3584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42D5E75"/>
    <w:multiLevelType w:val="hybridMultilevel"/>
    <w:tmpl w:val="F29CC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C45393"/>
    <w:multiLevelType w:val="multilevel"/>
    <w:tmpl w:val="08C6103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5DE3CDE"/>
    <w:multiLevelType w:val="multilevel"/>
    <w:tmpl w:val="858E024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6BE45E3"/>
    <w:multiLevelType w:val="hybridMultilevel"/>
    <w:tmpl w:val="CB6A4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024684"/>
    <w:multiLevelType w:val="hybridMultilevel"/>
    <w:tmpl w:val="05C2351E"/>
    <w:lvl w:ilvl="0" w:tplc="11A09F0A">
      <w:start w:val="1"/>
      <w:numFmt w:val="bullet"/>
      <w:lvlText w:val=""/>
      <w:lvlJc w:val="left"/>
      <w:pPr>
        <w:ind w:left="720" w:hanging="360"/>
      </w:pPr>
      <w:rPr>
        <w:rFonts w:ascii="Symbol" w:hAnsi="Symbol" w:hint="default"/>
      </w:rPr>
    </w:lvl>
    <w:lvl w:ilvl="1" w:tplc="B0900318">
      <w:start w:val="1"/>
      <w:numFmt w:val="bullet"/>
      <w:lvlText w:val="o"/>
      <w:lvlJc w:val="left"/>
      <w:pPr>
        <w:ind w:left="1440" w:hanging="360"/>
      </w:pPr>
      <w:rPr>
        <w:rFonts w:ascii="Courier New" w:hAnsi="Courier New" w:hint="default"/>
      </w:rPr>
    </w:lvl>
    <w:lvl w:ilvl="2" w:tplc="0D5AB1EC">
      <w:start w:val="1"/>
      <w:numFmt w:val="bullet"/>
      <w:lvlText w:val=""/>
      <w:lvlJc w:val="left"/>
      <w:pPr>
        <w:ind w:left="2160" w:hanging="360"/>
      </w:pPr>
      <w:rPr>
        <w:rFonts w:ascii="Wingdings" w:hAnsi="Wingdings" w:hint="default"/>
      </w:rPr>
    </w:lvl>
    <w:lvl w:ilvl="3" w:tplc="1A4C41E2">
      <w:start w:val="1"/>
      <w:numFmt w:val="bullet"/>
      <w:lvlText w:val=""/>
      <w:lvlJc w:val="left"/>
      <w:pPr>
        <w:ind w:left="2880" w:hanging="360"/>
      </w:pPr>
      <w:rPr>
        <w:rFonts w:ascii="Symbol" w:hAnsi="Symbol" w:hint="default"/>
      </w:rPr>
    </w:lvl>
    <w:lvl w:ilvl="4" w:tplc="FEC6BCF4">
      <w:start w:val="1"/>
      <w:numFmt w:val="bullet"/>
      <w:lvlText w:val="o"/>
      <w:lvlJc w:val="left"/>
      <w:pPr>
        <w:ind w:left="3600" w:hanging="360"/>
      </w:pPr>
      <w:rPr>
        <w:rFonts w:ascii="Courier New" w:hAnsi="Courier New" w:hint="default"/>
      </w:rPr>
    </w:lvl>
    <w:lvl w:ilvl="5" w:tplc="678834F8">
      <w:start w:val="1"/>
      <w:numFmt w:val="bullet"/>
      <w:lvlText w:val=""/>
      <w:lvlJc w:val="left"/>
      <w:pPr>
        <w:ind w:left="4320" w:hanging="360"/>
      </w:pPr>
      <w:rPr>
        <w:rFonts w:ascii="Wingdings" w:hAnsi="Wingdings" w:hint="default"/>
      </w:rPr>
    </w:lvl>
    <w:lvl w:ilvl="6" w:tplc="576AE1C4">
      <w:start w:val="1"/>
      <w:numFmt w:val="bullet"/>
      <w:lvlText w:val=""/>
      <w:lvlJc w:val="left"/>
      <w:pPr>
        <w:ind w:left="5040" w:hanging="360"/>
      </w:pPr>
      <w:rPr>
        <w:rFonts w:ascii="Symbol" w:hAnsi="Symbol" w:hint="default"/>
      </w:rPr>
    </w:lvl>
    <w:lvl w:ilvl="7" w:tplc="BBDC8AF4">
      <w:start w:val="1"/>
      <w:numFmt w:val="bullet"/>
      <w:lvlText w:val="o"/>
      <w:lvlJc w:val="left"/>
      <w:pPr>
        <w:ind w:left="5760" w:hanging="360"/>
      </w:pPr>
      <w:rPr>
        <w:rFonts w:ascii="Courier New" w:hAnsi="Courier New" w:hint="default"/>
      </w:rPr>
    </w:lvl>
    <w:lvl w:ilvl="8" w:tplc="1FC8B662">
      <w:start w:val="1"/>
      <w:numFmt w:val="bullet"/>
      <w:lvlText w:val=""/>
      <w:lvlJc w:val="left"/>
      <w:pPr>
        <w:ind w:left="6480" w:hanging="360"/>
      </w:pPr>
      <w:rPr>
        <w:rFonts w:ascii="Wingdings" w:hAnsi="Wingdings" w:hint="default"/>
      </w:rPr>
    </w:lvl>
  </w:abstractNum>
  <w:abstractNum w:abstractNumId="30" w15:restartNumberingAfterBreak="0">
    <w:nsid w:val="3B3D5DEC"/>
    <w:multiLevelType w:val="multilevel"/>
    <w:tmpl w:val="CCD0FC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C0D7EEA"/>
    <w:multiLevelType w:val="multilevel"/>
    <w:tmpl w:val="396A1500"/>
    <w:lvl w:ilvl="0">
      <w:start w:val="1"/>
      <w:numFmt w:val="bullet"/>
      <w:lvlText w:val="o"/>
      <w:lvlJc w:val="left"/>
      <w:pPr>
        <w:tabs>
          <w:tab w:val="num" w:pos="720"/>
        </w:tabs>
        <w:ind w:left="720" w:hanging="360"/>
      </w:pPr>
      <w:rPr>
        <w:rFonts w:ascii="Courier New" w:hAnsi="Courier New"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3C9158E2"/>
    <w:multiLevelType w:val="multilevel"/>
    <w:tmpl w:val="60029AE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D791744"/>
    <w:multiLevelType w:val="hybridMultilevel"/>
    <w:tmpl w:val="A2C61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3D5101"/>
    <w:multiLevelType w:val="multilevel"/>
    <w:tmpl w:val="A384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ADF1822"/>
    <w:multiLevelType w:val="multilevel"/>
    <w:tmpl w:val="307C9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CD67DA1"/>
    <w:multiLevelType w:val="multilevel"/>
    <w:tmpl w:val="BAE43E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F1E7E47"/>
    <w:multiLevelType w:val="multilevel"/>
    <w:tmpl w:val="7D6AB2C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F8901A5"/>
    <w:multiLevelType w:val="hybridMultilevel"/>
    <w:tmpl w:val="A90E2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0405F46"/>
    <w:multiLevelType w:val="multilevel"/>
    <w:tmpl w:val="71ECF3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0" w15:restartNumberingAfterBreak="0">
    <w:nsid w:val="519C261B"/>
    <w:multiLevelType w:val="hybridMultilevel"/>
    <w:tmpl w:val="789A4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1C77571"/>
    <w:multiLevelType w:val="multilevel"/>
    <w:tmpl w:val="65A03EF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34C5B3F"/>
    <w:multiLevelType w:val="multilevel"/>
    <w:tmpl w:val="A1269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56A0453"/>
    <w:multiLevelType w:val="hybridMultilevel"/>
    <w:tmpl w:val="C7DCE0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56F54567"/>
    <w:multiLevelType w:val="multilevel"/>
    <w:tmpl w:val="99C21E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5D945054"/>
    <w:multiLevelType w:val="multilevel"/>
    <w:tmpl w:val="F406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F5643A3"/>
    <w:multiLevelType w:val="multilevel"/>
    <w:tmpl w:val="0DE0B23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1927928"/>
    <w:multiLevelType w:val="multilevel"/>
    <w:tmpl w:val="9A18043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2E36F39"/>
    <w:multiLevelType w:val="hybridMultilevel"/>
    <w:tmpl w:val="2FD8F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58D1575"/>
    <w:multiLevelType w:val="multilevel"/>
    <w:tmpl w:val="A9AE2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59A1B4E"/>
    <w:multiLevelType w:val="multilevel"/>
    <w:tmpl w:val="52F0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82B0FB1"/>
    <w:multiLevelType w:val="multilevel"/>
    <w:tmpl w:val="432C77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DC73EE5"/>
    <w:multiLevelType w:val="multilevel"/>
    <w:tmpl w:val="267827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3" w15:restartNumberingAfterBreak="0">
    <w:nsid w:val="6F4D23D3"/>
    <w:multiLevelType w:val="multilevel"/>
    <w:tmpl w:val="0F9E858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0193AE3"/>
    <w:multiLevelType w:val="multilevel"/>
    <w:tmpl w:val="9F0CFE48"/>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55" w15:restartNumberingAfterBreak="0">
    <w:nsid w:val="725B6AE3"/>
    <w:multiLevelType w:val="multilevel"/>
    <w:tmpl w:val="96DA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2B85158"/>
    <w:multiLevelType w:val="multilevel"/>
    <w:tmpl w:val="B68EE3B8"/>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57" w15:restartNumberingAfterBreak="0">
    <w:nsid w:val="757E21B9"/>
    <w:multiLevelType w:val="multilevel"/>
    <w:tmpl w:val="C9425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829062E"/>
    <w:multiLevelType w:val="multilevel"/>
    <w:tmpl w:val="9EC69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C34270A"/>
    <w:multiLevelType w:val="multilevel"/>
    <w:tmpl w:val="E06881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F431433"/>
    <w:multiLevelType w:val="hybridMultilevel"/>
    <w:tmpl w:val="42D095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918709813">
    <w:abstractNumId w:val="48"/>
  </w:num>
  <w:num w:numId="2" w16cid:durableId="737752383">
    <w:abstractNumId w:val="33"/>
  </w:num>
  <w:num w:numId="3" w16cid:durableId="1134177323">
    <w:abstractNumId w:val="20"/>
  </w:num>
  <w:num w:numId="4" w16cid:durableId="1301377442">
    <w:abstractNumId w:val="12"/>
  </w:num>
  <w:num w:numId="5" w16cid:durableId="1287660847">
    <w:abstractNumId w:val="38"/>
  </w:num>
  <w:num w:numId="6" w16cid:durableId="468665769">
    <w:abstractNumId w:val="28"/>
  </w:num>
  <w:num w:numId="7" w16cid:durableId="114639476">
    <w:abstractNumId w:val="21"/>
  </w:num>
  <w:num w:numId="8" w16cid:durableId="276722603">
    <w:abstractNumId w:val="11"/>
  </w:num>
  <w:num w:numId="9" w16cid:durableId="848105232">
    <w:abstractNumId w:val="23"/>
  </w:num>
  <w:num w:numId="10" w16cid:durableId="2129085234">
    <w:abstractNumId w:val="58"/>
  </w:num>
  <w:num w:numId="11" w16cid:durableId="134764267">
    <w:abstractNumId w:val="34"/>
  </w:num>
  <w:num w:numId="12" w16cid:durableId="360983784">
    <w:abstractNumId w:val="17"/>
  </w:num>
  <w:num w:numId="13" w16cid:durableId="1524199092">
    <w:abstractNumId w:val="3"/>
  </w:num>
  <w:num w:numId="14" w16cid:durableId="2111852713">
    <w:abstractNumId w:val="29"/>
  </w:num>
  <w:num w:numId="15" w16cid:durableId="661203794">
    <w:abstractNumId w:val="14"/>
  </w:num>
  <w:num w:numId="16" w16cid:durableId="1390810475">
    <w:abstractNumId w:val="35"/>
  </w:num>
  <w:num w:numId="17" w16cid:durableId="1695692673">
    <w:abstractNumId w:val="24"/>
  </w:num>
  <w:num w:numId="18" w16cid:durableId="305555075">
    <w:abstractNumId w:val="25"/>
  </w:num>
  <w:num w:numId="19" w16cid:durableId="1870602388">
    <w:abstractNumId w:val="37"/>
  </w:num>
  <w:num w:numId="20" w16cid:durableId="243226343">
    <w:abstractNumId w:val="36"/>
  </w:num>
  <w:num w:numId="21" w16cid:durableId="826242045">
    <w:abstractNumId w:val="39"/>
  </w:num>
  <w:num w:numId="22" w16cid:durableId="477068752">
    <w:abstractNumId w:val="47"/>
  </w:num>
  <w:num w:numId="23" w16cid:durableId="1405108141">
    <w:abstractNumId w:val="16"/>
  </w:num>
  <w:num w:numId="24" w16cid:durableId="302662371">
    <w:abstractNumId w:val="51"/>
  </w:num>
  <w:num w:numId="25" w16cid:durableId="408426900">
    <w:abstractNumId w:val="41"/>
  </w:num>
  <w:num w:numId="26" w16cid:durableId="258299793">
    <w:abstractNumId w:val="22"/>
  </w:num>
  <w:num w:numId="27" w16cid:durableId="51126597">
    <w:abstractNumId w:val="56"/>
  </w:num>
  <w:num w:numId="28" w16cid:durableId="530538533">
    <w:abstractNumId w:val="2"/>
  </w:num>
  <w:num w:numId="29" w16cid:durableId="556671329">
    <w:abstractNumId w:val="53"/>
  </w:num>
  <w:num w:numId="30" w16cid:durableId="1179587228">
    <w:abstractNumId w:val="54"/>
  </w:num>
  <w:num w:numId="31" w16cid:durableId="905653822">
    <w:abstractNumId w:val="57"/>
  </w:num>
  <w:num w:numId="32" w16cid:durableId="1714234562">
    <w:abstractNumId w:val="52"/>
  </w:num>
  <w:num w:numId="33" w16cid:durableId="1385326552">
    <w:abstractNumId w:val="55"/>
  </w:num>
  <w:num w:numId="34" w16cid:durableId="2073113101">
    <w:abstractNumId w:val="9"/>
  </w:num>
  <w:num w:numId="35" w16cid:durableId="1662389180">
    <w:abstractNumId w:val="50"/>
  </w:num>
  <w:num w:numId="36" w16cid:durableId="1160776606">
    <w:abstractNumId w:val="44"/>
  </w:num>
  <w:num w:numId="37" w16cid:durableId="2128691878">
    <w:abstractNumId w:val="4"/>
  </w:num>
  <w:num w:numId="38" w16cid:durableId="1817405820">
    <w:abstractNumId w:val="59"/>
  </w:num>
  <w:num w:numId="39" w16cid:durableId="852764654">
    <w:abstractNumId w:val="40"/>
  </w:num>
  <w:num w:numId="40" w16cid:durableId="485363143">
    <w:abstractNumId w:val="10"/>
  </w:num>
  <w:num w:numId="41" w16cid:durableId="1100680669">
    <w:abstractNumId w:val="27"/>
  </w:num>
  <w:num w:numId="42" w16cid:durableId="2126265154">
    <w:abstractNumId w:val="46"/>
  </w:num>
  <w:num w:numId="43" w16cid:durableId="1863005557">
    <w:abstractNumId w:val="5"/>
  </w:num>
  <w:num w:numId="44" w16cid:durableId="1790585967">
    <w:abstractNumId w:val="6"/>
  </w:num>
  <w:num w:numId="45" w16cid:durableId="246546692">
    <w:abstractNumId w:val="43"/>
  </w:num>
  <w:num w:numId="46" w16cid:durableId="1268007707">
    <w:abstractNumId w:val="32"/>
  </w:num>
  <w:num w:numId="47" w16cid:durableId="723910834">
    <w:abstractNumId w:val="31"/>
  </w:num>
  <w:num w:numId="48" w16cid:durableId="1676492235">
    <w:abstractNumId w:val="26"/>
  </w:num>
  <w:num w:numId="49" w16cid:durableId="1246571517">
    <w:abstractNumId w:val="1"/>
  </w:num>
  <w:num w:numId="50" w16cid:durableId="91708070">
    <w:abstractNumId w:val="18"/>
  </w:num>
  <w:num w:numId="51" w16cid:durableId="1739131247">
    <w:abstractNumId w:val="45"/>
  </w:num>
  <w:num w:numId="52" w16cid:durableId="199249963">
    <w:abstractNumId w:val="60"/>
  </w:num>
  <w:num w:numId="53" w16cid:durableId="1200584183">
    <w:abstractNumId w:val="42"/>
  </w:num>
  <w:num w:numId="54" w16cid:durableId="1370834924">
    <w:abstractNumId w:val="30"/>
  </w:num>
  <w:num w:numId="55" w16cid:durableId="1682469735">
    <w:abstractNumId w:val="15"/>
  </w:num>
  <w:num w:numId="56" w16cid:durableId="226184614">
    <w:abstractNumId w:val="49"/>
  </w:num>
  <w:num w:numId="57" w16cid:durableId="789738831">
    <w:abstractNumId w:val="7"/>
  </w:num>
  <w:num w:numId="58" w16cid:durableId="981085502">
    <w:abstractNumId w:val="8"/>
  </w:num>
  <w:num w:numId="59" w16cid:durableId="1531257869">
    <w:abstractNumId w:val="0"/>
  </w:num>
  <w:num w:numId="60" w16cid:durableId="1213008027">
    <w:abstractNumId w:val="13"/>
  </w:num>
  <w:num w:numId="61" w16cid:durableId="1232353862">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04837B"/>
    <w:rsid w:val="00000389"/>
    <w:rsid w:val="00000670"/>
    <w:rsid w:val="000006FD"/>
    <w:rsid w:val="000014EF"/>
    <w:rsid w:val="00001721"/>
    <w:rsid w:val="00002276"/>
    <w:rsid w:val="000022C1"/>
    <w:rsid w:val="00002E1D"/>
    <w:rsid w:val="0000352A"/>
    <w:rsid w:val="000041FD"/>
    <w:rsid w:val="000043AA"/>
    <w:rsid w:val="00005DA7"/>
    <w:rsid w:val="0000639B"/>
    <w:rsid w:val="000068B4"/>
    <w:rsid w:val="00006BD4"/>
    <w:rsid w:val="00006C45"/>
    <w:rsid w:val="000074D6"/>
    <w:rsid w:val="000078D6"/>
    <w:rsid w:val="00007D3C"/>
    <w:rsid w:val="00010256"/>
    <w:rsid w:val="000103AD"/>
    <w:rsid w:val="000103F6"/>
    <w:rsid w:val="0001086C"/>
    <w:rsid w:val="00010CF5"/>
    <w:rsid w:val="0001101F"/>
    <w:rsid w:val="0001138D"/>
    <w:rsid w:val="0001196F"/>
    <w:rsid w:val="00011A91"/>
    <w:rsid w:val="00011B69"/>
    <w:rsid w:val="00011D8F"/>
    <w:rsid w:val="000128C4"/>
    <w:rsid w:val="000129F5"/>
    <w:rsid w:val="00013462"/>
    <w:rsid w:val="00015183"/>
    <w:rsid w:val="000153A2"/>
    <w:rsid w:val="00015B1F"/>
    <w:rsid w:val="0001651F"/>
    <w:rsid w:val="00016C96"/>
    <w:rsid w:val="000173D2"/>
    <w:rsid w:val="0001762A"/>
    <w:rsid w:val="000179D3"/>
    <w:rsid w:val="00017D55"/>
    <w:rsid w:val="00017F90"/>
    <w:rsid w:val="0002085D"/>
    <w:rsid w:val="00021241"/>
    <w:rsid w:val="00021279"/>
    <w:rsid w:val="000214C6"/>
    <w:rsid w:val="000214D9"/>
    <w:rsid w:val="00021615"/>
    <w:rsid w:val="00021F3B"/>
    <w:rsid w:val="000220C2"/>
    <w:rsid w:val="00023667"/>
    <w:rsid w:val="00024181"/>
    <w:rsid w:val="0002513C"/>
    <w:rsid w:val="0002524F"/>
    <w:rsid w:val="00025253"/>
    <w:rsid w:val="000253A7"/>
    <w:rsid w:val="00025584"/>
    <w:rsid w:val="0002632E"/>
    <w:rsid w:val="00026C03"/>
    <w:rsid w:val="0002726F"/>
    <w:rsid w:val="00027BC0"/>
    <w:rsid w:val="00027F88"/>
    <w:rsid w:val="0003029B"/>
    <w:rsid w:val="00030A19"/>
    <w:rsid w:val="00031887"/>
    <w:rsid w:val="00031A24"/>
    <w:rsid w:val="000328C6"/>
    <w:rsid w:val="00033006"/>
    <w:rsid w:val="00033381"/>
    <w:rsid w:val="000339B5"/>
    <w:rsid w:val="000344B0"/>
    <w:rsid w:val="000345FC"/>
    <w:rsid w:val="00034E6E"/>
    <w:rsid w:val="000358BF"/>
    <w:rsid w:val="00035F89"/>
    <w:rsid w:val="0003642E"/>
    <w:rsid w:val="0003652B"/>
    <w:rsid w:val="0003696F"/>
    <w:rsid w:val="00036FBB"/>
    <w:rsid w:val="00037129"/>
    <w:rsid w:val="00037557"/>
    <w:rsid w:val="00037CEC"/>
    <w:rsid w:val="00040375"/>
    <w:rsid w:val="00040680"/>
    <w:rsid w:val="00040802"/>
    <w:rsid w:val="00041152"/>
    <w:rsid w:val="00041410"/>
    <w:rsid w:val="0004162F"/>
    <w:rsid w:val="0004180C"/>
    <w:rsid w:val="000418D6"/>
    <w:rsid w:val="000426B6"/>
    <w:rsid w:val="00042EEA"/>
    <w:rsid w:val="00044014"/>
    <w:rsid w:val="00044668"/>
    <w:rsid w:val="00045494"/>
    <w:rsid w:val="000456FE"/>
    <w:rsid w:val="00047BA6"/>
    <w:rsid w:val="00050A0F"/>
    <w:rsid w:val="00051606"/>
    <w:rsid w:val="00052343"/>
    <w:rsid w:val="00052C00"/>
    <w:rsid w:val="0005360C"/>
    <w:rsid w:val="000536B1"/>
    <w:rsid w:val="00054008"/>
    <w:rsid w:val="0005488C"/>
    <w:rsid w:val="000554F4"/>
    <w:rsid w:val="00055CB4"/>
    <w:rsid w:val="000560C9"/>
    <w:rsid w:val="00056CE9"/>
    <w:rsid w:val="00057011"/>
    <w:rsid w:val="0005767C"/>
    <w:rsid w:val="0006034D"/>
    <w:rsid w:val="0006056D"/>
    <w:rsid w:val="00060631"/>
    <w:rsid w:val="00060B60"/>
    <w:rsid w:val="00060BB4"/>
    <w:rsid w:val="00060D87"/>
    <w:rsid w:val="00061BC7"/>
    <w:rsid w:val="00061E56"/>
    <w:rsid w:val="00061F92"/>
    <w:rsid w:val="00063C28"/>
    <w:rsid w:val="00064243"/>
    <w:rsid w:val="000648E0"/>
    <w:rsid w:val="000653EA"/>
    <w:rsid w:val="000657A6"/>
    <w:rsid w:val="00065D0F"/>
    <w:rsid w:val="000661D9"/>
    <w:rsid w:val="00066A73"/>
    <w:rsid w:val="00067754"/>
    <w:rsid w:val="00070520"/>
    <w:rsid w:val="00070607"/>
    <w:rsid w:val="00071086"/>
    <w:rsid w:val="00071451"/>
    <w:rsid w:val="000717B1"/>
    <w:rsid w:val="00071862"/>
    <w:rsid w:val="00071AC6"/>
    <w:rsid w:val="00071AC7"/>
    <w:rsid w:val="000720FB"/>
    <w:rsid w:val="00072C0F"/>
    <w:rsid w:val="000732DF"/>
    <w:rsid w:val="000734AC"/>
    <w:rsid w:val="00073CD2"/>
    <w:rsid w:val="00073E59"/>
    <w:rsid w:val="00073EED"/>
    <w:rsid w:val="00074C6B"/>
    <w:rsid w:val="000750E7"/>
    <w:rsid w:val="00075342"/>
    <w:rsid w:val="000756E6"/>
    <w:rsid w:val="00076521"/>
    <w:rsid w:val="0007714C"/>
    <w:rsid w:val="00077A0D"/>
    <w:rsid w:val="000806E9"/>
    <w:rsid w:val="00080F67"/>
    <w:rsid w:val="00081692"/>
    <w:rsid w:val="00081752"/>
    <w:rsid w:val="00081775"/>
    <w:rsid w:val="00081B61"/>
    <w:rsid w:val="000832B9"/>
    <w:rsid w:val="00083C6E"/>
    <w:rsid w:val="000847D6"/>
    <w:rsid w:val="000850DC"/>
    <w:rsid w:val="00085A9A"/>
    <w:rsid w:val="00085E5B"/>
    <w:rsid w:val="00085FFA"/>
    <w:rsid w:val="000864B2"/>
    <w:rsid w:val="000878C5"/>
    <w:rsid w:val="00087AA8"/>
    <w:rsid w:val="00090EB1"/>
    <w:rsid w:val="00090EB4"/>
    <w:rsid w:val="0009140B"/>
    <w:rsid w:val="00091934"/>
    <w:rsid w:val="00091F52"/>
    <w:rsid w:val="00093898"/>
    <w:rsid w:val="00094591"/>
    <w:rsid w:val="00094A13"/>
    <w:rsid w:val="00094D0C"/>
    <w:rsid w:val="00094D17"/>
    <w:rsid w:val="00095377"/>
    <w:rsid w:val="000958FF"/>
    <w:rsid w:val="00095A13"/>
    <w:rsid w:val="00095C37"/>
    <w:rsid w:val="00096554"/>
    <w:rsid w:val="000967CE"/>
    <w:rsid w:val="000968B9"/>
    <w:rsid w:val="000971A1"/>
    <w:rsid w:val="0009741D"/>
    <w:rsid w:val="00097F17"/>
    <w:rsid w:val="00097F62"/>
    <w:rsid w:val="000A0B8D"/>
    <w:rsid w:val="000A0F70"/>
    <w:rsid w:val="000A11E1"/>
    <w:rsid w:val="000A1674"/>
    <w:rsid w:val="000A19C4"/>
    <w:rsid w:val="000A1D6A"/>
    <w:rsid w:val="000A1E53"/>
    <w:rsid w:val="000A1E92"/>
    <w:rsid w:val="000A1EA1"/>
    <w:rsid w:val="000A1FF9"/>
    <w:rsid w:val="000A230B"/>
    <w:rsid w:val="000A2E12"/>
    <w:rsid w:val="000A426F"/>
    <w:rsid w:val="000A4277"/>
    <w:rsid w:val="000A4349"/>
    <w:rsid w:val="000A466F"/>
    <w:rsid w:val="000A476E"/>
    <w:rsid w:val="000A5168"/>
    <w:rsid w:val="000A5782"/>
    <w:rsid w:val="000A584A"/>
    <w:rsid w:val="000A5971"/>
    <w:rsid w:val="000A6236"/>
    <w:rsid w:val="000A671D"/>
    <w:rsid w:val="000A6953"/>
    <w:rsid w:val="000A712B"/>
    <w:rsid w:val="000A79D7"/>
    <w:rsid w:val="000A7C8B"/>
    <w:rsid w:val="000A7E4F"/>
    <w:rsid w:val="000B0E87"/>
    <w:rsid w:val="000B1974"/>
    <w:rsid w:val="000B2E9F"/>
    <w:rsid w:val="000B2F43"/>
    <w:rsid w:val="000B31E0"/>
    <w:rsid w:val="000B429C"/>
    <w:rsid w:val="000B4527"/>
    <w:rsid w:val="000B4EBB"/>
    <w:rsid w:val="000B614A"/>
    <w:rsid w:val="000B622F"/>
    <w:rsid w:val="000B68E1"/>
    <w:rsid w:val="000B6999"/>
    <w:rsid w:val="000B6F18"/>
    <w:rsid w:val="000B6FE7"/>
    <w:rsid w:val="000B72E3"/>
    <w:rsid w:val="000B7AF0"/>
    <w:rsid w:val="000B7BF2"/>
    <w:rsid w:val="000C0149"/>
    <w:rsid w:val="000C01AC"/>
    <w:rsid w:val="000C0D84"/>
    <w:rsid w:val="000C0F4E"/>
    <w:rsid w:val="000C19AE"/>
    <w:rsid w:val="000C19C9"/>
    <w:rsid w:val="000C1DE0"/>
    <w:rsid w:val="000C2291"/>
    <w:rsid w:val="000C25F6"/>
    <w:rsid w:val="000C2B87"/>
    <w:rsid w:val="000C2EA1"/>
    <w:rsid w:val="000C4961"/>
    <w:rsid w:val="000C5077"/>
    <w:rsid w:val="000C54E0"/>
    <w:rsid w:val="000C5A57"/>
    <w:rsid w:val="000C73E6"/>
    <w:rsid w:val="000C7973"/>
    <w:rsid w:val="000D0178"/>
    <w:rsid w:val="000D0392"/>
    <w:rsid w:val="000D0CA8"/>
    <w:rsid w:val="000D1193"/>
    <w:rsid w:val="000D1449"/>
    <w:rsid w:val="000D1651"/>
    <w:rsid w:val="000D1947"/>
    <w:rsid w:val="000D2092"/>
    <w:rsid w:val="000D2345"/>
    <w:rsid w:val="000D2CE9"/>
    <w:rsid w:val="000D39DD"/>
    <w:rsid w:val="000D3AF5"/>
    <w:rsid w:val="000D4252"/>
    <w:rsid w:val="000D426D"/>
    <w:rsid w:val="000D4D47"/>
    <w:rsid w:val="000D5298"/>
    <w:rsid w:val="000D5471"/>
    <w:rsid w:val="000D5894"/>
    <w:rsid w:val="000D677D"/>
    <w:rsid w:val="000D6A74"/>
    <w:rsid w:val="000D6A98"/>
    <w:rsid w:val="000D6E5F"/>
    <w:rsid w:val="000D6EA5"/>
    <w:rsid w:val="000D710E"/>
    <w:rsid w:val="000D7639"/>
    <w:rsid w:val="000D792C"/>
    <w:rsid w:val="000D7B3F"/>
    <w:rsid w:val="000D7DA3"/>
    <w:rsid w:val="000E12FD"/>
    <w:rsid w:val="000E1759"/>
    <w:rsid w:val="000E17EA"/>
    <w:rsid w:val="000E1880"/>
    <w:rsid w:val="000E24F2"/>
    <w:rsid w:val="000E29D4"/>
    <w:rsid w:val="000E2D5F"/>
    <w:rsid w:val="000E2D60"/>
    <w:rsid w:val="000E463E"/>
    <w:rsid w:val="000E54C2"/>
    <w:rsid w:val="000E5C71"/>
    <w:rsid w:val="000E5CC7"/>
    <w:rsid w:val="000E603D"/>
    <w:rsid w:val="000E65AC"/>
    <w:rsid w:val="000E6A28"/>
    <w:rsid w:val="000E750E"/>
    <w:rsid w:val="000E75B8"/>
    <w:rsid w:val="000E781D"/>
    <w:rsid w:val="000F0C14"/>
    <w:rsid w:val="000F162F"/>
    <w:rsid w:val="000F169D"/>
    <w:rsid w:val="000F1CA4"/>
    <w:rsid w:val="000F2181"/>
    <w:rsid w:val="000F249E"/>
    <w:rsid w:val="000F2AD4"/>
    <w:rsid w:val="000F3D52"/>
    <w:rsid w:val="000F3DD0"/>
    <w:rsid w:val="000F4033"/>
    <w:rsid w:val="000F4067"/>
    <w:rsid w:val="000F4415"/>
    <w:rsid w:val="000F4475"/>
    <w:rsid w:val="000F48D5"/>
    <w:rsid w:val="000F54F9"/>
    <w:rsid w:val="000F5833"/>
    <w:rsid w:val="000F62ED"/>
    <w:rsid w:val="000F644A"/>
    <w:rsid w:val="000F645A"/>
    <w:rsid w:val="000F6B1E"/>
    <w:rsid w:val="001001AE"/>
    <w:rsid w:val="00101498"/>
    <w:rsid w:val="00101F7F"/>
    <w:rsid w:val="0010225A"/>
    <w:rsid w:val="0010239D"/>
    <w:rsid w:val="001023A2"/>
    <w:rsid w:val="00102950"/>
    <w:rsid w:val="001032C7"/>
    <w:rsid w:val="001038D1"/>
    <w:rsid w:val="00103A85"/>
    <w:rsid w:val="001040B5"/>
    <w:rsid w:val="001047EA"/>
    <w:rsid w:val="001049B6"/>
    <w:rsid w:val="001060FF"/>
    <w:rsid w:val="001069D1"/>
    <w:rsid w:val="00106A91"/>
    <w:rsid w:val="00106B57"/>
    <w:rsid w:val="001073A3"/>
    <w:rsid w:val="0010777A"/>
    <w:rsid w:val="001078C4"/>
    <w:rsid w:val="00107ED0"/>
    <w:rsid w:val="001102CA"/>
    <w:rsid w:val="001106C1"/>
    <w:rsid w:val="001107DA"/>
    <w:rsid w:val="00110808"/>
    <w:rsid w:val="00110DCB"/>
    <w:rsid w:val="001116C1"/>
    <w:rsid w:val="0011191F"/>
    <w:rsid w:val="00111A38"/>
    <w:rsid w:val="00111CB3"/>
    <w:rsid w:val="001125FF"/>
    <w:rsid w:val="001128EA"/>
    <w:rsid w:val="00112DD5"/>
    <w:rsid w:val="001130E7"/>
    <w:rsid w:val="001133EC"/>
    <w:rsid w:val="00113B6D"/>
    <w:rsid w:val="001140D3"/>
    <w:rsid w:val="0011455E"/>
    <w:rsid w:val="0011465F"/>
    <w:rsid w:val="00114691"/>
    <w:rsid w:val="001147B5"/>
    <w:rsid w:val="001149E3"/>
    <w:rsid w:val="00114AB6"/>
    <w:rsid w:val="00114BD5"/>
    <w:rsid w:val="00115CB7"/>
    <w:rsid w:val="001160E1"/>
    <w:rsid w:val="001163F9"/>
    <w:rsid w:val="00116409"/>
    <w:rsid w:val="0011697E"/>
    <w:rsid w:val="00116996"/>
    <w:rsid w:val="00116D16"/>
    <w:rsid w:val="00117016"/>
    <w:rsid w:val="001172DE"/>
    <w:rsid w:val="00117C8B"/>
    <w:rsid w:val="0012013E"/>
    <w:rsid w:val="00120A4E"/>
    <w:rsid w:val="00121725"/>
    <w:rsid w:val="00122352"/>
    <w:rsid w:val="001237A7"/>
    <w:rsid w:val="00123D75"/>
    <w:rsid w:val="00123E41"/>
    <w:rsid w:val="00124105"/>
    <w:rsid w:val="001241F8"/>
    <w:rsid w:val="0012495B"/>
    <w:rsid w:val="00125395"/>
    <w:rsid w:val="0012542D"/>
    <w:rsid w:val="001254A3"/>
    <w:rsid w:val="001256CA"/>
    <w:rsid w:val="00125925"/>
    <w:rsid w:val="00125CF2"/>
    <w:rsid w:val="00125D9F"/>
    <w:rsid w:val="00126D1E"/>
    <w:rsid w:val="00127EC4"/>
    <w:rsid w:val="00130BB8"/>
    <w:rsid w:val="00130C5D"/>
    <w:rsid w:val="00131136"/>
    <w:rsid w:val="0013153A"/>
    <w:rsid w:val="001317FB"/>
    <w:rsid w:val="00131DCA"/>
    <w:rsid w:val="00131FA9"/>
    <w:rsid w:val="00132227"/>
    <w:rsid w:val="001327C5"/>
    <w:rsid w:val="00132A42"/>
    <w:rsid w:val="00132C0D"/>
    <w:rsid w:val="00133077"/>
    <w:rsid w:val="001334CF"/>
    <w:rsid w:val="00133FC7"/>
    <w:rsid w:val="001340CF"/>
    <w:rsid w:val="001344B0"/>
    <w:rsid w:val="00135C94"/>
    <w:rsid w:val="00136555"/>
    <w:rsid w:val="001368BF"/>
    <w:rsid w:val="00136F08"/>
    <w:rsid w:val="001372E4"/>
    <w:rsid w:val="00137410"/>
    <w:rsid w:val="00137597"/>
    <w:rsid w:val="00137BD5"/>
    <w:rsid w:val="00137C5D"/>
    <w:rsid w:val="00137F7A"/>
    <w:rsid w:val="00140183"/>
    <w:rsid w:val="001406C0"/>
    <w:rsid w:val="001406E9"/>
    <w:rsid w:val="0014078C"/>
    <w:rsid w:val="00140B5A"/>
    <w:rsid w:val="0014106F"/>
    <w:rsid w:val="001414D9"/>
    <w:rsid w:val="0014150B"/>
    <w:rsid w:val="001415CB"/>
    <w:rsid w:val="00141B40"/>
    <w:rsid w:val="0014216C"/>
    <w:rsid w:val="00142424"/>
    <w:rsid w:val="00142B2D"/>
    <w:rsid w:val="00142D8C"/>
    <w:rsid w:val="00144085"/>
    <w:rsid w:val="00144415"/>
    <w:rsid w:val="00145367"/>
    <w:rsid w:val="00146B64"/>
    <w:rsid w:val="0014756A"/>
    <w:rsid w:val="00147707"/>
    <w:rsid w:val="001477C5"/>
    <w:rsid w:val="00147B7A"/>
    <w:rsid w:val="00147D25"/>
    <w:rsid w:val="00150896"/>
    <w:rsid w:val="001510E1"/>
    <w:rsid w:val="001516DF"/>
    <w:rsid w:val="0015173A"/>
    <w:rsid w:val="0015181A"/>
    <w:rsid w:val="00152238"/>
    <w:rsid w:val="0015268E"/>
    <w:rsid w:val="00153387"/>
    <w:rsid w:val="00153628"/>
    <w:rsid w:val="001536AA"/>
    <w:rsid w:val="001536CD"/>
    <w:rsid w:val="001544AA"/>
    <w:rsid w:val="00154551"/>
    <w:rsid w:val="00154F14"/>
    <w:rsid w:val="00155477"/>
    <w:rsid w:val="00155575"/>
    <w:rsid w:val="001563DB"/>
    <w:rsid w:val="001564E7"/>
    <w:rsid w:val="001567B6"/>
    <w:rsid w:val="00156C0E"/>
    <w:rsid w:val="00156C41"/>
    <w:rsid w:val="001574EE"/>
    <w:rsid w:val="00157CBE"/>
    <w:rsid w:val="00160D74"/>
    <w:rsid w:val="00161418"/>
    <w:rsid w:val="00162255"/>
    <w:rsid w:val="00162354"/>
    <w:rsid w:val="00163089"/>
    <w:rsid w:val="00163274"/>
    <w:rsid w:val="00163F4A"/>
    <w:rsid w:val="00164547"/>
    <w:rsid w:val="0016559D"/>
    <w:rsid w:val="001656CB"/>
    <w:rsid w:val="001659F7"/>
    <w:rsid w:val="00165CD9"/>
    <w:rsid w:val="00165D0D"/>
    <w:rsid w:val="00166142"/>
    <w:rsid w:val="001664CE"/>
    <w:rsid w:val="00166621"/>
    <w:rsid w:val="001668CD"/>
    <w:rsid w:val="00166CB0"/>
    <w:rsid w:val="00167015"/>
    <w:rsid w:val="00169F88"/>
    <w:rsid w:val="001701BA"/>
    <w:rsid w:val="001709D6"/>
    <w:rsid w:val="00170F0C"/>
    <w:rsid w:val="001714CD"/>
    <w:rsid w:val="001718F7"/>
    <w:rsid w:val="00171C48"/>
    <w:rsid w:val="00171D45"/>
    <w:rsid w:val="00171D5B"/>
    <w:rsid w:val="00171FBE"/>
    <w:rsid w:val="00172C4B"/>
    <w:rsid w:val="00173055"/>
    <w:rsid w:val="001734AF"/>
    <w:rsid w:val="001734E9"/>
    <w:rsid w:val="00173D1A"/>
    <w:rsid w:val="001740FA"/>
    <w:rsid w:val="001744E4"/>
    <w:rsid w:val="00174553"/>
    <w:rsid w:val="00175297"/>
    <w:rsid w:val="00175450"/>
    <w:rsid w:val="0017568B"/>
    <w:rsid w:val="001756CF"/>
    <w:rsid w:val="0017615D"/>
    <w:rsid w:val="001762B3"/>
    <w:rsid w:val="00176327"/>
    <w:rsid w:val="001767C5"/>
    <w:rsid w:val="00176AB9"/>
    <w:rsid w:val="00176CCE"/>
    <w:rsid w:val="00176E49"/>
    <w:rsid w:val="0017751A"/>
    <w:rsid w:val="00177727"/>
    <w:rsid w:val="00177B97"/>
    <w:rsid w:val="00181254"/>
    <w:rsid w:val="0018129B"/>
    <w:rsid w:val="001816D8"/>
    <w:rsid w:val="00181901"/>
    <w:rsid w:val="00182224"/>
    <w:rsid w:val="001824F4"/>
    <w:rsid w:val="00182630"/>
    <w:rsid w:val="001826B1"/>
    <w:rsid w:val="00182719"/>
    <w:rsid w:val="00182B1E"/>
    <w:rsid w:val="00182CD7"/>
    <w:rsid w:val="00183710"/>
    <w:rsid w:val="00183D3F"/>
    <w:rsid w:val="0018493F"/>
    <w:rsid w:val="00184C8A"/>
    <w:rsid w:val="00185347"/>
    <w:rsid w:val="001855DD"/>
    <w:rsid w:val="0018657B"/>
    <w:rsid w:val="001869A3"/>
    <w:rsid w:val="00186A59"/>
    <w:rsid w:val="00186C6C"/>
    <w:rsid w:val="00186D87"/>
    <w:rsid w:val="00186E58"/>
    <w:rsid w:val="001875E8"/>
    <w:rsid w:val="00187DD4"/>
    <w:rsid w:val="00187DDF"/>
    <w:rsid w:val="001906A9"/>
    <w:rsid w:val="00190B8E"/>
    <w:rsid w:val="001919CF"/>
    <w:rsid w:val="001920AB"/>
    <w:rsid w:val="00192B18"/>
    <w:rsid w:val="00193258"/>
    <w:rsid w:val="001932BA"/>
    <w:rsid w:val="001933FC"/>
    <w:rsid w:val="0019345A"/>
    <w:rsid w:val="001934FF"/>
    <w:rsid w:val="00193ED8"/>
    <w:rsid w:val="001943CC"/>
    <w:rsid w:val="0019493A"/>
    <w:rsid w:val="00194A79"/>
    <w:rsid w:val="00194D73"/>
    <w:rsid w:val="00195398"/>
    <w:rsid w:val="0019542F"/>
    <w:rsid w:val="00195B3F"/>
    <w:rsid w:val="00195FC4"/>
    <w:rsid w:val="001965C5"/>
    <w:rsid w:val="001968F0"/>
    <w:rsid w:val="001969C7"/>
    <w:rsid w:val="001979FF"/>
    <w:rsid w:val="00197A23"/>
    <w:rsid w:val="00197C7B"/>
    <w:rsid w:val="001A075D"/>
    <w:rsid w:val="001A0B36"/>
    <w:rsid w:val="001A1CCE"/>
    <w:rsid w:val="001A1D47"/>
    <w:rsid w:val="001A21FA"/>
    <w:rsid w:val="001A245F"/>
    <w:rsid w:val="001A254F"/>
    <w:rsid w:val="001A2970"/>
    <w:rsid w:val="001A2BA7"/>
    <w:rsid w:val="001A2DB0"/>
    <w:rsid w:val="001A32CA"/>
    <w:rsid w:val="001A35B5"/>
    <w:rsid w:val="001A3D4F"/>
    <w:rsid w:val="001A3D5C"/>
    <w:rsid w:val="001A3EBB"/>
    <w:rsid w:val="001A41C6"/>
    <w:rsid w:val="001A5273"/>
    <w:rsid w:val="001A563D"/>
    <w:rsid w:val="001A5DAE"/>
    <w:rsid w:val="001A62C0"/>
    <w:rsid w:val="001A65EE"/>
    <w:rsid w:val="001A67B9"/>
    <w:rsid w:val="001A681E"/>
    <w:rsid w:val="001A7244"/>
    <w:rsid w:val="001A7E4E"/>
    <w:rsid w:val="001A7F8F"/>
    <w:rsid w:val="001A7F98"/>
    <w:rsid w:val="001B01A2"/>
    <w:rsid w:val="001B026B"/>
    <w:rsid w:val="001B0651"/>
    <w:rsid w:val="001B0980"/>
    <w:rsid w:val="001B1817"/>
    <w:rsid w:val="001B203F"/>
    <w:rsid w:val="001B2315"/>
    <w:rsid w:val="001B26CA"/>
    <w:rsid w:val="001B2A0B"/>
    <w:rsid w:val="001B2E5C"/>
    <w:rsid w:val="001B2E62"/>
    <w:rsid w:val="001B330D"/>
    <w:rsid w:val="001B494B"/>
    <w:rsid w:val="001B4DA2"/>
    <w:rsid w:val="001B5215"/>
    <w:rsid w:val="001B54B9"/>
    <w:rsid w:val="001B5696"/>
    <w:rsid w:val="001B5F48"/>
    <w:rsid w:val="001B6C97"/>
    <w:rsid w:val="001B7D98"/>
    <w:rsid w:val="001C0967"/>
    <w:rsid w:val="001C0B1C"/>
    <w:rsid w:val="001C1349"/>
    <w:rsid w:val="001C134C"/>
    <w:rsid w:val="001C14CA"/>
    <w:rsid w:val="001C1B3F"/>
    <w:rsid w:val="001C26F5"/>
    <w:rsid w:val="001C27D3"/>
    <w:rsid w:val="001C2A4F"/>
    <w:rsid w:val="001C3F56"/>
    <w:rsid w:val="001C47B3"/>
    <w:rsid w:val="001C48F2"/>
    <w:rsid w:val="001C4A00"/>
    <w:rsid w:val="001C50F0"/>
    <w:rsid w:val="001C5269"/>
    <w:rsid w:val="001C6267"/>
    <w:rsid w:val="001C6691"/>
    <w:rsid w:val="001C672D"/>
    <w:rsid w:val="001C6A3C"/>
    <w:rsid w:val="001C6EFB"/>
    <w:rsid w:val="001C77BD"/>
    <w:rsid w:val="001C77FD"/>
    <w:rsid w:val="001C7C6F"/>
    <w:rsid w:val="001D050B"/>
    <w:rsid w:val="001D098F"/>
    <w:rsid w:val="001D159C"/>
    <w:rsid w:val="001D1694"/>
    <w:rsid w:val="001D19F8"/>
    <w:rsid w:val="001D2032"/>
    <w:rsid w:val="001D2402"/>
    <w:rsid w:val="001D2497"/>
    <w:rsid w:val="001D24A8"/>
    <w:rsid w:val="001D2FF3"/>
    <w:rsid w:val="001D33B7"/>
    <w:rsid w:val="001D4113"/>
    <w:rsid w:val="001D448E"/>
    <w:rsid w:val="001D451E"/>
    <w:rsid w:val="001D4B16"/>
    <w:rsid w:val="001D5608"/>
    <w:rsid w:val="001D5A0A"/>
    <w:rsid w:val="001D5B77"/>
    <w:rsid w:val="001D6192"/>
    <w:rsid w:val="001D6A5E"/>
    <w:rsid w:val="001D72B2"/>
    <w:rsid w:val="001D7635"/>
    <w:rsid w:val="001D7714"/>
    <w:rsid w:val="001D79EB"/>
    <w:rsid w:val="001E006C"/>
    <w:rsid w:val="001E01D1"/>
    <w:rsid w:val="001E0435"/>
    <w:rsid w:val="001E073B"/>
    <w:rsid w:val="001E07B5"/>
    <w:rsid w:val="001E09E9"/>
    <w:rsid w:val="001E0ADE"/>
    <w:rsid w:val="001E144A"/>
    <w:rsid w:val="001E1B7F"/>
    <w:rsid w:val="001E1CA3"/>
    <w:rsid w:val="001E1DF9"/>
    <w:rsid w:val="001E225C"/>
    <w:rsid w:val="001E2283"/>
    <w:rsid w:val="001E2BF8"/>
    <w:rsid w:val="001E2F25"/>
    <w:rsid w:val="001E3046"/>
    <w:rsid w:val="001E3B3A"/>
    <w:rsid w:val="001E41F7"/>
    <w:rsid w:val="001E472F"/>
    <w:rsid w:val="001E4931"/>
    <w:rsid w:val="001E5210"/>
    <w:rsid w:val="001E6350"/>
    <w:rsid w:val="001E676A"/>
    <w:rsid w:val="001E7001"/>
    <w:rsid w:val="001E73AC"/>
    <w:rsid w:val="001E7C99"/>
    <w:rsid w:val="001F07A3"/>
    <w:rsid w:val="001F0FE3"/>
    <w:rsid w:val="001F1404"/>
    <w:rsid w:val="001F1849"/>
    <w:rsid w:val="001F21C6"/>
    <w:rsid w:val="001F274A"/>
    <w:rsid w:val="001F28ED"/>
    <w:rsid w:val="001F2E05"/>
    <w:rsid w:val="001F33CE"/>
    <w:rsid w:val="001F4E30"/>
    <w:rsid w:val="001F5A6D"/>
    <w:rsid w:val="001F5B55"/>
    <w:rsid w:val="001F5E91"/>
    <w:rsid w:val="001F6054"/>
    <w:rsid w:val="001F6BA3"/>
    <w:rsid w:val="001F6BA4"/>
    <w:rsid w:val="001F6DC3"/>
    <w:rsid w:val="001F7699"/>
    <w:rsid w:val="001F7904"/>
    <w:rsid w:val="001F7F9A"/>
    <w:rsid w:val="00200490"/>
    <w:rsid w:val="002008C2"/>
    <w:rsid w:val="002018FC"/>
    <w:rsid w:val="00201DCC"/>
    <w:rsid w:val="0020277F"/>
    <w:rsid w:val="002028B6"/>
    <w:rsid w:val="00202C4B"/>
    <w:rsid w:val="00203077"/>
    <w:rsid w:val="0020334E"/>
    <w:rsid w:val="00203493"/>
    <w:rsid w:val="00203D4C"/>
    <w:rsid w:val="00204242"/>
    <w:rsid w:val="00204743"/>
    <w:rsid w:val="00204AE6"/>
    <w:rsid w:val="00204B7F"/>
    <w:rsid w:val="00205389"/>
    <w:rsid w:val="00205C7A"/>
    <w:rsid w:val="00205CD4"/>
    <w:rsid w:val="0020625F"/>
    <w:rsid w:val="002067E5"/>
    <w:rsid w:val="00206B87"/>
    <w:rsid w:val="00207274"/>
    <w:rsid w:val="0020788D"/>
    <w:rsid w:val="002100E1"/>
    <w:rsid w:val="0021078C"/>
    <w:rsid w:val="002118BC"/>
    <w:rsid w:val="002129CC"/>
    <w:rsid w:val="00212F0F"/>
    <w:rsid w:val="002133F9"/>
    <w:rsid w:val="0021359D"/>
    <w:rsid w:val="002139B6"/>
    <w:rsid w:val="00213ABB"/>
    <w:rsid w:val="00213DB4"/>
    <w:rsid w:val="002153FA"/>
    <w:rsid w:val="002155A5"/>
    <w:rsid w:val="0021609F"/>
    <w:rsid w:val="00216175"/>
    <w:rsid w:val="002161AD"/>
    <w:rsid w:val="00216A43"/>
    <w:rsid w:val="002173C4"/>
    <w:rsid w:val="0022070F"/>
    <w:rsid w:val="002207F9"/>
    <w:rsid w:val="0022084B"/>
    <w:rsid w:val="00221F5F"/>
    <w:rsid w:val="00222ECF"/>
    <w:rsid w:val="00222F96"/>
    <w:rsid w:val="002235D3"/>
    <w:rsid w:val="00223E84"/>
    <w:rsid w:val="00223E9F"/>
    <w:rsid w:val="00224018"/>
    <w:rsid w:val="0022405C"/>
    <w:rsid w:val="002243DE"/>
    <w:rsid w:val="00225054"/>
    <w:rsid w:val="002254D1"/>
    <w:rsid w:val="00225B51"/>
    <w:rsid w:val="00225DC9"/>
    <w:rsid w:val="00225E77"/>
    <w:rsid w:val="00225EF0"/>
    <w:rsid w:val="002260E9"/>
    <w:rsid w:val="002264F1"/>
    <w:rsid w:val="00226B34"/>
    <w:rsid w:val="002271EB"/>
    <w:rsid w:val="00227834"/>
    <w:rsid w:val="00227F0B"/>
    <w:rsid w:val="002300BE"/>
    <w:rsid w:val="00230381"/>
    <w:rsid w:val="00230AE3"/>
    <w:rsid w:val="002322C7"/>
    <w:rsid w:val="0023297A"/>
    <w:rsid w:val="00232B30"/>
    <w:rsid w:val="00233274"/>
    <w:rsid w:val="00233EA2"/>
    <w:rsid w:val="00234471"/>
    <w:rsid w:val="002345F2"/>
    <w:rsid w:val="00234D4C"/>
    <w:rsid w:val="00234D7D"/>
    <w:rsid w:val="00234DE6"/>
    <w:rsid w:val="00234E50"/>
    <w:rsid w:val="00235206"/>
    <w:rsid w:val="00235983"/>
    <w:rsid w:val="00235C79"/>
    <w:rsid w:val="002363E9"/>
    <w:rsid w:val="00236482"/>
    <w:rsid w:val="00236C9F"/>
    <w:rsid w:val="002371AF"/>
    <w:rsid w:val="00237587"/>
    <w:rsid w:val="002376F6"/>
    <w:rsid w:val="00237898"/>
    <w:rsid w:val="00237F1C"/>
    <w:rsid w:val="00241327"/>
    <w:rsid w:val="00241864"/>
    <w:rsid w:val="00241A87"/>
    <w:rsid w:val="00241FB6"/>
    <w:rsid w:val="00242E88"/>
    <w:rsid w:val="002430E4"/>
    <w:rsid w:val="00243901"/>
    <w:rsid w:val="00243C0C"/>
    <w:rsid w:val="00243EAF"/>
    <w:rsid w:val="002449F8"/>
    <w:rsid w:val="00244FB2"/>
    <w:rsid w:val="002451A2"/>
    <w:rsid w:val="0024577A"/>
    <w:rsid w:val="00246892"/>
    <w:rsid w:val="00246F87"/>
    <w:rsid w:val="002472BD"/>
    <w:rsid w:val="00247704"/>
    <w:rsid w:val="002502F5"/>
    <w:rsid w:val="00250648"/>
    <w:rsid w:val="0025100B"/>
    <w:rsid w:val="00251EA7"/>
    <w:rsid w:val="00252CC2"/>
    <w:rsid w:val="00253287"/>
    <w:rsid w:val="00253347"/>
    <w:rsid w:val="00253C41"/>
    <w:rsid w:val="00253F0C"/>
    <w:rsid w:val="0025455C"/>
    <w:rsid w:val="00254662"/>
    <w:rsid w:val="0025470D"/>
    <w:rsid w:val="002547AF"/>
    <w:rsid w:val="00254CCA"/>
    <w:rsid w:val="00254EC2"/>
    <w:rsid w:val="00255719"/>
    <w:rsid w:val="00255AD2"/>
    <w:rsid w:val="00255EF6"/>
    <w:rsid w:val="00256814"/>
    <w:rsid w:val="002575D5"/>
    <w:rsid w:val="00257607"/>
    <w:rsid w:val="00257E65"/>
    <w:rsid w:val="00257FAE"/>
    <w:rsid w:val="002601C2"/>
    <w:rsid w:val="00260893"/>
    <w:rsid w:val="002611BC"/>
    <w:rsid w:val="002615F6"/>
    <w:rsid w:val="00262018"/>
    <w:rsid w:val="002626B3"/>
    <w:rsid w:val="00262CC8"/>
    <w:rsid w:val="00262E91"/>
    <w:rsid w:val="0026322C"/>
    <w:rsid w:val="00263B0A"/>
    <w:rsid w:val="00264FA9"/>
    <w:rsid w:val="002653C1"/>
    <w:rsid w:val="00265541"/>
    <w:rsid w:val="00265F2D"/>
    <w:rsid w:val="00266161"/>
    <w:rsid w:val="00266C92"/>
    <w:rsid w:val="00266E1D"/>
    <w:rsid w:val="0026705D"/>
    <w:rsid w:val="0026787C"/>
    <w:rsid w:val="0027010D"/>
    <w:rsid w:val="00270CB9"/>
    <w:rsid w:val="00270E43"/>
    <w:rsid w:val="00271BE3"/>
    <w:rsid w:val="002723C2"/>
    <w:rsid w:val="0027297A"/>
    <w:rsid w:val="00272B31"/>
    <w:rsid w:val="00273049"/>
    <w:rsid w:val="002731FC"/>
    <w:rsid w:val="002732AE"/>
    <w:rsid w:val="0027334C"/>
    <w:rsid w:val="002733AC"/>
    <w:rsid w:val="00273625"/>
    <w:rsid w:val="0027363B"/>
    <w:rsid w:val="0027377B"/>
    <w:rsid w:val="00273942"/>
    <w:rsid w:val="00273978"/>
    <w:rsid w:val="00274AFB"/>
    <w:rsid w:val="00274EC2"/>
    <w:rsid w:val="0027513D"/>
    <w:rsid w:val="0027559F"/>
    <w:rsid w:val="00275656"/>
    <w:rsid w:val="002758D1"/>
    <w:rsid w:val="00276016"/>
    <w:rsid w:val="0027628E"/>
    <w:rsid w:val="002764FA"/>
    <w:rsid w:val="002766B3"/>
    <w:rsid w:val="0027671A"/>
    <w:rsid w:val="00276AF3"/>
    <w:rsid w:val="00276DE6"/>
    <w:rsid w:val="00277840"/>
    <w:rsid w:val="00277AA5"/>
    <w:rsid w:val="00277BD6"/>
    <w:rsid w:val="00277DD6"/>
    <w:rsid w:val="00277E4A"/>
    <w:rsid w:val="00280565"/>
    <w:rsid w:val="00280BE6"/>
    <w:rsid w:val="00281571"/>
    <w:rsid w:val="002816B8"/>
    <w:rsid w:val="00281B92"/>
    <w:rsid w:val="00281CF0"/>
    <w:rsid w:val="002830D5"/>
    <w:rsid w:val="00283290"/>
    <w:rsid w:val="002845FE"/>
    <w:rsid w:val="002849F7"/>
    <w:rsid w:val="00284E55"/>
    <w:rsid w:val="00284F83"/>
    <w:rsid w:val="00285A14"/>
    <w:rsid w:val="00285CE7"/>
    <w:rsid w:val="00286C0B"/>
    <w:rsid w:val="00287938"/>
    <w:rsid w:val="00287A1D"/>
    <w:rsid w:val="00287F04"/>
    <w:rsid w:val="00287FE1"/>
    <w:rsid w:val="0029020E"/>
    <w:rsid w:val="00290943"/>
    <w:rsid w:val="00290C4B"/>
    <w:rsid w:val="00291ACC"/>
    <w:rsid w:val="00291C97"/>
    <w:rsid w:val="002925AA"/>
    <w:rsid w:val="00292828"/>
    <w:rsid w:val="0029286B"/>
    <w:rsid w:val="002928EC"/>
    <w:rsid w:val="002928F9"/>
    <w:rsid w:val="00292DBF"/>
    <w:rsid w:val="002934F1"/>
    <w:rsid w:val="002938D8"/>
    <w:rsid w:val="00294D27"/>
    <w:rsid w:val="002956ED"/>
    <w:rsid w:val="00295A9C"/>
    <w:rsid w:val="00295CDB"/>
    <w:rsid w:val="00296058"/>
    <w:rsid w:val="00296865"/>
    <w:rsid w:val="00296BCB"/>
    <w:rsid w:val="00296C51"/>
    <w:rsid w:val="0029726D"/>
    <w:rsid w:val="00297945"/>
    <w:rsid w:val="002A0D3F"/>
    <w:rsid w:val="002A1320"/>
    <w:rsid w:val="002A133B"/>
    <w:rsid w:val="002A1487"/>
    <w:rsid w:val="002A1F8C"/>
    <w:rsid w:val="002A286D"/>
    <w:rsid w:val="002A2EE2"/>
    <w:rsid w:val="002A338A"/>
    <w:rsid w:val="002A387F"/>
    <w:rsid w:val="002A389A"/>
    <w:rsid w:val="002A518B"/>
    <w:rsid w:val="002A5770"/>
    <w:rsid w:val="002A57B6"/>
    <w:rsid w:val="002A5A50"/>
    <w:rsid w:val="002A5A63"/>
    <w:rsid w:val="002A5AF7"/>
    <w:rsid w:val="002A6421"/>
    <w:rsid w:val="002A6C03"/>
    <w:rsid w:val="002A70C0"/>
    <w:rsid w:val="002A7CD2"/>
    <w:rsid w:val="002B0E8A"/>
    <w:rsid w:val="002B0EEE"/>
    <w:rsid w:val="002B1150"/>
    <w:rsid w:val="002B18CE"/>
    <w:rsid w:val="002B1919"/>
    <w:rsid w:val="002B1D48"/>
    <w:rsid w:val="002B1FA3"/>
    <w:rsid w:val="002B2F82"/>
    <w:rsid w:val="002B3001"/>
    <w:rsid w:val="002B404D"/>
    <w:rsid w:val="002B411D"/>
    <w:rsid w:val="002B460F"/>
    <w:rsid w:val="002B4714"/>
    <w:rsid w:val="002B482D"/>
    <w:rsid w:val="002B4DDE"/>
    <w:rsid w:val="002B5E2B"/>
    <w:rsid w:val="002B63F5"/>
    <w:rsid w:val="002B6757"/>
    <w:rsid w:val="002B6FF7"/>
    <w:rsid w:val="002B7088"/>
    <w:rsid w:val="002B7103"/>
    <w:rsid w:val="002B77D5"/>
    <w:rsid w:val="002B7917"/>
    <w:rsid w:val="002C0023"/>
    <w:rsid w:val="002C0ABD"/>
    <w:rsid w:val="002C0B2E"/>
    <w:rsid w:val="002C206C"/>
    <w:rsid w:val="002C24DF"/>
    <w:rsid w:val="002C31AA"/>
    <w:rsid w:val="002C43FE"/>
    <w:rsid w:val="002C5180"/>
    <w:rsid w:val="002C52AE"/>
    <w:rsid w:val="002C5B80"/>
    <w:rsid w:val="002C5E3A"/>
    <w:rsid w:val="002C6588"/>
    <w:rsid w:val="002C6DE0"/>
    <w:rsid w:val="002C6F20"/>
    <w:rsid w:val="002C7506"/>
    <w:rsid w:val="002C7909"/>
    <w:rsid w:val="002D03F5"/>
    <w:rsid w:val="002D0927"/>
    <w:rsid w:val="002D252C"/>
    <w:rsid w:val="002D25E3"/>
    <w:rsid w:val="002D3295"/>
    <w:rsid w:val="002D3333"/>
    <w:rsid w:val="002D400C"/>
    <w:rsid w:val="002D43A8"/>
    <w:rsid w:val="002D4405"/>
    <w:rsid w:val="002D5107"/>
    <w:rsid w:val="002D51E7"/>
    <w:rsid w:val="002D5940"/>
    <w:rsid w:val="002D5F7C"/>
    <w:rsid w:val="002D6017"/>
    <w:rsid w:val="002D621A"/>
    <w:rsid w:val="002D632C"/>
    <w:rsid w:val="002D64FD"/>
    <w:rsid w:val="002D6696"/>
    <w:rsid w:val="002D6AC5"/>
    <w:rsid w:val="002D6C47"/>
    <w:rsid w:val="002D6D3F"/>
    <w:rsid w:val="002D6F1A"/>
    <w:rsid w:val="002D7256"/>
    <w:rsid w:val="002D7B62"/>
    <w:rsid w:val="002E064F"/>
    <w:rsid w:val="002E0ECD"/>
    <w:rsid w:val="002E17C0"/>
    <w:rsid w:val="002E2C17"/>
    <w:rsid w:val="002E3DC4"/>
    <w:rsid w:val="002E552E"/>
    <w:rsid w:val="002E5673"/>
    <w:rsid w:val="002E5CCF"/>
    <w:rsid w:val="002E6451"/>
    <w:rsid w:val="002E657C"/>
    <w:rsid w:val="002E6CB3"/>
    <w:rsid w:val="002E6D5D"/>
    <w:rsid w:val="002E6FAE"/>
    <w:rsid w:val="002E7ADC"/>
    <w:rsid w:val="002F0536"/>
    <w:rsid w:val="002F067D"/>
    <w:rsid w:val="002F09A7"/>
    <w:rsid w:val="002F0D59"/>
    <w:rsid w:val="002F0D7B"/>
    <w:rsid w:val="002F100D"/>
    <w:rsid w:val="002F169E"/>
    <w:rsid w:val="002F1C37"/>
    <w:rsid w:val="002F1CFB"/>
    <w:rsid w:val="002F23A9"/>
    <w:rsid w:val="002F23E7"/>
    <w:rsid w:val="002F2BC7"/>
    <w:rsid w:val="002F343D"/>
    <w:rsid w:val="002F38A9"/>
    <w:rsid w:val="002F3A93"/>
    <w:rsid w:val="002F4693"/>
    <w:rsid w:val="002F4C33"/>
    <w:rsid w:val="002F4D98"/>
    <w:rsid w:val="002F4FB4"/>
    <w:rsid w:val="002F548E"/>
    <w:rsid w:val="002F577D"/>
    <w:rsid w:val="002F5CAE"/>
    <w:rsid w:val="002F6194"/>
    <w:rsid w:val="002F6EC3"/>
    <w:rsid w:val="002F6FB3"/>
    <w:rsid w:val="002F73A4"/>
    <w:rsid w:val="002F79BD"/>
    <w:rsid w:val="002F7E50"/>
    <w:rsid w:val="003008EC"/>
    <w:rsid w:val="00301D77"/>
    <w:rsid w:val="00302422"/>
    <w:rsid w:val="00302CDC"/>
    <w:rsid w:val="0030331B"/>
    <w:rsid w:val="003034D9"/>
    <w:rsid w:val="00303D84"/>
    <w:rsid w:val="003044B6"/>
    <w:rsid w:val="00304B2F"/>
    <w:rsid w:val="00304FCD"/>
    <w:rsid w:val="0030532D"/>
    <w:rsid w:val="003054DE"/>
    <w:rsid w:val="00305E3C"/>
    <w:rsid w:val="00305F52"/>
    <w:rsid w:val="00306A76"/>
    <w:rsid w:val="00306D7F"/>
    <w:rsid w:val="003071B4"/>
    <w:rsid w:val="003072FF"/>
    <w:rsid w:val="00307B63"/>
    <w:rsid w:val="003100B0"/>
    <w:rsid w:val="00310744"/>
    <w:rsid w:val="00310C45"/>
    <w:rsid w:val="00310C63"/>
    <w:rsid w:val="00312CB7"/>
    <w:rsid w:val="0031331B"/>
    <w:rsid w:val="003135CF"/>
    <w:rsid w:val="00313AB2"/>
    <w:rsid w:val="00313F91"/>
    <w:rsid w:val="003146AB"/>
    <w:rsid w:val="00314CEB"/>
    <w:rsid w:val="00314D61"/>
    <w:rsid w:val="003155DC"/>
    <w:rsid w:val="003162BA"/>
    <w:rsid w:val="00316317"/>
    <w:rsid w:val="00316BAB"/>
    <w:rsid w:val="00316EE2"/>
    <w:rsid w:val="00316F6A"/>
    <w:rsid w:val="0031704F"/>
    <w:rsid w:val="0031713F"/>
    <w:rsid w:val="00317B4D"/>
    <w:rsid w:val="00317B94"/>
    <w:rsid w:val="00317C27"/>
    <w:rsid w:val="00317F59"/>
    <w:rsid w:val="0032008F"/>
    <w:rsid w:val="00320169"/>
    <w:rsid w:val="003202C1"/>
    <w:rsid w:val="00321263"/>
    <w:rsid w:val="0032135F"/>
    <w:rsid w:val="0032156F"/>
    <w:rsid w:val="00321709"/>
    <w:rsid w:val="00322065"/>
    <w:rsid w:val="00322183"/>
    <w:rsid w:val="003221E5"/>
    <w:rsid w:val="00322463"/>
    <w:rsid w:val="0032252B"/>
    <w:rsid w:val="00322980"/>
    <w:rsid w:val="00322A8E"/>
    <w:rsid w:val="00322D81"/>
    <w:rsid w:val="0032312E"/>
    <w:rsid w:val="00323262"/>
    <w:rsid w:val="0032476E"/>
    <w:rsid w:val="00324F76"/>
    <w:rsid w:val="00324FB1"/>
    <w:rsid w:val="00325153"/>
    <w:rsid w:val="0032517E"/>
    <w:rsid w:val="003252E4"/>
    <w:rsid w:val="00325303"/>
    <w:rsid w:val="00325D8C"/>
    <w:rsid w:val="0032782B"/>
    <w:rsid w:val="00327BDC"/>
    <w:rsid w:val="00330100"/>
    <w:rsid w:val="00330135"/>
    <w:rsid w:val="00330AB9"/>
    <w:rsid w:val="00331053"/>
    <w:rsid w:val="00331355"/>
    <w:rsid w:val="00331AE4"/>
    <w:rsid w:val="00331B56"/>
    <w:rsid w:val="00331D9E"/>
    <w:rsid w:val="00331F65"/>
    <w:rsid w:val="00332354"/>
    <w:rsid w:val="00332684"/>
    <w:rsid w:val="003329FD"/>
    <w:rsid w:val="00332E38"/>
    <w:rsid w:val="00333389"/>
    <w:rsid w:val="003338E7"/>
    <w:rsid w:val="00333DE9"/>
    <w:rsid w:val="00333F50"/>
    <w:rsid w:val="0033439D"/>
    <w:rsid w:val="00334592"/>
    <w:rsid w:val="00334819"/>
    <w:rsid w:val="00334F74"/>
    <w:rsid w:val="0033507A"/>
    <w:rsid w:val="003353D9"/>
    <w:rsid w:val="00335C43"/>
    <w:rsid w:val="0033606D"/>
    <w:rsid w:val="00337327"/>
    <w:rsid w:val="00340198"/>
    <w:rsid w:val="0034099A"/>
    <w:rsid w:val="00340D5D"/>
    <w:rsid w:val="00341505"/>
    <w:rsid w:val="00341827"/>
    <w:rsid w:val="00341BC9"/>
    <w:rsid w:val="00341F43"/>
    <w:rsid w:val="00341FA7"/>
    <w:rsid w:val="0034325F"/>
    <w:rsid w:val="003432F0"/>
    <w:rsid w:val="003434E5"/>
    <w:rsid w:val="00343D69"/>
    <w:rsid w:val="00344419"/>
    <w:rsid w:val="003445E5"/>
    <w:rsid w:val="00344990"/>
    <w:rsid w:val="00344BA8"/>
    <w:rsid w:val="00345361"/>
    <w:rsid w:val="0034557A"/>
    <w:rsid w:val="00345F9D"/>
    <w:rsid w:val="00346C32"/>
    <w:rsid w:val="00346DB6"/>
    <w:rsid w:val="00346EC1"/>
    <w:rsid w:val="003470D9"/>
    <w:rsid w:val="003471E9"/>
    <w:rsid w:val="0034729F"/>
    <w:rsid w:val="003477A9"/>
    <w:rsid w:val="00350225"/>
    <w:rsid w:val="003507EB"/>
    <w:rsid w:val="00350C2F"/>
    <w:rsid w:val="00350FDD"/>
    <w:rsid w:val="00351491"/>
    <w:rsid w:val="00351929"/>
    <w:rsid w:val="00352846"/>
    <w:rsid w:val="00353C58"/>
    <w:rsid w:val="00353DB1"/>
    <w:rsid w:val="00354016"/>
    <w:rsid w:val="0035478B"/>
    <w:rsid w:val="003551C9"/>
    <w:rsid w:val="003558E1"/>
    <w:rsid w:val="003559BE"/>
    <w:rsid w:val="00355A8D"/>
    <w:rsid w:val="00355B89"/>
    <w:rsid w:val="003566E5"/>
    <w:rsid w:val="0035694E"/>
    <w:rsid w:val="00356AE2"/>
    <w:rsid w:val="00356F9F"/>
    <w:rsid w:val="00357964"/>
    <w:rsid w:val="00361607"/>
    <w:rsid w:val="00361C54"/>
    <w:rsid w:val="00361D02"/>
    <w:rsid w:val="00362896"/>
    <w:rsid w:val="00362CA9"/>
    <w:rsid w:val="00363764"/>
    <w:rsid w:val="00363A25"/>
    <w:rsid w:val="00363EDD"/>
    <w:rsid w:val="0036571F"/>
    <w:rsid w:val="003658C9"/>
    <w:rsid w:val="003662F2"/>
    <w:rsid w:val="00366BFA"/>
    <w:rsid w:val="00367340"/>
    <w:rsid w:val="003676CD"/>
    <w:rsid w:val="003709EF"/>
    <w:rsid w:val="00370C4B"/>
    <w:rsid w:val="00370D62"/>
    <w:rsid w:val="00371B80"/>
    <w:rsid w:val="00371C6F"/>
    <w:rsid w:val="0037268A"/>
    <w:rsid w:val="00372719"/>
    <w:rsid w:val="003729C9"/>
    <w:rsid w:val="00372B20"/>
    <w:rsid w:val="00373D04"/>
    <w:rsid w:val="003742E8"/>
    <w:rsid w:val="00375134"/>
    <w:rsid w:val="003760E0"/>
    <w:rsid w:val="003767A3"/>
    <w:rsid w:val="003773FB"/>
    <w:rsid w:val="003774FE"/>
    <w:rsid w:val="00377A5A"/>
    <w:rsid w:val="00377FCC"/>
    <w:rsid w:val="00380C5B"/>
    <w:rsid w:val="003812D9"/>
    <w:rsid w:val="00381C7D"/>
    <w:rsid w:val="003821E9"/>
    <w:rsid w:val="00382A45"/>
    <w:rsid w:val="00383085"/>
    <w:rsid w:val="003837FD"/>
    <w:rsid w:val="00383DCF"/>
    <w:rsid w:val="00383F51"/>
    <w:rsid w:val="003843BC"/>
    <w:rsid w:val="0038460F"/>
    <w:rsid w:val="00384824"/>
    <w:rsid w:val="00385238"/>
    <w:rsid w:val="003856E1"/>
    <w:rsid w:val="0038573F"/>
    <w:rsid w:val="003866E5"/>
    <w:rsid w:val="00386D81"/>
    <w:rsid w:val="00387166"/>
    <w:rsid w:val="003872CA"/>
    <w:rsid w:val="00387DA4"/>
    <w:rsid w:val="003900C7"/>
    <w:rsid w:val="0039054E"/>
    <w:rsid w:val="00390A25"/>
    <w:rsid w:val="003916C6"/>
    <w:rsid w:val="003927D4"/>
    <w:rsid w:val="00392B2A"/>
    <w:rsid w:val="00392CA8"/>
    <w:rsid w:val="0039315C"/>
    <w:rsid w:val="0039401E"/>
    <w:rsid w:val="00394CA2"/>
    <w:rsid w:val="00395528"/>
    <w:rsid w:val="0039633D"/>
    <w:rsid w:val="0039661C"/>
    <w:rsid w:val="00397E5F"/>
    <w:rsid w:val="003A084C"/>
    <w:rsid w:val="003A10C6"/>
    <w:rsid w:val="003A11A6"/>
    <w:rsid w:val="003A1828"/>
    <w:rsid w:val="003A18B4"/>
    <w:rsid w:val="003A1E8D"/>
    <w:rsid w:val="003A2097"/>
    <w:rsid w:val="003A3280"/>
    <w:rsid w:val="003A36C2"/>
    <w:rsid w:val="003A3B2F"/>
    <w:rsid w:val="003A3C2A"/>
    <w:rsid w:val="003A4865"/>
    <w:rsid w:val="003A4BE9"/>
    <w:rsid w:val="003A5805"/>
    <w:rsid w:val="003A59FC"/>
    <w:rsid w:val="003A5D78"/>
    <w:rsid w:val="003A5F99"/>
    <w:rsid w:val="003A6144"/>
    <w:rsid w:val="003A68BA"/>
    <w:rsid w:val="003A6B47"/>
    <w:rsid w:val="003A7488"/>
    <w:rsid w:val="003B0A9B"/>
    <w:rsid w:val="003B122F"/>
    <w:rsid w:val="003B1A1A"/>
    <w:rsid w:val="003B1D8C"/>
    <w:rsid w:val="003B29E6"/>
    <w:rsid w:val="003B32E5"/>
    <w:rsid w:val="003B34D4"/>
    <w:rsid w:val="003B36E6"/>
    <w:rsid w:val="003B36E7"/>
    <w:rsid w:val="003B3771"/>
    <w:rsid w:val="003B38C5"/>
    <w:rsid w:val="003B3B11"/>
    <w:rsid w:val="003B3C6A"/>
    <w:rsid w:val="003B4136"/>
    <w:rsid w:val="003B44CA"/>
    <w:rsid w:val="003B4CB6"/>
    <w:rsid w:val="003B544D"/>
    <w:rsid w:val="003B591C"/>
    <w:rsid w:val="003B5ACC"/>
    <w:rsid w:val="003B631A"/>
    <w:rsid w:val="003B63EF"/>
    <w:rsid w:val="003B6E9C"/>
    <w:rsid w:val="003B7473"/>
    <w:rsid w:val="003B751E"/>
    <w:rsid w:val="003C0489"/>
    <w:rsid w:val="003C17DC"/>
    <w:rsid w:val="003C1C2A"/>
    <w:rsid w:val="003C240C"/>
    <w:rsid w:val="003C24B2"/>
    <w:rsid w:val="003C288F"/>
    <w:rsid w:val="003C297E"/>
    <w:rsid w:val="003C3164"/>
    <w:rsid w:val="003C3404"/>
    <w:rsid w:val="003C3856"/>
    <w:rsid w:val="003C4581"/>
    <w:rsid w:val="003C4A34"/>
    <w:rsid w:val="003C4A80"/>
    <w:rsid w:val="003C56D7"/>
    <w:rsid w:val="003C5743"/>
    <w:rsid w:val="003C64B8"/>
    <w:rsid w:val="003C6F22"/>
    <w:rsid w:val="003C7663"/>
    <w:rsid w:val="003D0045"/>
    <w:rsid w:val="003D02E5"/>
    <w:rsid w:val="003D058B"/>
    <w:rsid w:val="003D0710"/>
    <w:rsid w:val="003D08B8"/>
    <w:rsid w:val="003D0CEC"/>
    <w:rsid w:val="003D10E4"/>
    <w:rsid w:val="003D1E10"/>
    <w:rsid w:val="003D2413"/>
    <w:rsid w:val="003D247E"/>
    <w:rsid w:val="003D28BB"/>
    <w:rsid w:val="003D2B5B"/>
    <w:rsid w:val="003D2C12"/>
    <w:rsid w:val="003D309B"/>
    <w:rsid w:val="003D3A8D"/>
    <w:rsid w:val="003D3B08"/>
    <w:rsid w:val="003D40CF"/>
    <w:rsid w:val="003D40F0"/>
    <w:rsid w:val="003D4A55"/>
    <w:rsid w:val="003D58B4"/>
    <w:rsid w:val="003D5CAB"/>
    <w:rsid w:val="003D633E"/>
    <w:rsid w:val="003D6AC4"/>
    <w:rsid w:val="003D7427"/>
    <w:rsid w:val="003D78C7"/>
    <w:rsid w:val="003D7AC6"/>
    <w:rsid w:val="003D7BEE"/>
    <w:rsid w:val="003D7CFE"/>
    <w:rsid w:val="003E1709"/>
    <w:rsid w:val="003E283F"/>
    <w:rsid w:val="003E2DCB"/>
    <w:rsid w:val="003E2E40"/>
    <w:rsid w:val="003E3233"/>
    <w:rsid w:val="003E3531"/>
    <w:rsid w:val="003E3AE5"/>
    <w:rsid w:val="003E4094"/>
    <w:rsid w:val="003E459F"/>
    <w:rsid w:val="003E4CFC"/>
    <w:rsid w:val="003E5584"/>
    <w:rsid w:val="003E5689"/>
    <w:rsid w:val="003E6014"/>
    <w:rsid w:val="003E627D"/>
    <w:rsid w:val="003E62B5"/>
    <w:rsid w:val="003E63DC"/>
    <w:rsid w:val="003E73CC"/>
    <w:rsid w:val="003E77A2"/>
    <w:rsid w:val="003E78C2"/>
    <w:rsid w:val="003F053B"/>
    <w:rsid w:val="003F06FD"/>
    <w:rsid w:val="003F0B3F"/>
    <w:rsid w:val="003F0B82"/>
    <w:rsid w:val="003F0C6A"/>
    <w:rsid w:val="003F112E"/>
    <w:rsid w:val="003F1CA0"/>
    <w:rsid w:val="003F2680"/>
    <w:rsid w:val="003F29C5"/>
    <w:rsid w:val="003F2D75"/>
    <w:rsid w:val="003F3906"/>
    <w:rsid w:val="003F3F8F"/>
    <w:rsid w:val="003F3F96"/>
    <w:rsid w:val="003F435D"/>
    <w:rsid w:val="003F475B"/>
    <w:rsid w:val="003F4892"/>
    <w:rsid w:val="003F49E6"/>
    <w:rsid w:val="003F4E25"/>
    <w:rsid w:val="003F59C9"/>
    <w:rsid w:val="003F60EA"/>
    <w:rsid w:val="003F621A"/>
    <w:rsid w:val="003F628F"/>
    <w:rsid w:val="003F73AF"/>
    <w:rsid w:val="003F783C"/>
    <w:rsid w:val="003F7912"/>
    <w:rsid w:val="003F7C7D"/>
    <w:rsid w:val="00400246"/>
    <w:rsid w:val="004007AB"/>
    <w:rsid w:val="004007BE"/>
    <w:rsid w:val="00400A8B"/>
    <w:rsid w:val="00401682"/>
    <w:rsid w:val="00401A5E"/>
    <w:rsid w:val="00402BC8"/>
    <w:rsid w:val="00402C2E"/>
    <w:rsid w:val="00402C8E"/>
    <w:rsid w:val="0040322A"/>
    <w:rsid w:val="00403728"/>
    <w:rsid w:val="00403A61"/>
    <w:rsid w:val="00404001"/>
    <w:rsid w:val="00404DC3"/>
    <w:rsid w:val="00404FCD"/>
    <w:rsid w:val="00404FEA"/>
    <w:rsid w:val="00405BF8"/>
    <w:rsid w:val="00405C43"/>
    <w:rsid w:val="0040660D"/>
    <w:rsid w:val="00406DDF"/>
    <w:rsid w:val="00407647"/>
    <w:rsid w:val="00407B6B"/>
    <w:rsid w:val="00411C13"/>
    <w:rsid w:val="00412044"/>
    <w:rsid w:val="00412815"/>
    <w:rsid w:val="00412A05"/>
    <w:rsid w:val="00413AEB"/>
    <w:rsid w:val="00413DC9"/>
    <w:rsid w:val="0041406F"/>
    <w:rsid w:val="0041484F"/>
    <w:rsid w:val="00415255"/>
    <w:rsid w:val="004153B8"/>
    <w:rsid w:val="004154B1"/>
    <w:rsid w:val="00415E40"/>
    <w:rsid w:val="00415F09"/>
    <w:rsid w:val="00415FFF"/>
    <w:rsid w:val="004166E5"/>
    <w:rsid w:val="004169CA"/>
    <w:rsid w:val="004169E6"/>
    <w:rsid w:val="00416A34"/>
    <w:rsid w:val="00416BB6"/>
    <w:rsid w:val="00416E25"/>
    <w:rsid w:val="00417CAA"/>
    <w:rsid w:val="004202F8"/>
    <w:rsid w:val="00420FCD"/>
    <w:rsid w:val="0042153C"/>
    <w:rsid w:val="00421D87"/>
    <w:rsid w:val="00422241"/>
    <w:rsid w:val="00422324"/>
    <w:rsid w:val="0042235D"/>
    <w:rsid w:val="004227C5"/>
    <w:rsid w:val="00422DBB"/>
    <w:rsid w:val="0042334A"/>
    <w:rsid w:val="00424900"/>
    <w:rsid w:val="00424C31"/>
    <w:rsid w:val="004250F7"/>
    <w:rsid w:val="004252F9"/>
    <w:rsid w:val="00425740"/>
    <w:rsid w:val="00426903"/>
    <w:rsid w:val="0042720A"/>
    <w:rsid w:val="0042768C"/>
    <w:rsid w:val="00427B77"/>
    <w:rsid w:val="00427DDB"/>
    <w:rsid w:val="00430049"/>
    <w:rsid w:val="00430280"/>
    <w:rsid w:val="00430C68"/>
    <w:rsid w:val="00432E56"/>
    <w:rsid w:val="004336BF"/>
    <w:rsid w:val="00433D9B"/>
    <w:rsid w:val="00433E31"/>
    <w:rsid w:val="004342CD"/>
    <w:rsid w:val="00434AC7"/>
    <w:rsid w:val="00434B1C"/>
    <w:rsid w:val="00434DBA"/>
    <w:rsid w:val="004357FF"/>
    <w:rsid w:val="00435941"/>
    <w:rsid w:val="004359A9"/>
    <w:rsid w:val="00436924"/>
    <w:rsid w:val="00436C87"/>
    <w:rsid w:val="00437BC6"/>
    <w:rsid w:val="00440664"/>
    <w:rsid w:val="00440983"/>
    <w:rsid w:val="00441484"/>
    <w:rsid w:val="00441946"/>
    <w:rsid w:val="004419C7"/>
    <w:rsid w:val="00442216"/>
    <w:rsid w:val="0044244D"/>
    <w:rsid w:val="00442F42"/>
    <w:rsid w:val="00444B4C"/>
    <w:rsid w:val="00445AFC"/>
    <w:rsid w:val="00446409"/>
    <w:rsid w:val="004465AC"/>
    <w:rsid w:val="00446614"/>
    <w:rsid w:val="00446B48"/>
    <w:rsid w:val="00447698"/>
    <w:rsid w:val="00447A25"/>
    <w:rsid w:val="00447F1C"/>
    <w:rsid w:val="0044F2FA"/>
    <w:rsid w:val="004501C2"/>
    <w:rsid w:val="004504F6"/>
    <w:rsid w:val="00450519"/>
    <w:rsid w:val="004506F0"/>
    <w:rsid w:val="004509DD"/>
    <w:rsid w:val="00450D43"/>
    <w:rsid w:val="004517A8"/>
    <w:rsid w:val="00452229"/>
    <w:rsid w:val="004528D6"/>
    <w:rsid w:val="00452F7E"/>
    <w:rsid w:val="004536FD"/>
    <w:rsid w:val="00453CB1"/>
    <w:rsid w:val="00453FBF"/>
    <w:rsid w:val="00454551"/>
    <w:rsid w:val="004546B6"/>
    <w:rsid w:val="004547B5"/>
    <w:rsid w:val="00454938"/>
    <w:rsid w:val="00454BFD"/>
    <w:rsid w:val="004553D3"/>
    <w:rsid w:val="00455B05"/>
    <w:rsid w:val="0045630D"/>
    <w:rsid w:val="00456ADB"/>
    <w:rsid w:val="00456EA5"/>
    <w:rsid w:val="004573F1"/>
    <w:rsid w:val="00457CCD"/>
    <w:rsid w:val="00457D47"/>
    <w:rsid w:val="00460CBD"/>
    <w:rsid w:val="00460CBF"/>
    <w:rsid w:val="00461C41"/>
    <w:rsid w:val="0046201C"/>
    <w:rsid w:val="00462218"/>
    <w:rsid w:val="00462248"/>
    <w:rsid w:val="00462295"/>
    <w:rsid w:val="0046253B"/>
    <w:rsid w:val="004629A5"/>
    <w:rsid w:val="00462F35"/>
    <w:rsid w:val="004631A8"/>
    <w:rsid w:val="00463550"/>
    <w:rsid w:val="0046399A"/>
    <w:rsid w:val="00464181"/>
    <w:rsid w:val="004644C4"/>
    <w:rsid w:val="004650DB"/>
    <w:rsid w:val="004651A1"/>
    <w:rsid w:val="004653AF"/>
    <w:rsid w:val="0046638A"/>
    <w:rsid w:val="00466A7A"/>
    <w:rsid w:val="00466CC7"/>
    <w:rsid w:val="00467757"/>
    <w:rsid w:val="00467998"/>
    <w:rsid w:val="00470EE9"/>
    <w:rsid w:val="00471552"/>
    <w:rsid w:val="004719F0"/>
    <w:rsid w:val="00471A16"/>
    <w:rsid w:val="00471F3C"/>
    <w:rsid w:val="0047249C"/>
    <w:rsid w:val="0047330B"/>
    <w:rsid w:val="00473ABD"/>
    <w:rsid w:val="00473B84"/>
    <w:rsid w:val="00473F99"/>
    <w:rsid w:val="004744F0"/>
    <w:rsid w:val="00475364"/>
    <w:rsid w:val="004753F7"/>
    <w:rsid w:val="00475BF0"/>
    <w:rsid w:val="004764B5"/>
    <w:rsid w:val="00476715"/>
    <w:rsid w:val="004768AF"/>
    <w:rsid w:val="00476A4C"/>
    <w:rsid w:val="00477562"/>
    <w:rsid w:val="004778A0"/>
    <w:rsid w:val="00477B06"/>
    <w:rsid w:val="00477F84"/>
    <w:rsid w:val="0048024C"/>
    <w:rsid w:val="00480F1B"/>
    <w:rsid w:val="00481038"/>
    <w:rsid w:val="00481AB4"/>
    <w:rsid w:val="00481FEC"/>
    <w:rsid w:val="00483436"/>
    <w:rsid w:val="00484633"/>
    <w:rsid w:val="00484EF7"/>
    <w:rsid w:val="004854CD"/>
    <w:rsid w:val="004854D7"/>
    <w:rsid w:val="0048594B"/>
    <w:rsid w:val="00485FDD"/>
    <w:rsid w:val="0048612B"/>
    <w:rsid w:val="0048623B"/>
    <w:rsid w:val="00486723"/>
    <w:rsid w:val="004868BA"/>
    <w:rsid w:val="00486905"/>
    <w:rsid w:val="00487F7A"/>
    <w:rsid w:val="004905BB"/>
    <w:rsid w:val="004905E3"/>
    <w:rsid w:val="0049079F"/>
    <w:rsid w:val="004909CA"/>
    <w:rsid w:val="00490B34"/>
    <w:rsid w:val="00491168"/>
    <w:rsid w:val="00491224"/>
    <w:rsid w:val="00491AA3"/>
    <w:rsid w:val="00491B03"/>
    <w:rsid w:val="00491C43"/>
    <w:rsid w:val="00491D41"/>
    <w:rsid w:val="004924A0"/>
    <w:rsid w:val="004925B9"/>
    <w:rsid w:val="00492AEE"/>
    <w:rsid w:val="004930D3"/>
    <w:rsid w:val="00493271"/>
    <w:rsid w:val="004936E3"/>
    <w:rsid w:val="004937EE"/>
    <w:rsid w:val="0049407F"/>
    <w:rsid w:val="00494313"/>
    <w:rsid w:val="00494703"/>
    <w:rsid w:val="004947FD"/>
    <w:rsid w:val="00494B3A"/>
    <w:rsid w:val="0049517D"/>
    <w:rsid w:val="00496756"/>
    <w:rsid w:val="00496909"/>
    <w:rsid w:val="00496D89"/>
    <w:rsid w:val="0049734A"/>
    <w:rsid w:val="00497535"/>
    <w:rsid w:val="004A060A"/>
    <w:rsid w:val="004A0D46"/>
    <w:rsid w:val="004A1B58"/>
    <w:rsid w:val="004A23DA"/>
    <w:rsid w:val="004A2556"/>
    <w:rsid w:val="004A275B"/>
    <w:rsid w:val="004A29D5"/>
    <w:rsid w:val="004A2A69"/>
    <w:rsid w:val="004A3150"/>
    <w:rsid w:val="004A3376"/>
    <w:rsid w:val="004A3E8A"/>
    <w:rsid w:val="004A491C"/>
    <w:rsid w:val="004A4C11"/>
    <w:rsid w:val="004A51B8"/>
    <w:rsid w:val="004A5609"/>
    <w:rsid w:val="004A5FE8"/>
    <w:rsid w:val="004A71E0"/>
    <w:rsid w:val="004A7219"/>
    <w:rsid w:val="004A78DB"/>
    <w:rsid w:val="004A7F26"/>
    <w:rsid w:val="004B0AB5"/>
    <w:rsid w:val="004B0B24"/>
    <w:rsid w:val="004B1493"/>
    <w:rsid w:val="004B1948"/>
    <w:rsid w:val="004B1F29"/>
    <w:rsid w:val="004B2534"/>
    <w:rsid w:val="004B25E6"/>
    <w:rsid w:val="004B2B6C"/>
    <w:rsid w:val="004B3140"/>
    <w:rsid w:val="004B3210"/>
    <w:rsid w:val="004B3FE1"/>
    <w:rsid w:val="004B437C"/>
    <w:rsid w:val="004B459B"/>
    <w:rsid w:val="004B4DF9"/>
    <w:rsid w:val="004B6158"/>
    <w:rsid w:val="004B66C7"/>
    <w:rsid w:val="004B674C"/>
    <w:rsid w:val="004B682C"/>
    <w:rsid w:val="004C08FD"/>
    <w:rsid w:val="004C14F3"/>
    <w:rsid w:val="004C215F"/>
    <w:rsid w:val="004C26D2"/>
    <w:rsid w:val="004C2BA4"/>
    <w:rsid w:val="004C2F33"/>
    <w:rsid w:val="004C3E5E"/>
    <w:rsid w:val="004C4738"/>
    <w:rsid w:val="004C51F7"/>
    <w:rsid w:val="004C5414"/>
    <w:rsid w:val="004C589D"/>
    <w:rsid w:val="004C5E55"/>
    <w:rsid w:val="004C6455"/>
    <w:rsid w:val="004C6BD4"/>
    <w:rsid w:val="004C6BDF"/>
    <w:rsid w:val="004C6F0D"/>
    <w:rsid w:val="004C7954"/>
    <w:rsid w:val="004C7CAA"/>
    <w:rsid w:val="004D07E7"/>
    <w:rsid w:val="004D0870"/>
    <w:rsid w:val="004D11BE"/>
    <w:rsid w:val="004D196E"/>
    <w:rsid w:val="004D262D"/>
    <w:rsid w:val="004D2CF8"/>
    <w:rsid w:val="004D46F0"/>
    <w:rsid w:val="004D48E3"/>
    <w:rsid w:val="004D60A8"/>
    <w:rsid w:val="004D60EA"/>
    <w:rsid w:val="004D64C8"/>
    <w:rsid w:val="004D6CDB"/>
    <w:rsid w:val="004D723B"/>
    <w:rsid w:val="004D7765"/>
    <w:rsid w:val="004D7806"/>
    <w:rsid w:val="004E1687"/>
    <w:rsid w:val="004E2597"/>
    <w:rsid w:val="004E2B40"/>
    <w:rsid w:val="004E2F26"/>
    <w:rsid w:val="004E3B6D"/>
    <w:rsid w:val="004E3DAE"/>
    <w:rsid w:val="004E4075"/>
    <w:rsid w:val="004E46B1"/>
    <w:rsid w:val="004E4E4C"/>
    <w:rsid w:val="004E5C94"/>
    <w:rsid w:val="004E5E3E"/>
    <w:rsid w:val="004E5F53"/>
    <w:rsid w:val="004E6D40"/>
    <w:rsid w:val="004E771D"/>
    <w:rsid w:val="004E7B07"/>
    <w:rsid w:val="004E7E05"/>
    <w:rsid w:val="004F002C"/>
    <w:rsid w:val="004F0196"/>
    <w:rsid w:val="004F01D3"/>
    <w:rsid w:val="004F06B6"/>
    <w:rsid w:val="004F0E3A"/>
    <w:rsid w:val="004F1ADD"/>
    <w:rsid w:val="004F23E9"/>
    <w:rsid w:val="004F248D"/>
    <w:rsid w:val="004F2511"/>
    <w:rsid w:val="004F2999"/>
    <w:rsid w:val="004F2B6E"/>
    <w:rsid w:val="004F2EC7"/>
    <w:rsid w:val="004F391C"/>
    <w:rsid w:val="004F43D4"/>
    <w:rsid w:val="004F450E"/>
    <w:rsid w:val="004F453A"/>
    <w:rsid w:val="004F4D87"/>
    <w:rsid w:val="004F5EB3"/>
    <w:rsid w:val="004F5EC0"/>
    <w:rsid w:val="004F67F6"/>
    <w:rsid w:val="004F6D8B"/>
    <w:rsid w:val="005002B9"/>
    <w:rsid w:val="005005AD"/>
    <w:rsid w:val="00501DE4"/>
    <w:rsid w:val="00502272"/>
    <w:rsid w:val="00502445"/>
    <w:rsid w:val="0050260C"/>
    <w:rsid w:val="00502B7F"/>
    <w:rsid w:val="00503802"/>
    <w:rsid w:val="00503B26"/>
    <w:rsid w:val="00506560"/>
    <w:rsid w:val="00506B4E"/>
    <w:rsid w:val="0050726B"/>
    <w:rsid w:val="00507694"/>
    <w:rsid w:val="0051008C"/>
    <w:rsid w:val="005109A5"/>
    <w:rsid w:val="005111DB"/>
    <w:rsid w:val="00511442"/>
    <w:rsid w:val="005116A5"/>
    <w:rsid w:val="00511726"/>
    <w:rsid w:val="005123E2"/>
    <w:rsid w:val="00512482"/>
    <w:rsid w:val="005127F2"/>
    <w:rsid w:val="00512839"/>
    <w:rsid w:val="00512AD4"/>
    <w:rsid w:val="00512DB9"/>
    <w:rsid w:val="005144C5"/>
    <w:rsid w:val="005148EC"/>
    <w:rsid w:val="00515AFD"/>
    <w:rsid w:val="00516C0C"/>
    <w:rsid w:val="00517BA8"/>
    <w:rsid w:val="00520CE6"/>
    <w:rsid w:val="005219F2"/>
    <w:rsid w:val="0052286C"/>
    <w:rsid w:val="005231E4"/>
    <w:rsid w:val="00523756"/>
    <w:rsid w:val="00523FDB"/>
    <w:rsid w:val="0052460F"/>
    <w:rsid w:val="00524F9A"/>
    <w:rsid w:val="00525252"/>
    <w:rsid w:val="00525361"/>
    <w:rsid w:val="00525CBB"/>
    <w:rsid w:val="00525DC9"/>
    <w:rsid w:val="00525F88"/>
    <w:rsid w:val="005262E8"/>
    <w:rsid w:val="00526338"/>
    <w:rsid w:val="00526A21"/>
    <w:rsid w:val="00526E55"/>
    <w:rsid w:val="00526F42"/>
    <w:rsid w:val="0052772E"/>
    <w:rsid w:val="005279BE"/>
    <w:rsid w:val="00527BD0"/>
    <w:rsid w:val="00530667"/>
    <w:rsid w:val="005306AE"/>
    <w:rsid w:val="00530AD7"/>
    <w:rsid w:val="0053145F"/>
    <w:rsid w:val="005316D5"/>
    <w:rsid w:val="0053229F"/>
    <w:rsid w:val="005327D6"/>
    <w:rsid w:val="0053282B"/>
    <w:rsid w:val="00532C81"/>
    <w:rsid w:val="00533F8D"/>
    <w:rsid w:val="0053440E"/>
    <w:rsid w:val="0053480B"/>
    <w:rsid w:val="00534AD8"/>
    <w:rsid w:val="00535102"/>
    <w:rsid w:val="0053557E"/>
    <w:rsid w:val="00535D03"/>
    <w:rsid w:val="00536962"/>
    <w:rsid w:val="00536A9F"/>
    <w:rsid w:val="005371C1"/>
    <w:rsid w:val="005373FF"/>
    <w:rsid w:val="0053772F"/>
    <w:rsid w:val="005378B8"/>
    <w:rsid w:val="00537E56"/>
    <w:rsid w:val="00540D82"/>
    <w:rsid w:val="00541060"/>
    <w:rsid w:val="005419EF"/>
    <w:rsid w:val="00541A50"/>
    <w:rsid w:val="00541D71"/>
    <w:rsid w:val="00542651"/>
    <w:rsid w:val="00542EA8"/>
    <w:rsid w:val="005434AD"/>
    <w:rsid w:val="00544329"/>
    <w:rsid w:val="00544CEE"/>
    <w:rsid w:val="00544DB2"/>
    <w:rsid w:val="0054530E"/>
    <w:rsid w:val="005455F1"/>
    <w:rsid w:val="0054586F"/>
    <w:rsid w:val="00545ABF"/>
    <w:rsid w:val="0054640A"/>
    <w:rsid w:val="005471CC"/>
    <w:rsid w:val="005478D8"/>
    <w:rsid w:val="00547D82"/>
    <w:rsid w:val="005506B4"/>
    <w:rsid w:val="005507C8"/>
    <w:rsid w:val="00550B54"/>
    <w:rsid w:val="005517E5"/>
    <w:rsid w:val="005520CB"/>
    <w:rsid w:val="00552209"/>
    <w:rsid w:val="00552287"/>
    <w:rsid w:val="005532DB"/>
    <w:rsid w:val="0055363F"/>
    <w:rsid w:val="0055440D"/>
    <w:rsid w:val="005545E7"/>
    <w:rsid w:val="0055471B"/>
    <w:rsid w:val="00555CF4"/>
    <w:rsid w:val="00556197"/>
    <w:rsid w:val="00557615"/>
    <w:rsid w:val="005576A3"/>
    <w:rsid w:val="005577C2"/>
    <w:rsid w:val="005601F4"/>
    <w:rsid w:val="00560CDB"/>
    <w:rsid w:val="00561212"/>
    <w:rsid w:val="0056272C"/>
    <w:rsid w:val="00562B88"/>
    <w:rsid w:val="0056316B"/>
    <w:rsid w:val="00563801"/>
    <w:rsid w:val="005639C5"/>
    <w:rsid w:val="00564F0E"/>
    <w:rsid w:val="00564F9B"/>
    <w:rsid w:val="00565755"/>
    <w:rsid w:val="00565BC5"/>
    <w:rsid w:val="00565E1F"/>
    <w:rsid w:val="0056638E"/>
    <w:rsid w:val="005663BB"/>
    <w:rsid w:val="005664E1"/>
    <w:rsid w:val="005672E3"/>
    <w:rsid w:val="005673A6"/>
    <w:rsid w:val="005673FE"/>
    <w:rsid w:val="0056751A"/>
    <w:rsid w:val="00567D93"/>
    <w:rsid w:val="005703E6"/>
    <w:rsid w:val="005709E6"/>
    <w:rsid w:val="00570A76"/>
    <w:rsid w:val="00570D39"/>
    <w:rsid w:val="00570ECF"/>
    <w:rsid w:val="005714E2"/>
    <w:rsid w:val="00571E4B"/>
    <w:rsid w:val="00571F15"/>
    <w:rsid w:val="00571FB1"/>
    <w:rsid w:val="00572219"/>
    <w:rsid w:val="00572FF7"/>
    <w:rsid w:val="00573196"/>
    <w:rsid w:val="00574FED"/>
    <w:rsid w:val="0057531A"/>
    <w:rsid w:val="00575690"/>
    <w:rsid w:val="0057657D"/>
    <w:rsid w:val="00577203"/>
    <w:rsid w:val="00577895"/>
    <w:rsid w:val="00580720"/>
    <w:rsid w:val="005808E1"/>
    <w:rsid w:val="00581122"/>
    <w:rsid w:val="0058172E"/>
    <w:rsid w:val="00581D10"/>
    <w:rsid w:val="005823BF"/>
    <w:rsid w:val="00582893"/>
    <w:rsid w:val="005828EE"/>
    <w:rsid w:val="00582B2F"/>
    <w:rsid w:val="00582D7F"/>
    <w:rsid w:val="0058338F"/>
    <w:rsid w:val="00583919"/>
    <w:rsid w:val="00583F12"/>
    <w:rsid w:val="0058466B"/>
    <w:rsid w:val="0058554B"/>
    <w:rsid w:val="00585A74"/>
    <w:rsid w:val="00586186"/>
    <w:rsid w:val="0058620C"/>
    <w:rsid w:val="00586313"/>
    <w:rsid w:val="00586591"/>
    <w:rsid w:val="005868C1"/>
    <w:rsid w:val="00586C09"/>
    <w:rsid w:val="0058701B"/>
    <w:rsid w:val="00587050"/>
    <w:rsid w:val="00587081"/>
    <w:rsid w:val="005873CE"/>
    <w:rsid w:val="005873EF"/>
    <w:rsid w:val="00587CF2"/>
    <w:rsid w:val="0059062E"/>
    <w:rsid w:val="00590987"/>
    <w:rsid w:val="00590FA5"/>
    <w:rsid w:val="00590FCE"/>
    <w:rsid w:val="00591445"/>
    <w:rsid w:val="0059197B"/>
    <w:rsid w:val="00591E07"/>
    <w:rsid w:val="00592074"/>
    <w:rsid w:val="00592613"/>
    <w:rsid w:val="005926E4"/>
    <w:rsid w:val="005926F9"/>
    <w:rsid w:val="005928DF"/>
    <w:rsid w:val="00592FE8"/>
    <w:rsid w:val="0059364E"/>
    <w:rsid w:val="00593688"/>
    <w:rsid w:val="00594C27"/>
    <w:rsid w:val="0059541C"/>
    <w:rsid w:val="0059552C"/>
    <w:rsid w:val="00595D7E"/>
    <w:rsid w:val="005965FB"/>
    <w:rsid w:val="0059660D"/>
    <w:rsid w:val="00596917"/>
    <w:rsid w:val="00596E2A"/>
    <w:rsid w:val="00596E99"/>
    <w:rsid w:val="0059752F"/>
    <w:rsid w:val="0059768F"/>
    <w:rsid w:val="00597D7E"/>
    <w:rsid w:val="005A1FFF"/>
    <w:rsid w:val="005A2079"/>
    <w:rsid w:val="005A266F"/>
    <w:rsid w:val="005A2829"/>
    <w:rsid w:val="005A2E69"/>
    <w:rsid w:val="005A34F6"/>
    <w:rsid w:val="005A3886"/>
    <w:rsid w:val="005A388A"/>
    <w:rsid w:val="005A42ED"/>
    <w:rsid w:val="005A4327"/>
    <w:rsid w:val="005A51A6"/>
    <w:rsid w:val="005A57CF"/>
    <w:rsid w:val="005A5ADD"/>
    <w:rsid w:val="005A628C"/>
    <w:rsid w:val="005A64DD"/>
    <w:rsid w:val="005A726D"/>
    <w:rsid w:val="005B0515"/>
    <w:rsid w:val="005B065A"/>
    <w:rsid w:val="005B07A0"/>
    <w:rsid w:val="005B1580"/>
    <w:rsid w:val="005B1606"/>
    <w:rsid w:val="005B2371"/>
    <w:rsid w:val="005B23E3"/>
    <w:rsid w:val="005B367D"/>
    <w:rsid w:val="005B38E2"/>
    <w:rsid w:val="005B3B1C"/>
    <w:rsid w:val="005B4A99"/>
    <w:rsid w:val="005B4BDE"/>
    <w:rsid w:val="005B50F6"/>
    <w:rsid w:val="005B5177"/>
    <w:rsid w:val="005B56FF"/>
    <w:rsid w:val="005B57AF"/>
    <w:rsid w:val="005B5AAC"/>
    <w:rsid w:val="005B5EDD"/>
    <w:rsid w:val="005B62F7"/>
    <w:rsid w:val="005B6789"/>
    <w:rsid w:val="005B6B85"/>
    <w:rsid w:val="005B6DCF"/>
    <w:rsid w:val="005B71BE"/>
    <w:rsid w:val="005B760E"/>
    <w:rsid w:val="005B763A"/>
    <w:rsid w:val="005B7E3F"/>
    <w:rsid w:val="005C00FC"/>
    <w:rsid w:val="005C0999"/>
    <w:rsid w:val="005C0A2D"/>
    <w:rsid w:val="005C0B30"/>
    <w:rsid w:val="005C1A16"/>
    <w:rsid w:val="005C2C02"/>
    <w:rsid w:val="005C3660"/>
    <w:rsid w:val="005C4491"/>
    <w:rsid w:val="005C45B6"/>
    <w:rsid w:val="005C480D"/>
    <w:rsid w:val="005C4A79"/>
    <w:rsid w:val="005C5D5D"/>
    <w:rsid w:val="005C6987"/>
    <w:rsid w:val="005C745E"/>
    <w:rsid w:val="005D201B"/>
    <w:rsid w:val="005D31C1"/>
    <w:rsid w:val="005D326A"/>
    <w:rsid w:val="005D3455"/>
    <w:rsid w:val="005D424E"/>
    <w:rsid w:val="005D48A0"/>
    <w:rsid w:val="005D4E16"/>
    <w:rsid w:val="005D5E34"/>
    <w:rsid w:val="005D600F"/>
    <w:rsid w:val="005D614F"/>
    <w:rsid w:val="005D634A"/>
    <w:rsid w:val="005D6A4D"/>
    <w:rsid w:val="005D6B1A"/>
    <w:rsid w:val="005D6F94"/>
    <w:rsid w:val="005D736C"/>
    <w:rsid w:val="005D7CF0"/>
    <w:rsid w:val="005D7FF8"/>
    <w:rsid w:val="005E028A"/>
    <w:rsid w:val="005E1000"/>
    <w:rsid w:val="005E13AC"/>
    <w:rsid w:val="005E1819"/>
    <w:rsid w:val="005E21FA"/>
    <w:rsid w:val="005E2596"/>
    <w:rsid w:val="005E268C"/>
    <w:rsid w:val="005E2A2B"/>
    <w:rsid w:val="005E2F49"/>
    <w:rsid w:val="005E40EE"/>
    <w:rsid w:val="005E439D"/>
    <w:rsid w:val="005E459B"/>
    <w:rsid w:val="005E5551"/>
    <w:rsid w:val="005E587F"/>
    <w:rsid w:val="005E58E6"/>
    <w:rsid w:val="005E64C7"/>
    <w:rsid w:val="005E6532"/>
    <w:rsid w:val="005E680F"/>
    <w:rsid w:val="005E6DAA"/>
    <w:rsid w:val="005E6EA3"/>
    <w:rsid w:val="005E6EED"/>
    <w:rsid w:val="005E7A6D"/>
    <w:rsid w:val="005F05D1"/>
    <w:rsid w:val="005F0863"/>
    <w:rsid w:val="005F0A42"/>
    <w:rsid w:val="005F173F"/>
    <w:rsid w:val="005F175E"/>
    <w:rsid w:val="005F18A3"/>
    <w:rsid w:val="005F2E59"/>
    <w:rsid w:val="005F31CB"/>
    <w:rsid w:val="005F343D"/>
    <w:rsid w:val="005F388E"/>
    <w:rsid w:val="005F58A2"/>
    <w:rsid w:val="005F5FEE"/>
    <w:rsid w:val="005F682C"/>
    <w:rsid w:val="005F6E72"/>
    <w:rsid w:val="005F6FAE"/>
    <w:rsid w:val="005F6FFB"/>
    <w:rsid w:val="005F77F0"/>
    <w:rsid w:val="00600B82"/>
    <w:rsid w:val="00600D77"/>
    <w:rsid w:val="00600ED6"/>
    <w:rsid w:val="00601108"/>
    <w:rsid w:val="0060143A"/>
    <w:rsid w:val="00602103"/>
    <w:rsid w:val="00602BF9"/>
    <w:rsid w:val="00602F8F"/>
    <w:rsid w:val="00603321"/>
    <w:rsid w:val="00603D07"/>
    <w:rsid w:val="006040D8"/>
    <w:rsid w:val="006042BC"/>
    <w:rsid w:val="0060438E"/>
    <w:rsid w:val="00604BAE"/>
    <w:rsid w:val="00604F68"/>
    <w:rsid w:val="00605182"/>
    <w:rsid w:val="0060522B"/>
    <w:rsid w:val="006053FB"/>
    <w:rsid w:val="006054B2"/>
    <w:rsid w:val="00605595"/>
    <w:rsid w:val="00605746"/>
    <w:rsid w:val="0060580F"/>
    <w:rsid w:val="00605AE3"/>
    <w:rsid w:val="006060AD"/>
    <w:rsid w:val="0060652D"/>
    <w:rsid w:val="00606730"/>
    <w:rsid w:val="00606937"/>
    <w:rsid w:val="0060695C"/>
    <w:rsid w:val="00606DAF"/>
    <w:rsid w:val="00607723"/>
    <w:rsid w:val="00607B8C"/>
    <w:rsid w:val="00607C58"/>
    <w:rsid w:val="00607DC0"/>
    <w:rsid w:val="0061024F"/>
    <w:rsid w:val="00610483"/>
    <w:rsid w:val="006104A6"/>
    <w:rsid w:val="00610D46"/>
    <w:rsid w:val="00611B27"/>
    <w:rsid w:val="00611E0A"/>
    <w:rsid w:val="006122BE"/>
    <w:rsid w:val="006126DB"/>
    <w:rsid w:val="00612890"/>
    <w:rsid w:val="00613404"/>
    <w:rsid w:val="0061413A"/>
    <w:rsid w:val="006142C6"/>
    <w:rsid w:val="00615202"/>
    <w:rsid w:val="00615558"/>
    <w:rsid w:val="00615686"/>
    <w:rsid w:val="00615F5D"/>
    <w:rsid w:val="00616027"/>
    <w:rsid w:val="0061618D"/>
    <w:rsid w:val="006162CF"/>
    <w:rsid w:val="00616EA5"/>
    <w:rsid w:val="00616EF7"/>
    <w:rsid w:val="00617218"/>
    <w:rsid w:val="00617B89"/>
    <w:rsid w:val="00620309"/>
    <w:rsid w:val="006206D0"/>
    <w:rsid w:val="0062122F"/>
    <w:rsid w:val="006212FC"/>
    <w:rsid w:val="00621476"/>
    <w:rsid w:val="00621806"/>
    <w:rsid w:val="00621876"/>
    <w:rsid w:val="00621B5D"/>
    <w:rsid w:val="00621D9D"/>
    <w:rsid w:val="00622491"/>
    <w:rsid w:val="006226CA"/>
    <w:rsid w:val="00623F4C"/>
    <w:rsid w:val="006240B3"/>
    <w:rsid w:val="00624730"/>
    <w:rsid w:val="00625751"/>
    <w:rsid w:val="006258E5"/>
    <w:rsid w:val="0062625C"/>
    <w:rsid w:val="00626F69"/>
    <w:rsid w:val="00627178"/>
    <w:rsid w:val="0062743A"/>
    <w:rsid w:val="0062754C"/>
    <w:rsid w:val="006275CD"/>
    <w:rsid w:val="0063013C"/>
    <w:rsid w:val="006303A5"/>
    <w:rsid w:val="0063057C"/>
    <w:rsid w:val="00630BEB"/>
    <w:rsid w:val="006319F6"/>
    <w:rsid w:val="00632557"/>
    <w:rsid w:val="00632626"/>
    <w:rsid w:val="00632B39"/>
    <w:rsid w:val="00632C5C"/>
    <w:rsid w:val="00632D2A"/>
    <w:rsid w:val="00633289"/>
    <w:rsid w:val="00633790"/>
    <w:rsid w:val="00633D10"/>
    <w:rsid w:val="00633E30"/>
    <w:rsid w:val="0063473E"/>
    <w:rsid w:val="006349C4"/>
    <w:rsid w:val="00634C99"/>
    <w:rsid w:val="00634E86"/>
    <w:rsid w:val="006350BF"/>
    <w:rsid w:val="006354C4"/>
    <w:rsid w:val="00635861"/>
    <w:rsid w:val="0063619C"/>
    <w:rsid w:val="00637AF5"/>
    <w:rsid w:val="00637B80"/>
    <w:rsid w:val="00637E73"/>
    <w:rsid w:val="0064028A"/>
    <w:rsid w:val="00640625"/>
    <w:rsid w:val="006411CD"/>
    <w:rsid w:val="00641234"/>
    <w:rsid w:val="00641BC0"/>
    <w:rsid w:val="00641FEB"/>
    <w:rsid w:val="00642B29"/>
    <w:rsid w:val="00644D73"/>
    <w:rsid w:val="006455C5"/>
    <w:rsid w:val="00645861"/>
    <w:rsid w:val="00645C98"/>
    <w:rsid w:val="006461D2"/>
    <w:rsid w:val="00646E22"/>
    <w:rsid w:val="0064714E"/>
    <w:rsid w:val="0064742B"/>
    <w:rsid w:val="006503E1"/>
    <w:rsid w:val="00650947"/>
    <w:rsid w:val="006514F8"/>
    <w:rsid w:val="00652B2F"/>
    <w:rsid w:val="00652C20"/>
    <w:rsid w:val="006530DB"/>
    <w:rsid w:val="00653343"/>
    <w:rsid w:val="006537DD"/>
    <w:rsid w:val="006538DC"/>
    <w:rsid w:val="006540C8"/>
    <w:rsid w:val="0065411C"/>
    <w:rsid w:val="00654D18"/>
    <w:rsid w:val="006553BE"/>
    <w:rsid w:val="006555A8"/>
    <w:rsid w:val="0065579B"/>
    <w:rsid w:val="0065596E"/>
    <w:rsid w:val="00655DE4"/>
    <w:rsid w:val="00656C9E"/>
    <w:rsid w:val="00657881"/>
    <w:rsid w:val="00657AF9"/>
    <w:rsid w:val="00657D2F"/>
    <w:rsid w:val="00657D3F"/>
    <w:rsid w:val="00657F64"/>
    <w:rsid w:val="00660873"/>
    <w:rsid w:val="0066098F"/>
    <w:rsid w:val="00660B5A"/>
    <w:rsid w:val="006614F9"/>
    <w:rsid w:val="006615FD"/>
    <w:rsid w:val="006616DE"/>
    <w:rsid w:val="00662011"/>
    <w:rsid w:val="006628B8"/>
    <w:rsid w:val="00662D3C"/>
    <w:rsid w:val="00663366"/>
    <w:rsid w:val="00663B68"/>
    <w:rsid w:val="006644EB"/>
    <w:rsid w:val="0066568C"/>
    <w:rsid w:val="006657E3"/>
    <w:rsid w:val="00665C3A"/>
    <w:rsid w:val="00665F42"/>
    <w:rsid w:val="006662DD"/>
    <w:rsid w:val="0066765A"/>
    <w:rsid w:val="006677D5"/>
    <w:rsid w:val="00667934"/>
    <w:rsid w:val="00667FBE"/>
    <w:rsid w:val="00670350"/>
    <w:rsid w:val="006704F3"/>
    <w:rsid w:val="00670CC1"/>
    <w:rsid w:val="00670D6B"/>
    <w:rsid w:val="00671242"/>
    <w:rsid w:val="006719B7"/>
    <w:rsid w:val="00671AF9"/>
    <w:rsid w:val="00671BCA"/>
    <w:rsid w:val="00673770"/>
    <w:rsid w:val="00674665"/>
    <w:rsid w:val="00674D9D"/>
    <w:rsid w:val="006758D0"/>
    <w:rsid w:val="00675EFE"/>
    <w:rsid w:val="00675F81"/>
    <w:rsid w:val="006767CE"/>
    <w:rsid w:val="00677A81"/>
    <w:rsid w:val="00677C84"/>
    <w:rsid w:val="00680695"/>
    <w:rsid w:val="00681200"/>
    <w:rsid w:val="00682201"/>
    <w:rsid w:val="0068222D"/>
    <w:rsid w:val="006830DF"/>
    <w:rsid w:val="006835BF"/>
    <w:rsid w:val="00683AE6"/>
    <w:rsid w:val="00683D12"/>
    <w:rsid w:val="00684076"/>
    <w:rsid w:val="00684218"/>
    <w:rsid w:val="006846FC"/>
    <w:rsid w:val="006847AB"/>
    <w:rsid w:val="006852D8"/>
    <w:rsid w:val="0068570E"/>
    <w:rsid w:val="006857F5"/>
    <w:rsid w:val="006859B9"/>
    <w:rsid w:val="00686B67"/>
    <w:rsid w:val="00686C3A"/>
    <w:rsid w:val="00687B66"/>
    <w:rsid w:val="00690A45"/>
    <w:rsid w:val="00690C8F"/>
    <w:rsid w:val="00690F6D"/>
    <w:rsid w:val="00691653"/>
    <w:rsid w:val="0069177C"/>
    <w:rsid w:val="00692523"/>
    <w:rsid w:val="0069298E"/>
    <w:rsid w:val="006939C0"/>
    <w:rsid w:val="00693B40"/>
    <w:rsid w:val="00693C6E"/>
    <w:rsid w:val="00693EFD"/>
    <w:rsid w:val="006942E3"/>
    <w:rsid w:val="00694332"/>
    <w:rsid w:val="0069486E"/>
    <w:rsid w:val="00694B09"/>
    <w:rsid w:val="0069590D"/>
    <w:rsid w:val="006961CB"/>
    <w:rsid w:val="006965FD"/>
    <w:rsid w:val="006968E8"/>
    <w:rsid w:val="00696E4B"/>
    <w:rsid w:val="006970F0"/>
    <w:rsid w:val="006A10DD"/>
    <w:rsid w:val="006A12E9"/>
    <w:rsid w:val="006A1439"/>
    <w:rsid w:val="006A191A"/>
    <w:rsid w:val="006A1C98"/>
    <w:rsid w:val="006A23F9"/>
    <w:rsid w:val="006A2680"/>
    <w:rsid w:val="006A2A90"/>
    <w:rsid w:val="006A2AC7"/>
    <w:rsid w:val="006A2F66"/>
    <w:rsid w:val="006A2F93"/>
    <w:rsid w:val="006A39A9"/>
    <w:rsid w:val="006A3E32"/>
    <w:rsid w:val="006A4439"/>
    <w:rsid w:val="006A4B7F"/>
    <w:rsid w:val="006A4E98"/>
    <w:rsid w:val="006A527A"/>
    <w:rsid w:val="006A5922"/>
    <w:rsid w:val="006A71C8"/>
    <w:rsid w:val="006A753B"/>
    <w:rsid w:val="006A762A"/>
    <w:rsid w:val="006A7721"/>
    <w:rsid w:val="006A7974"/>
    <w:rsid w:val="006A7B3F"/>
    <w:rsid w:val="006B013C"/>
    <w:rsid w:val="006B0153"/>
    <w:rsid w:val="006B08CB"/>
    <w:rsid w:val="006B0DBF"/>
    <w:rsid w:val="006B0EEB"/>
    <w:rsid w:val="006B102B"/>
    <w:rsid w:val="006B1424"/>
    <w:rsid w:val="006B19C9"/>
    <w:rsid w:val="006B1EE4"/>
    <w:rsid w:val="006B206D"/>
    <w:rsid w:val="006B30D5"/>
    <w:rsid w:val="006B3970"/>
    <w:rsid w:val="006B3BFE"/>
    <w:rsid w:val="006B442C"/>
    <w:rsid w:val="006B4445"/>
    <w:rsid w:val="006B4DFF"/>
    <w:rsid w:val="006B4E3D"/>
    <w:rsid w:val="006B5063"/>
    <w:rsid w:val="006B50EA"/>
    <w:rsid w:val="006B5525"/>
    <w:rsid w:val="006B555A"/>
    <w:rsid w:val="006B6094"/>
    <w:rsid w:val="006B633C"/>
    <w:rsid w:val="006B676B"/>
    <w:rsid w:val="006B6914"/>
    <w:rsid w:val="006B6AA3"/>
    <w:rsid w:val="006B7A11"/>
    <w:rsid w:val="006B7B27"/>
    <w:rsid w:val="006B7E0B"/>
    <w:rsid w:val="006B7E3E"/>
    <w:rsid w:val="006C0108"/>
    <w:rsid w:val="006C074C"/>
    <w:rsid w:val="006C082C"/>
    <w:rsid w:val="006C08CE"/>
    <w:rsid w:val="006C0A83"/>
    <w:rsid w:val="006C0A89"/>
    <w:rsid w:val="006C0D46"/>
    <w:rsid w:val="006C0EE6"/>
    <w:rsid w:val="006C1C9B"/>
    <w:rsid w:val="006C1EB3"/>
    <w:rsid w:val="006C2158"/>
    <w:rsid w:val="006C26C3"/>
    <w:rsid w:val="006C26C6"/>
    <w:rsid w:val="006C2732"/>
    <w:rsid w:val="006C2780"/>
    <w:rsid w:val="006C2CA4"/>
    <w:rsid w:val="006C2CBE"/>
    <w:rsid w:val="006C3563"/>
    <w:rsid w:val="006C3680"/>
    <w:rsid w:val="006C3E75"/>
    <w:rsid w:val="006C40ED"/>
    <w:rsid w:val="006C5365"/>
    <w:rsid w:val="006C541C"/>
    <w:rsid w:val="006C5E93"/>
    <w:rsid w:val="006C5F76"/>
    <w:rsid w:val="006C6462"/>
    <w:rsid w:val="006D04C4"/>
    <w:rsid w:val="006D0761"/>
    <w:rsid w:val="006D0EA2"/>
    <w:rsid w:val="006D1340"/>
    <w:rsid w:val="006D1A86"/>
    <w:rsid w:val="006D2428"/>
    <w:rsid w:val="006D26C1"/>
    <w:rsid w:val="006D2B38"/>
    <w:rsid w:val="006D3454"/>
    <w:rsid w:val="006D41CE"/>
    <w:rsid w:val="006D4378"/>
    <w:rsid w:val="006D5077"/>
    <w:rsid w:val="006D5158"/>
    <w:rsid w:val="006D56FD"/>
    <w:rsid w:val="006D59F5"/>
    <w:rsid w:val="006D5F78"/>
    <w:rsid w:val="006D65FA"/>
    <w:rsid w:val="006D6C0F"/>
    <w:rsid w:val="006D6C27"/>
    <w:rsid w:val="006D6DB3"/>
    <w:rsid w:val="006D6DCC"/>
    <w:rsid w:val="006D6E5B"/>
    <w:rsid w:val="006D7569"/>
    <w:rsid w:val="006D7B6D"/>
    <w:rsid w:val="006D7C1B"/>
    <w:rsid w:val="006D7E6F"/>
    <w:rsid w:val="006D7EE6"/>
    <w:rsid w:val="006E03A2"/>
    <w:rsid w:val="006E058A"/>
    <w:rsid w:val="006E06E2"/>
    <w:rsid w:val="006E0710"/>
    <w:rsid w:val="006E1CE4"/>
    <w:rsid w:val="006E1F34"/>
    <w:rsid w:val="006E21FD"/>
    <w:rsid w:val="006E2F73"/>
    <w:rsid w:val="006E3A0F"/>
    <w:rsid w:val="006E3E3E"/>
    <w:rsid w:val="006E49A9"/>
    <w:rsid w:val="006E54DA"/>
    <w:rsid w:val="006E6155"/>
    <w:rsid w:val="006E6AC1"/>
    <w:rsid w:val="006E72D9"/>
    <w:rsid w:val="006E7AC0"/>
    <w:rsid w:val="006F0661"/>
    <w:rsid w:val="006F0805"/>
    <w:rsid w:val="006F0ACA"/>
    <w:rsid w:val="006F14B6"/>
    <w:rsid w:val="006F175E"/>
    <w:rsid w:val="006F1AC6"/>
    <w:rsid w:val="006F1D53"/>
    <w:rsid w:val="006F1F03"/>
    <w:rsid w:val="006F2ABA"/>
    <w:rsid w:val="006F2E06"/>
    <w:rsid w:val="006F2F62"/>
    <w:rsid w:val="006F3854"/>
    <w:rsid w:val="006F5BB3"/>
    <w:rsid w:val="006F5DA7"/>
    <w:rsid w:val="006F5DE9"/>
    <w:rsid w:val="006F5ED9"/>
    <w:rsid w:val="006F61B6"/>
    <w:rsid w:val="006F6C71"/>
    <w:rsid w:val="006F6D80"/>
    <w:rsid w:val="006F6F55"/>
    <w:rsid w:val="006F779C"/>
    <w:rsid w:val="006F7A45"/>
    <w:rsid w:val="006F7FB8"/>
    <w:rsid w:val="0070054C"/>
    <w:rsid w:val="00700A00"/>
    <w:rsid w:val="00701CA3"/>
    <w:rsid w:val="0070224A"/>
    <w:rsid w:val="00703284"/>
    <w:rsid w:val="0070357E"/>
    <w:rsid w:val="007038D2"/>
    <w:rsid w:val="007040C2"/>
    <w:rsid w:val="00704166"/>
    <w:rsid w:val="0070417D"/>
    <w:rsid w:val="007043C0"/>
    <w:rsid w:val="007044D2"/>
    <w:rsid w:val="007045AB"/>
    <w:rsid w:val="00705E86"/>
    <w:rsid w:val="0070691E"/>
    <w:rsid w:val="00706C20"/>
    <w:rsid w:val="007076DA"/>
    <w:rsid w:val="00707C4E"/>
    <w:rsid w:val="00707CB0"/>
    <w:rsid w:val="0071064D"/>
    <w:rsid w:val="00711B4A"/>
    <w:rsid w:val="00711C5C"/>
    <w:rsid w:val="00711EDC"/>
    <w:rsid w:val="00712790"/>
    <w:rsid w:val="007127D5"/>
    <w:rsid w:val="00712E0E"/>
    <w:rsid w:val="0071314B"/>
    <w:rsid w:val="0071402F"/>
    <w:rsid w:val="00714AAF"/>
    <w:rsid w:val="007157A0"/>
    <w:rsid w:val="00715FC9"/>
    <w:rsid w:val="0071681C"/>
    <w:rsid w:val="0071715E"/>
    <w:rsid w:val="007203C7"/>
    <w:rsid w:val="00720D55"/>
    <w:rsid w:val="007223F6"/>
    <w:rsid w:val="007230F0"/>
    <w:rsid w:val="00723F39"/>
    <w:rsid w:val="00723FD3"/>
    <w:rsid w:val="0072467C"/>
    <w:rsid w:val="00724CAC"/>
    <w:rsid w:val="00724D1E"/>
    <w:rsid w:val="0072579D"/>
    <w:rsid w:val="00725D14"/>
    <w:rsid w:val="00725ECC"/>
    <w:rsid w:val="00725F65"/>
    <w:rsid w:val="007265B4"/>
    <w:rsid w:val="00726DAF"/>
    <w:rsid w:val="00726DFF"/>
    <w:rsid w:val="00727255"/>
    <w:rsid w:val="007275E2"/>
    <w:rsid w:val="00730F69"/>
    <w:rsid w:val="007325B1"/>
    <w:rsid w:val="00732B3B"/>
    <w:rsid w:val="00732EF2"/>
    <w:rsid w:val="00733855"/>
    <w:rsid w:val="00733A9A"/>
    <w:rsid w:val="00733B1D"/>
    <w:rsid w:val="00734156"/>
    <w:rsid w:val="00735510"/>
    <w:rsid w:val="0073565E"/>
    <w:rsid w:val="0073578F"/>
    <w:rsid w:val="007359E9"/>
    <w:rsid w:val="00735AE4"/>
    <w:rsid w:val="007361A1"/>
    <w:rsid w:val="00736260"/>
    <w:rsid w:val="00736305"/>
    <w:rsid w:val="00736390"/>
    <w:rsid w:val="007363EF"/>
    <w:rsid w:val="007364E4"/>
    <w:rsid w:val="00736B32"/>
    <w:rsid w:val="00736BD9"/>
    <w:rsid w:val="007376E0"/>
    <w:rsid w:val="007377EB"/>
    <w:rsid w:val="007406A4"/>
    <w:rsid w:val="00741177"/>
    <w:rsid w:val="0074131B"/>
    <w:rsid w:val="00741C76"/>
    <w:rsid w:val="00742AFE"/>
    <w:rsid w:val="00742BE0"/>
    <w:rsid w:val="00742E31"/>
    <w:rsid w:val="007433CE"/>
    <w:rsid w:val="007433DC"/>
    <w:rsid w:val="0074369B"/>
    <w:rsid w:val="007439DC"/>
    <w:rsid w:val="00744517"/>
    <w:rsid w:val="00744AAF"/>
    <w:rsid w:val="00744B36"/>
    <w:rsid w:val="007450C5"/>
    <w:rsid w:val="007457E3"/>
    <w:rsid w:val="00745B3B"/>
    <w:rsid w:val="007461E4"/>
    <w:rsid w:val="007463E6"/>
    <w:rsid w:val="0074698E"/>
    <w:rsid w:val="007470AF"/>
    <w:rsid w:val="007475F3"/>
    <w:rsid w:val="00750142"/>
    <w:rsid w:val="00750169"/>
    <w:rsid w:val="0075155D"/>
    <w:rsid w:val="00752E1A"/>
    <w:rsid w:val="00753EE3"/>
    <w:rsid w:val="007540E3"/>
    <w:rsid w:val="007543D9"/>
    <w:rsid w:val="007544CF"/>
    <w:rsid w:val="00754581"/>
    <w:rsid w:val="007546D0"/>
    <w:rsid w:val="00754A4F"/>
    <w:rsid w:val="00754CC8"/>
    <w:rsid w:val="00754FCA"/>
    <w:rsid w:val="0075526B"/>
    <w:rsid w:val="0075545B"/>
    <w:rsid w:val="0075599E"/>
    <w:rsid w:val="007564D6"/>
    <w:rsid w:val="00756B48"/>
    <w:rsid w:val="00756E57"/>
    <w:rsid w:val="00756F02"/>
    <w:rsid w:val="00757448"/>
    <w:rsid w:val="00757768"/>
    <w:rsid w:val="00757C55"/>
    <w:rsid w:val="007602F4"/>
    <w:rsid w:val="007608AA"/>
    <w:rsid w:val="007611B9"/>
    <w:rsid w:val="00761C8C"/>
    <w:rsid w:val="007620AE"/>
    <w:rsid w:val="00762790"/>
    <w:rsid w:val="00762B74"/>
    <w:rsid w:val="00762CD7"/>
    <w:rsid w:val="00762D7A"/>
    <w:rsid w:val="00762F9F"/>
    <w:rsid w:val="0076397B"/>
    <w:rsid w:val="00763BDD"/>
    <w:rsid w:val="00763F89"/>
    <w:rsid w:val="007643C5"/>
    <w:rsid w:val="00764544"/>
    <w:rsid w:val="00764A70"/>
    <w:rsid w:val="00764B57"/>
    <w:rsid w:val="00764BA5"/>
    <w:rsid w:val="00765005"/>
    <w:rsid w:val="00765EEF"/>
    <w:rsid w:val="00766254"/>
    <w:rsid w:val="00766462"/>
    <w:rsid w:val="00766B9E"/>
    <w:rsid w:val="00767D9D"/>
    <w:rsid w:val="0077070D"/>
    <w:rsid w:val="0077078F"/>
    <w:rsid w:val="007707DE"/>
    <w:rsid w:val="00770AED"/>
    <w:rsid w:val="007714BD"/>
    <w:rsid w:val="007715EA"/>
    <w:rsid w:val="00772513"/>
    <w:rsid w:val="0077437F"/>
    <w:rsid w:val="00774D8F"/>
    <w:rsid w:val="00775B4F"/>
    <w:rsid w:val="0077699B"/>
    <w:rsid w:val="00776BE5"/>
    <w:rsid w:val="00776D0D"/>
    <w:rsid w:val="00777AC9"/>
    <w:rsid w:val="00777B1C"/>
    <w:rsid w:val="007808F7"/>
    <w:rsid w:val="00780D60"/>
    <w:rsid w:val="00780EE0"/>
    <w:rsid w:val="00781603"/>
    <w:rsid w:val="0078333E"/>
    <w:rsid w:val="007833FD"/>
    <w:rsid w:val="007834FB"/>
    <w:rsid w:val="00783CA7"/>
    <w:rsid w:val="00783E03"/>
    <w:rsid w:val="00784C17"/>
    <w:rsid w:val="007859C1"/>
    <w:rsid w:val="00785D10"/>
    <w:rsid w:val="00785F6D"/>
    <w:rsid w:val="0078620C"/>
    <w:rsid w:val="007866A4"/>
    <w:rsid w:val="00786942"/>
    <w:rsid w:val="00786D9A"/>
    <w:rsid w:val="0078766C"/>
    <w:rsid w:val="007912FF"/>
    <w:rsid w:val="00791CBE"/>
    <w:rsid w:val="007921C7"/>
    <w:rsid w:val="00792685"/>
    <w:rsid w:val="00792AC2"/>
    <w:rsid w:val="00792AF6"/>
    <w:rsid w:val="00792B07"/>
    <w:rsid w:val="007931EE"/>
    <w:rsid w:val="00793212"/>
    <w:rsid w:val="00793517"/>
    <w:rsid w:val="0079375A"/>
    <w:rsid w:val="0079385A"/>
    <w:rsid w:val="00794302"/>
    <w:rsid w:val="00794397"/>
    <w:rsid w:val="00794A5A"/>
    <w:rsid w:val="00794C6D"/>
    <w:rsid w:val="00795203"/>
    <w:rsid w:val="00795214"/>
    <w:rsid w:val="007954BE"/>
    <w:rsid w:val="00795615"/>
    <w:rsid w:val="00795AF1"/>
    <w:rsid w:val="00795F4C"/>
    <w:rsid w:val="00796731"/>
    <w:rsid w:val="00796E93"/>
    <w:rsid w:val="00797E2C"/>
    <w:rsid w:val="007A04B3"/>
    <w:rsid w:val="007A1699"/>
    <w:rsid w:val="007A1EE1"/>
    <w:rsid w:val="007A205F"/>
    <w:rsid w:val="007A2643"/>
    <w:rsid w:val="007A3151"/>
    <w:rsid w:val="007A31F2"/>
    <w:rsid w:val="007A32FD"/>
    <w:rsid w:val="007A33C3"/>
    <w:rsid w:val="007A4CEE"/>
    <w:rsid w:val="007A5117"/>
    <w:rsid w:val="007A5135"/>
    <w:rsid w:val="007A5D33"/>
    <w:rsid w:val="007A5D84"/>
    <w:rsid w:val="007A63AC"/>
    <w:rsid w:val="007A63DB"/>
    <w:rsid w:val="007A6697"/>
    <w:rsid w:val="007A69BF"/>
    <w:rsid w:val="007A6EA1"/>
    <w:rsid w:val="007A7136"/>
    <w:rsid w:val="007A7587"/>
    <w:rsid w:val="007A776F"/>
    <w:rsid w:val="007A7F1B"/>
    <w:rsid w:val="007B0AB3"/>
    <w:rsid w:val="007B0C7B"/>
    <w:rsid w:val="007B11B4"/>
    <w:rsid w:val="007B1215"/>
    <w:rsid w:val="007B13B9"/>
    <w:rsid w:val="007B1605"/>
    <w:rsid w:val="007B2C59"/>
    <w:rsid w:val="007B2FC2"/>
    <w:rsid w:val="007B322E"/>
    <w:rsid w:val="007B5628"/>
    <w:rsid w:val="007B5FED"/>
    <w:rsid w:val="007B7763"/>
    <w:rsid w:val="007B79BA"/>
    <w:rsid w:val="007C0112"/>
    <w:rsid w:val="007C0246"/>
    <w:rsid w:val="007C0687"/>
    <w:rsid w:val="007C06B0"/>
    <w:rsid w:val="007C0B24"/>
    <w:rsid w:val="007C1F98"/>
    <w:rsid w:val="007C234B"/>
    <w:rsid w:val="007C2D78"/>
    <w:rsid w:val="007C2E06"/>
    <w:rsid w:val="007C359D"/>
    <w:rsid w:val="007C36DD"/>
    <w:rsid w:val="007C3D00"/>
    <w:rsid w:val="007C413A"/>
    <w:rsid w:val="007C44AC"/>
    <w:rsid w:val="007C4B63"/>
    <w:rsid w:val="007C4D0E"/>
    <w:rsid w:val="007C4D77"/>
    <w:rsid w:val="007C4F1A"/>
    <w:rsid w:val="007C4FC3"/>
    <w:rsid w:val="007C77EA"/>
    <w:rsid w:val="007C789C"/>
    <w:rsid w:val="007C7C91"/>
    <w:rsid w:val="007D019A"/>
    <w:rsid w:val="007D0412"/>
    <w:rsid w:val="007D043A"/>
    <w:rsid w:val="007D0EF6"/>
    <w:rsid w:val="007D1838"/>
    <w:rsid w:val="007D18C1"/>
    <w:rsid w:val="007D3388"/>
    <w:rsid w:val="007D3794"/>
    <w:rsid w:val="007D37AE"/>
    <w:rsid w:val="007D3B2B"/>
    <w:rsid w:val="007D4443"/>
    <w:rsid w:val="007D4767"/>
    <w:rsid w:val="007D4775"/>
    <w:rsid w:val="007D4C89"/>
    <w:rsid w:val="007D4D2F"/>
    <w:rsid w:val="007D59B8"/>
    <w:rsid w:val="007D5D92"/>
    <w:rsid w:val="007D66C3"/>
    <w:rsid w:val="007D6A72"/>
    <w:rsid w:val="007D74DF"/>
    <w:rsid w:val="007E00AB"/>
    <w:rsid w:val="007E03E5"/>
    <w:rsid w:val="007E06A6"/>
    <w:rsid w:val="007E0C78"/>
    <w:rsid w:val="007E0D8B"/>
    <w:rsid w:val="007E12B7"/>
    <w:rsid w:val="007E283A"/>
    <w:rsid w:val="007E296E"/>
    <w:rsid w:val="007E3090"/>
    <w:rsid w:val="007E30A2"/>
    <w:rsid w:val="007E30CA"/>
    <w:rsid w:val="007E3529"/>
    <w:rsid w:val="007E385C"/>
    <w:rsid w:val="007E3886"/>
    <w:rsid w:val="007E3A62"/>
    <w:rsid w:val="007E3C78"/>
    <w:rsid w:val="007E4628"/>
    <w:rsid w:val="007E4FBE"/>
    <w:rsid w:val="007E52DB"/>
    <w:rsid w:val="007E59C3"/>
    <w:rsid w:val="007E5DE2"/>
    <w:rsid w:val="007E5FBB"/>
    <w:rsid w:val="007E6090"/>
    <w:rsid w:val="007E712A"/>
    <w:rsid w:val="007E7263"/>
    <w:rsid w:val="007E72D1"/>
    <w:rsid w:val="007E7640"/>
    <w:rsid w:val="007E7E0E"/>
    <w:rsid w:val="007E7E44"/>
    <w:rsid w:val="007F118C"/>
    <w:rsid w:val="007F1489"/>
    <w:rsid w:val="007F246B"/>
    <w:rsid w:val="007F2AF0"/>
    <w:rsid w:val="007F332E"/>
    <w:rsid w:val="007F35D5"/>
    <w:rsid w:val="007F39A3"/>
    <w:rsid w:val="007F3F36"/>
    <w:rsid w:val="007F49D7"/>
    <w:rsid w:val="007F4C66"/>
    <w:rsid w:val="007F53AC"/>
    <w:rsid w:val="007F589C"/>
    <w:rsid w:val="007F5C18"/>
    <w:rsid w:val="007F6552"/>
    <w:rsid w:val="007F74CF"/>
    <w:rsid w:val="007F75DB"/>
    <w:rsid w:val="007F7E0F"/>
    <w:rsid w:val="007F7F7C"/>
    <w:rsid w:val="008002BA"/>
    <w:rsid w:val="0080038E"/>
    <w:rsid w:val="0080077C"/>
    <w:rsid w:val="0080103F"/>
    <w:rsid w:val="0080150C"/>
    <w:rsid w:val="0080298D"/>
    <w:rsid w:val="00802DF0"/>
    <w:rsid w:val="00802E94"/>
    <w:rsid w:val="00802FDC"/>
    <w:rsid w:val="008037DD"/>
    <w:rsid w:val="0080386E"/>
    <w:rsid w:val="00803E98"/>
    <w:rsid w:val="0080430E"/>
    <w:rsid w:val="00804F23"/>
    <w:rsid w:val="00805473"/>
    <w:rsid w:val="00805740"/>
    <w:rsid w:val="00805C40"/>
    <w:rsid w:val="00805D6D"/>
    <w:rsid w:val="00805EF4"/>
    <w:rsid w:val="008061C3"/>
    <w:rsid w:val="00806FC6"/>
    <w:rsid w:val="00807694"/>
    <w:rsid w:val="00807C57"/>
    <w:rsid w:val="00810063"/>
    <w:rsid w:val="0081033F"/>
    <w:rsid w:val="008107A1"/>
    <w:rsid w:val="00810A02"/>
    <w:rsid w:val="00810AA4"/>
    <w:rsid w:val="008118EC"/>
    <w:rsid w:val="00811DFD"/>
    <w:rsid w:val="008129DE"/>
    <w:rsid w:val="00812D49"/>
    <w:rsid w:val="00813666"/>
    <w:rsid w:val="008138B2"/>
    <w:rsid w:val="00813972"/>
    <w:rsid w:val="00813AAF"/>
    <w:rsid w:val="0081442E"/>
    <w:rsid w:val="00814872"/>
    <w:rsid w:val="008152DA"/>
    <w:rsid w:val="00815350"/>
    <w:rsid w:val="0081536E"/>
    <w:rsid w:val="008153BF"/>
    <w:rsid w:val="008154C6"/>
    <w:rsid w:val="00815B6A"/>
    <w:rsid w:val="008161A9"/>
    <w:rsid w:val="00816939"/>
    <w:rsid w:val="00817F5B"/>
    <w:rsid w:val="00820054"/>
    <w:rsid w:val="00820378"/>
    <w:rsid w:val="00820475"/>
    <w:rsid w:val="0082066D"/>
    <w:rsid w:val="00820B9B"/>
    <w:rsid w:val="00820DFD"/>
    <w:rsid w:val="00821264"/>
    <w:rsid w:val="008218CD"/>
    <w:rsid w:val="00821A88"/>
    <w:rsid w:val="00821FD2"/>
    <w:rsid w:val="0082263A"/>
    <w:rsid w:val="00822B2B"/>
    <w:rsid w:val="008230F4"/>
    <w:rsid w:val="00823AEE"/>
    <w:rsid w:val="00823F1D"/>
    <w:rsid w:val="008243B9"/>
    <w:rsid w:val="008248A1"/>
    <w:rsid w:val="008249E2"/>
    <w:rsid w:val="00824D16"/>
    <w:rsid w:val="00824F06"/>
    <w:rsid w:val="0082510F"/>
    <w:rsid w:val="008253A1"/>
    <w:rsid w:val="008255F4"/>
    <w:rsid w:val="00825EFF"/>
    <w:rsid w:val="0082688F"/>
    <w:rsid w:val="0082772D"/>
    <w:rsid w:val="00827838"/>
    <w:rsid w:val="00830039"/>
    <w:rsid w:val="0083052C"/>
    <w:rsid w:val="00830A36"/>
    <w:rsid w:val="00831184"/>
    <w:rsid w:val="00831E35"/>
    <w:rsid w:val="0083299C"/>
    <w:rsid w:val="00832A43"/>
    <w:rsid w:val="00832B05"/>
    <w:rsid w:val="00832B35"/>
    <w:rsid w:val="00832B5A"/>
    <w:rsid w:val="00833099"/>
    <w:rsid w:val="008347FF"/>
    <w:rsid w:val="0083488D"/>
    <w:rsid w:val="00834B34"/>
    <w:rsid w:val="00834C7C"/>
    <w:rsid w:val="008358DC"/>
    <w:rsid w:val="00835D0D"/>
    <w:rsid w:val="0083631E"/>
    <w:rsid w:val="008363AF"/>
    <w:rsid w:val="00836565"/>
    <w:rsid w:val="00836662"/>
    <w:rsid w:val="00836CFB"/>
    <w:rsid w:val="00837266"/>
    <w:rsid w:val="00837C7B"/>
    <w:rsid w:val="008409E1"/>
    <w:rsid w:val="00840EF2"/>
    <w:rsid w:val="00841230"/>
    <w:rsid w:val="0084168B"/>
    <w:rsid w:val="00842868"/>
    <w:rsid w:val="008430E4"/>
    <w:rsid w:val="008430EB"/>
    <w:rsid w:val="008432BF"/>
    <w:rsid w:val="008432FB"/>
    <w:rsid w:val="00843A95"/>
    <w:rsid w:val="00843D53"/>
    <w:rsid w:val="008441A4"/>
    <w:rsid w:val="00844456"/>
    <w:rsid w:val="00844469"/>
    <w:rsid w:val="00844953"/>
    <w:rsid w:val="0084499D"/>
    <w:rsid w:val="00845192"/>
    <w:rsid w:val="008455F0"/>
    <w:rsid w:val="008456EA"/>
    <w:rsid w:val="00845C39"/>
    <w:rsid w:val="00845D3D"/>
    <w:rsid w:val="00846445"/>
    <w:rsid w:val="008465D3"/>
    <w:rsid w:val="0084695E"/>
    <w:rsid w:val="00846A57"/>
    <w:rsid w:val="00846D15"/>
    <w:rsid w:val="008472F1"/>
    <w:rsid w:val="0084787F"/>
    <w:rsid w:val="00847A9B"/>
    <w:rsid w:val="0085068B"/>
    <w:rsid w:val="00850F57"/>
    <w:rsid w:val="00852246"/>
    <w:rsid w:val="00852D03"/>
    <w:rsid w:val="00853406"/>
    <w:rsid w:val="0085392D"/>
    <w:rsid w:val="00853A7F"/>
    <w:rsid w:val="00853EC4"/>
    <w:rsid w:val="00854543"/>
    <w:rsid w:val="00854B67"/>
    <w:rsid w:val="00854F22"/>
    <w:rsid w:val="0085629A"/>
    <w:rsid w:val="0085633F"/>
    <w:rsid w:val="008563C0"/>
    <w:rsid w:val="008569F4"/>
    <w:rsid w:val="00856CD2"/>
    <w:rsid w:val="00856F08"/>
    <w:rsid w:val="0085724B"/>
    <w:rsid w:val="008577CC"/>
    <w:rsid w:val="008600C6"/>
    <w:rsid w:val="00860482"/>
    <w:rsid w:val="00860699"/>
    <w:rsid w:val="00860BC0"/>
    <w:rsid w:val="00861316"/>
    <w:rsid w:val="008615BA"/>
    <w:rsid w:val="00861A0E"/>
    <w:rsid w:val="00861E25"/>
    <w:rsid w:val="00862BC9"/>
    <w:rsid w:val="00862E7F"/>
    <w:rsid w:val="00865369"/>
    <w:rsid w:val="00865EF1"/>
    <w:rsid w:val="00865FFB"/>
    <w:rsid w:val="00866554"/>
    <w:rsid w:val="0086714F"/>
    <w:rsid w:val="00870418"/>
    <w:rsid w:val="008704E6"/>
    <w:rsid w:val="0087063B"/>
    <w:rsid w:val="00871226"/>
    <w:rsid w:val="00871816"/>
    <w:rsid w:val="00871941"/>
    <w:rsid w:val="008729FD"/>
    <w:rsid w:val="0087361D"/>
    <w:rsid w:val="00873A0A"/>
    <w:rsid w:val="00873B84"/>
    <w:rsid w:val="00874063"/>
    <w:rsid w:val="0087439E"/>
    <w:rsid w:val="00874664"/>
    <w:rsid w:val="00874C47"/>
    <w:rsid w:val="00874CB3"/>
    <w:rsid w:val="00874CD0"/>
    <w:rsid w:val="008752BC"/>
    <w:rsid w:val="008767D6"/>
    <w:rsid w:val="00876EBE"/>
    <w:rsid w:val="00877731"/>
    <w:rsid w:val="00880122"/>
    <w:rsid w:val="00880DC9"/>
    <w:rsid w:val="0088135D"/>
    <w:rsid w:val="008813D4"/>
    <w:rsid w:val="0088167A"/>
    <w:rsid w:val="00881A94"/>
    <w:rsid w:val="00882483"/>
    <w:rsid w:val="00882D97"/>
    <w:rsid w:val="00883401"/>
    <w:rsid w:val="00883B7F"/>
    <w:rsid w:val="00883F3E"/>
    <w:rsid w:val="008843EE"/>
    <w:rsid w:val="008847F2"/>
    <w:rsid w:val="00885091"/>
    <w:rsid w:val="00885FED"/>
    <w:rsid w:val="0088677A"/>
    <w:rsid w:val="008868B7"/>
    <w:rsid w:val="00886B5D"/>
    <w:rsid w:val="008870CB"/>
    <w:rsid w:val="008876FF"/>
    <w:rsid w:val="00887DCC"/>
    <w:rsid w:val="00887FB4"/>
    <w:rsid w:val="008906D4"/>
    <w:rsid w:val="00890A3F"/>
    <w:rsid w:val="00891D59"/>
    <w:rsid w:val="00892311"/>
    <w:rsid w:val="00892CFD"/>
    <w:rsid w:val="008938C7"/>
    <w:rsid w:val="00893964"/>
    <w:rsid w:val="00893D1A"/>
    <w:rsid w:val="00894525"/>
    <w:rsid w:val="0089461C"/>
    <w:rsid w:val="0089463A"/>
    <w:rsid w:val="00894BAA"/>
    <w:rsid w:val="00894EC3"/>
    <w:rsid w:val="0089500C"/>
    <w:rsid w:val="008959B3"/>
    <w:rsid w:val="00895AD6"/>
    <w:rsid w:val="00895C2B"/>
    <w:rsid w:val="00895D94"/>
    <w:rsid w:val="008964B4"/>
    <w:rsid w:val="008967C9"/>
    <w:rsid w:val="00896C38"/>
    <w:rsid w:val="00897030"/>
    <w:rsid w:val="00897043"/>
    <w:rsid w:val="00897346"/>
    <w:rsid w:val="00897927"/>
    <w:rsid w:val="00897C54"/>
    <w:rsid w:val="00897E7C"/>
    <w:rsid w:val="008A008A"/>
    <w:rsid w:val="008A0185"/>
    <w:rsid w:val="008A097C"/>
    <w:rsid w:val="008A0CA8"/>
    <w:rsid w:val="008A0D3C"/>
    <w:rsid w:val="008A1915"/>
    <w:rsid w:val="008A1D79"/>
    <w:rsid w:val="008A200C"/>
    <w:rsid w:val="008A24AC"/>
    <w:rsid w:val="008A35B9"/>
    <w:rsid w:val="008A3748"/>
    <w:rsid w:val="008A3869"/>
    <w:rsid w:val="008A3F56"/>
    <w:rsid w:val="008A4026"/>
    <w:rsid w:val="008A4A0E"/>
    <w:rsid w:val="008A4C98"/>
    <w:rsid w:val="008A4DFE"/>
    <w:rsid w:val="008A5720"/>
    <w:rsid w:val="008A59F1"/>
    <w:rsid w:val="008A5CD9"/>
    <w:rsid w:val="008A5E3A"/>
    <w:rsid w:val="008A64F9"/>
    <w:rsid w:val="008A66F7"/>
    <w:rsid w:val="008A6705"/>
    <w:rsid w:val="008A6B8A"/>
    <w:rsid w:val="008A6ED8"/>
    <w:rsid w:val="008A7027"/>
    <w:rsid w:val="008A706E"/>
    <w:rsid w:val="008A79EB"/>
    <w:rsid w:val="008B014E"/>
    <w:rsid w:val="008B09DF"/>
    <w:rsid w:val="008B0D38"/>
    <w:rsid w:val="008B0E96"/>
    <w:rsid w:val="008B1328"/>
    <w:rsid w:val="008B21E9"/>
    <w:rsid w:val="008B27C6"/>
    <w:rsid w:val="008B282C"/>
    <w:rsid w:val="008B2CAD"/>
    <w:rsid w:val="008B3010"/>
    <w:rsid w:val="008B35CB"/>
    <w:rsid w:val="008B3859"/>
    <w:rsid w:val="008B3B82"/>
    <w:rsid w:val="008B418D"/>
    <w:rsid w:val="008B46DB"/>
    <w:rsid w:val="008B470F"/>
    <w:rsid w:val="008B4A56"/>
    <w:rsid w:val="008B4ADD"/>
    <w:rsid w:val="008B4C07"/>
    <w:rsid w:val="008B5A2F"/>
    <w:rsid w:val="008B5AE9"/>
    <w:rsid w:val="008B5F01"/>
    <w:rsid w:val="008B5F2B"/>
    <w:rsid w:val="008B67F5"/>
    <w:rsid w:val="008B6A42"/>
    <w:rsid w:val="008B712A"/>
    <w:rsid w:val="008B73E6"/>
    <w:rsid w:val="008B7B5D"/>
    <w:rsid w:val="008B7F5A"/>
    <w:rsid w:val="008C0345"/>
    <w:rsid w:val="008C0A96"/>
    <w:rsid w:val="008C1091"/>
    <w:rsid w:val="008C16F9"/>
    <w:rsid w:val="008C2106"/>
    <w:rsid w:val="008C30D5"/>
    <w:rsid w:val="008C3260"/>
    <w:rsid w:val="008C33FB"/>
    <w:rsid w:val="008C3554"/>
    <w:rsid w:val="008C4456"/>
    <w:rsid w:val="008C4E1D"/>
    <w:rsid w:val="008C5262"/>
    <w:rsid w:val="008C5D79"/>
    <w:rsid w:val="008C5F13"/>
    <w:rsid w:val="008C60B3"/>
    <w:rsid w:val="008C6104"/>
    <w:rsid w:val="008C64C0"/>
    <w:rsid w:val="008C6B83"/>
    <w:rsid w:val="008C7265"/>
    <w:rsid w:val="008D01D2"/>
    <w:rsid w:val="008D1961"/>
    <w:rsid w:val="008D20D7"/>
    <w:rsid w:val="008D258F"/>
    <w:rsid w:val="008D27FC"/>
    <w:rsid w:val="008D2E8D"/>
    <w:rsid w:val="008D2F61"/>
    <w:rsid w:val="008D2FC7"/>
    <w:rsid w:val="008D3B40"/>
    <w:rsid w:val="008D43B0"/>
    <w:rsid w:val="008D4827"/>
    <w:rsid w:val="008D4B1C"/>
    <w:rsid w:val="008D4F7D"/>
    <w:rsid w:val="008D4FE3"/>
    <w:rsid w:val="008D54FF"/>
    <w:rsid w:val="008D565A"/>
    <w:rsid w:val="008D5B2E"/>
    <w:rsid w:val="008D6634"/>
    <w:rsid w:val="008D68BE"/>
    <w:rsid w:val="008D6926"/>
    <w:rsid w:val="008D6D6A"/>
    <w:rsid w:val="008D7919"/>
    <w:rsid w:val="008D795B"/>
    <w:rsid w:val="008D7AB1"/>
    <w:rsid w:val="008D7AFA"/>
    <w:rsid w:val="008D7B27"/>
    <w:rsid w:val="008E00FA"/>
    <w:rsid w:val="008E1A21"/>
    <w:rsid w:val="008E2ED6"/>
    <w:rsid w:val="008E3352"/>
    <w:rsid w:val="008E3B83"/>
    <w:rsid w:val="008E3E50"/>
    <w:rsid w:val="008E459A"/>
    <w:rsid w:val="008E4E32"/>
    <w:rsid w:val="008E4FD6"/>
    <w:rsid w:val="008E5A31"/>
    <w:rsid w:val="008E5B5C"/>
    <w:rsid w:val="008E5CA3"/>
    <w:rsid w:val="008E6337"/>
    <w:rsid w:val="008E6D2B"/>
    <w:rsid w:val="008F0097"/>
    <w:rsid w:val="008F03FD"/>
    <w:rsid w:val="008F0BCF"/>
    <w:rsid w:val="008F26E2"/>
    <w:rsid w:val="008F282A"/>
    <w:rsid w:val="008F2ABF"/>
    <w:rsid w:val="008F5074"/>
    <w:rsid w:val="008F57E1"/>
    <w:rsid w:val="008F5BE3"/>
    <w:rsid w:val="008F5BE5"/>
    <w:rsid w:val="008F5F6A"/>
    <w:rsid w:val="008F61BA"/>
    <w:rsid w:val="008F6FB0"/>
    <w:rsid w:val="008F737A"/>
    <w:rsid w:val="008F7754"/>
    <w:rsid w:val="008F7981"/>
    <w:rsid w:val="008F7CEE"/>
    <w:rsid w:val="008F7D0D"/>
    <w:rsid w:val="008F7D71"/>
    <w:rsid w:val="009010ED"/>
    <w:rsid w:val="00901DB7"/>
    <w:rsid w:val="00901F6D"/>
    <w:rsid w:val="0090202B"/>
    <w:rsid w:val="00902619"/>
    <w:rsid w:val="00902FB4"/>
    <w:rsid w:val="0090313C"/>
    <w:rsid w:val="009032B7"/>
    <w:rsid w:val="00903411"/>
    <w:rsid w:val="00903565"/>
    <w:rsid w:val="00903A5C"/>
    <w:rsid w:val="00904072"/>
    <w:rsid w:val="00905F3D"/>
    <w:rsid w:val="00906235"/>
    <w:rsid w:val="00906AA4"/>
    <w:rsid w:val="00906B13"/>
    <w:rsid w:val="00906ED4"/>
    <w:rsid w:val="00907393"/>
    <w:rsid w:val="009074C1"/>
    <w:rsid w:val="00910056"/>
    <w:rsid w:val="0091058F"/>
    <w:rsid w:val="009106D7"/>
    <w:rsid w:val="00910D2F"/>
    <w:rsid w:val="0091189D"/>
    <w:rsid w:val="00912438"/>
    <w:rsid w:val="009126A6"/>
    <w:rsid w:val="00912C9D"/>
    <w:rsid w:val="00912E45"/>
    <w:rsid w:val="00913028"/>
    <w:rsid w:val="009134B3"/>
    <w:rsid w:val="00913C90"/>
    <w:rsid w:val="00914084"/>
    <w:rsid w:val="00914C3D"/>
    <w:rsid w:val="00914CBD"/>
    <w:rsid w:val="00914E27"/>
    <w:rsid w:val="00914F03"/>
    <w:rsid w:val="00915E71"/>
    <w:rsid w:val="00916342"/>
    <w:rsid w:val="009169A4"/>
    <w:rsid w:val="00916D79"/>
    <w:rsid w:val="00916F46"/>
    <w:rsid w:val="00917306"/>
    <w:rsid w:val="00917B65"/>
    <w:rsid w:val="00920203"/>
    <w:rsid w:val="00920D88"/>
    <w:rsid w:val="009219F1"/>
    <w:rsid w:val="00921E65"/>
    <w:rsid w:val="00922902"/>
    <w:rsid w:val="00922C1D"/>
    <w:rsid w:val="009234AC"/>
    <w:rsid w:val="0092369D"/>
    <w:rsid w:val="00924344"/>
    <w:rsid w:val="009247D0"/>
    <w:rsid w:val="009247F7"/>
    <w:rsid w:val="00924949"/>
    <w:rsid w:val="00924BB0"/>
    <w:rsid w:val="00925DFD"/>
    <w:rsid w:val="00926117"/>
    <w:rsid w:val="009268BF"/>
    <w:rsid w:val="009268F5"/>
    <w:rsid w:val="009269AF"/>
    <w:rsid w:val="00926BE1"/>
    <w:rsid w:val="00927754"/>
    <w:rsid w:val="009302DD"/>
    <w:rsid w:val="00930787"/>
    <w:rsid w:val="00930D6E"/>
    <w:rsid w:val="009314D1"/>
    <w:rsid w:val="009319BD"/>
    <w:rsid w:val="0093216E"/>
    <w:rsid w:val="009326A6"/>
    <w:rsid w:val="009327D9"/>
    <w:rsid w:val="00932AA4"/>
    <w:rsid w:val="009339A2"/>
    <w:rsid w:val="00933A1A"/>
    <w:rsid w:val="00933B63"/>
    <w:rsid w:val="0093413B"/>
    <w:rsid w:val="00934A74"/>
    <w:rsid w:val="00934CDD"/>
    <w:rsid w:val="00935A99"/>
    <w:rsid w:val="00935E6E"/>
    <w:rsid w:val="0093616D"/>
    <w:rsid w:val="009361A6"/>
    <w:rsid w:val="009363C6"/>
    <w:rsid w:val="00936412"/>
    <w:rsid w:val="00936AC8"/>
    <w:rsid w:val="009405A6"/>
    <w:rsid w:val="00941108"/>
    <w:rsid w:val="00941C90"/>
    <w:rsid w:val="0094207F"/>
    <w:rsid w:val="00942393"/>
    <w:rsid w:val="009423DD"/>
    <w:rsid w:val="0094243A"/>
    <w:rsid w:val="00943099"/>
    <w:rsid w:val="009431E8"/>
    <w:rsid w:val="0094366B"/>
    <w:rsid w:val="0094366E"/>
    <w:rsid w:val="00943914"/>
    <w:rsid w:val="00943A93"/>
    <w:rsid w:val="00943D1D"/>
    <w:rsid w:val="00943E5C"/>
    <w:rsid w:val="0094425C"/>
    <w:rsid w:val="0094425E"/>
    <w:rsid w:val="00944EEA"/>
    <w:rsid w:val="0094577F"/>
    <w:rsid w:val="009457F1"/>
    <w:rsid w:val="0094634C"/>
    <w:rsid w:val="0094661E"/>
    <w:rsid w:val="009466C6"/>
    <w:rsid w:val="00946810"/>
    <w:rsid w:val="00946C11"/>
    <w:rsid w:val="0095013A"/>
    <w:rsid w:val="009502B3"/>
    <w:rsid w:val="00951DC2"/>
    <w:rsid w:val="00952059"/>
    <w:rsid w:val="00952304"/>
    <w:rsid w:val="00953BC7"/>
    <w:rsid w:val="00953D80"/>
    <w:rsid w:val="009544F7"/>
    <w:rsid w:val="00954A12"/>
    <w:rsid w:val="00955FDE"/>
    <w:rsid w:val="00956344"/>
    <w:rsid w:val="009564E9"/>
    <w:rsid w:val="00956DF7"/>
    <w:rsid w:val="00956FA1"/>
    <w:rsid w:val="009574FC"/>
    <w:rsid w:val="009579DD"/>
    <w:rsid w:val="00957B59"/>
    <w:rsid w:val="00960099"/>
    <w:rsid w:val="00960F9C"/>
    <w:rsid w:val="00961381"/>
    <w:rsid w:val="0096221A"/>
    <w:rsid w:val="0096243B"/>
    <w:rsid w:val="009635E9"/>
    <w:rsid w:val="00964028"/>
    <w:rsid w:val="009643E3"/>
    <w:rsid w:val="0096445F"/>
    <w:rsid w:val="009647CA"/>
    <w:rsid w:val="00964A16"/>
    <w:rsid w:val="00964A3B"/>
    <w:rsid w:val="00965520"/>
    <w:rsid w:val="009656A3"/>
    <w:rsid w:val="00965D20"/>
    <w:rsid w:val="0096771C"/>
    <w:rsid w:val="0097088C"/>
    <w:rsid w:val="00970E5C"/>
    <w:rsid w:val="00971074"/>
    <w:rsid w:val="00971634"/>
    <w:rsid w:val="0097169B"/>
    <w:rsid w:val="009716F1"/>
    <w:rsid w:val="00971744"/>
    <w:rsid w:val="009719E9"/>
    <w:rsid w:val="00972792"/>
    <w:rsid w:val="009727D0"/>
    <w:rsid w:val="00972DC6"/>
    <w:rsid w:val="00973F5A"/>
    <w:rsid w:val="009744EC"/>
    <w:rsid w:val="00974BF9"/>
    <w:rsid w:val="0097502E"/>
    <w:rsid w:val="00975135"/>
    <w:rsid w:val="009753F5"/>
    <w:rsid w:val="00976409"/>
    <w:rsid w:val="009765EF"/>
    <w:rsid w:val="00976680"/>
    <w:rsid w:val="0097680E"/>
    <w:rsid w:val="00976965"/>
    <w:rsid w:val="00976A9F"/>
    <w:rsid w:val="00977317"/>
    <w:rsid w:val="0098003A"/>
    <w:rsid w:val="00980872"/>
    <w:rsid w:val="00981B53"/>
    <w:rsid w:val="00981C86"/>
    <w:rsid w:val="009825B0"/>
    <w:rsid w:val="009826DC"/>
    <w:rsid w:val="00982B37"/>
    <w:rsid w:val="0098344F"/>
    <w:rsid w:val="009836B3"/>
    <w:rsid w:val="00983E47"/>
    <w:rsid w:val="009844CC"/>
    <w:rsid w:val="00984AF6"/>
    <w:rsid w:val="009867FD"/>
    <w:rsid w:val="00986809"/>
    <w:rsid w:val="0098698B"/>
    <w:rsid w:val="0098699E"/>
    <w:rsid w:val="00986CDD"/>
    <w:rsid w:val="00986D93"/>
    <w:rsid w:val="009873D3"/>
    <w:rsid w:val="0098750D"/>
    <w:rsid w:val="0098792A"/>
    <w:rsid w:val="00987DA0"/>
    <w:rsid w:val="009900B4"/>
    <w:rsid w:val="0099015C"/>
    <w:rsid w:val="009901F0"/>
    <w:rsid w:val="009913BC"/>
    <w:rsid w:val="00991AF3"/>
    <w:rsid w:val="00991B9F"/>
    <w:rsid w:val="009927D8"/>
    <w:rsid w:val="00992AC1"/>
    <w:rsid w:val="0099334C"/>
    <w:rsid w:val="00993C98"/>
    <w:rsid w:val="0099411C"/>
    <w:rsid w:val="009959E1"/>
    <w:rsid w:val="0099614D"/>
    <w:rsid w:val="00996795"/>
    <w:rsid w:val="009968CF"/>
    <w:rsid w:val="00996EB5"/>
    <w:rsid w:val="00997082"/>
    <w:rsid w:val="0099750D"/>
    <w:rsid w:val="00997AF2"/>
    <w:rsid w:val="00997EBF"/>
    <w:rsid w:val="009A020D"/>
    <w:rsid w:val="009A08BE"/>
    <w:rsid w:val="009A1478"/>
    <w:rsid w:val="009A1765"/>
    <w:rsid w:val="009A1820"/>
    <w:rsid w:val="009A2352"/>
    <w:rsid w:val="009A26E6"/>
    <w:rsid w:val="009A322D"/>
    <w:rsid w:val="009A3438"/>
    <w:rsid w:val="009A4266"/>
    <w:rsid w:val="009A4D4D"/>
    <w:rsid w:val="009A5105"/>
    <w:rsid w:val="009A51C1"/>
    <w:rsid w:val="009A5685"/>
    <w:rsid w:val="009A5CE4"/>
    <w:rsid w:val="009A5E33"/>
    <w:rsid w:val="009A62B4"/>
    <w:rsid w:val="009A6313"/>
    <w:rsid w:val="009A6316"/>
    <w:rsid w:val="009A6C54"/>
    <w:rsid w:val="009A6C61"/>
    <w:rsid w:val="009A72E5"/>
    <w:rsid w:val="009A73FE"/>
    <w:rsid w:val="009A7564"/>
    <w:rsid w:val="009B0278"/>
    <w:rsid w:val="009B06C9"/>
    <w:rsid w:val="009B12DF"/>
    <w:rsid w:val="009B14CD"/>
    <w:rsid w:val="009B1B20"/>
    <w:rsid w:val="009B23C6"/>
    <w:rsid w:val="009B2CA5"/>
    <w:rsid w:val="009B36F2"/>
    <w:rsid w:val="009B505F"/>
    <w:rsid w:val="009B5A9A"/>
    <w:rsid w:val="009B5B73"/>
    <w:rsid w:val="009B5FB1"/>
    <w:rsid w:val="009B6372"/>
    <w:rsid w:val="009B684A"/>
    <w:rsid w:val="009B6D11"/>
    <w:rsid w:val="009B714B"/>
    <w:rsid w:val="009B77AE"/>
    <w:rsid w:val="009B7AC1"/>
    <w:rsid w:val="009C0215"/>
    <w:rsid w:val="009C0418"/>
    <w:rsid w:val="009C0B89"/>
    <w:rsid w:val="009C0E84"/>
    <w:rsid w:val="009C0EFA"/>
    <w:rsid w:val="009C1259"/>
    <w:rsid w:val="009C1982"/>
    <w:rsid w:val="009C1F04"/>
    <w:rsid w:val="009C258C"/>
    <w:rsid w:val="009C2608"/>
    <w:rsid w:val="009C2A3D"/>
    <w:rsid w:val="009C3D63"/>
    <w:rsid w:val="009C4103"/>
    <w:rsid w:val="009C4306"/>
    <w:rsid w:val="009C43AA"/>
    <w:rsid w:val="009C4753"/>
    <w:rsid w:val="009C4ADE"/>
    <w:rsid w:val="009C4D15"/>
    <w:rsid w:val="009C5906"/>
    <w:rsid w:val="009C5CF8"/>
    <w:rsid w:val="009C6398"/>
    <w:rsid w:val="009C63B3"/>
    <w:rsid w:val="009C6A59"/>
    <w:rsid w:val="009C799D"/>
    <w:rsid w:val="009C7C00"/>
    <w:rsid w:val="009D00C6"/>
    <w:rsid w:val="009D0759"/>
    <w:rsid w:val="009D09F2"/>
    <w:rsid w:val="009D12DF"/>
    <w:rsid w:val="009D1689"/>
    <w:rsid w:val="009D1B30"/>
    <w:rsid w:val="009D349F"/>
    <w:rsid w:val="009D388C"/>
    <w:rsid w:val="009D3AFA"/>
    <w:rsid w:val="009D3B83"/>
    <w:rsid w:val="009D40AB"/>
    <w:rsid w:val="009D455D"/>
    <w:rsid w:val="009D4BEB"/>
    <w:rsid w:val="009D6EF4"/>
    <w:rsid w:val="009D771A"/>
    <w:rsid w:val="009E005E"/>
    <w:rsid w:val="009E0E40"/>
    <w:rsid w:val="009E0EB1"/>
    <w:rsid w:val="009E1314"/>
    <w:rsid w:val="009E13F9"/>
    <w:rsid w:val="009E168D"/>
    <w:rsid w:val="009E1C5B"/>
    <w:rsid w:val="009E1C5D"/>
    <w:rsid w:val="009E2063"/>
    <w:rsid w:val="009E2155"/>
    <w:rsid w:val="009E21DE"/>
    <w:rsid w:val="009E2890"/>
    <w:rsid w:val="009E30F2"/>
    <w:rsid w:val="009E34BD"/>
    <w:rsid w:val="009E3C29"/>
    <w:rsid w:val="009E3D87"/>
    <w:rsid w:val="009E4AE9"/>
    <w:rsid w:val="009E4D8A"/>
    <w:rsid w:val="009E51D1"/>
    <w:rsid w:val="009E560B"/>
    <w:rsid w:val="009E70E9"/>
    <w:rsid w:val="009E7697"/>
    <w:rsid w:val="009E7D8D"/>
    <w:rsid w:val="009F0333"/>
    <w:rsid w:val="009F0EFA"/>
    <w:rsid w:val="009F1640"/>
    <w:rsid w:val="009F181A"/>
    <w:rsid w:val="009F1D5C"/>
    <w:rsid w:val="009F1FF2"/>
    <w:rsid w:val="009F2161"/>
    <w:rsid w:val="009F289E"/>
    <w:rsid w:val="009F30D3"/>
    <w:rsid w:val="009F3487"/>
    <w:rsid w:val="009F365D"/>
    <w:rsid w:val="009F3C9E"/>
    <w:rsid w:val="009F40D0"/>
    <w:rsid w:val="009F414D"/>
    <w:rsid w:val="009F4266"/>
    <w:rsid w:val="009F4EC4"/>
    <w:rsid w:val="009F4EF2"/>
    <w:rsid w:val="009F56ED"/>
    <w:rsid w:val="009F58BC"/>
    <w:rsid w:val="009F5AC7"/>
    <w:rsid w:val="009F5B0D"/>
    <w:rsid w:val="009F65CD"/>
    <w:rsid w:val="009F6FC0"/>
    <w:rsid w:val="009F70B5"/>
    <w:rsid w:val="009F7116"/>
    <w:rsid w:val="009F7346"/>
    <w:rsid w:val="009F7D54"/>
    <w:rsid w:val="00A0090C"/>
    <w:rsid w:val="00A00B9C"/>
    <w:rsid w:val="00A00BC2"/>
    <w:rsid w:val="00A0154B"/>
    <w:rsid w:val="00A016AC"/>
    <w:rsid w:val="00A01DAA"/>
    <w:rsid w:val="00A0205F"/>
    <w:rsid w:val="00A029B5"/>
    <w:rsid w:val="00A02FCB"/>
    <w:rsid w:val="00A03910"/>
    <w:rsid w:val="00A03F34"/>
    <w:rsid w:val="00A04B43"/>
    <w:rsid w:val="00A054BD"/>
    <w:rsid w:val="00A056E8"/>
    <w:rsid w:val="00A05758"/>
    <w:rsid w:val="00A06A0A"/>
    <w:rsid w:val="00A06E64"/>
    <w:rsid w:val="00A06F36"/>
    <w:rsid w:val="00A07C21"/>
    <w:rsid w:val="00A1048A"/>
    <w:rsid w:val="00A1125D"/>
    <w:rsid w:val="00A1157F"/>
    <w:rsid w:val="00A12C03"/>
    <w:rsid w:val="00A12D1B"/>
    <w:rsid w:val="00A13764"/>
    <w:rsid w:val="00A138DC"/>
    <w:rsid w:val="00A13C4F"/>
    <w:rsid w:val="00A14D30"/>
    <w:rsid w:val="00A14D50"/>
    <w:rsid w:val="00A1514D"/>
    <w:rsid w:val="00A160E2"/>
    <w:rsid w:val="00A1615D"/>
    <w:rsid w:val="00A161A6"/>
    <w:rsid w:val="00A167EA"/>
    <w:rsid w:val="00A16860"/>
    <w:rsid w:val="00A16F40"/>
    <w:rsid w:val="00A17657"/>
    <w:rsid w:val="00A17753"/>
    <w:rsid w:val="00A17A17"/>
    <w:rsid w:val="00A17B04"/>
    <w:rsid w:val="00A17D30"/>
    <w:rsid w:val="00A20361"/>
    <w:rsid w:val="00A20437"/>
    <w:rsid w:val="00A21D80"/>
    <w:rsid w:val="00A21DEC"/>
    <w:rsid w:val="00A2225F"/>
    <w:rsid w:val="00A225A8"/>
    <w:rsid w:val="00A230B7"/>
    <w:rsid w:val="00A233B0"/>
    <w:rsid w:val="00A235E9"/>
    <w:rsid w:val="00A23782"/>
    <w:rsid w:val="00A24069"/>
    <w:rsid w:val="00A24DBB"/>
    <w:rsid w:val="00A24EA0"/>
    <w:rsid w:val="00A25031"/>
    <w:rsid w:val="00A250D2"/>
    <w:rsid w:val="00A25ED0"/>
    <w:rsid w:val="00A262D4"/>
    <w:rsid w:val="00A27054"/>
    <w:rsid w:val="00A3020A"/>
    <w:rsid w:val="00A3035E"/>
    <w:rsid w:val="00A30812"/>
    <w:rsid w:val="00A30C29"/>
    <w:rsid w:val="00A3111B"/>
    <w:rsid w:val="00A31788"/>
    <w:rsid w:val="00A31C5D"/>
    <w:rsid w:val="00A32665"/>
    <w:rsid w:val="00A32D7A"/>
    <w:rsid w:val="00A33256"/>
    <w:rsid w:val="00A33906"/>
    <w:rsid w:val="00A33CB0"/>
    <w:rsid w:val="00A33D46"/>
    <w:rsid w:val="00A33F2E"/>
    <w:rsid w:val="00A341E3"/>
    <w:rsid w:val="00A34937"/>
    <w:rsid w:val="00A34EBF"/>
    <w:rsid w:val="00A3587E"/>
    <w:rsid w:val="00A3635E"/>
    <w:rsid w:val="00A36E54"/>
    <w:rsid w:val="00A37543"/>
    <w:rsid w:val="00A379DF"/>
    <w:rsid w:val="00A40101"/>
    <w:rsid w:val="00A401B6"/>
    <w:rsid w:val="00A402B4"/>
    <w:rsid w:val="00A4050A"/>
    <w:rsid w:val="00A40839"/>
    <w:rsid w:val="00A416CB"/>
    <w:rsid w:val="00A41970"/>
    <w:rsid w:val="00A42788"/>
    <w:rsid w:val="00A42AEB"/>
    <w:rsid w:val="00A43031"/>
    <w:rsid w:val="00A433C7"/>
    <w:rsid w:val="00A433CA"/>
    <w:rsid w:val="00A4436B"/>
    <w:rsid w:val="00A46729"/>
    <w:rsid w:val="00A46AA6"/>
    <w:rsid w:val="00A470CE"/>
    <w:rsid w:val="00A473D1"/>
    <w:rsid w:val="00A474CC"/>
    <w:rsid w:val="00A47B65"/>
    <w:rsid w:val="00A47CBB"/>
    <w:rsid w:val="00A5002E"/>
    <w:rsid w:val="00A50553"/>
    <w:rsid w:val="00A507A4"/>
    <w:rsid w:val="00A50AFC"/>
    <w:rsid w:val="00A51441"/>
    <w:rsid w:val="00A517FD"/>
    <w:rsid w:val="00A51B3E"/>
    <w:rsid w:val="00A528B9"/>
    <w:rsid w:val="00A52DC9"/>
    <w:rsid w:val="00A52F0E"/>
    <w:rsid w:val="00A531EF"/>
    <w:rsid w:val="00A5398A"/>
    <w:rsid w:val="00A53B0A"/>
    <w:rsid w:val="00A54076"/>
    <w:rsid w:val="00A54D53"/>
    <w:rsid w:val="00A54D71"/>
    <w:rsid w:val="00A55A95"/>
    <w:rsid w:val="00A55BC4"/>
    <w:rsid w:val="00A55D70"/>
    <w:rsid w:val="00A560BD"/>
    <w:rsid w:val="00A56239"/>
    <w:rsid w:val="00A56982"/>
    <w:rsid w:val="00A56DE6"/>
    <w:rsid w:val="00A57E30"/>
    <w:rsid w:val="00A57E6A"/>
    <w:rsid w:val="00A616D4"/>
    <w:rsid w:val="00A617E4"/>
    <w:rsid w:val="00A61D17"/>
    <w:rsid w:val="00A62388"/>
    <w:rsid w:val="00A630D3"/>
    <w:rsid w:val="00A6314E"/>
    <w:rsid w:val="00A637C5"/>
    <w:rsid w:val="00A63B26"/>
    <w:rsid w:val="00A63D00"/>
    <w:rsid w:val="00A64B98"/>
    <w:rsid w:val="00A651D5"/>
    <w:rsid w:val="00A65DC0"/>
    <w:rsid w:val="00A66874"/>
    <w:rsid w:val="00A66E25"/>
    <w:rsid w:val="00A66EE0"/>
    <w:rsid w:val="00A6770D"/>
    <w:rsid w:val="00A67C16"/>
    <w:rsid w:val="00A67DD6"/>
    <w:rsid w:val="00A67EB5"/>
    <w:rsid w:val="00A708ED"/>
    <w:rsid w:val="00A70F93"/>
    <w:rsid w:val="00A710B6"/>
    <w:rsid w:val="00A7115E"/>
    <w:rsid w:val="00A71C39"/>
    <w:rsid w:val="00A71D8F"/>
    <w:rsid w:val="00A71D97"/>
    <w:rsid w:val="00A72913"/>
    <w:rsid w:val="00A7306D"/>
    <w:rsid w:val="00A7395D"/>
    <w:rsid w:val="00A73B12"/>
    <w:rsid w:val="00A742D0"/>
    <w:rsid w:val="00A74B6D"/>
    <w:rsid w:val="00A74DCB"/>
    <w:rsid w:val="00A7512D"/>
    <w:rsid w:val="00A75466"/>
    <w:rsid w:val="00A759F6"/>
    <w:rsid w:val="00A75CC4"/>
    <w:rsid w:val="00A765E5"/>
    <w:rsid w:val="00A76927"/>
    <w:rsid w:val="00A76DF9"/>
    <w:rsid w:val="00A77074"/>
    <w:rsid w:val="00A773A6"/>
    <w:rsid w:val="00A7752F"/>
    <w:rsid w:val="00A77842"/>
    <w:rsid w:val="00A77A48"/>
    <w:rsid w:val="00A77D26"/>
    <w:rsid w:val="00A804F2"/>
    <w:rsid w:val="00A81172"/>
    <w:rsid w:val="00A819E3"/>
    <w:rsid w:val="00A82140"/>
    <w:rsid w:val="00A830B9"/>
    <w:rsid w:val="00A83483"/>
    <w:rsid w:val="00A836FF"/>
    <w:rsid w:val="00A83EA5"/>
    <w:rsid w:val="00A8539C"/>
    <w:rsid w:val="00A85D8C"/>
    <w:rsid w:val="00A85E92"/>
    <w:rsid w:val="00A86549"/>
    <w:rsid w:val="00A877E8"/>
    <w:rsid w:val="00A879AB"/>
    <w:rsid w:val="00A87B2F"/>
    <w:rsid w:val="00A90F6A"/>
    <w:rsid w:val="00A913C8"/>
    <w:rsid w:val="00A91856"/>
    <w:rsid w:val="00A91966"/>
    <w:rsid w:val="00A91CFC"/>
    <w:rsid w:val="00A9219E"/>
    <w:rsid w:val="00A9241B"/>
    <w:rsid w:val="00A92702"/>
    <w:rsid w:val="00A93549"/>
    <w:rsid w:val="00A9383A"/>
    <w:rsid w:val="00A938F4"/>
    <w:rsid w:val="00A93E9E"/>
    <w:rsid w:val="00A94913"/>
    <w:rsid w:val="00A9515F"/>
    <w:rsid w:val="00A95830"/>
    <w:rsid w:val="00A95936"/>
    <w:rsid w:val="00A95AE6"/>
    <w:rsid w:val="00A971CE"/>
    <w:rsid w:val="00A97676"/>
    <w:rsid w:val="00A97829"/>
    <w:rsid w:val="00A97FF4"/>
    <w:rsid w:val="00AA11B3"/>
    <w:rsid w:val="00AA1D05"/>
    <w:rsid w:val="00AA3A29"/>
    <w:rsid w:val="00AA3D7D"/>
    <w:rsid w:val="00AA4319"/>
    <w:rsid w:val="00AA437D"/>
    <w:rsid w:val="00AA44E1"/>
    <w:rsid w:val="00AA4ECF"/>
    <w:rsid w:val="00AA58A2"/>
    <w:rsid w:val="00AA5D17"/>
    <w:rsid w:val="00AA5DCE"/>
    <w:rsid w:val="00AA64A0"/>
    <w:rsid w:val="00AA72B0"/>
    <w:rsid w:val="00AA776C"/>
    <w:rsid w:val="00AB0AB7"/>
    <w:rsid w:val="00AB0D51"/>
    <w:rsid w:val="00AB0FB2"/>
    <w:rsid w:val="00AB103D"/>
    <w:rsid w:val="00AB1FE6"/>
    <w:rsid w:val="00AB2C9C"/>
    <w:rsid w:val="00AB2D94"/>
    <w:rsid w:val="00AB3293"/>
    <w:rsid w:val="00AB37B7"/>
    <w:rsid w:val="00AB3F0F"/>
    <w:rsid w:val="00AB40CC"/>
    <w:rsid w:val="00AB62A9"/>
    <w:rsid w:val="00AB6802"/>
    <w:rsid w:val="00AB6836"/>
    <w:rsid w:val="00AB689B"/>
    <w:rsid w:val="00AB75B5"/>
    <w:rsid w:val="00AB7C8C"/>
    <w:rsid w:val="00AC04C9"/>
    <w:rsid w:val="00AC0D7A"/>
    <w:rsid w:val="00AC1A26"/>
    <w:rsid w:val="00AC1CD5"/>
    <w:rsid w:val="00AC1F75"/>
    <w:rsid w:val="00AC314C"/>
    <w:rsid w:val="00AC3DD2"/>
    <w:rsid w:val="00AC414F"/>
    <w:rsid w:val="00AC476C"/>
    <w:rsid w:val="00AC4E50"/>
    <w:rsid w:val="00AC5B34"/>
    <w:rsid w:val="00AC5D8A"/>
    <w:rsid w:val="00AC6184"/>
    <w:rsid w:val="00AC6326"/>
    <w:rsid w:val="00AC6649"/>
    <w:rsid w:val="00AC67BE"/>
    <w:rsid w:val="00AC6DEC"/>
    <w:rsid w:val="00AC70F8"/>
    <w:rsid w:val="00AC732D"/>
    <w:rsid w:val="00AC7377"/>
    <w:rsid w:val="00AC776D"/>
    <w:rsid w:val="00AC7972"/>
    <w:rsid w:val="00AC7BC1"/>
    <w:rsid w:val="00AD0832"/>
    <w:rsid w:val="00AD0AB7"/>
    <w:rsid w:val="00AD16A5"/>
    <w:rsid w:val="00AD16EA"/>
    <w:rsid w:val="00AD197D"/>
    <w:rsid w:val="00AD26FB"/>
    <w:rsid w:val="00AD27AA"/>
    <w:rsid w:val="00AD2962"/>
    <w:rsid w:val="00AD2AD4"/>
    <w:rsid w:val="00AD2DAF"/>
    <w:rsid w:val="00AD319C"/>
    <w:rsid w:val="00AD355C"/>
    <w:rsid w:val="00AD3FC5"/>
    <w:rsid w:val="00AD4134"/>
    <w:rsid w:val="00AD530F"/>
    <w:rsid w:val="00AD5AAA"/>
    <w:rsid w:val="00AD6819"/>
    <w:rsid w:val="00AD69EC"/>
    <w:rsid w:val="00AD6E3B"/>
    <w:rsid w:val="00AD75DB"/>
    <w:rsid w:val="00AD7D5E"/>
    <w:rsid w:val="00AD7F91"/>
    <w:rsid w:val="00AE024B"/>
    <w:rsid w:val="00AE0B30"/>
    <w:rsid w:val="00AE0CA5"/>
    <w:rsid w:val="00AE10AC"/>
    <w:rsid w:val="00AE12A3"/>
    <w:rsid w:val="00AE1AD8"/>
    <w:rsid w:val="00AE2623"/>
    <w:rsid w:val="00AE2ECC"/>
    <w:rsid w:val="00AE379D"/>
    <w:rsid w:val="00AE37F6"/>
    <w:rsid w:val="00AE3836"/>
    <w:rsid w:val="00AE387E"/>
    <w:rsid w:val="00AE3BB5"/>
    <w:rsid w:val="00AE3FF0"/>
    <w:rsid w:val="00AE4143"/>
    <w:rsid w:val="00AE4284"/>
    <w:rsid w:val="00AE47B9"/>
    <w:rsid w:val="00AE52F3"/>
    <w:rsid w:val="00AE5A9B"/>
    <w:rsid w:val="00AE5C63"/>
    <w:rsid w:val="00AE6056"/>
    <w:rsid w:val="00AE61ED"/>
    <w:rsid w:val="00AE6219"/>
    <w:rsid w:val="00AE651F"/>
    <w:rsid w:val="00AE6EB1"/>
    <w:rsid w:val="00AE7281"/>
    <w:rsid w:val="00AF02A3"/>
    <w:rsid w:val="00AF063A"/>
    <w:rsid w:val="00AF0CD5"/>
    <w:rsid w:val="00AF17D5"/>
    <w:rsid w:val="00AF1D6E"/>
    <w:rsid w:val="00AF1E15"/>
    <w:rsid w:val="00AF1E58"/>
    <w:rsid w:val="00AF27FF"/>
    <w:rsid w:val="00AF31C6"/>
    <w:rsid w:val="00AF39EC"/>
    <w:rsid w:val="00AF3E69"/>
    <w:rsid w:val="00AF3F40"/>
    <w:rsid w:val="00AF40D8"/>
    <w:rsid w:val="00AF42F9"/>
    <w:rsid w:val="00AF4EE9"/>
    <w:rsid w:val="00AF500F"/>
    <w:rsid w:val="00AF5010"/>
    <w:rsid w:val="00AF5DE5"/>
    <w:rsid w:val="00AF5DE7"/>
    <w:rsid w:val="00AF630C"/>
    <w:rsid w:val="00AF6941"/>
    <w:rsid w:val="00AF727F"/>
    <w:rsid w:val="00AF7339"/>
    <w:rsid w:val="00AF7499"/>
    <w:rsid w:val="00AF78C8"/>
    <w:rsid w:val="00AF7926"/>
    <w:rsid w:val="00AF7B6F"/>
    <w:rsid w:val="00B001A2"/>
    <w:rsid w:val="00B0021A"/>
    <w:rsid w:val="00B00891"/>
    <w:rsid w:val="00B009AA"/>
    <w:rsid w:val="00B010BF"/>
    <w:rsid w:val="00B01351"/>
    <w:rsid w:val="00B01395"/>
    <w:rsid w:val="00B01BE7"/>
    <w:rsid w:val="00B01DA9"/>
    <w:rsid w:val="00B01F17"/>
    <w:rsid w:val="00B028D8"/>
    <w:rsid w:val="00B02AC1"/>
    <w:rsid w:val="00B02E1C"/>
    <w:rsid w:val="00B03ED9"/>
    <w:rsid w:val="00B04F23"/>
    <w:rsid w:val="00B05123"/>
    <w:rsid w:val="00B056F1"/>
    <w:rsid w:val="00B05CE4"/>
    <w:rsid w:val="00B06309"/>
    <w:rsid w:val="00B06B7F"/>
    <w:rsid w:val="00B070D1"/>
    <w:rsid w:val="00B071E6"/>
    <w:rsid w:val="00B07469"/>
    <w:rsid w:val="00B07E7B"/>
    <w:rsid w:val="00B103A6"/>
    <w:rsid w:val="00B104DA"/>
    <w:rsid w:val="00B10A93"/>
    <w:rsid w:val="00B1125F"/>
    <w:rsid w:val="00B12327"/>
    <w:rsid w:val="00B12ED4"/>
    <w:rsid w:val="00B12F0B"/>
    <w:rsid w:val="00B1381E"/>
    <w:rsid w:val="00B13FF6"/>
    <w:rsid w:val="00B1425F"/>
    <w:rsid w:val="00B144FA"/>
    <w:rsid w:val="00B150CC"/>
    <w:rsid w:val="00B154C3"/>
    <w:rsid w:val="00B157A5"/>
    <w:rsid w:val="00B16249"/>
    <w:rsid w:val="00B1660B"/>
    <w:rsid w:val="00B168E0"/>
    <w:rsid w:val="00B1690C"/>
    <w:rsid w:val="00B16BDA"/>
    <w:rsid w:val="00B16C58"/>
    <w:rsid w:val="00B1755C"/>
    <w:rsid w:val="00B20927"/>
    <w:rsid w:val="00B2144F"/>
    <w:rsid w:val="00B21841"/>
    <w:rsid w:val="00B21963"/>
    <w:rsid w:val="00B21C89"/>
    <w:rsid w:val="00B21E0E"/>
    <w:rsid w:val="00B21FDF"/>
    <w:rsid w:val="00B233AE"/>
    <w:rsid w:val="00B23684"/>
    <w:rsid w:val="00B23F2A"/>
    <w:rsid w:val="00B24150"/>
    <w:rsid w:val="00B24C06"/>
    <w:rsid w:val="00B254CF"/>
    <w:rsid w:val="00B25564"/>
    <w:rsid w:val="00B25AB9"/>
    <w:rsid w:val="00B25D25"/>
    <w:rsid w:val="00B25E57"/>
    <w:rsid w:val="00B2622C"/>
    <w:rsid w:val="00B26824"/>
    <w:rsid w:val="00B27533"/>
    <w:rsid w:val="00B27ED6"/>
    <w:rsid w:val="00B3077B"/>
    <w:rsid w:val="00B30EBE"/>
    <w:rsid w:val="00B312C3"/>
    <w:rsid w:val="00B314E2"/>
    <w:rsid w:val="00B315D7"/>
    <w:rsid w:val="00B31FD6"/>
    <w:rsid w:val="00B32122"/>
    <w:rsid w:val="00B321FF"/>
    <w:rsid w:val="00B32549"/>
    <w:rsid w:val="00B325A7"/>
    <w:rsid w:val="00B32789"/>
    <w:rsid w:val="00B32BC5"/>
    <w:rsid w:val="00B32D44"/>
    <w:rsid w:val="00B32FD6"/>
    <w:rsid w:val="00B336EB"/>
    <w:rsid w:val="00B33B07"/>
    <w:rsid w:val="00B33BC4"/>
    <w:rsid w:val="00B33C0C"/>
    <w:rsid w:val="00B33E48"/>
    <w:rsid w:val="00B35011"/>
    <w:rsid w:val="00B350F0"/>
    <w:rsid w:val="00B35191"/>
    <w:rsid w:val="00B3598B"/>
    <w:rsid w:val="00B35E9E"/>
    <w:rsid w:val="00B36743"/>
    <w:rsid w:val="00B36AC7"/>
    <w:rsid w:val="00B3733F"/>
    <w:rsid w:val="00B37CE2"/>
    <w:rsid w:val="00B37DAA"/>
    <w:rsid w:val="00B37E59"/>
    <w:rsid w:val="00B40370"/>
    <w:rsid w:val="00B4073B"/>
    <w:rsid w:val="00B41C51"/>
    <w:rsid w:val="00B432C2"/>
    <w:rsid w:val="00B4363F"/>
    <w:rsid w:val="00B43EB2"/>
    <w:rsid w:val="00B4415F"/>
    <w:rsid w:val="00B449E4"/>
    <w:rsid w:val="00B44AFA"/>
    <w:rsid w:val="00B45C24"/>
    <w:rsid w:val="00B46261"/>
    <w:rsid w:val="00B46D2B"/>
    <w:rsid w:val="00B47BB7"/>
    <w:rsid w:val="00B508B0"/>
    <w:rsid w:val="00B50C66"/>
    <w:rsid w:val="00B518ED"/>
    <w:rsid w:val="00B5211A"/>
    <w:rsid w:val="00B5237C"/>
    <w:rsid w:val="00B52861"/>
    <w:rsid w:val="00B5316B"/>
    <w:rsid w:val="00B53737"/>
    <w:rsid w:val="00B5402B"/>
    <w:rsid w:val="00B5425B"/>
    <w:rsid w:val="00B543CB"/>
    <w:rsid w:val="00B54A25"/>
    <w:rsid w:val="00B5546F"/>
    <w:rsid w:val="00B55B2D"/>
    <w:rsid w:val="00B55BD2"/>
    <w:rsid w:val="00B55CE6"/>
    <w:rsid w:val="00B55E66"/>
    <w:rsid w:val="00B5672E"/>
    <w:rsid w:val="00B56F18"/>
    <w:rsid w:val="00B572CB"/>
    <w:rsid w:val="00B57C5A"/>
    <w:rsid w:val="00B60A18"/>
    <w:rsid w:val="00B60C48"/>
    <w:rsid w:val="00B61549"/>
    <w:rsid w:val="00B618A4"/>
    <w:rsid w:val="00B61AE1"/>
    <w:rsid w:val="00B61B00"/>
    <w:rsid w:val="00B62478"/>
    <w:rsid w:val="00B624CF"/>
    <w:rsid w:val="00B625CF"/>
    <w:rsid w:val="00B626B6"/>
    <w:rsid w:val="00B63230"/>
    <w:rsid w:val="00B63488"/>
    <w:rsid w:val="00B63943"/>
    <w:rsid w:val="00B6442F"/>
    <w:rsid w:val="00B64656"/>
    <w:rsid w:val="00B64AA3"/>
    <w:rsid w:val="00B64B16"/>
    <w:rsid w:val="00B6580D"/>
    <w:rsid w:val="00B65E8A"/>
    <w:rsid w:val="00B66029"/>
    <w:rsid w:val="00B6603A"/>
    <w:rsid w:val="00B6666C"/>
    <w:rsid w:val="00B670EB"/>
    <w:rsid w:val="00B6745E"/>
    <w:rsid w:val="00B67574"/>
    <w:rsid w:val="00B67BA7"/>
    <w:rsid w:val="00B67D81"/>
    <w:rsid w:val="00B67F2C"/>
    <w:rsid w:val="00B709D5"/>
    <w:rsid w:val="00B712A2"/>
    <w:rsid w:val="00B71345"/>
    <w:rsid w:val="00B71752"/>
    <w:rsid w:val="00B717E8"/>
    <w:rsid w:val="00B7187E"/>
    <w:rsid w:val="00B7311D"/>
    <w:rsid w:val="00B747B5"/>
    <w:rsid w:val="00B74AD2"/>
    <w:rsid w:val="00B74C3B"/>
    <w:rsid w:val="00B75096"/>
    <w:rsid w:val="00B75985"/>
    <w:rsid w:val="00B761E9"/>
    <w:rsid w:val="00B76434"/>
    <w:rsid w:val="00B76938"/>
    <w:rsid w:val="00B76C8C"/>
    <w:rsid w:val="00B76D8F"/>
    <w:rsid w:val="00B77021"/>
    <w:rsid w:val="00B77247"/>
    <w:rsid w:val="00B772EF"/>
    <w:rsid w:val="00B77B1B"/>
    <w:rsid w:val="00B77EA5"/>
    <w:rsid w:val="00B805EC"/>
    <w:rsid w:val="00B80AFA"/>
    <w:rsid w:val="00B80BCE"/>
    <w:rsid w:val="00B8138D"/>
    <w:rsid w:val="00B8165B"/>
    <w:rsid w:val="00B817EE"/>
    <w:rsid w:val="00B8243B"/>
    <w:rsid w:val="00B82591"/>
    <w:rsid w:val="00B8285F"/>
    <w:rsid w:val="00B82A7F"/>
    <w:rsid w:val="00B82E5C"/>
    <w:rsid w:val="00B8322C"/>
    <w:rsid w:val="00B83B43"/>
    <w:rsid w:val="00B842E8"/>
    <w:rsid w:val="00B8467B"/>
    <w:rsid w:val="00B84B5A"/>
    <w:rsid w:val="00B84FAB"/>
    <w:rsid w:val="00B85B44"/>
    <w:rsid w:val="00B867A1"/>
    <w:rsid w:val="00B869AA"/>
    <w:rsid w:val="00B874E2"/>
    <w:rsid w:val="00B87732"/>
    <w:rsid w:val="00B90AC2"/>
    <w:rsid w:val="00B90C32"/>
    <w:rsid w:val="00B91097"/>
    <w:rsid w:val="00B92931"/>
    <w:rsid w:val="00B92B14"/>
    <w:rsid w:val="00B92CD6"/>
    <w:rsid w:val="00B9475D"/>
    <w:rsid w:val="00B94F35"/>
    <w:rsid w:val="00B9540D"/>
    <w:rsid w:val="00B955D7"/>
    <w:rsid w:val="00B95C56"/>
    <w:rsid w:val="00B95D3F"/>
    <w:rsid w:val="00B95E4F"/>
    <w:rsid w:val="00B9715D"/>
    <w:rsid w:val="00B9754E"/>
    <w:rsid w:val="00B97CC1"/>
    <w:rsid w:val="00B97DB4"/>
    <w:rsid w:val="00BA04CF"/>
    <w:rsid w:val="00BA0698"/>
    <w:rsid w:val="00BA14F8"/>
    <w:rsid w:val="00BA1800"/>
    <w:rsid w:val="00BA19C4"/>
    <w:rsid w:val="00BA1D3B"/>
    <w:rsid w:val="00BA2175"/>
    <w:rsid w:val="00BA21FD"/>
    <w:rsid w:val="00BA2DA6"/>
    <w:rsid w:val="00BA3596"/>
    <w:rsid w:val="00BA3616"/>
    <w:rsid w:val="00BA390F"/>
    <w:rsid w:val="00BA3F34"/>
    <w:rsid w:val="00BA440C"/>
    <w:rsid w:val="00BA547F"/>
    <w:rsid w:val="00BA64B7"/>
    <w:rsid w:val="00BA6706"/>
    <w:rsid w:val="00BA6DB4"/>
    <w:rsid w:val="00BA7567"/>
    <w:rsid w:val="00BA7622"/>
    <w:rsid w:val="00BB1562"/>
    <w:rsid w:val="00BB198C"/>
    <w:rsid w:val="00BB1BE2"/>
    <w:rsid w:val="00BB1EFE"/>
    <w:rsid w:val="00BB25F4"/>
    <w:rsid w:val="00BB2B78"/>
    <w:rsid w:val="00BB2DDE"/>
    <w:rsid w:val="00BB2F14"/>
    <w:rsid w:val="00BB30E6"/>
    <w:rsid w:val="00BB3732"/>
    <w:rsid w:val="00BB392A"/>
    <w:rsid w:val="00BB4238"/>
    <w:rsid w:val="00BB4876"/>
    <w:rsid w:val="00BB4D91"/>
    <w:rsid w:val="00BB76A5"/>
    <w:rsid w:val="00BB7EE1"/>
    <w:rsid w:val="00BC0159"/>
    <w:rsid w:val="00BC0B37"/>
    <w:rsid w:val="00BC1029"/>
    <w:rsid w:val="00BC12EA"/>
    <w:rsid w:val="00BC1316"/>
    <w:rsid w:val="00BC240B"/>
    <w:rsid w:val="00BC26E1"/>
    <w:rsid w:val="00BC3338"/>
    <w:rsid w:val="00BC3EB9"/>
    <w:rsid w:val="00BC4DE3"/>
    <w:rsid w:val="00BC4E41"/>
    <w:rsid w:val="00BC5B3F"/>
    <w:rsid w:val="00BC62C8"/>
    <w:rsid w:val="00BC62FE"/>
    <w:rsid w:val="00BC6305"/>
    <w:rsid w:val="00BC6A8E"/>
    <w:rsid w:val="00BC7865"/>
    <w:rsid w:val="00BC799F"/>
    <w:rsid w:val="00BC7DC5"/>
    <w:rsid w:val="00BD0560"/>
    <w:rsid w:val="00BD1513"/>
    <w:rsid w:val="00BD166A"/>
    <w:rsid w:val="00BD16B1"/>
    <w:rsid w:val="00BD18AB"/>
    <w:rsid w:val="00BD27B8"/>
    <w:rsid w:val="00BD3E8E"/>
    <w:rsid w:val="00BD4034"/>
    <w:rsid w:val="00BD40F5"/>
    <w:rsid w:val="00BD441C"/>
    <w:rsid w:val="00BD4FD6"/>
    <w:rsid w:val="00BD5017"/>
    <w:rsid w:val="00BD509E"/>
    <w:rsid w:val="00BD56F8"/>
    <w:rsid w:val="00BD5E53"/>
    <w:rsid w:val="00BD5FDC"/>
    <w:rsid w:val="00BD6C8E"/>
    <w:rsid w:val="00BD74CF"/>
    <w:rsid w:val="00BD7945"/>
    <w:rsid w:val="00BE01F0"/>
    <w:rsid w:val="00BE1115"/>
    <w:rsid w:val="00BE1461"/>
    <w:rsid w:val="00BE1AD1"/>
    <w:rsid w:val="00BE1DB1"/>
    <w:rsid w:val="00BE24E2"/>
    <w:rsid w:val="00BE285F"/>
    <w:rsid w:val="00BE2B94"/>
    <w:rsid w:val="00BE2EC7"/>
    <w:rsid w:val="00BE2EE9"/>
    <w:rsid w:val="00BE2EFE"/>
    <w:rsid w:val="00BE3E9B"/>
    <w:rsid w:val="00BE446F"/>
    <w:rsid w:val="00BE5F92"/>
    <w:rsid w:val="00BE6193"/>
    <w:rsid w:val="00BE671E"/>
    <w:rsid w:val="00BE6DB9"/>
    <w:rsid w:val="00BE7FD6"/>
    <w:rsid w:val="00BF036A"/>
    <w:rsid w:val="00BF048D"/>
    <w:rsid w:val="00BF0BDE"/>
    <w:rsid w:val="00BF0D86"/>
    <w:rsid w:val="00BF24B1"/>
    <w:rsid w:val="00BF2506"/>
    <w:rsid w:val="00BF3B4B"/>
    <w:rsid w:val="00BF4929"/>
    <w:rsid w:val="00BF4995"/>
    <w:rsid w:val="00BF544C"/>
    <w:rsid w:val="00BF5990"/>
    <w:rsid w:val="00BF67B8"/>
    <w:rsid w:val="00BF6CA7"/>
    <w:rsid w:val="00BF799A"/>
    <w:rsid w:val="00C00A80"/>
    <w:rsid w:val="00C01052"/>
    <w:rsid w:val="00C01458"/>
    <w:rsid w:val="00C01DFA"/>
    <w:rsid w:val="00C01EDC"/>
    <w:rsid w:val="00C02241"/>
    <w:rsid w:val="00C02348"/>
    <w:rsid w:val="00C023C7"/>
    <w:rsid w:val="00C02400"/>
    <w:rsid w:val="00C02960"/>
    <w:rsid w:val="00C02CF6"/>
    <w:rsid w:val="00C02D9E"/>
    <w:rsid w:val="00C04405"/>
    <w:rsid w:val="00C04466"/>
    <w:rsid w:val="00C04B54"/>
    <w:rsid w:val="00C0685B"/>
    <w:rsid w:val="00C07BB7"/>
    <w:rsid w:val="00C10BA9"/>
    <w:rsid w:val="00C1119E"/>
    <w:rsid w:val="00C11202"/>
    <w:rsid w:val="00C11EB8"/>
    <w:rsid w:val="00C13270"/>
    <w:rsid w:val="00C135C4"/>
    <w:rsid w:val="00C1367D"/>
    <w:rsid w:val="00C1522A"/>
    <w:rsid w:val="00C15AF0"/>
    <w:rsid w:val="00C167BA"/>
    <w:rsid w:val="00C16B37"/>
    <w:rsid w:val="00C1717C"/>
    <w:rsid w:val="00C17E75"/>
    <w:rsid w:val="00C2074E"/>
    <w:rsid w:val="00C21C2F"/>
    <w:rsid w:val="00C21DC0"/>
    <w:rsid w:val="00C21E4A"/>
    <w:rsid w:val="00C22A93"/>
    <w:rsid w:val="00C2302E"/>
    <w:rsid w:val="00C23323"/>
    <w:rsid w:val="00C23454"/>
    <w:rsid w:val="00C2383F"/>
    <w:rsid w:val="00C24525"/>
    <w:rsid w:val="00C245AC"/>
    <w:rsid w:val="00C24D78"/>
    <w:rsid w:val="00C250B9"/>
    <w:rsid w:val="00C253C4"/>
    <w:rsid w:val="00C25A95"/>
    <w:rsid w:val="00C25E29"/>
    <w:rsid w:val="00C2706B"/>
    <w:rsid w:val="00C27AD8"/>
    <w:rsid w:val="00C31530"/>
    <w:rsid w:val="00C31C9D"/>
    <w:rsid w:val="00C31D83"/>
    <w:rsid w:val="00C31DB5"/>
    <w:rsid w:val="00C31E11"/>
    <w:rsid w:val="00C3269B"/>
    <w:rsid w:val="00C331A7"/>
    <w:rsid w:val="00C33304"/>
    <w:rsid w:val="00C339AD"/>
    <w:rsid w:val="00C33B83"/>
    <w:rsid w:val="00C34014"/>
    <w:rsid w:val="00C34139"/>
    <w:rsid w:val="00C342DC"/>
    <w:rsid w:val="00C3432C"/>
    <w:rsid w:val="00C34444"/>
    <w:rsid w:val="00C348FA"/>
    <w:rsid w:val="00C34A08"/>
    <w:rsid w:val="00C34B65"/>
    <w:rsid w:val="00C36B21"/>
    <w:rsid w:val="00C36EAE"/>
    <w:rsid w:val="00C3710F"/>
    <w:rsid w:val="00C37143"/>
    <w:rsid w:val="00C37337"/>
    <w:rsid w:val="00C37760"/>
    <w:rsid w:val="00C37D21"/>
    <w:rsid w:val="00C40161"/>
    <w:rsid w:val="00C40281"/>
    <w:rsid w:val="00C41122"/>
    <w:rsid w:val="00C413FC"/>
    <w:rsid w:val="00C41C5F"/>
    <w:rsid w:val="00C42D4E"/>
    <w:rsid w:val="00C42ECF"/>
    <w:rsid w:val="00C43183"/>
    <w:rsid w:val="00C43393"/>
    <w:rsid w:val="00C43B8A"/>
    <w:rsid w:val="00C44147"/>
    <w:rsid w:val="00C44585"/>
    <w:rsid w:val="00C447DF"/>
    <w:rsid w:val="00C45047"/>
    <w:rsid w:val="00C45434"/>
    <w:rsid w:val="00C45600"/>
    <w:rsid w:val="00C45850"/>
    <w:rsid w:val="00C45BB1"/>
    <w:rsid w:val="00C46861"/>
    <w:rsid w:val="00C46D57"/>
    <w:rsid w:val="00C46EA7"/>
    <w:rsid w:val="00C504BF"/>
    <w:rsid w:val="00C50743"/>
    <w:rsid w:val="00C50D18"/>
    <w:rsid w:val="00C50F40"/>
    <w:rsid w:val="00C511DB"/>
    <w:rsid w:val="00C5138B"/>
    <w:rsid w:val="00C51907"/>
    <w:rsid w:val="00C52DEE"/>
    <w:rsid w:val="00C5315B"/>
    <w:rsid w:val="00C535FA"/>
    <w:rsid w:val="00C53862"/>
    <w:rsid w:val="00C53F5A"/>
    <w:rsid w:val="00C540D9"/>
    <w:rsid w:val="00C54B48"/>
    <w:rsid w:val="00C55013"/>
    <w:rsid w:val="00C5518B"/>
    <w:rsid w:val="00C563C9"/>
    <w:rsid w:val="00C563EB"/>
    <w:rsid w:val="00C565BF"/>
    <w:rsid w:val="00C5689F"/>
    <w:rsid w:val="00C60558"/>
    <w:rsid w:val="00C6109C"/>
    <w:rsid w:val="00C6213F"/>
    <w:rsid w:val="00C639B6"/>
    <w:rsid w:val="00C63F31"/>
    <w:rsid w:val="00C646DE"/>
    <w:rsid w:val="00C64C85"/>
    <w:rsid w:val="00C6515E"/>
    <w:rsid w:val="00C67490"/>
    <w:rsid w:val="00C67543"/>
    <w:rsid w:val="00C67B70"/>
    <w:rsid w:val="00C701B5"/>
    <w:rsid w:val="00C71109"/>
    <w:rsid w:val="00C71731"/>
    <w:rsid w:val="00C71E32"/>
    <w:rsid w:val="00C72428"/>
    <w:rsid w:val="00C726E9"/>
    <w:rsid w:val="00C72810"/>
    <w:rsid w:val="00C728C1"/>
    <w:rsid w:val="00C72EEA"/>
    <w:rsid w:val="00C7519C"/>
    <w:rsid w:val="00C75843"/>
    <w:rsid w:val="00C75903"/>
    <w:rsid w:val="00C76940"/>
    <w:rsid w:val="00C76D4A"/>
    <w:rsid w:val="00C77987"/>
    <w:rsid w:val="00C77BC8"/>
    <w:rsid w:val="00C80CAC"/>
    <w:rsid w:val="00C80DF5"/>
    <w:rsid w:val="00C80F7D"/>
    <w:rsid w:val="00C8119B"/>
    <w:rsid w:val="00C8188E"/>
    <w:rsid w:val="00C81AD6"/>
    <w:rsid w:val="00C823D6"/>
    <w:rsid w:val="00C82860"/>
    <w:rsid w:val="00C8336B"/>
    <w:rsid w:val="00C84117"/>
    <w:rsid w:val="00C84216"/>
    <w:rsid w:val="00C84567"/>
    <w:rsid w:val="00C84B0F"/>
    <w:rsid w:val="00C84D21"/>
    <w:rsid w:val="00C8506C"/>
    <w:rsid w:val="00C8510D"/>
    <w:rsid w:val="00C854C8"/>
    <w:rsid w:val="00C8591C"/>
    <w:rsid w:val="00C85EDD"/>
    <w:rsid w:val="00C8631E"/>
    <w:rsid w:val="00C87152"/>
    <w:rsid w:val="00C87412"/>
    <w:rsid w:val="00C87CE2"/>
    <w:rsid w:val="00C9017B"/>
    <w:rsid w:val="00C90831"/>
    <w:rsid w:val="00C908D2"/>
    <w:rsid w:val="00C90C16"/>
    <w:rsid w:val="00C91472"/>
    <w:rsid w:val="00C91D47"/>
    <w:rsid w:val="00C91EE4"/>
    <w:rsid w:val="00C920AE"/>
    <w:rsid w:val="00C92137"/>
    <w:rsid w:val="00C92AFD"/>
    <w:rsid w:val="00C93C77"/>
    <w:rsid w:val="00C943C9"/>
    <w:rsid w:val="00C94624"/>
    <w:rsid w:val="00C94971"/>
    <w:rsid w:val="00C94BF1"/>
    <w:rsid w:val="00C94D25"/>
    <w:rsid w:val="00C94F54"/>
    <w:rsid w:val="00C9518F"/>
    <w:rsid w:val="00C95896"/>
    <w:rsid w:val="00C95993"/>
    <w:rsid w:val="00C96392"/>
    <w:rsid w:val="00C965C9"/>
    <w:rsid w:val="00C97080"/>
    <w:rsid w:val="00C97B79"/>
    <w:rsid w:val="00C97DB6"/>
    <w:rsid w:val="00CA01B8"/>
    <w:rsid w:val="00CA0200"/>
    <w:rsid w:val="00CA0989"/>
    <w:rsid w:val="00CA09A7"/>
    <w:rsid w:val="00CA0A9D"/>
    <w:rsid w:val="00CA1A2F"/>
    <w:rsid w:val="00CA2F00"/>
    <w:rsid w:val="00CA3A13"/>
    <w:rsid w:val="00CA3F7D"/>
    <w:rsid w:val="00CA43D3"/>
    <w:rsid w:val="00CA4495"/>
    <w:rsid w:val="00CA4A26"/>
    <w:rsid w:val="00CA5576"/>
    <w:rsid w:val="00CA5C3B"/>
    <w:rsid w:val="00CA61A5"/>
    <w:rsid w:val="00CA664D"/>
    <w:rsid w:val="00CA6685"/>
    <w:rsid w:val="00CA6793"/>
    <w:rsid w:val="00CA6D68"/>
    <w:rsid w:val="00CA6DC3"/>
    <w:rsid w:val="00CA6EDA"/>
    <w:rsid w:val="00CA71D5"/>
    <w:rsid w:val="00CA71E8"/>
    <w:rsid w:val="00CA7577"/>
    <w:rsid w:val="00CA78B4"/>
    <w:rsid w:val="00CA7A5E"/>
    <w:rsid w:val="00CA7B3F"/>
    <w:rsid w:val="00CB0507"/>
    <w:rsid w:val="00CB0F12"/>
    <w:rsid w:val="00CB106A"/>
    <w:rsid w:val="00CB24BB"/>
    <w:rsid w:val="00CB2C33"/>
    <w:rsid w:val="00CB2EF5"/>
    <w:rsid w:val="00CB3537"/>
    <w:rsid w:val="00CB42D8"/>
    <w:rsid w:val="00CB4670"/>
    <w:rsid w:val="00CB46F7"/>
    <w:rsid w:val="00CB4730"/>
    <w:rsid w:val="00CB48E2"/>
    <w:rsid w:val="00CB4C9A"/>
    <w:rsid w:val="00CB56C7"/>
    <w:rsid w:val="00CB57DD"/>
    <w:rsid w:val="00CB5B83"/>
    <w:rsid w:val="00CB6ACC"/>
    <w:rsid w:val="00CB7F7F"/>
    <w:rsid w:val="00CC06F0"/>
    <w:rsid w:val="00CC0C8B"/>
    <w:rsid w:val="00CC1402"/>
    <w:rsid w:val="00CC1978"/>
    <w:rsid w:val="00CC2BB6"/>
    <w:rsid w:val="00CC2C52"/>
    <w:rsid w:val="00CC2D4C"/>
    <w:rsid w:val="00CC3397"/>
    <w:rsid w:val="00CC3849"/>
    <w:rsid w:val="00CC3D03"/>
    <w:rsid w:val="00CC41C3"/>
    <w:rsid w:val="00CC47B6"/>
    <w:rsid w:val="00CC5287"/>
    <w:rsid w:val="00CC54A1"/>
    <w:rsid w:val="00CC5812"/>
    <w:rsid w:val="00CC5CEF"/>
    <w:rsid w:val="00CC622F"/>
    <w:rsid w:val="00CC628D"/>
    <w:rsid w:val="00CC64FA"/>
    <w:rsid w:val="00CC6D4A"/>
    <w:rsid w:val="00CC7C65"/>
    <w:rsid w:val="00CC7EFB"/>
    <w:rsid w:val="00CD1170"/>
    <w:rsid w:val="00CD140E"/>
    <w:rsid w:val="00CD1568"/>
    <w:rsid w:val="00CD1C00"/>
    <w:rsid w:val="00CD1F97"/>
    <w:rsid w:val="00CD1FAF"/>
    <w:rsid w:val="00CD25F9"/>
    <w:rsid w:val="00CD2EDF"/>
    <w:rsid w:val="00CD3293"/>
    <w:rsid w:val="00CD3647"/>
    <w:rsid w:val="00CD3708"/>
    <w:rsid w:val="00CD388A"/>
    <w:rsid w:val="00CD432F"/>
    <w:rsid w:val="00CD4342"/>
    <w:rsid w:val="00CD4573"/>
    <w:rsid w:val="00CD4CCF"/>
    <w:rsid w:val="00CD546C"/>
    <w:rsid w:val="00CD5F96"/>
    <w:rsid w:val="00CD5FF4"/>
    <w:rsid w:val="00CD62A5"/>
    <w:rsid w:val="00CD655C"/>
    <w:rsid w:val="00CD6825"/>
    <w:rsid w:val="00CD760E"/>
    <w:rsid w:val="00CD7795"/>
    <w:rsid w:val="00CD7C96"/>
    <w:rsid w:val="00CD7F44"/>
    <w:rsid w:val="00CE020B"/>
    <w:rsid w:val="00CE038A"/>
    <w:rsid w:val="00CE0647"/>
    <w:rsid w:val="00CE09CA"/>
    <w:rsid w:val="00CE14D8"/>
    <w:rsid w:val="00CE1BB7"/>
    <w:rsid w:val="00CE24AC"/>
    <w:rsid w:val="00CE251B"/>
    <w:rsid w:val="00CE3A63"/>
    <w:rsid w:val="00CE3B9D"/>
    <w:rsid w:val="00CE3F07"/>
    <w:rsid w:val="00CE417E"/>
    <w:rsid w:val="00CE45F1"/>
    <w:rsid w:val="00CE4BD7"/>
    <w:rsid w:val="00CE544A"/>
    <w:rsid w:val="00CE5ADE"/>
    <w:rsid w:val="00CE6718"/>
    <w:rsid w:val="00CE6DE9"/>
    <w:rsid w:val="00CE6FAC"/>
    <w:rsid w:val="00CE722F"/>
    <w:rsid w:val="00CE7D27"/>
    <w:rsid w:val="00CF0051"/>
    <w:rsid w:val="00CF03E5"/>
    <w:rsid w:val="00CF0A0E"/>
    <w:rsid w:val="00CF0D84"/>
    <w:rsid w:val="00CF0DDE"/>
    <w:rsid w:val="00CF114F"/>
    <w:rsid w:val="00CF1E08"/>
    <w:rsid w:val="00CF235E"/>
    <w:rsid w:val="00CF2B08"/>
    <w:rsid w:val="00CF2E19"/>
    <w:rsid w:val="00CF2F44"/>
    <w:rsid w:val="00CF3B9D"/>
    <w:rsid w:val="00CF3D0A"/>
    <w:rsid w:val="00CF412E"/>
    <w:rsid w:val="00CF4E18"/>
    <w:rsid w:val="00CF519E"/>
    <w:rsid w:val="00CF54AD"/>
    <w:rsid w:val="00CF5712"/>
    <w:rsid w:val="00CF57E6"/>
    <w:rsid w:val="00CF59A8"/>
    <w:rsid w:val="00CF68AA"/>
    <w:rsid w:val="00CF6CA7"/>
    <w:rsid w:val="00CF772C"/>
    <w:rsid w:val="00CF7F25"/>
    <w:rsid w:val="00D00949"/>
    <w:rsid w:val="00D01580"/>
    <w:rsid w:val="00D015C7"/>
    <w:rsid w:val="00D01842"/>
    <w:rsid w:val="00D018C4"/>
    <w:rsid w:val="00D028EB"/>
    <w:rsid w:val="00D02CEB"/>
    <w:rsid w:val="00D02E33"/>
    <w:rsid w:val="00D041EB"/>
    <w:rsid w:val="00D043A0"/>
    <w:rsid w:val="00D04C53"/>
    <w:rsid w:val="00D04E01"/>
    <w:rsid w:val="00D05435"/>
    <w:rsid w:val="00D063CB"/>
    <w:rsid w:val="00D0640C"/>
    <w:rsid w:val="00D06BCA"/>
    <w:rsid w:val="00D07769"/>
    <w:rsid w:val="00D077C3"/>
    <w:rsid w:val="00D07800"/>
    <w:rsid w:val="00D07F18"/>
    <w:rsid w:val="00D1049F"/>
    <w:rsid w:val="00D10654"/>
    <w:rsid w:val="00D12F7E"/>
    <w:rsid w:val="00D142E1"/>
    <w:rsid w:val="00D145F3"/>
    <w:rsid w:val="00D149B8"/>
    <w:rsid w:val="00D152EE"/>
    <w:rsid w:val="00D15932"/>
    <w:rsid w:val="00D1662C"/>
    <w:rsid w:val="00D16CAE"/>
    <w:rsid w:val="00D171BD"/>
    <w:rsid w:val="00D1782F"/>
    <w:rsid w:val="00D17DDF"/>
    <w:rsid w:val="00D20149"/>
    <w:rsid w:val="00D20459"/>
    <w:rsid w:val="00D20CA4"/>
    <w:rsid w:val="00D21658"/>
    <w:rsid w:val="00D21D6D"/>
    <w:rsid w:val="00D2288C"/>
    <w:rsid w:val="00D22CAD"/>
    <w:rsid w:val="00D230C4"/>
    <w:rsid w:val="00D231F3"/>
    <w:rsid w:val="00D23EFB"/>
    <w:rsid w:val="00D241E7"/>
    <w:rsid w:val="00D242AC"/>
    <w:rsid w:val="00D242DD"/>
    <w:rsid w:val="00D245A9"/>
    <w:rsid w:val="00D249EE"/>
    <w:rsid w:val="00D24D48"/>
    <w:rsid w:val="00D2523A"/>
    <w:rsid w:val="00D25E3F"/>
    <w:rsid w:val="00D26063"/>
    <w:rsid w:val="00D26097"/>
    <w:rsid w:val="00D26757"/>
    <w:rsid w:val="00D26DCE"/>
    <w:rsid w:val="00D271FD"/>
    <w:rsid w:val="00D279E0"/>
    <w:rsid w:val="00D27B06"/>
    <w:rsid w:val="00D27B08"/>
    <w:rsid w:val="00D30596"/>
    <w:rsid w:val="00D3065F"/>
    <w:rsid w:val="00D308FC"/>
    <w:rsid w:val="00D3130A"/>
    <w:rsid w:val="00D31DBE"/>
    <w:rsid w:val="00D31ED4"/>
    <w:rsid w:val="00D327E8"/>
    <w:rsid w:val="00D330DE"/>
    <w:rsid w:val="00D34442"/>
    <w:rsid w:val="00D3504F"/>
    <w:rsid w:val="00D35344"/>
    <w:rsid w:val="00D355D2"/>
    <w:rsid w:val="00D36018"/>
    <w:rsid w:val="00D365DA"/>
    <w:rsid w:val="00D368FF"/>
    <w:rsid w:val="00D36A0A"/>
    <w:rsid w:val="00D36B9C"/>
    <w:rsid w:val="00D378A8"/>
    <w:rsid w:val="00D378C1"/>
    <w:rsid w:val="00D379AB"/>
    <w:rsid w:val="00D37A1A"/>
    <w:rsid w:val="00D4029E"/>
    <w:rsid w:val="00D406A0"/>
    <w:rsid w:val="00D41CA8"/>
    <w:rsid w:val="00D41F3B"/>
    <w:rsid w:val="00D42B62"/>
    <w:rsid w:val="00D42E03"/>
    <w:rsid w:val="00D43963"/>
    <w:rsid w:val="00D449B4"/>
    <w:rsid w:val="00D44C74"/>
    <w:rsid w:val="00D4515C"/>
    <w:rsid w:val="00D45280"/>
    <w:rsid w:val="00D4558C"/>
    <w:rsid w:val="00D4589C"/>
    <w:rsid w:val="00D45C4D"/>
    <w:rsid w:val="00D46655"/>
    <w:rsid w:val="00D46AC5"/>
    <w:rsid w:val="00D46BC4"/>
    <w:rsid w:val="00D46D92"/>
    <w:rsid w:val="00D46ECD"/>
    <w:rsid w:val="00D47144"/>
    <w:rsid w:val="00D477ED"/>
    <w:rsid w:val="00D516E0"/>
    <w:rsid w:val="00D51860"/>
    <w:rsid w:val="00D51CC0"/>
    <w:rsid w:val="00D51DDC"/>
    <w:rsid w:val="00D5236D"/>
    <w:rsid w:val="00D5237E"/>
    <w:rsid w:val="00D528E3"/>
    <w:rsid w:val="00D52DD0"/>
    <w:rsid w:val="00D5344C"/>
    <w:rsid w:val="00D54B37"/>
    <w:rsid w:val="00D54E2F"/>
    <w:rsid w:val="00D550D9"/>
    <w:rsid w:val="00D555A1"/>
    <w:rsid w:val="00D55C7E"/>
    <w:rsid w:val="00D55C8C"/>
    <w:rsid w:val="00D563E7"/>
    <w:rsid w:val="00D56426"/>
    <w:rsid w:val="00D56A8E"/>
    <w:rsid w:val="00D573F7"/>
    <w:rsid w:val="00D577D6"/>
    <w:rsid w:val="00D57C66"/>
    <w:rsid w:val="00D606C5"/>
    <w:rsid w:val="00D60910"/>
    <w:rsid w:val="00D60F1D"/>
    <w:rsid w:val="00D614B5"/>
    <w:rsid w:val="00D61512"/>
    <w:rsid w:val="00D616EB"/>
    <w:rsid w:val="00D6287F"/>
    <w:rsid w:val="00D628D7"/>
    <w:rsid w:val="00D63203"/>
    <w:rsid w:val="00D63620"/>
    <w:rsid w:val="00D64036"/>
    <w:rsid w:val="00D6484B"/>
    <w:rsid w:val="00D653D1"/>
    <w:rsid w:val="00D65C80"/>
    <w:rsid w:val="00D65FF6"/>
    <w:rsid w:val="00D66CD5"/>
    <w:rsid w:val="00D67333"/>
    <w:rsid w:val="00D677D0"/>
    <w:rsid w:val="00D70121"/>
    <w:rsid w:val="00D70272"/>
    <w:rsid w:val="00D703A6"/>
    <w:rsid w:val="00D70545"/>
    <w:rsid w:val="00D714F4"/>
    <w:rsid w:val="00D7153E"/>
    <w:rsid w:val="00D71BFA"/>
    <w:rsid w:val="00D71D7D"/>
    <w:rsid w:val="00D72478"/>
    <w:rsid w:val="00D73A57"/>
    <w:rsid w:val="00D73F5D"/>
    <w:rsid w:val="00D73FFB"/>
    <w:rsid w:val="00D7428C"/>
    <w:rsid w:val="00D748CE"/>
    <w:rsid w:val="00D7569A"/>
    <w:rsid w:val="00D756C0"/>
    <w:rsid w:val="00D75944"/>
    <w:rsid w:val="00D75CBA"/>
    <w:rsid w:val="00D77018"/>
    <w:rsid w:val="00D777FB"/>
    <w:rsid w:val="00D77981"/>
    <w:rsid w:val="00D77ADA"/>
    <w:rsid w:val="00D8025A"/>
    <w:rsid w:val="00D80456"/>
    <w:rsid w:val="00D80644"/>
    <w:rsid w:val="00D80A78"/>
    <w:rsid w:val="00D812A4"/>
    <w:rsid w:val="00D819CD"/>
    <w:rsid w:val="00D81CF9"/>
    <w:rsid w:val="00D81E43"/>
    <w:rsid w:val="00D825A4"/>
    <w:rsid w:val="00D8273A"/>
    <w:rsid w:val="00D84641"/>
    <w:rsid w:val="00D8488C"/>
    <w:rsid w:val="00D84C22"/>
    <w:rsid w:val="00D84E39"/>
    <w:rsid w:val="00D84F58"/>
    <w:rsid w:val="00D8502A"/>
    <w:rsid w:val="00D8519B"/>
    <w:rsid w:val="00D854E2"/>
    <w:rsid w:val="00D85B31"/>
    <w:rsid w:val="00D860DB"/>
    <w:rsid w:val="00D86C76"/>
    <w:rsid w:val="00D86D8E"/>
    <w:rsid w:val="00D86FB1"/>
    <w:rsid w:val="00D870EE"/>
    <w:rsid w:val="00D87641"/>
    <w:rsid w:val="00D9027A"/>
    <w:rsid w:val="00D902A9"/>
    <w:rsid w:val="00D903DC"/>
    <w:rsid w:val="00D90432"/>
    <w:rsid w:val="00D9067F"/>
    <w:rsid w:val="00D9073B"/>
    <w:rsid w:val="00D908B1"/>
    <w:rsid w:val="00D90C54"/>
    <w:rsid w:val="00D90CC7"/>
    <w:rsid w:val="00D910D4"/>
    <w:rsid w:val="00D912AB"/>
    <w:rsid w:val="00D91473"/>
    <w:rsid w:val="00D9148A"/>
    <w:rsid w:val="00D91C7B"/>
    <w:rsid w:val="00D91D10"/>
    <w:rsid w:val="00D9235B"/>
    <w:rsid w:val="00D9261B"/>
    <w:rsid w:val="00D92AC0"/>
    <w:rsid w:val="00D92BCF"/>
    <w:rsid w:val="00D931D6"/>
    <w:rsid w:val="00D937B1"/>
    <w:rsid w:val="00D93FAE"/>
    <w:rsid w:val="00D93FB8"/>
    <w:rsid w:val="00D95590"/>
    <w:rsid w:val="00D95973"/>
    <w:rsid w:val="00D962AA"/>
    <w:rsid w:val="00D9680F"/>
    <w:rsid w:val="00D96904"/>
    <w:rsid w:val="00D96ABE"/>
    <w:rsid w:val="00D96FFA"/>
    <w:rsid w:val="00D970A4"/>
    <w:rsid w:val="00D9721A"/>
    <w:rsid w:val="00D97753"/>
    <w:rsid w:val="00D97CCB"/>
    <w:rsid w:val="00D97DE1"/>
    <w:rsid w:val="00DA0270"/>
    <w:rsid w:val="00DA0406"/>
    <w:rsid w:val="00DA13D5"/>
    <w:rsid w:val="00DA1DA2"/>
    <w:rsid w:val="00DA2011"/>
    <w:rsid w:val="00DA24B4"/>
    <w:rsid w:val="00DA2783"/>
    <w:rsid w:val="00DA294B"/>
    <w:rsid w:val="00DA2B0C"/>
    <w:rsid w:val="00DA2EA3"/>
    <w:rsid w:val="00DA2F54"/>
    <w:rsid w:val="00DA3396"/>
    <w:rsid w:val="00DA40C8"/>
    <w:rsid w:val="00DA428A"/>
    <w:rsid w:val="00DA4676"/>
    <w:rsid w:val="00DA6A7E"/>
    <w:rsid w:val="00DA6DD4"/>
    <w:rsid w:val="00DA6F7B"/>
    <w:rsid w:val="00DA7217"/>
    <w:rsid w:val="00DA75DD"/>
    <w:rsid w:val="00DA7DEB"/>
    <w:rsid w:val="00DB054B"/>
    <w:rsid w:val="00DB120A"/>
    <w:rsid w:val="00DB1493"/>
    <w:rsid w:val="00DB1C43"/>
    <w:rsid w:val="00DB1D2E"/>
    <w:rsid w:val="00DB32B9"/>
    <w:rsid w:val="00DB32FF"/>
    <w:rsid w:val="00DB4CD9"/>
    <w:rsid w:val="00DB51F1"/>
    <w:rsid w:val="00DB561D"/>
    <w:rsid w:val="00DB6FFA"/>
    <w:rsid w:val="00DB71F1"/>
    <w:rsid w:val="00DB79A1"/>
    <w:rsid w:val="00DB7D2C"/>
    <w:rsid w:val="00DC0433"/>
    <w:rsid w:val="00DC097D"/>
    <w:rsid w:val="00DC0B51"/>
    <w:rsid w:val="00DC0B8D"/>
    <w:rsid w:val="00DC20D7"/>
    <w:rsid w:val="00DC2393"/>
    <w:rsid w:val="00DC2ABF"/>
    <w:rsid w:val="00DC2C91"/>
    <w:rsid w:val="00DC2EA8"/>
    <w:rsid w:val="00DC307A"/>
    <w:rsid w:val="00DC3503"/>
    <w:rsid w:val="00DC352A"/>
    <w:rsid w:val="00DC3F43"/>
    <w:rsid w:val="00DC4363"/>
    <w:rsid w:val="00DC497D"/>
    <w:rsid w:val="00DC52D1"/>
    <w:rsid w:val="00DD0253"/>
    <w:rsid w:val="00DD03B5"/>
    <w:rsid w:val="00DD06F3"/>
    <w:rsid w:val="00DD0779"/>
    <w:rsid w:val="00DD07D2"/>
    <w:rsid w:val="00DD18EB"/>
    <w:rsid w:val="00DD1DB3"/>
    <w:rsid w:val="00DD1FE3"/>
    <w:rsid w:val="00DD2CCC"/>
    <w:rsid w:val="00DD3328"/>
    <w:rsid w:val="00DD3338"/>
    <w:rsid w:val="00DD3482"/>
    <w:rsid w:val="00DD34C7"/>
    <w:rsid w:val="00DD3AA4"/>
    <w:rsid w:val="00DD3B8F"/>
    <w:rsid w:val="00DD3C6A"/>
    <w:rsid w:val="00DD4192"/>
    <w:rsid w:val="00DD4486"/>
    <w:rsid w:val="00DD4528"/>
    <w:rsid w:val="00DD4B22"/>
    <w:rsid w:val="00DD4EA6"/>
    <w:rsid w:val="00DD5215"/>
    <w:rsid w:val="00DD5513"/>
    <w:rsid w:val="00DD55C5"/>
    <w:rsid w:val="00DD5ACF"/>
    <w:rsid w:val="00DD65C1"/>
    <w:rsid w:val="00DD718E"/>
    <w:rsid w:val="00DD7581"/>
    <w:rsid w:val="00DD75C3"/>
    <w:rsid w:val="00DD76D6"/>
    <w:rsid w:val="00DD7B54"/>
    <w:rsid w:val="00DD7B73"/>
    <w:rsid w:val="00DE03AD"/>
    <w:rsid w:val="00DE0E1F"/>
    <w:rsid w:val="00DE0EDA"/>
    <w:rsid w:val="00DE100A"/>
    <w:rsid w:val="00DE12DA"/>
    <w:rsid w:val="00DE14A5"/>
    <w:rsid w:val="00DE14B5"/>
    <w:rsid w:val="00DE1A6D"/>
    <w:rsid w:val="00DE27DE"/>
    <w:rsid w:val="00DE3297"/>
    <w:rsid w:val="00DE42FA"/>
    <w:rsid w:val="00DE4A2D"/>
    <w:rsid w:val="00DE51C0"/>
    <w:rsid w:val="00DE5312"/>
    <w:rsid w:val="00DE5733"/>
    <w:rsid w:val="00DE59D6"/>
    <w:rsid w:val="00DE5AB7"/>
    <w:rsid w:val="00DE5B1E"/>
    <w:rsid w:val="00DE612B"/>
    <w:rsid w:val="00DE639C"/>
    <w:rsid w:val="00DE67E4"/>
    <w:rsid w:val="00DE6954"/>
    <w:rsid w:val="00DE7C99"/>
    <w:rsid w:val="00DF0B9A"/>
    <w:rsid w:val="00DF1766"/>
    <w:rsid w:val="00DF1F6C"/>
    <w:rsid w:val="00DF23F7"/>
    <w:rsid w:val="00DF2827"/>
    <w:rsid w:val="00DF2969"/>
    <w:rsid w:val="00DF2B21"/>
    <w:rsid w:val="00DF312D"/>
    <w:rsid w:val="00DF3B7C"/>
    <w:rsid w:val="00DF3F0F"/>
    <w:rsid w:val="00DF3F9A"/>
    <w:rsid w:val="00DF458D"/>
    <w:rsid w:val="00DF459F"/>
    <w:rsid w:val="00DF5002"/>
    <w:rsid w:val="00DF549C"/>
    <w:rsid w:val="00DF5744"/>
    <w:rsid w:val="00DF62AB"/>
    <w:rsid w:val="00DF631D"/>
    <w:rsid w:val="00DF7693"/>
    <w:rsid w:val="00DF7B1C"/>
    <w:rsid w:val="00E005F8"/>
    <w:rsid w:val="00E00CB3"/>
    <w:rsid w:val="00E023C0"/>
    <w:rsid w:val="00E023E6"/>
    <w:rsid w:val="00E033B7"/>
    <w:rsid w:val="00E0454B"/>
    <w:rsid w:val="00E058FC"/>
    <w:rsid w:val="00E059CC"/>
    <w:rsid w:val="00E06292"/>
    <w:rsid w:val="00E06744"/>
    <w:rsid w:val="00E07818"/>
    <w:rsid w:val="00E079AA"/>
    <w:rsid w:val="00E07ACB"/>
    <w:rsid w:val="00E07CD0"/>
    <w:rsid w:val="00E108A6"/>
    <w:rsid w:val="00E10F06"/>
    <w:rsid w:val="00E112DA"/>
    <w:rsid w:val="00E11C7E"/>
    <w:rsid w:val="00E11E01"/>
    <w:rsid w:val="00E11F18"/>
    <w:rsid w:val="00E12CE6"/>
    <w:rsid w:val="00E12DCA"/>
    <w:rsid w:val="00E136B9"/>
    <w:rsid w:val="00E13750"/>
    <w:rsid w:val="00E14380"/>
    <w:rsid w:val="00E144CF"/>
    <w:rsid w:val="00E1466B"/>
    <w:rsid w:val="00E14CED"/>
    <w:rsid w:val="00E155B4"/>
    <w:rsid w:val="00E156DE"/>
    <w:rsid w:val="00E16157"/>
    <w:rsid w:val="00E161BF"/>
    <w:rsid w:val="00E168AC"/>
    <w:rsid w:val="00E16A56"/>
    <w:rsid w:val="00E173FA"/>
    <w:rsid w:val="00E17A65"/>
    <w:rsid w:val="00E20219"/>
    <w:rsid w:val="00E20248"/>
    <w:rsid w:val="00E204A4"/>
    <w:rsid w:val="00E206C7"/>
    <w:rsid w:val="00E209F3"/>
    <w:rsid w:val="00E20F8E"/>
    <w:rsid w:val="00E21270"/>
    <w:rsid w:val="00E21492"/>
    <w:rsid w:val="00E214F7"/>
    <w:rsid w:val="00E21DFA"/>
    <w:rsid w:val="00E2265E"/>
    <w:rsid w:val="00E23199"/>
    <w:rsid w:val="00E233E5"/>
    <w:rsid w:val="00E23CD7"/>
    <w:rsid w:val="00E24019"/>
    <w:rsid w:val="00E25751"/>
    <w:rsid w:val="00E257E5"/>
    <w:rsid w:val="00E265AF"/>
    <w:rsid w:val="00E266F0"/>
    <w:rsid w:val="00E26BA7"/>
    <w:rsid w:val="00E26EB3"/>
    <w:rsid w:val="00E26FD9"/>
    <w:rsid w:val="00E3038C"/>
    <w:rsid w:val="00E30A8E"/>
    <w:rsid w:val="00E30C9F"/>
    <w:rsid w:val="00E30E58"/>
    <w:rsid w:val="00E3165B"/>
    <w:rsid w:val="00E31CDA"/>
    <w:rsid w:val="00E31CF0"/>
    <w:rsid w:val="00E3231A"/>
    <w:rsid w:val="00E32B48"/>
    <w:rsid w:val="00E32E96"/>
    <w:rsid w:val="00E330F3"/>
    <w:rsid w:val="00E33274"/>
    <w:rsid w:val="00E338B5"/>
    <w:rsid w:val="00E33AC7"/>
    <w:rsid w:val="00E35354"/>
    <w:rsid w:val="00E35B2E"/>
    <w:rsid w:val="00E35F1A"/>
    <w:rsid w:val="00E36565"/>
    <w:rsid w:val="00E36BC8"/>
    <w:rsid w:val="00E3701A"/>
    <w:rsid w:val="00E3704F"/>
    <w:rsid w:val="00E3710B"/>
    <w:rsid w:val="00E372D5"/>
    <w:rsid w:val="00E37BC4"/>
    <w:rsid w:val="00E37E3A"/>
    <w:rsid w:val="00E40A9C"/>
    <w:rsid w:val="00E40EE9"/>
    <w:rsid w:val="00E40FEF"/>
    <w:rsid w:val="00E41814"/>
    <w:rsid w:val="00E41CC4"/>
    <w:rsid w:val="00E421E0"/>
    <w:rsid w:val="00E429B9"/>
    <w:rsid w:val="00E42FBA"/>
    <w:rsid w:val="00E4394C"/>
    <w:rsid w:val="00E43CE3"/>
    <w:rsid w:val="00E443CD"/>
    <w:rsid w:val="00E44CFF"/>
    <w:rsid w:val="00E45561"/>
    <w:rsid w:val="00E45716"/>
    <w:rsid w:val="00E45BA3"/>
    <w:rsid w:val="00E45F41"/>
    <w:rsid w:val="00E4662B"/>
    <w:rsid w:val="00E467E9"/>
    <w:rsid w:val="00E47EF7"/>
    <w:rsid w:val="00E5033A"/>
    <w:rsid w:val="00E5113C"/>
    <w:rsid w:val="00E511C8"/>
    <w:rsid w:val="00E516C3"/>
    <w:rsid w:val="00E51EF1"/>
    <w:rsid w:val="00E51F56"/>
    <w:rsid w:val="00E52B15"/>
    <w:rsid w:val="00E534B3"/>
    <w:rsid w:val="00E53A6F"/>
    <w:rsid w:val="00E53BB0"/>
    <w:rsid w:val="00E54915"/>
    <w:rsid w:val="00E54DB2"/>
    <w:rsid w:val="00E5524D"/>
    <w:rsid w:val="00E553A6"/>
    <w:rsid w:val="00E5550F"/>
    <w:rsid w:val="00E55517"/>
    <w:rsid w:val="00E558B7"/>
    <w:rsid w:val="00E55A18"/>
    <w:rsid w:val="00E55A57"/>
    <w:rsid w:val="00E55C78"/>
    <w:rsid w:val="00E56436"/>
    <w:rsid w:val="00E5667B"/>
    <w:rsid w:val="00E56E86"/>
    <w:rsid w:val="00E57016"/>
    <w:rsid w:val="00E57405"/>
    <w:rsid w:val="00E579B8"/>
    <w:rsid w:val="00E603F1"/>
    <w:rsid w:val="00E60418"/>
    <w:rsid w:val="00E61114"/>
    <w:rsid w:val="00E61237"/>
    <w:rsid w:val="00E62605"/>
    <w:rsid w:val="00E63143"/>
    <w:rsid w:val="00E63523"/>
    <w:rsid w:val="00E636DE"/>
    <w:rsid w:val="00E63E95"/>
    <w:rsid w:val="00E63F63"/>
    <w:rsid w:val="00E6450A"/>
    <w:rsid w:val="00E646F6"/>
    <w:rsid w:val="00E64C61"/>
    <w:rsid w:val="00E64CF8"/>
    <w:rsid w:val="00E6532B"/>
    <w:rsid w:val="00E65725"/>
    <w:rsid w:val="00E65F69"/>
    <w:rsid w:val="00E66B6A"/>
    <w:rsid w:val="00E67460"/>
    <w:rsid w:val="00E67624"/>
    <w:rsid w:val="00E70167"/>
    <w:rsid w:val="00E70359"/>
    <w:rsid w:val="00E714FF"/>
    <w:rsid w:val="00E71C7D"/>
    <w:rsid w:val="00E72D95"/>
    <w:rsid w:val="00E7376C"/>
    <w:rsid w:val="00E74E8A"/>
    <w:rsid w:val="00E74F3F"/>
    <w:rsid w:val="00E750F1"/>
    <w:rsid w:val="00E753CE"/>
    <w:rsid w:val="00E755B3"/>
    <w:rsid w:val="00E757A4"/>
    <w:rsid w:val="00E75B5F"/>
    <w:rsid w:val="00E76115"/>
    <w:rsid w:val="00E7626E"/>
    <w:rsid w:val="00E769E9"/>
    <w:rsid w:val="00E77519"/>
    <w:rsid w:val="00E77DA7"/>
    <w:rsid w:val="00E8053E"/>
    <w:rsid w:val="00E8115D"/>
    <w:rsid w:val="00E81424"/>
    <w:rsid w:val="00E8147A"/>
    <w:rsid w:val="00E81745"/>
    <w:rsid w:val="00E81E88"/>
    <w:rsid w:val="00E82521"/>
    <w:rsid w:val="00E82BB7"/>
    <w:rsid w:val="00E841B0"/>
    <w:rsid w:val="00E84932"/>
    <w:rsid w:val="00E84B1A"/>
    <w:rsid w:val="00E84BDB"/>
    <w:rsid w:val="00E84F57"/>
    <w:rsid w:val="00E851DC"/>
    <w:rsid w:val="00E85452"/>
    <w:rsid w:val="00E85598"/>
    <w:rsid w:val="00E85A6A"/>
    <w:rsid w:val="00E863B6"/>
    <w:rsid w:val="00E864DD"/>
    <w:rsid w:val="00E87A27"/>
    <w:rsid w:val="00E87EB2"/>
    <w:rsid w:val="00E90405"/>
    <w:rsid w:val="00E90677"/>
    <w:rsid w:val="00E90BB2"/>
    <w:rsid w:val="00E910A5"/>
    <w:rsid w:val="00E910D0"/>
    <w:rsid w:val="00E914B5"/>
    <w:rsid w:val="00E91B6E"/>
    <w:rsid w:val="00E91E53"/>
    <w:rsid w:val="00E91E6E"/>
    <w:rsid w:val="00E92886"/>
    <w:rsid w:val="00E9347A"/>
    <w:rsid w:val="00E93556"/>
    <w:rsid w:val="00E93861"/>
    <w:rsid w:val="00E93A42"/>
    <w:rsid w:val="00E94048"/>
    <w:rsid w:val="00E94504"/>
    <w:rsid w:val="00E949BD"/>
    <w:rsid w:val="00E94A6A"/>
    <w:rsid w:val="00E94F24"/>
    <w:rsid w:val="00E94FB5"/>
    <w:rsid w:val="00E959F9"/>
    <w:rsid w:val="00E95A97"/>
    <w:rsid w:val="00E95AC7"/>
    <w:rsid w:val="00E962A3"/>
    <w:rsid w:val="00E96415"/>
    <w:rsid w:val="00E96C57"/>
    <w:rsid w:val="00E96EF4"/>
    <w:rsid w:val="00E97153"/>
    <w:rsid w:val="00E97642"/>
    <w:rsid w:val="00E97B6D"/>
    <w:rsid w:val="00EA012D"/>
    <w:rsid w:val="00EA0726"/>
    <w:rsid w:val="00EA0F0A"/>
    <w:rsid w:val="00EA1AF7"/>
    <w:rsid w:val="00EA1C44"/>
    <w:rsid w:val="00EA28D6"/>
    <w:rsid w:val="00EA2CA6"/>
    <w:rsid w:val="00EA2EB4"/>
    <w:rsid w:val="00EA3E7F"/>
    <w:rsid w:val="00EA4545"/>
    <w:rsid w:val="00EA4951"/>
    <w:rsid w:val="00EA4A6E"/>
    <w:rsid w:val="00EA5863"/>
    <w:rsid w:val="00EA596B"/>
    <w:rsid w:val="00EA5E4B"/>
    <w:rsid w:val="00EA6C53"/>
    <w:rsid w:val="00EA6EED"/>
    <w:rsid w:val="00EA7F99"/>
    <w:rsid w:val="00EB0CBC"/>
    <w:rsid w:val="00EB0E12"/>
    <w:rsid w:val="00EB1DAA"/>
    <w:rsid w:val="00EB2544"/>
    <w:rsid w:val="00EB2CF1"/>
    <w:rsid w:val="00EB32D6"/>
    <w:rsid w:val="00EB32EB"/>
    <w:rsid w:val="00EB3978"/>
    <w:rsid w:val="00EB3F08"/>
    <w:rsid w:val="00EB529D"/>
    <w:rsid w:val="00EB5540"/>
    <w:rsid w:val="00EB58A9"/>
    <w:rsid w:val="00EB5932"/>
    <w:rsid w:val="00EB6969"/>
    <w:rsid w:val="00EB6F1B"/>
    <w:rsid w:val="00EB709E"/>
    <w:rsid w:val="00EB7C5E"/>
    <w:rsid w:val="00EC01C2"/>
    <w:rsid w:val="00EC02DF"/>
    <w:rsid w:val="00EC10EF"/>
    <w:rsid w:val="00EC1620"/>
    <w:rsid w:val="00EC1C39"/>
    <w:rsid w:val="00EC1C9C"/>
    <w:rsid w:val="00EC2B69"/>
    <w:rsid w:val="00EC2D0D"/>
    <w:rsid w:val="00EC2D4F"/>
    <w:rsid w:val="00EC3506"/>
    <w:rsid w:val="00EC40B0"/>
    <w:rsid w:val="00EC4410"/>
    <w:rsid w:val="00EC4A58"/>
    <w:rsid w:val="00EC522B"/>
    <w:rsid w:val="00EC6418"/>
    <w:rsid w:val="00EC7525"/>
    <w:rsid w:val="00EC7C7F"/>
    <w:rsid w:val="00EC7D72"/>
    <w:rsid w:val="00EC7F97"/>
    <w:rsid w:val="00ED0C89"/>
    <w:rsid w:val="00ED0CC1"/>
    <w:rsid w:val="00ED0CD2"/>
    <w:rsid w:val="00ED1493"/>
    <w:rsid w:val="00ED18B3"/>
    <w:rsid w:val="00ED19D8"/>
    <w:rsid w:val="00ED26AE"/>
    <w:rsid w:val="00ED275B"/>
    <w:rsid w:val="00ED2C4D"/>
    <w:rsid w:val="00ED40D1"/>
    <w:rsid w:val="00ED4E2B"/>
    <w:rsid w:val="00ED4FBF"/>
    <w:rsid w:val="00ED503D"/>
    <w:rsid w:val="00ED52A8"/>
    <w:rsid w:val="00ED532E"/>
    <w:rsid w:val="00ED5A86"/>
    <w:rsid w:val="00ED5ADB"/>
    <w:rsid w:val="00ED5EA7"/>
    <w:rsid w:val="00ED63AF"/>
    <w:rsid w:val="00ED66F2"/>
    <w:rsid w:val="00ED6F8A"/>
    <w:rsid w:val="00ED7E63"/>
    <w:rsid w:val="00EE0973"/>
    <w:rsid w:val="00EE09CA"/>
    <w:rsid w:val="00EE136A"/>
    <w:rsid w:val="00EE15AA"/>
    <w:rsid w:val="00EE2859"/>
    <w:rsid w:val="00EE3AC9"/>
    <w:rsid w:val="00EE3B36"/>
    <w:rsid w:val="00EE3CDD"/>
    <w:rsid w:val="00EE3D92"/>
    <w:rsid w:val="00EE3E4F"/>
    <w:rsid w:val="00EE3E67"/>
    <w:rsid w:val="00EE4A28"/>
    <w:rsid w:val="00EE65E4"/>
    <w:rsid w:val="00EE7129"/>
    <w:rsid w:val="00EE79F6"/>
    <w:rsid w:val="00EF10D1"/>
    <w:rsid w:val="00EF12D4"/>
    <w:rsid w:val="00EF139C"/>
    <w:rsid w:val="00EF1C2F"/>
    <w:rsid w:val="00EF2214"/>
    <w:rsid w:val="00EF290A"/>
    <w:rsid w:val="00EF2C71"/>
    <w:rsid w:val="00EF306E"/>
    <w:rsid w:val="00EF3E39"/>
    <w:rsid w:val="00EF3FCC"/>
    <w:rsid w:val="00EF4055"/>
    <w:rsid w:val="00EF544A"/>
    <w:rsid w:val="00EF5AD0"/>
    <w:rsid w:val="00EF6731"/>
    <w:rsid w:val="00EF6881"/>
    <w:rsid w:val="00EF6A51"/>
    <w:rsid w:val="00EF71B9"/>
    <w:rsid w:val="00EF789C"/>
    <w:rsid w:val="00EF7C65"/>
    <w:rsid w:val="00EF7D17"/>
    <w:rsid w:val="00EF7F0D"/>
    <w:rsid w:val="00F00F42"/>
    <w:rsid w:val="00F01542"/>
    <w:rsid w:val="00F020EA"/>
    <w:rsid w:val="00F02868"/>
    <w:rsid w:val="00F033E5"/>
    <w:rsid w:val="00F036A6"/>
    <w:rsid w:val="00F0382C"/>
    <w:rsid w:val="00F03B02"/>
    <w:rsid w:val="00F03DFF"/>
    <w:rsid w:val="00F042F0"/>
    <w:rsid w:val="00F0438A"/>
    <w:rsid w:val="00F05293"/>
    <w:rsid w:val="00F056BD"/>
    <w:rsid w:val="00F058C8"/>
    <w:rsid w:val="00F059EC"/>
    <w:rsid w:val="00F05D78"/>
    <w:rsid w:val="00F06370"/>
    <w:rsid w:val="00F068A2"/>
    <w:rsid w:val="00F06931"/>
    <w:rsid w:val="00F06CB8"/>
    <w:rsid w:val="00F07EA9"/>
    <w:rsid w:val="00F10549"/>
    <w:rsid w:val="00F111E0"/>
    <w:rsid w:val="00F12029"/>
    <w:rsid w:val="00F12576"/>
    <w:rsid w:val="00F12BCC"/>
    <w:rsid w:val="00F13021"/>
    <w:rsid w:val="00F1316A"/>
    <w:rsid w:val="00F13238"/>
    <w:rsid w:val="00F139EE"/>
    <w:rsid w:val="00F13D2C"/>
    <w:rsid w:val="00F13F1A"/>
    <w:rsid w:val="00F14650"/>
    <w:rsid w:val="00F1495A"/>
    <w:rsid w:val="00F14D8A"/>
    <w:rsid w:val="00F150CD"/>
    <w:rsid w:val="00F15214"/>
    <w:rsid w:val="00F153AF"/>
    <w:rsid w:val="00F16021"/>
    <w:rsid w:val="00F16580"/>
    <w:rsid w:val="00F16752"/>
    <w:rsid w:val="00F1692C"/>
    <w:rsid w:val="00F175E9"/>
    <w:rsid w:val="00F17691"/>
    <w:rsid w:val="00F1775A"/>
    <w:rsid w:val="00F20810"/>
    <w:rsid w:val="00F20B87"/>
    <w:rsid w:val="00F20E15"/>
    <w:rsid w:val="00F210B2"/>
    <w:rsid w:val="00F21177"/>
    <w:rsid w:val="00F22FA5"/>
    <w:rsid w:val="00F2365A"/>
    <w:rsid w:val="00F236A8"/>
    <w:rsid w:val="00F23B8F"/>
    <w:rsid w:val="00F23BE2"/>
    <w:rsid w:val="00F2477E"/>
    <w:rsid w:val="00F247D3"/>
    <w:rsid w:val="00F249C1"/>
    <w:rsid w:val="00F25093"/>
    <w:rsid w:val="00F2538E"/>
    <w:rsid w:val="00F2634B"/>
    <w:rsid w:val="00F26F05"/>
    <w:rsid w:val="00F27321"/>
    <w:rsid w:val="00F27B93"/>
    <w:rsid w:val="00F27C08"/>
    <w:rsid w:val="00F27C13"/>
    <w:rsid w:val="00F27CC0"/>
    <w:rsid w:val="00F303F7"/>
    <w:rsid w:val="00F30806"/>
    <w:rsid w:val="00F308E7"/>
    <w:rsid w:val="00F3112F"/>
    <w:rsid w:val="00F3135A"/>
    <w:rsid w:val="00F3149B"/>
    <w:rsid w:val="00F31C66"/>
    <w:rsid w:val="00F32AC6"/>
    <w:rsid w:val="00F32C6F"/>
    <w:rsid w:val="00F33E3E"/>
    <w:rsid w:val="00F34E67"/>
    <w:rsid w:val="00F352E5"/>
    <w:rsid w:val="00F35B82"/>
    <w:rsid w:val="00F35FD5"/>
    <w:rsid w:val="00F363C7"/>
    <w:rsid w:val="00F364C7"/>
    <w:rsid w:val="00F36BD7"/>
    <w:rsid w:val="00F3792B"/>
    <w:rsid w:val="00F379C5"/>
    <w:rsid w:val="00F4089D"/>
    <w:rsid w:val="00F40CD0"/>
    <w:rsid w:val="00F415E0"/>
    <w:rsid w:val="00F41742"/>
    <w:rsid w:val="00F41C28"/>
    <w:rsid w:val="00F41F62"/>
    <w:rsid w:val="00F4227F"/>
    <w:rsid w:val="00F425D1"/>
    <w:rsid w:val="00F426B7"/>
    <w:rsid w:val="00F42789"/>
    <w:rsid w:val="00F43107"/>
    <w:rsid w:val="00F43603"/>
    <w:rsid w:val="00F43638"/>
    <w:rsid w:val="00F44226"/>
    <w:rsid w:val="00F44400"/>
    <w:rsid w:val="00F44E47"/>
    <w:rsid w:val="00F454E7"/>
    <w:rsid w:val="00F45724"/>
    <w:rsid w:val="00F45F61"/>
    <w:rsid w:val="00F463AE"/>
    <w:rsid w:val="00F4688B"/>
    <w:rsid w:val="00F46FA1"/>
    <w:rsid w:val="00F47B1F"/>
    <w:rsid w:val="00F47B70"/>
    <w:rsid w:val="00F50BAA"/>
    <w:rsid w:val="00F51527"/>
    <w:rsid w:val="00F51714"/>
    <w:rsid w:val="00F5230A"/>
    <w:rsid w:val="00F52AF0"/>
    <w:rsid w:val="00F52E17"/>
    <w:rsid w:val="00F52FBF"/>
    <w:rsid w:val="00F536E9"/>
    <w:rsid w:val="00F537FE"/>
    <w:rsid w:val="00F53D98"/>
    <w:rsid w:val="00F54166"/>
    <w:rsid w:val="00F541B8"/>
    <w:rsid w:val="00F54EC8"/>
    <w:rsid w:val="00F55C21"/>
    <w:rsid w:val="00F5717C"/>
    <w:rsid w:val="00F6018C"/>
    <w:rsid w:val="00F6059A"/>
    <w:rsid w:val="00F609E3"/>
    <w:rsid w:val="00F60B3C"/>
    <w:rsid w:val="00F61AA8"/>
    <w:rsid w:val="00F61B28"/>
    <w:rsid w:val="00F61CB2"/>
    <w:rsid w:val="00F61FBB"/>
    <w:rsid w:val="00F62358"/>
    <w:rsid w:val="00F6265C"/>
    <w:rsid w:val="00F63135"/>
    <w:rsid w:val="00F6369C"/>
    <w:rsid w:val="00F63B46"/>
    <w:rsid w:val="00F6468A"/>
    <w:rsid w:val="00F64BD9"/>
    <w:rsid w:val="00F64DA4"/>
    <w:rsid w:val="00F6551F"/>
    <w:rsid w:val="00F65BC4"/>
    <w:rsid w:val="00F65C31"/>
    <w:rsid w:val="00F6636E"/>
    <w:rsid w:val="00F668D9"/>
    <w:rsid w:val="00F66F92"/>
    <w:rsid w:val="00F6728A"/>
    <w:rsid w:val="00F67AA6"/>
    <w:rsid w:val="00F70795"/>
    <w:rsid w:val="00F70C88"/>
    <w:rsid w:val="00F70DE4"/>
    <w:rsid w:val="00F71166"/>
    <w:rsid w:val="00F71198"/>
    <w:rsid w:val="00F71F97"/>
    <w:rsid w:val="00F71FD9"/>
    <w:rsid w:val="00F72E4C"/>
    <w:rsid w:val="00F72F55"/>
    <w:rsid w:val="00F72F5B"/>
    <w:rsid w:val="00F73A11"/>
    <w:rsid w:val="00F73A3C"/>
    <w:rsid w:val="00F73D35"/>
    <w:rsid w:val="00F73F39"/>
    <w:rsid w:val="00F74089"/>
    <w:rsid w:val="00F74153"/>
    <w:rsid w:val="00F75058"/>
    <w:rsid w:val="00F7589C"/>
    <w:rsid w:val="00F75AB1"/>
    <w:rsid w:val="00F76033"/>
    <w:rsid w:val="00F76B60"/>
    <w:rsid w:val="00F76D27"/>
    <w:rsid w:val="00F77190"/>
    <w:rsid w:val="00F77C3C"/>
    <w:rsid w:val="00F77CAD"/>
    <w:rsid w:val="00F80A90"/>
    <w:rsid w:val="00F81536"/>
    <w:rsid w:val="00F81C5F"/>
    <w:rsid w:val="00F823CE"/>
    <w:rsid w:val="00F825A8"/>
    <w:rsid w:val="00F82627"/>
    <w:rsid w:val="00F82AB0"/>
    <w:rsid w:val="00F82AF8"/>
    <w:rsid w:val="00F82C0B"/>
    <w:rsid w:val="00F82CD2"/>
    <w:rsid w:val="00F83036"/>
    <w:rsid w:val="00F8347A"/>
    <w:rsid w:val="00F83A77"/>
    <w:rsid w:val="00F83E7A"/>
    <w:rsid w:val="00F84271"/>
    <w:rsid w:val="00F84FDA"/>
    <w:rsid w:val="00F85170"/>
    <w:rsid w:val="00F85768"/>
    <w:rsid w:val="00F85F92"/>
    <w:rsid w:val="00F8668C"/>
    <w:rsid w:val="00F87947"/>
    <w:rsid w:val="00F87FFD"/>
    <w:rsid w:val="00F91CF2"/>
    <w:rsid w:val="00F927A0"/>
    <w:rsid w:val="00F934B9"/>
    <w:rsid w:val="00F93A97"/>
    <w:rsid w:val="00F942D1"/>
    <w:rsid w:val="00F94632"/>
    <w:rsid w:val="00F94887"/>
    <w:rsid w:val="00F95491"/>
    <w:rsid w:val="00F95A8A"/>
    <w:rsid w:val="00F95A96"/>
    <w:rsid w:val="00F95B0F"/>
    <w:rsid w:val="00F96363"/>
    <w:rsid w:val="00F96642"/>
    <w:rsid w:val="00F97175"/>
    <w:rsid w:val="00F977A5"/>
    <w:rsid w:val="00F97A81"/>
    <w:rsid w:val="00F97BB1"/>
    <w:rsid w:val="00F97EB8"/>
    <w:rsid w:val="00FA078A"/>
    <w:rsid w:val="00FA0C01"/>
    <w:rsid w:val="00FA0DB5"/>
    <w:rsid w:val="00FA133A"/>
    <w:rsid w:val="00FA1377"/>
    <w:rsid w:val="00FA152A"/>
    <w:rsid w:val="00FA1D1B"/>
    <w:rsid w:val="00FA3014"/>
    <w:rsid w:val="00FA3C83"/>
    <w:rsid w:val="00FA3F69"/>
    <w:rsid w:val="00FA4413"/>
    <w:rsid w:val="00FA49E9"/>
    <w:rsid w:val="00FA4A64"/>
    <w:rsid w:val="00FA4CFE"/>
    <w:rsid w:val="00FA6007"/>
    <w:rsid w:val="00FA6121"/>
    <w:rsid w:val="00FA627D"/>
    <w:rsid w:val="00FA628D"/>
    <w:rsid w:val="00FA6344"/>
    <w:rsid w:val="00FA768C"/>
    <w:rsid w:val="00FA7E22"/>
    <w:rsid w:val="00FA7E4E"/>
    <w:rsid w:val="00FA7FE7"/>
    <w:rsid w:val="00FB0665"/>
    <w:rsid w:val="00FB0C65"/>
    <w:rsid w:val="00FB14A8"/>
    <w:rsid w:val="00FB1A40"/>
    <w:rsid w:val="00FB1A45"/>
    <w:rsid w:val="00FB1CF2"/>
    <w:rsid w:val="00FB3216"/>
    <w:rsid w:val="00FB355E"/>
    <w:rsid w:val="00FB389C"/>
    <w:rsid w:val="00FB4797"/>
    <w:rsid w:val="00FB51B8"/>
    <w:rsid w:val="00FB5BFC"/>
    <w:rsid w:val="00FB5D10"/>
    <w:rsid w:val="00FB6C27"/>
    <w:rsid w:val="00FB724C"/>
    <w:rsid w:val="00FB7544"/>
    <w:rsid w:val="00FB7642"/>
    <w:rsid w:val="00FB7E5F"/>
    <w:rsid w:val="00FC023E"/>
    <w:rsid w:val="00FC02E9"/>
    <w:rsid w:val="00FC0E25"/>
    <w:rsid w:val="00FC1ABD"/>
    <w:rsid w:val="00FC21C3"/>
    <w:rsid w:val="00FC23CC"/>
    <w:rsid w:val="00FC24C4"/>
    <w:rsid w:val="00FC29B6"/>
    <w:rsid w:val="00FC32DA"/>
    <w:rsid w:val="00FC332F"/>
    <w:rsid w:val="00FC408E"/>
    <w:rsid w:val="00FC451E"/>
    <w:rsid w:val="00FC4579"/>
    <w:rsid w:val="00FC491B"/>
    <w:rsid w:val="00FC5742"/>
    <w:rsid w:val="00FC5C86"/>
    <w:rsid w:val="00FC6043"/>
    <w:rsid w:val="00FC60C9"/>
    <w:rsid w:val="00FC6303"/>
    <w:rsid w:val="00FC66BF"/>
    <w:rsid w:val="00FC680F"/>
    <w:rsid w:val="00FC75AA"/>
    <w:rsid w:val="00FC7C09"/>
    <w:rsid w:val="00FC7C70"/>
    <w:rsid w:val="00FD1590"/>
    <w:rsid w:val="00FD180C"/>
    <w:rsid w:val="00FD1900"/>
    <w:rsid w:val="00FD23FE"/>
    <w:rsid w:val="00FD2589"/>
    <w:rsid w:val="00FD3BAA"/>
    <w:rsid w:val="00FD505C"/>
    <w:rsid w:val="00FD562C"/>
    <w:rsid w:val="00FD571A"/>
    <w:rsid w:val="00FD5CF9"/>
    <w:rsid w:val="00FD5F43"/>
    <w:rsid w:val="00FD616A"/>
    <w:rsid w:val="00FD62E1"/>
    <w:rsid w:val="00FD657F"/>
    <w:rsid w:val="00FD6BE0"/>
    <w:rsid w:val="00FD7118"/>
    <w:rsid w:val="00FD711D"/>
    <w:rsid w:val="00FD78C1"/>
    <w:rsid w:val="00FD7F96"/>
    <w:rsid w:val="00FE0AE8"/>
    <w:rsid w:val="00FE0BCD"/>
    <w:rsid w:val="00FE0E9D"/>
    <w:rsid w:val="00FE130B"/>
    <w:rsid w:val="00FE190D"/>
    <w:rsid w:val="00FE2873"/>
    <w:rsid w:val="00FE2E2E"/>
    <w:rsid w:val="00FE30B8"/>
    <w:rsid w:val="00FE3DF2"/>
    <w:rsid w:val="00FE400D"/>
    <w:rsid w:val="00FE418B"/>
    <w:rsid w:val="00FE4253"/>
    <w:rsid w:val="00FE47C0"/>
    <w:rsid w:val="00FE4939"/>
    <w:rsid w:val="00FE4AA1"/>
    <w:rsid w:val="00FE4BAD"/>
    <w:rsid w:val="00FE56E8"/>
    <w:rsid w:val="00FE57B2"/>
    <w:rsid w:val="00FE5966"/>
    <w:rsid w:val="00FE7694"/>
    <w:rsid w:val="00FE770D"/>
    <w:rsid w:val="00FE7850"/>
    <w:rsid w:val="00FF005E"/>
    <w:rsid w:val="00FF02DA"/>
    <w:rsid w:val="00FF3798"/>
    <w:rsid w:val="00FF388F"/>
    <w:rsid w:val="00FF3D4B"/>
    <w:rsid w:val="00FF488C"/>
    <w:rsid w:val="00FF5849"/>
    <w:rsid w:val="00FF599A"/>
    <w:rsid w:val="00FF6833"/>
    <w:rsid w:val="00FF6A21"/>
    <w:rsid w:val="00FF6A50"/>
    <w:rsid w:val="00FF6BC4"/>
    <w:rsid w:val="00FF72FE"/>
    <w:rsid w:val="00FF75C3"/>
    <w:rsid w:val="00FF791B"/>
    <w:rsid w:val="00FF7EC3"/>
    <w:rsid w:val="01D72088"/>
    <w:rsid w:val="024DE951"/>
    <w:rsid w:val="039009C2"/>
    <w:rsid w:val="03D6AC75"/>
    <w:rsid w:val="0404837B"/>
    <w:rsid w:val="05473A05"/>
    <w:rsid w:val="06B07648"/>
    <w:rsid w:val="06B16EC3"/>
    <w:rsid w:val="06DE4CC8"/>
    <w:rsid w:val="098AF8F5"/>
    <w:rsid w:val="09A54F47"/>
    <w:rsid w:val="0A5ECCB0"/>
    <w:rsid w:val="0A6ABE8A"/>
    <w:rsid w:val="0A91AAA1"/>
    <w:rsid w:val="0BA24188"/>
    <w:rsid w:val="0BD5FA01"/>
    <w:rsid w:val="0C056FD8"/>
    <w:rsid w:val="0C710FD2"/>
    <w:rsid w:val="0DF20051"/>
    <w:rsid w:val="0EE8628E"/>
    <w:rsid w:val="0F1EA3C4"/>
    <w:rsid w:val="0FFD7DDA"/>
    <w:rsid w:val="102740D7"/>
    <w:rsid w:val="10607F55"/>
    <w:rsid w:val="115146BC"/>
    <w:rsid w:val="1377E9E0"/>
    <w:rsid w:val="1504EABE"/>
    <w:rsid w:val="15F5C4A0"/>
    <w:rsid w:val="1616DC17"/>
    <w:rsid w:val="169F6DBC"/>
    <w:rsid w:val="174F68B0"/>
    <w:rsid w:val="1935D3BE"/>
    <w:rsid w:val="19410630"/>
    <w:rsid w:val="194E7CD9"/>
    <w:rsid w:val="1995616E"/>
    <w:rsid w:val="19C4B4A7"/>
    <w:rsid w:val="1A338346"/>
    <w:rsid w:val="1AC76242"/>
    <w:rsid w:val="1B622138"/>
    <w:rsid w:val="1C170E12"/>
    <w:rsid w:val="1C18E2D0"/>
    <w:rsid w:val="1C802DC7"/>
    <w:rsid w:val="1C93F963"/>
    <w:rsid w:val="1D26A325"/>
    <w:rsid w:val="1FEB260E"/>
    <w:rsid w:val="1FF77365"/>
    <w:rsid w:val="20358222"/>
    <w:rsid w:val="206C9F24"/>
    <w:rsid w:val="20E4CD9E"/>
    <w:rsid w:val="20F1850B"/>
    <w:rsid w:val="222974C3"/>
    <w:rsid w:val="225B2D79"/>
    <w:rsid w:val="22AF3430"/>
    <w:rsid w:val="235888FB"/>
    <w:rsid w:val="251A8B6E"/>
    <w:rsid w:val="25255508"/>
    <w:rsid w:val="25D21E4A"/>
    <w:rsid w:val="266E64F0"/>
    <w:rsid w:val="296C8E29"/>
    <w:rsid w:val="29BAF2F9"/>
    <w:rsid w:val="2A529129"/>
    <w:rsid w:val="2A62FF34"/>
    <w:rsid w:val="2B72049A"/>
    <w:rsid w:val="2BAC3E44"/>
    <w:rsid w:val="30229191"/>
    <w:rsid w:val="319454B0"/>
    <w:rsid w:val="3246FA09"/>
    <w:rsid w:val="326D19D7"/>
    <w:rsid w:val="332FE2B9"/>
    <w:rsid w:val="3357386E"/>
    <w:rsid w:val="33D26570"/>
    <w:rsid w:val="33D8AA64"/>
    <w:rsid w:val="33F20109"/>
    <w:rsid w:val="34BC5CE7"/>
    <w:rsid w:val="34BED7C9"/>
    <w:rsid w:val="34DF532E"/>
    <w:rsid w:val="34EFDB96"/>
    <w:rsid w:val="35B51280"/>
    <w:rsid w:val="36242F3A"/>
    <w:rsid w:val="3753CCA6"/>
    <w:rsid w:val="3825841A"/>
    <w:rsid w:val="3A0A0F20"/>
    <w:rsid w:val="3A0D3BD6"/>
    <w:rsid w:val="3B1BBFCD"/>
    <w:rsid w:val="3D1A4486"/>
    <w:rsid w:val="3D57DDD7"/>
    <w:rsid w:val="3FE17BE3"/>
    <w:rsid w:val="40A17A51"/>
    <w:rsid w:val="40F9F5BE"/>
    <w:rsid w:val="42FEAAEC"/>
    <w:rsid w:val="43091FF2"/>
    <w:rsid w:val="43CC86C8"/>
    <w:rsid w:val="452328DC"/>
    <w:rsid w:val="45F9C253"/>
    <w:rsid w:val="4638D2F5"/>
    <w:rsid w:val="463F60D7"/>
    <w:rsid w:val="47B3FE2F"/>
    <w:rsid w:val="480FAF8F"/>
    <w:rsid w:val="499B0FF1"/>
    <w:rsid w:val="49CCC3AB"/>
    <w:rsid w:val="4AECBF5F"/>
    <w:rsid w:val="4B0F0337"/>
    <w:rsid w:val="4B83B145"/>
    <w:rsid w:val="4CBCA0CF"/>
    <w:rsid w:val="516A0F04"/>
    <w:rsid w:val="52BD24C0"/>
    <w:rsid w:val="530B0459"/>
    <w:rsid w:val="54913F38"/>
    <w:rsid w:val="57BC42AF"/>
    <w:rsid w:val="57D16985"/>
    <w:rsid w:val="57FF2BC8"/>
    <w:rsid w:val="588C7832"/>
    <w:rsid w:val="588E7070"/>
    <w:rsid w:val="5958ECCB"/>
    <w:rsid w:val="598A52BF"/>
    <w:rsid w:val="59FDE55F"/>
    <w:rsid w:val="5AF28860"/>
    <w:rsid w:val="5D24D312"/>
    <w:rsid w:val="5DB9ACFB"/>
    <w:rsid w:val="5F49994F"/>
    <w:rsid w:val="5FA58D8C"/>
    <w:rsid w:val="6105B516"/>
    <w:rsid w:val="61308CCD"/>
    <w:rsid w:val="6165A02B"/>
    <w:rsid w:val="61E14BFF"/>
    <w:rsid w:val="644AE3A9"/>
    <w:rsid w:val="6542459A"/>
    <w:rsid w:val="659DBA38"/>
    <w:rsid w:val="65D76A9D"/>
    <w:rsid w:val="67E08B86"/>
    <w:rsid w:val="69933239"/>
    <w:rsid w:val="69B7E316"/>
    <w:rsid w:val="69CF2339"/>
    <w:rsid w:val="6AB4F35A"/>
    <w:rsid w:val="6AD9F59C"/>
    <w:rsid w:val="6CCAD2FB"/>
    <w:rsid w:val="6E66A35C"/>
    <w:rsid w:val="6EB24880"/>
    <w:rsid w:val="6EDCB086"/>
    <w:rsid w:val="6F3B4F2D"/>
    <w:rsid w:val="6FAF5595"/>
    <w:rsid w:val="719B49B6"/>
    <w:rsid w:val="719DDF0F"/>
    <w:rsid w:val="71BDAFB4"/>
    <w:rsid w:val="7220172D"/>
    <w:rsid w:val="7261E6EE"/>
    <w:rsid w:val="72C42E97"/>
    <w:rsid w:val="72C5FA87"/>
    <w:rsid w:val="7371F871"/>
    <w:rsid w:val="73A24A6A"/>
    <w:rsid w:val="75902AE3"/>
    <w:rsid w:val="763879A3"/>
    <w:rsid w:val="78D81114"/>
    <w:rsid w:val="78E01DF2"/>
    <w:rsid w:val="78F3A022"/>
    <w:rsid w:val="79A1AD59"/>
    <w:rsid w:val="79F146D7"/>
    <w:rsid w:val="7A6BFCB4"/>
    <w:rsid w:val="7B7181D6"/>
    <w:rsid w:val="7BC0D255"/>
    <w:rsid w:val="7BE021D0"/>
    <w:rsid w:val="7CEDA9A8"/>
    <w:rsid w:val="7D2F4B25"/>
    <w:rsid w:val="7DC056B8"/>
    <w:rsid w:val="7E7F342B"/>
    <w:rsid w:val="7FAFC929"/>
    <w:rsid w:val="7FCF3B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4837B"/>
  <w15:chartTrackingRefBased/>
  <w15:docId w15:val="{E0091D8D-E5BA-4582-86F2-5F50D9FE1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4243"/>
    <w:pPr>
      <w:keepNext/>
      <w:keepLines/>
      <w:spacing w:before="240" w:after="0"/>
      <w:outlineLvl w:val="0"/>
    </w:pPr>
    <w:rPr>
      <w:rFonts w:ascii="Times New Roman" w:eastAsiaTheme="majorEastAsia" w:hAnsi="Times New Roman"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4499D"/>
    <w:pPr>
      <w:keepNext/>
      <w:keepLines/>
      <w:spacing w:before="40" w:after="0"/>
      <w:outlineLvl w:val="1"/>
    </w:pPr>
    <w:rPr>
      <w:rFonts w:ascii="Times New Roman" w:eastAsiaTheme="majorEastAsia" w:hAnsi="Times New Roman"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9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946"/>
  </w:style>
  <w:style w:type="paragraph" w:styleId="Footer">
    <w:name w:val="footer"/>
    <w:basedOn w:val="Normal"/>
    <w:link w:val="FooterChar"/>
    <w:uiPriority w:val="99"/>
    <w:unhideWhenUsed/>
    <w:rsid w:val="00441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946"/>
  </w:style>
  <w:style w:type="paragraph" w:styleId="ListParagraph">
    <w:name w:val="List Paragraph"/>
    <w:basedOn w:val="Normal"/>
    <w:uiPriority w:val="34"/>
    <w:qFormat/>
    <w:rsid w:val="000F0C14"/>
    <w:pPr>
      <w:ind w:left="720"/>
      <w:contextualSpacing/>
    </w:pPr>
  </w:style>
  <w:style w:type="character" w:customStyle="1" w:styleId="Heading2Char">
    <w:name w:val="Heading 2 Char"/>
    <w:basedOn w:val="DefaultParagraphFont"/>
    <w:link w:val="Heading2"/>
    <w:uiPriority w:val="9"/>
    <w:rsid w:val="0084499D"/>
    <w:rPr>
      <w:rFonts w:ascii="Times New Roman" w:eastAsiaTheme="majorEastAsia" w:hAnsi="Times New Roman" w:cstheme="majorBidi"/>
      <w:color w:val="2F5496" w:themeColor="accent1" w:themeShade="BF"/>
      <w:sz w:val="26"/>
      <w:szCs w:val="26"/>
    </w:rPr>
  </w:style>
  <w:style w:type="character" w:customStyle="1" w:styleId="Heading1Char">
    <w:name w:val="Heading 1 Char"/>
    <w:basedOn w:val="DefaultParagraphFont"/>
    <w:link w:val="Heading1"/>
    <w:uiPriority w:val="9"/>
    <w:rsid w:val="00064243"/>
    <w:rPr>
      <w:rFonts w:ascii="Times New Roman" w:eastAsiaTheme="majorEastAsia" w:hAnsi="Times New Roman" w:cstheme="majorBidi"/>
      <w:color w:val="2F5496" w:themeColor="accent1" w:themeShade="BF"/>
      <w:sz w:val="32"/>
      <w:szCs w:val="32"/>
    </w:rPr>
  </w:style>
  <w:style w:type="table" w:styleId="TableGrid">
    <w:name w:val="Table Grid"/>
    <w:basedOn w:val="TableNormal"/>
    <w:uiPriority w:val="59"/>
    <w:rsid w:val="00D93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262018"/>
    <w:rPr>
      <w:rFonts w:ascii="Times New Roman" w:hAnsi="Times New Roman"/>
      <w:i/>
      <w:iCs/>
      <w:color w:val="1F3763" w:themeColor="accent1" w:themeShade="7F"/>
      <w:sz w:val="26"/>
    </w:rPr>
  </w:style>
  <w:style w:type="paragraph" w:styleId="TOCHeading">
    <w:name w:val="TOC Heading"/>
    <w:basedOn w:val="Heading1"/>
    <w:next w:val="Normal"/>
    <w:uiPriority w:val="39"/>
    <w:unhideWhenUsed/>
    <w:qFormat/>
    <w:rsid w:val="00907393"/>
    <w:pPr>
      <w:outlineLvl w:val="9"/>
    </w:pPr>
    <w:rPr>
      <w:rFonts w:asciiTheme="majorHAnsi" w:hAnsiTheme="majorHAnsi"/>
    </w:rPr>
  </w:style>
  <w:style w:type="paragraph" w:styleId="TOC1">
    <w:name w:val="toc 1"/>
    <w:basedOn w:val="Normal"/>
    <w:next w:val="Normal"/>
    <w:autoRedefine/>
    <w:uiPriority w:val="39"/>
    <w:unhideWhenUsed/>
    <w:rsid w:val="00907393"/>
    <w:pPr>
      <w:spacing w:after="100"/>
    </w:pPr>
  </w:style>
  <w:style w:type="paragraph" w:styleId="TOC2">
    <w:name w:val="toc 2"/>
    <w:basedOn w:val="Normal"/>
    <w:next w:val="Normal"/>
    <w:autoRedefine/>
    <w:uiPriority w:val="39"/>
    <w:unhideWhenUsed/>
    <w:rsid w:val="00907393"/>
    <w:pPr>
      <w:spacing w:after="100"/>
      <w:ind w:left="220"/>
    </w:pPr>
  </w:style>
  <w:style w:type="character" w:styleId="Hyperlink">
    <w:name w:val="Hyperlink"/>
    <w:basedOn w:val="DefaultParagraphFont"/>
    <w:uiPriority w:val="99"/>
    <w:unhideWhenUsed/>
    <w:rsid w:val="00907393"/>
    <w:rPr>
      <w:color w:val="0563C1" w:themeColor="hyperlink"/>
      <w:u w:val="single"/>
    </w:rPr>
  </w:style>
  <w:style w:type="character" w:styleId="IntenseEmphasis">
    <w:name w:val="Intense Emphasis"/>
    <w:basedOn w:val="DefaultParagraphFont"/>
    <w:uiPriority w:val="21"/>
    <w:qFormat/>
    <w:rsid w:val="00887DCC"/>
    <w:rPr>
      <w:rFonts w:ascii="Times New Roman" w:hAnsi="Times New Roman"/>
      <w:i/>
      <w:iCs/>
      <w:color w:val="4472C4" w:themeColor="accent1"/>
    </w:rPr>
  </w:style>
  <w:style w:type="character" w:styleId="UnresolvedMention">
    <w:name w:val="Unresolved Mention"/>
    <w:basedOn w:val="DefaultParagraphFont"/>
    <w:uiPriority w:val="99"/>
    <w:semiHidden/>
    <w:unhideWhenUsed/>
    <w:rsid w:val="00562B88"/>
    <w:rPr>
      <w:color w:val="605E5C"/>
      <w:shd w:val="clear" w:color="auto" w:fill="E1DFDD"/>
    </w:rPr>
  </w:style>
  <w:style w:type="character" w:styleId="FollowedHyperlink">
    <w:name w:val="FollowedHyperlink"/>
    <w:basedOn w:val="DefaultParagraphFont"/>
    <w:uiPriority w:val="99"/>
    <w:semiHidden/>
    <w:unhideWhenUsed/>
    <w:rsid w:val="00381C7D"/>
    <w:rPr>
      <w:color w:val="954F72" w:themeColor="followedHyperlink"/>
      <w:u w:val="single"/>
    </w:rPr>
  </w:style>
  <w:style w:type="character" w:styleId="CommentReference">
    <w:name w:val="annotation reference"/>
    <w:basedOn w:val="DefaultParagraphFont"/>
    <w:uiPriority w:val="99"/>
    <w:semiHidden/>
    <w:unhideWhenUsed/>
    <w:rsid w:val="006F1AC6"/>
    <w:rPr>
      <w:sz w:val="16"/>
      <w:szCs w:val="16"/>
    </w:rPr>
  </w:style>
  <w:style w:type="paragraph" w:styleId="CommentText">
    <w:name w:val="annotation text"/>
    <w:basedOn w:val="Normal"/>
    <w:link w:val="CommentTextChar"/>
    <w:uiPriority w:val="99"/>
    <w:semiHidden/>
    <w:unhideWhenUsed/>
    <w:rsid w:val="006F1AC6"/>
    <w:pPr>
      <w:spacing w:line="240" w:lineRule="auto"/>
    </w:pPr>
    <w:rPr>
      <w:sz w:val="20"/>
      <w:szCs w:val="20"/>
    </w:rPr>
  </w:style>
  <w:style w:type="character" w:customStyle="1" w:styleId="CommentTextChar">
    <w:name w:val="Comment Text Char"/>
    <w:basedOn w:val="DefaultParagraphFont"/>
    <w:link w:val="CommentText"/>
    <w:uiPriority w:val="99"/>
    <w:semiHidden/>
    <w:rsid w:val="006F1AC6"/>
    <w:rPr>
      <w:sz w:val="20"/>
      <w:szCs w:val="20"/>
    </w:rPr>
  </w:style>
  <w:style w:type="paragraph" w:styleId="CommentSubject">
    <w:name w:val="annotation subject"/>
    <w:basedOn w:val="CommentText"/>
    <w:next w:val="CommentText"/>
    <w:link w:val="CommentSubjectChar"/>
    <w:uiPriority w:val="99"/>
    <w:semiHidden/>
    <w:unhideWhenUsed/>
    <w:rsid w:val="006F1AC6"/>
    <w:rPr>
      <w:b/>
      <w:bCs/>
    </w:rPr>
  </w:style>
  <w:style w:type="character" w:customStyle="1" w:styleId="CommentSubjectChar">
    <w:name w:val="Comment Subject Char"/>
    <w:basedOn w:val="CommentTextChar"/>
    <w:link w:val="CommentSubject"/>
    <w:uiPriority w:val="99"/>
    <w:semiHidden/>
    <w:rsid w:val="006F1AC6"/>
    <w:rPr>
      <w:b/>
      <w:bCs/>
      <w:sz w:val="20"/>
      <w:szCs w:val="20"/>
    </w:rPr>
  </w:style>
  <w:style w:type="character" w:styleId="Mention">
    <w:name w:val="Mention"/>
    <w:basedOn w:val="DefaultParagraphFont"/>
    <w:uiPriority w:val="99"/>
    <w:unhideWhenUsed/>
    <w:rsid w:val="0017751A"/>
    <w:rPr>
      <w:color w:val="2B579A"/>
      <w:shd w:val="clear" w:color="auto" w:fill="E6E6E6"/>
    </w:rPr>
  </w:style>
  <w:style w:type="paragraph" w:customStyle="1" w:styleId="paragraph">
    <w:name w:val="paragraph"/>
    <w:basedOn w:val="Normal"/>
    <w:rsid w:val="00AF69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F6941"/>
  </w:style>
  <w:style w:type="character" w:customStyle="1" w:styleId="eop">
    <w:name w:val="eop"/>
    <w:basedOn w:val="DefaultParagraphFont"/>
    <w:rsid w:val="00AF6941"/>
  </w:style>
  <w:style w:type="character" w:customStyle="1" w:styleId="spellingerror">
    <w:name w:val="spellingerror"/>
    <w:basedOn w:val="DefaultParagraphFont"/>
    <w:rsid w:val="000734AC"/>
  </w:style>
  <w:style w:type="character" w:customStyle="1" w:styleId="scxw59924635">
    <w:name w:val="scxw59924635"/>
    <w:basedOn w:val="DefaultParagraphFont"/>
    <w:rsid w:val="001A7F8F"/>
  </w:style>
  <w:style w:type="character" w:customStyle="1" w:styleId="advancedproofingissue">
    <w:name w:val="advancedproofingissue"/>
    <w:basedOn w:val="DefaultParagraphFont"/>
    <w:rsid w:val="00F97EB8"/>
  </w:style>
  <w:style w:type="character" w:customStyle="1" w:styleId="contextualspellingandgrammarerror">
    <w:name w:val="contextualspellingandgrammarerror"/>
    <w:basedOn w:val="DefaultParagraphFont"/>
    <w:rsid w:val="00F97EB8"/>
  </w:style>
  <w:style w:type="character" w:customStyle="1" w:styleId="scxw73392725">
    <w:name w:val="scxw73392725"/>
    <w:basedOn w:val="DefaultParagraphFont"/>
    <w:rsid w:val="00A66874"/>
  </w:style>
  <w:style w:type="character" w:customStyle="1" w:styleId="scxw158243851">
    <w:name w:val="scxw158243851"/>
    <w:basedOn w:val="DefaultParagraphFont"/>
    <w:rsid w:val="00D16CAE"/>
  </w:style>
  <w:style w:type="character" w:customStyle="1" w:styleId="scxw246590375">
    <w:name w:val="scxw246590375"/>
    <w:basedOn w:val="DefaultParagraphFont"/>
    <w:rsid w:val="00E90405"/>
  </w:style>
  <w:style w:type="character" w:customStyle="1" w:styleId="scxw95226893">
    <w:name w:val="scxw95226893"/>
    <w:basedOn w:val="DefaultParagraphFont"/>
    <w:rsid w:val="005F175E"/>
  </w:style>
  <w:style w:type="character" w:customStyle="1" w:styleId="scxw67467753">
    <w:name w:val="scxw67467753"/>
    <w:basedOn w:val="DefaultParagraphFont"/>
    <w:rsid w:val="003742E8"/>
  </w:style>
  <w:style w:type="character" w:customStyle="1" w:styleId="scxw120489810">
    <w:name w:val="scxw120489810"/>
    <w:basedOn w:val="DefaultParagraphFont"/>
    <w:rsid w:val="00147B7A"/>
  </w:style>
  <w:style w:type="character" w:customStyle="1" w:styleId="bcx0">
    <w:name w:val="bcx0"/>
    <w:basedOn w:val="DefaultParagraphFont"/>
    <w:rsid w:val="0060522B"/>
  </w:style>
  <w:style w:type="character" w:customStyle="1" w:styleId="scxw118425629">
    <w:name w:val="scxw118425629"/>
    <w:basedOn w:val="DefaultParagraphFont"/>
    <w:rsid w:val="0048594B"/>
  </w:style>
  <w:style w:type="character" w:customStyle="1" w:styleId="scxw52255993">
    <w:name w:val="scxw52255993"/>
    <w:basedOn w:val="DefaultParagraphFont"/>
    <w:rsid w:val="00344419"/>
  </w:style>
  <w:style w:type="character" w:customStyle="1" w:styleId="scxw124788065">
    <w:name w:val="scxw124788065"/>
    <w:basedOn w:val="DefaultParagraphFont"/>
    <w:rsid w:val="000536B1"/>
  </w:style>
  <w:style w:type="character" w:customStyle="1" w:styleId="scxw124215723">
    <w:name w:val="scxw124215723"/>
    <w:basedOn w:val="DefaultParagraphFont"/>
    <w:rsid w:val="00A85E92"/>
  </w:style>
  <w:style w:type="character" w:customStyle="1" w:styleId="scxw127031168">
    <w:name w:val="scxw127031168"/>
    <w:basedOn w:val="DefaultParagraphFont"/>
    <w:rsid w:val="00142424"/>
  </w:style>
  <w:style w:type="character" w:customStyle="1" w:styleId="scxw158413129">
    <w:name w:val="scxw158413129"/>
    <w:basedOn w:val="DefaultParagraphFont"/>
    <w:rsid w:val="009C4ADE"/>
  </w:style>
  <w:style w:type="character" w:customStyle="1" w:styleId="scxw237298823">
    <w:name w:val="scxw237298823"/>
    <w:basedOn w:val="DefaultParagraphFont"/>
    <w:rsid w:val="009C4ADE"/>
  </w:style>
  <w:style w:type="character" w:customStyle="1" w:styleId="scxw2242163">
    <w:name w:val="scxw2242163"/>
    <w:basedOn w:val="DefaultParagraphFont"/>
    <w:rsid w:val="009C4A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7898">
      <w:bodyDiv w:val="1"/>
      <w:marLeft w:val="0"/>
      <w:marRight w:val="0"/>
      <w:marTop w:val="0"/>
      <w:marBottom w:val="0"/>
      <w:divBdr>
        <w:top w:val="none" w:sz="0" w:space="0" w:color="auto"/>
        <w:left w:val="none" w:sz="0" w:space="0" w:color="auto"/>
        <w:bottom w:val="none" w:sz="0" w:space="0" w:color="auto"/>
        <w:right w:val="none" w:sz="0" w:space="0" w:color="auto"/>
      </w:divBdr>
      <w:divsChild>
        <w:div w:id="870655274">
          <w:marLeft w:val="0"/>
          <w:marRight w:val="0"/>
          <w:marTop w:val="0"/>
          <w:marBottom w:val="0"/>
          <w:divBdr>
            <w:top w:val="none" w:sz="0" w:space="0" w:color="auto"/>
            <w:left w:val="none" w:sz="0" w:space="0" w:color="auto"/>
            <w:bottom w:val="none" w:sz="0" w:space="0" w:color="auto"/>
            <w:right w:val="none" w:sz="0" w:space="0" w:color="auto"/>
          </w:divBdr>
        </w:div>
        <w:div w:id="1231500051">
          <w:marLeft w:val="0"/>
          <w:marRight w:val="0"/>
          <w:marTop w:val="0"/>
          <w:marBottom w:val="0"/>
          <w:divBdr>
            <w:top w:val="none" w:sz="0" w:space="0" w:color="auto"/>
            <w:left w:val="none" w:sz="0" w:space="0" w:color="auto"/>
            <w:bottom w:val="none" w:sz="0" w:space="0" w:color="auto"/>
            <w:right w:val="none" w:sz="0" w:space="0" w:color="auto"/>
          </w:divBdr>
        </w:div>
        <w:div w:id="1592664618">
          <w:marLeft w:val="0"/>
          <w:marRight w:val="0"/>
          <w:marTop w:val="0"/>
          <w:marBottom w:val="0"/>
          <w:divBdr>
            <w:top w:val="none" w:sz="0" w:space="0" w:color="auto"/>
            <w:left w:val="none" w:sz="0" w:space="0" w:color="auto"/>
            <w:bottom w:val="none" w:sz="0" w:space="0" w:color="auto"/>
            <w:right w:val="none" w:sz="0" w:space="0" w:color="auto"/>
          </w:divBdr>
        </w:div>
        <w:div w:id="1645426645">
          <w:marLeft w:val="0"/>
          <w:marRight w:val="0"/>
          <w:marTop w:val="0"/>
          <w:marBottom w:val="0"/>
          <w:divBdr>
            <w:top w:val="none" w:sz="0" w:space="0" w:color="auto"/>
            <w:left w:val="none" w:sz="0" w:space="0" w:color="auto"/>
            <w:bottom w:val="none" w:sz="0" w:space="0" w:color="auto"/>
            <w:right w:val="none" w:sz="0" w:space="0" w:color="auto"/>
          </w:divBdr>
        </w:div>
        <w:div w:id="1751846395">
          <w:marLeft w:val="0"/>
          <w:marRight w:val="0"/>
          <w:marTop w:val="0"/>
          <w:marBottom w:val="0"/>
          <w:divBdr>
            <w:top w:val="none" w:sz="0" w:space="0" w:color="auto"/>
            <w:left w:val="none" w:sz="0" w:space="0" w:color="auto"/>
            <w:bottom w:val="none" w:sz="0" w:space="0" w:color="auto"/>
            <w:right w:val="none" w:sz="0" w:space="0" w:color="auto"/>
          </w:divBdr>
        </w:div>
        <w:div w:id="1972900660">
          <w:marLeft w:val="0"/>
          <w:marRight w:val="0"/>
          <w:marTop w:val="0"/>
          <w:marBottom w:val="0"/>
          <w:divBdr>
            <w:top w:val="none" w:sz="0" w:space="0" w:color="auto"/>
            <w:left w:val="none" w:sz="0" w:space="0" w:color="auto"/>
            <w:bottom w:val="none" w:sz="0" w:space="0" w:color="auto"/>
            <w:right w:val="none" w:sz="0" w:space="0" w:color="auto"/>
          </w:divBdr>
        </w:div>
      </w:divsChild>
    </w:div>
    <w:div w:id="9576037">
      <w:bodyDiv w:val="1"/>
      <w:marLeft w:val="0"/>
      <w:marRight w:val="0"/>
      <w:marTop w:val="0"/>
      <w:marBottom w:val="0"/>
      <w:divBdr>
        <w:top w:val="none" w:sz="0" w:space="0" w:color="auto"/>
        <w:left w:val="none" w:sz="0" w:space="0" w:color="auto"/>
        <w:bottom w:val="none" w:sz="0" w:space="0" w:color="auto"/>
        <w:right w:val="none" w:sz="0" w:space="0" w:color="auto"/>
      </w:divBdr>
      <w:divsChild>
        <w:div w:id="33190947">
          <w:marLeft w:val="0"/>
          <w:marRight w:val="0"/>
          <w:marTop w:val="0"/>
          <w:marBottom w:val="0"/>
          <w:divBdr>
            <w:top w:val="none" w:sz="0" w:space="0" w:color="auto"/>
            <w:left w:val="none" w:sz="0" w:space="0" w:color="auto"/>
            <w:bottom w:val="none" w:sz="0" w:space="0" w:color="auto"/>
            <w:right w:val="none" w:sz="0" w:space="0" w:color="auto"/>
          </w:divBdr>
        </w:div>
        <w:div w:id="172888048">
          <w:marLeft w:val="0"/>
          <w:marRight w:val="0"/>
          <w:marTop w:val="0"/>
          <w:marBottom w:val="0"/>
          <w:divBdr>
            <w:top w:val="none" w:sz="0" w:space="0" w:color="auto"/>
            <w:left w:val="none" w:sz="0" w:space="0" w:color="auto"/>
            <w:bottom w:val="none" w:sz="0" w:space="0" w:color="auto"/>
            <w:right w:val="none" w:sz="0" w:space="0" w:color="auto"/>
          </w:divBdr>
        </w:div>
        <w:div w:id="375394253">
          <w:marLeft w:val="0"/>
          <w:marRight w:val="0"/>
          <w:marTop w:val="0"/>
          <w:marBottom w:val="0"/>
          <w:divBdr>
            <w:top w:val="none" w:sz="0" w:space="0" w:color="auto"/>
            <w:left w:val="none" w:sz="0" w:space="0" w:color="auto"/>
            <w:bottom w:val="none" w:sz="0" w:space="0" w:color="auto"/>
            <w:right w:val="none" w:sz="0" w:space="0" w:color="auto"/>
          </w:divBdr>
        </w:div>
        <w:div w:id="454763012">
          <w:marLeft w:val="0"/>
          <w:marRight w:val="0"/>
          <w:marTop w:val="0"/>
          <w:marBottom w:val="0"/>
          <w:divBdr>
            <w:top w:val="none" w:sz="0" w:space="0" w:color="auto"/>
            <w:left w:val="none" w:sz="0" w:space="0" w:color="auto"/>
            <w:bottom w:val="none" w:sz="0" w:space="0" w:color="auto"/>
            <w:right w:val="none" w:sz="0" w:space="0" w:color="auto"/>
          </w:divBdr>
        </w:div>
        <w:div w:id="769931139">
          <w:marLeft w:val="0"/>
          <w:marRight w:val="0"/>
          <w:marTop w:val="0"/>
          <w:marBottom w:val="0"/>
          <w:divBdr>
            <w:top w:val="none" w:sz="0" w:space="0" w:color="auto"/>
            <w:left w:val="none" w:sz="0" w:space="0" w:color="auto"/>
            <w:bottom w:val="none" w:sz="0" w:space="0" w:color="auto"/>
            <w:right w:val="none" w:sz="0" w:space="0" w:color="auto"/>
          </w:divBdr>
        </w:div>
        <w:div w:id="865409391">
          <w:marLeft w:val="0"/>
          <w:marRight w:val="0"/>
          <w:marTop w:val="0"/>
          <w:marBottom w:val="0"/>
          <w:divBdr>
            <w:top w:val="none" w:sz="0" w:space="0" w:color="auto"/>
            <w:left w:val="none" w:sz="0" w:space="0" w:color="auto"/>
            <w:bottom w:val="none" w:sz="0" w:space="0" w:color="auto"/>
            <w:right w:val="none" w:sz="0" w:space="0" w:color="auto"/>
          </w:divBdr>
        </w:div>
        <w:div w:id="874195998">
          <w:marLeft w:val="0"/>
          <w:marRight w:val="0"/>
          <w:marTop w:val="0"/>
          <w:marBottom w:val="0"/>
          <w:divBdr>
            <w:top w:val="none" w:sz="0" w:space="0" w:color="auto"/>
            <w:left w:val="none" w:sz="0" w:space="0" w:color="auto"/>
            <w:bottom w:val="none" w:sz="0" w:space="0" w:color="auto"/>
            <w:right w:val="none" w:sz="0" w:space="0" w:color="auto"/>
          </w:divBdr>
        </w:div>
        <w:div w:id="1244215395">
          <w:marLeft w:val="0"/>
          <w:marRight w:val="0"/>
          <w:marTop w:val="0"/>
          <w:marBottom w:val="0"/>
          <w:divBdr>
            <w:top w:val="none" w:sz="0" w:space="0" w:color="auto"/>
            <w:left w:val="none" w:sz="0" w:space="0" w:color="auto"/>
            <w:bottom w:val="none" w:sz="0" w:space="0" w:color="auto"/>
            <w:right w:val="none" w:sz="0" w:space="0" w:color="auto"/>
          </w:divBdr>
        </w:div>
        <w:div w:id="1435127518">
          <w:marLeft w:val="0"/>
          <w:marRight w:val="0"/>
          <w:marTop w:val="0"/>
          <w:marBottom w:val="0"/>
          <w:divBdr>
            <w:top w:val="none" w:sz="0" w:space="0" w:color="auto"/>
            <w:left w:val="none" w:sz="0" w:space="0" w:color="auto"/>
            <w:bottom w:val="none" w:sz="0" w:space="0" w:color="auto"/>
            <w:right w:val="none" w:sz="0" w:space="0" w:color="auto"/>
          </w:divBdr>
        </w:div>
      </w:divsChild>
    </w:div>
    <w:div w:id="96754437">
      <w:bodyDiv w:val="1"/>
      <w:marLeft w:val="0"/>
      <w:marRight w:val="0"/>
      <w:marTop w:val="0"/>
      <w:marBottom w:val="0"/>
      <w:divBdr>
        <w:top w:val="none" w:sz="0" w:space="0" w:color="auto"/>
        <w:left w:val="none" w:sz="0" w:space="0" w:color="auto"/>
        <w:bottom w:val="none" w:sz="0" w:space="0" w:color="auto"/>
        <w:right w:val="none" w:sz="0" w:space="0" w:color="auto"/>
      </w:divBdr>
    </w:div>
    <w:div w:id="117336866">
      <w:bodyDiv w:val="1"/>
      <w:marLeft w:val="0"/>
      <w:marRight w:val="0"/>
      <w:marTop w:val="0"/>
      <w:marBottom w:val="0"/>
      <w:divBdr>
        <w:top w:val="none" w:sz="0" w:space="0" w:color="auto"/>
        <w:left w:val="none" w:sz="0" w:space="0" w:color="auto"/>
        <w:bottom w:val="none" w:sz="0" w:space="0" w:color="auto"/>
        <w:right w:val="none" w:sz="0" w:space="0" w:color="auto"/>
      </w:divBdr>
      <w:divsChild>
        <w:div w:id="241259565">
          <w:marLeft w:val="0"/>
          <w:marRight w:val="0"/>
          <w:marTop w:val="0"/>
          <w:marBottom w:val="0"/>
          <w:divBdr>
            <w:top w:val="none" w:sz="0" w:space="0" w:color="auto"/>
            <w:left w:val="none" w:sz="0" w:space="0" w:color="auto"/>
            <w:bottom w:val="none" w:sz="0" w:space="0" w:color="auto"/>
            <w:right w:val="none" w:sz="0" w:space="0" w:color="auto"/>
          </w:divBdr>
          <w:divsChild>
            <w:div w:id="762922376">
              <w:marLeft w:val="0"/>
              <w:marRight w:val="0"/>
              <w:marTop w:val="0"/>
              <w:marBottom w:val="0"/>
              <w:divBdr>
                <w:top w:val="none" w:sz="0" w:space="0" w:color="auto"/>
                <w:left w:val="none" w:sz="0" w:space="0" w:color="auto"/>
                <w:bottom w:val="none" w:sz="0" w:space="0" w:color="auto"/>
                <w:right w:val="none" w:sz="0" w:space="0" w:color="auto"/>
              </w:divBdr>
            </w:div>
            <w:div w:id="1472164383">
              <w:marLeft w:val="0"/>
              <w:marRight w:val="0"/>
              <w:marTop w:val="0"/>
              <w:marBottom w:val="0"/>
              <w:divBdr>
                <w:top w:val="none" w:sz="0" w:space="0" w:color="auto"/>
                <w:left w:val="none" w:sz="0" w:space="0" w:color="auto"/>
                <w:bottom w:val="none" w:sz="0" w:space="0" w:color="auto"/>
                <w:right w:val="none" w:sz="0" w:space="0" w:color="auto"/>
              </w:divBdr>
            </w:div>
          </w:divsChild>
        </w:div>
        <w:div w:id="2086024746">
          <w:marLeft w:val="0"/>
          <w:marRight w:val="0"/>
          <w:marTop w:val="0"/>
          <w:marBottom w:val="0"/>
          <w:divBdr>
            <w:top w:val="none" w:sz="0" w:space="0" w:color="auto"/>
            <w:left w:val="none" w:sz="0" w:space="0" w:color="auto"/>
            <w:bottom w:val="none" w:sz="0" w:space="0" w:color="auto"/>
            <w:right w:val="none" w:sz="0" w:space="0" w:color="auto"/>
          </w:divBdr>
          <w:divsChild>
            <w:div w:id="1058893394">
              <w:marLeft w:val="0"/>
              <w:marRight w:val="0"/>
              <w:marTop w:val="0"/>
              <w:marBottom w:val="0"/>
              <w:divBdr>
                <w:top w:val="none" w:sz="0" w:space="0" w:color="auto"/>
                <w:left w:val="none" w:sz="0" w:space="0" w:color="auto"/>
                <w:bottom w:val="none" w:sz="0" w:space="0" w:color="auto"/>
                <w:right w:val="none" w:sz="0" w:space="0" w:color="auto"/>
              </w:divBdr>
            </w:div>
            <w:div w:id="1071192361">
              <w:marLeft w:val="0"/>
              <w:marRight w:val="0"/>
              <w:marTop w:val="0"/>
              <w:marBottom w:val="0"/>
              <w:divBdr>
                <w:top w:val="none" w:sz="0" w:space="0" w:color="auto"/>
                <w:left w:val="none" w:sz="0" w:space="0" w:color="auto"/>
                <w:bottom w:val="none" w:sz="0" w:space="0" w:color="auto"/>
                <w:right w:val="none" w:sz="0" w:space="0" w:color="auto"/>
              </w:divBdr>
            </w:div>
            <w:div w:id="1515849902">
              <w:marLeft w:val="0"/>
              <w:marRight w:val="0"/>
              <w:marTop w:val="0"/>
              <w:marBottom w:val="0"/>
              <w:divBdr>
                <w:top w:val="none" w:sz="0" w:space="0" w:color="auto"/>
                <w:left w:val="none" w:sz="0" w:space="0" w:color="auto"/>
                <w:bottom w:val="none" w:sz="0" w:space="0" w:color="auto"/>
                <w:right w:val="none" w:sz="0" w:space="0" w:color="auto"/>
              </w:divBdr>
            </w:div>
            <w:div w:id="1931234739">
              <w:marLeft w:val="0"/>
              <w:marRight w:val="0"/>
              <w:marTop w:val="0"/>
              <w:marBottom w:val="0"/>
              <w:divBdr>
                <w:top w:val="none" w:sz="0" w:space="0" w:color="auto"/>
                <w:left w:val="none" w:sz="0" w:space="0" w:color="auto"/>
                <w:bottom w:val="none" w:sz="0" w:space="0" w:color="auto"/>
                <w:right w:val="none" w:sz="0" w:space="0" w:color="auto"/>
              </w:divBdr>
            </w:div>
            <w:div w:id="205869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7925">
      <w:bodyDiv w:val="1"/>
      <w:marLeft w:val="0"/>
      <w:marRight w:val="0"/>
      <w:marTop w:val="0"/>
      <w:marBottom w:val="0"/>
      <w:divBdr>
        <w:top w:val="none" w:sz="0" w:space="0" w:color="auto"/>
        <w:left w:val="none" w:sz="0" w:space="0" w:color="auto"/>
        <w:bottom w:val="none" w:sz="0" w:space="0" w:color="auto"/>
        <w:right w:val="none" w:sz="0" w:space="0" w:color="auto"/>
      </w:divBdr>
      <w:divsChild>
        <w:div w:id="314915145">
          <w:marLeft w:val="0"/>
          <w:marRight w:val="0"/>
          <w:marTop w:val="0"/>
          <w:marBottom w:val="0"/>
          <w:divBdr>
            <w:top w:val="none" w:sz="0" w:space="0" w:color="auto"/>
            <w:left w:val="none" w:sz="0" w:space="0" w:color="auto"/>
            <w:bottom w:val="none" w:sz="0" w:space="0" w:color="auto"/>
            <w:right w:val="none" w:sz="0" w:space="0" w:color="auto"/>
          </w:divBdr>
          <w:divsChild>
            <w:div w:id="232084604">
              <w:marLeft w:val="0"/>
              <w:marRight w:val="0"/>
              <w:marTop w:val="0"/>
              <w:marBottom w:val="0"/>
              <w:divBdr>
                <w:top w:val="none" w:sz="0" w:space="0" w:color="auto"/>
                <w:left w:val="none" w:sz="0" w:space="0" w:color="auto"/>
                <w:bottom w:val="none" w:sz="0" w:space="0" w:color="auto"/>
                <w:right w:val="none" w:sz="0" w:space="0" w:color="auto"/>
              </w:divBdr>
            </w:div>
            <w:div w:id="910505843">
              <w:marLeft w:val="0"/>
              <w:marRight w:val="0"/>
              <w:marTop w:val="0"/>
              <w:marBottom w:val="0"/>
              <w:divBdr>
                <w:top w:val="none" w:sz="0" w:space="0" w:color="auto"/>
                <w:left w:val="none" w:sz="0" w:space="0" w:color="auto"/>
                <w:bottom w:val="none" w:sz="0" w:space="0" w:color="auto"/>
                <w:right w:val="none" w:sz="0" w:space="0" w:color="auto"/>
              </w:divBdr>
            </w:div>
            <w:div w:id="1334142066">
              <w:marLeft w:val="0"/>
              <w:marRight w:val="0"/>
              <w:marTop w:val="0"/>
              <w:marBottom w:val="0"/>
              <w:divBdr>
                <w:top w:val="none" w:sz="0" w:space="0" w:color="auto"/>
                <w:left w:val="none" w:sz="0" w:space="0" w:color="auto"/>
                <w:bottom w:val="none" w:sz="0" w:space="0" w:color="auto"/>
                <w:right w:val="none" w:sz="0" w:space="0" w:color="auto"/>
              </w:divBdr>
            </w:div>
          </w:divsChild>
        </w:div>
        <w:div w:id="831068203">
          <w:marLeft w:val="0"/>
          <w:marRight w:val="0"/>
          <w:marTop w:val="0"/>
          <w:marBottom w:val="0"/>
          <w:divBdr>
            <w:top w:val="none" w:sz="0" w:space="0" w:color="auto"/>
            <w:left w:val="none" w:sz="0" w:space="0" w:color="auto"/>
            <w:bottom w:val="none" w:sz="0" w:space="0" w:color="auto"/>
            <w:right w:val="none" w:sz="0" w:space="0" w:color="auto"/>
          </w:divBdr>
        </w:div>
        <w:div w:id="1186794256">
          <w:marLeft w:val="0"/>
          <w:marRight w:val="0"/>
          <w:marTop w:val="0"/>
          <w:marBottom w:val="0"/>
          <w:divBdr>
            <w:top w:val="none" w:sz="0" w:space="0" w:color="auto"/>
            <w:left w:val="none" w:sz="0" w:space="0" w:color="auto"/>
            <w:bottom w:val="none" w:sz="0" w:space="0" w:color="auto"/>
            <w:right w:val="none" w:sz="0" w:space="0" w:color="auto"/>
          </w:divBdr>
          <w:divsChild>
            <w:div w:id="87308896">
              <w:marLeft w:val="0"/>
              <w:marRight w:val="0"/>
              <w:marTop w:val="0"/>
              <w:marBottom w:val="0"/>
              <w:divBdr>
                <w:top w:val="none" w:sz="0" w:space="0" w:color="auto"/>
                <w:left w:val="none" w:sz="0" w:space="0" w:color="auto"/>
                <w:bottom w:val="none" w:sz="0" w:space="0" w:color="auto"/>
                <w:right w:val="none" w:sz="0" w:space="0" w:color="auto"/>
              </w:divBdr>
            </w:div>
            <w:div w:id="210269406">
              <w:marLeft w:val="0"/>
              <w:marRight w:val="0"/>
              <w:marTop w:val="0"/>
              <w:marBottom w:val="0"/>
              <w:divBdr>
                <w:top w:val="none" w:sz="0" w:space="0" w:color="auto"/>
                <w:left w:val="none" w:sz="0" w:space="0" w:color="auto"/>
                <w:bottom w:val="none" w:sz="0" w:space="0" w:color="auto"/>
                <w:right w:val="none" w:sz="0" w:space="0" w:color="auto"/>
              </w:divBdr>
            </w:div>
            <w:div w:id="367488342">
              <w:marLeft w:val="0"/>
              <w:marRight w:val="0"/>
              <w:marTop w:val="0"/>
              <w:marBottom w:val="0"/>
              <w:divBdr>
                <w:top w:val="none" w:sz="0" w:space="0" w:color="auto"/>
                <w:left w:val="none" w:sz="0" w:space="0" w:color="auto"/>
                <w:bottom w:val="none" w:sz="0" w:space="0" w:color="auto"/>
                <w:right w:val="none" w:sz="0" w:space="0" w:color="auto"/>
              </w:divBdr>
            </w:div>
            <w:div w:id="1615671077">
              <w:marLeft w:val="0"/>
              <w:marRight w:val="0"/>
              <w:marTop w:val="0"/>
              <w:marBottom w:val="0"/>
              <w:divBdr>
                <w:top w:val="none" w:sz="0" w:space="0" w:color="auto"/>
                <w:left w:val="none" w:sz="0" w:space="0" w:color="auto"/>
                <w:bottom w:val="none" w:sz="0" w:space="0" w:color="auto"/>
                <w:right w:val="none" w:sz="0" w:space="0" w:color="auto"/>
              </w:divBdr>
            </w:div>
          </w:divsChild>
        </w:div>
        <w:div w:id="1250891720">
          <w:marLeft w:val="0"/>
          <w:marRight w:val="0"/>
          <w:marTop w:val="0"/>
          <w:marBottom w:val="0"/>
          <w:divBdr>
            <w:top w:val="none" w:sz="0" w:space="0" w:color="auto"/>
            <w:left w:val="none" w:sz="0" w:space="0" w:color="auto"/>
            <w:bottom w:val="none" w:sz="0" w:space="0" w:color="auto"/>
            <w:right w:val="none" w:sz="0" w:space="0" w:color="auto"/>
          </w:divBdr>
        </w:div>
        <w:div w:id="1389574818">
          <w:marLeft w:val="0"/>
          <w:marRight w:val="0"/>
          <w:marTop w:val="0"/>
          <w:marBottom w:val="0"/>
          <w:divBdr>
            <w:top w:val="none" w:sz="0" w:space="0" w:color="auto"/>
            <w:left w:val="none" w:sz="0" w:space="0" w:color="auto"/>
            <w:bottom w:val="none" w:sz="0" w:space="0" w:color="auto"/>
            <w:right w:val="none" w:sz="0" w:space="0" w:color="auto"/>
          </w:divBdr>
        </w:div>
        <w:div w:id="1813250609">
          <w:marLeft w:val="0"/>
          <w:marRight w:val="0"/>
          <w:marTop w:val="0"/>
          <w:marBottom w:val="0"/>
          <w:divBdr>
            <w:top w:val="none" w:sz="0" w:space="0" w:color="auto"/>
            <w:left w:val="none" w:sz="0" w:space="0" w:color="auto"/>
            <w:bottom w:val="none" w:sz="0" w:space="0" w:color="auto"/>
            <w:right w:val="none" w:sz="0" w:space="0" w:color="auto"/>
          </w:divBdr>
        </w:div>
      </w:divsChild>
    </w:div>
    <w:div w:id="185677559">
      <w:bodyDiv w:val="1"/>
      <w:marLeft w:val="0"/>
      <w:marRight w:val="0"/>
      <w:marTop w:val="0"/>
      <w:marBottom w:val="0"/>
      <w:divBdr>
        <w:top w:val="none" w:sz="0" w:space="0" w:color="auto"/>
        <w:left w:val="none" w:sz="0" w:space="0" w:color="auto"/>
        <w:bottom w:val="none" w:sz="0" w:space="0" w:color="auto"/>
        <w:right w:val="none" w:sz="0" w:space="0" w:color="auto"/>
      </w:divBdr>
      <w:divsChild>
        <w:div w:id="566764419">
          <w:marLeft w:val="0"/>
          <w:marRight w:val="0"/>
          <w:marTop w:val="0"/>
          <w:marBottom w:val="0"/>
          <w:divBdr>
            <w:top w:val="none" w:sz="0" w:space="0" w:color="auto"/>
            <w:left w:val="none" w:sz="0" w:space="0" w:color="auto"/>
            <w:bottom w:val="none" w:sz="0" w:space="0" w:color="auto"/>
            <w:right w:val="none" w:sz="0" w:space="0" w:color="auto"/>
          </w:divBdr>
        </w:div>
        <w:div w:id="794517584">
          <w:marLeft w:val="0"/>
          <w:marRight w:val="0"/>
          <w:marTop w:val="0"/>
          <w:marBottom w:val="0"/>
          <w:divBdr>
            <w:top w:val="none" w:sz="0" w:space="0" w:color="auto"/>
            <w:left w:val="none" w:sz="0" w:space="0" w:color="auto"/>
            <w:bottom w:val="none" w:sz="0" w:space="0" w:color="auto"/>
            <w:right w:val="none" w:sz="0" w:space="0" w:color="auto"/>
          </w:divBdr>
        </w:div>
        <w:div w:id="1518497674">
          <w:marLeft w:val="0"/>
          <w:marRight w:val="0"/>
          <w:marTop w:val="0"/>
          <w:marBottom w:val="0"/>
          <w:divBdr>
            <w:top w:val="none" w:sz="0" w:space="0" w:color="auto"/>
            <w:left w:val="none" w:sz="0" w:space="0" w:color="auto"/>
            <w:bottom w:val="none" w:sz="0" w:space="0" w:color="auto"/>
            <w:right w:val="none" w:sz="0" w:space="0" w:color="auto"/>
          </w:divBdr>
        </w:div>
        <w:div w:id="1727296844">
          <w:marLeft w:val="0"/>
          <w:marRight w:val="0"/>
          <w:marTop w:val="0"/>
          <w:marBottom w:val="0"/>
          <w:divBdr>
            <w:top w:val="none" w:sz="0" w:space="0" w:color="auto"/>
            <w:left w:val="none" w:sz="0" w:space="0" w:color="auto"/>
            <w:bottom w:val="none" w:sz="0" w:space="0" w:color="auto"/>
            <w:right w:val="none" w:sz="0" w:space="0" w:color="auto"/>
          </w:divBdr>
        </w:div>
        <w:div w:id="1745758691">
          <w:marLeft w:val="0"/>
          <w:marRight w:val="0"/>
          <w:marTop w:val="0"/>
          <w:marBottom w:val="0"/>
          <w:divBdr>
            <w:top w:val="none" w:sz="0" w:space="0" w:color="auto"/>
            <w:left w:val="none" w:sz="0" w:space="0" w:color="auto"/>
            <w:bottom w:val="none" w:sz="0" w:space="0" w:color="auto"/>
            <w:right w:val="none" w:sz="0" w:space="0" w:color="auto"/>
          </w:divBdr>
        </w:div>
        <w:div w:id="1831864257">
          <w:marLeft w:val="0"/>
          <w:marRight w:val="0"/>
          <w:marTop w:val="0"/>
          <w:marBottom w:val="0"/>
          <w:divBdr>
            <w:top w:val="none" w:sz="0" w:space="0" w:color="auto"/>
            <w:left w:val="none" w:sz="0" w:space="0" w:color="auto"/>
            <w:bottom w:val="none" w:sz="0" w:space="0" w:color="auto"/>
            <w:right w:val="none" w:sz="0" w:space="0" w:color="auto"/>
          </w:divBdr>
        </w:div>
        <w:div w:id="1889608002">
          <w:marLeft w:val="0"/>
          <w:marRight w:val="0"/>
          <w:marTop w:val="0"/>
          <w:marBottom w:val="0"/>
          <w:divBdr>
            <w:top w:val="none" w:sz="0" w:space="0" w:color="auto"/>
            <w:left w:val="none" w:sz="0" w:space="0" w:color="auto"/>
            <w:bottom w:val="none" w:sz="0" w:space="0" w:color="auto"/>
            <w:right w:val="none" w:sz="0" w:space="0" w:color="auto"/>
          </w:divBdr>
        </w:div>
        <w:div w:id="1890649020">
          <w:marLeft w:val="0"/>
          <w:marRight w:val="0"/>
          <w:marTop w:val="0"/>
          <w:marBottom w:val="0"/>
          <w:divBdr>
            <w:top w:val="none" w:sz="0" w:space="0" w:color="auto"/>
            <w:left w:val="none" w:sz="0" w:space="0" w:color="auto"/>
            <w:bottom w:val="none" w:sz="0" w:space="0" w:color="auto"/>
            <w:right w:val="none" w:sz="0" w:space="0" w:color="auto"/>
          </w:divBdr>
        </w:div>
        <w:div w:id="2140953529">
          <w:marLeft w:val="0"/>
          <w:marRight w:val="0"/>
          <w:marTop w:val="0"/>
          <w:marBottom w:val="0"/>
          <w:divBdr>
            <w:top w:val="none" w:sz="0" w:space="0" w:color="auto"/>
            <w:left w:val="none" w:sz="0" w:space="0" w:color="auto"/>
            <w:bottom w:val="none" w:sz="0" w:space="0" w:color="auto"/>
            <w:right w:val="none" w:sz="0" w:space="0" w:color="auto"/>
          </w:divBdr>
        </w:div>
      </w:divsChild>
    </w:div>
    <w:div w:id="189690200">
      <w:bodyDiv w:val="1"/>
      <w:marLeft w:val="0"/>
      <w:marRight w:val="0"/>
      <w:marTop w:val="0"/>
      <w:marBottom w:val="0"/>
      <w:divBdr>
        <w:top w:val="none" w:sz="0" w:space="0" w:color="auto"/>
        <w:left w:val="none" w:sz="0" w:space="0" w:color="auto"/>
        <w:bottom w:val="none" w:sz="0" w:space="0" w:color="auto"/>
        <w:right w:val="none" w:sz="0" w:space="0" w:color="auto"/>
      </w:divBdr>
      <w:divsChild>
        <w:div w:id="13727186">
          <w:marLeft w:val="0"/>
          <w:marRight w:val="0"/>
          <w:marTop w:val="0"/>
          <w:marBottom w:val="0"/>
          <w:divBdr>
            <w:top w:val="none" w:sz="0" w:space="0" w:color="auto"/>
            <w:left w:val="none" w:sz="0" w:space="0" w:color="auto"/>
            <w:bottom w:val="none" w:sz="0" w:space="0" w:color="auto"/>
            <w:right w:val="none" w:sz="0" w:space="0" w:color="auto"/>
          </w:divBdr>
        </w:div>
        <w:div w:id="307977512">
          <w:marLeft w:val="0"/>
          <w:marRight w:val="0"/>
          <w:marTop w:val="0"/>
          <w:marBottom w:val="0"/>
          <w:divBdr>
            <w:top w:val="none" w:sz="0" w:space="0" w:color="auto"/>
            <w:left w:val="none" w:sz="0" w:space="0" w:color="auto"/>
            <w:bottom w:val="none" w:sz="0" w:space="0" w:color="auto"/>
            <w:right w:val="none" w:sz="0" w:space="0" w:color="auto"/>
          </w:divBdr>
        </w:div>
        <w:div w:id="547179712">
          <w:marLeft w:val="0"/>
          <w:marRight w:val="0"/>
          <w:marTop w:val="0"/>
          <w:marBottom w:val="0"/>
          <w:divBdr>
            <w:top w:val="none" w:sz="0" w:space="0" w:color="auto"/>
            <w:left w:val="none" w:sz="0" w:space="0" w:color="auto"/>
            <w:bottom w:val="none" w:sz="0" w:space="0" w:color="auto"/>
            <w:right w:val="none" w:sz="0" w:space="0" w:color="auto"/>
          </w:divBdr>
        </w:div>
        <w:div w:id="863329129">
          <w:marLeft w:val="0"/>
          <w:marRight w:val="0"/>
          <w:marTop w:val="0"/>
          <w:marBottom w:val="0"/>
          <w:divBdr>
            <w:top w:val="none" w:sz="0" w:space="0" w:color="auto"/>
            <w:left w:val="none" w:sz="0" w:space="0" w:color="auto"/>
            <w:bottom w:val="none" w:sz="0" w:space="0" w:color="auto"/>
            <w:right w:val="none" w:sz="0" w:space="0" w:color="auto"/>
          </w:divBdr>
        </w:div>
        <w:div w:id="1780222523">
          <w:marLeft w:val="0"/>
          <w:marRight w:val="0"/>
          <w:marTop w:val="0"/>
          <w:marBottom w:val="0"/>
          <w:divBdr>
            <w:top w:val="none" w:sz="0" w:space="0" w:color="auto"/>
            <w:left w:val="none" w:sz="0" w:space="0" w:color="auto"/>
            <w:bottom w:val="none" w:sz="0" w:space="0" w:color="auto"/>
            <w:right w:val="none" w:sz="0" w:space="0" w:color="auto"/>
          </w:divBdr>
        </w:div>
        <w:div w:id="1858034858">
          <w:marLeft w:val="0"/>
          <w:marRight w:val="0"/>
          <w:marTop w:val="0"/>
          <w:marBottom w:val="0"/>
          <w:divBdr>
            <w:top w:val="none" w:sz="0" w:space="0" w:color="auto"/>
            <w:left w:val="none" w:sz="0" w:space="0" w:color="auto"/>
            <w:bottom w:val="none" w:sz="0" w:space="0" w:color="auto"/>
            <w:right w:val="none" w:sz="0" w:space="0" w:color="auto"/>
          </w:divBdr>
        </w:div>
        <w:div w:id="1860191241">
          <w:marLeft w:val="0"/>
          <w:marRight w:val="0"/>
          <w:marTop w:val="0"/>
          <w:marBottom w:val="0"/>
          <w:divBdr>
            <w:top w:val="none" w:sz="0" w:space="0" w:color="auto"/>
            <w:left w:val="none" w:sz="0" w:space="0" w:color="auto"/>
            <w:bottom w:val="none" w:sz="0" w:space="0" w:color="auto"/>
            <w:right w:val="none" w:sz="0" w:space="0" w:color="auto"/>
          </w:divBdr>
        </w:div>
        <w:div w:id="2002846590">
          <w:marLeft w:val="0"/>
          <w:marRight w:val="0"/>
          <w:marTop w:val="0"/>
          <w:marBottom w:val="0"/>
          <w:divBdr>
            <w:top w:val="none" w:sz="0" w:space="0" w:color="auto"/>
            <w:left w:val="none" w:sz="0" w:space="0" w:color="auto"/>
            <w:bottom w:val="none" w:sz="0" w:space="0" w:color="auto"/>
            <w:right w:val="none" w:sz="0" w:space="0" w:color="auto"/>
          </w:divBdr>
        </w:div>
        <w:div w:id="2066760239">
          <w:marLeft w:val="0"/>
          <w:marRight w:val="0"/>
          <w:marTop w:val="0"/>
          <w:marBottom w:val="0"/>
          <w:divBdr>
            <w:top w:val="none" w:sz="0" w:space="0" w:color="auto"/>
            <w:left w:val="none" w:sz="0" w:space="0" w:color="auto"/>
            <w:bottom w:val="none" w:sz="0" w:space="0" w:color="auto"/>
            <w:right w:val="none" w:sz="0" w:space="0" w:color="auto"/>
          </w:divBdr>
        </w:div>
      </w:divsChild>
    </w:div>
    <w:div w:id="204800852">
      <w:bodyDiv w:val="1"/>
      <w:marLeft w:val="0"/>
      <w:marRight w:val="0"/>
      <w:marTop w:val="0"/>
      <w:marBottom w:val="0"/>
      <w:divBdr>
        <w:top w:val="none" w:sz="0" w:space="0" w:color="auto"/>
        <w:left w:val="none" w:sz="0" w:space="0" w:color="auto"/>
        <w:bottom w:val="none" w:sz="0" w:space="0" w:color="auto"/>
        <w:right w:val="none" w:sz="0" w:space="0" w:color="auto"/>
      </w:divBdr>
      <w:divsChild>
        <w:div w:id="888497215">
          <w:marLeft w:val="0"/>
          <w:marRight w:val="0"/>
          <w:marTop w:val="0"/>
          <w:marBottom w:val="0"/>
          <w:divBdr>
            <w:top w:val="none" w:sz="0" w:space="0" w:color="auto"/>
            <w:left w:val="none" w:sz="0" w:space="0" w:color="auto"/>
            <w:bottom w:val="none" w:sz="0" w:space="0" w:color="auto"/>
            <w:right w:val="none" w:sz="0" w:space="0" w:color="auto"/>
          </w:divBdr>
        </w:div>
        <w:div w:id="1106005184">
          <w:marLeft w:val="0"/>
          <w:marRight w:val="0"/>
          <w:marTop w:val="0"/>
          <w:marBottom w:val="0"/>
          <w:divBdr>
            <w:top w:val="none" w:sz="0" w:space="0" w:color="auto"/>
            <w:left w:val="none" w:sz="0" w:space="0" w:color="auto"/>
            <w:bottom w:val="none" w:sz="0" w:space="0" w:color="auto"/>
            <w:right w:val="none" w:sz="0" w:space="0" w:color="auto"/>
          </w:divBdr>
        </w:div>
        <w:div w:id="1334604891">
          <w:marLeft w:val="0"/>
          <w:marRight w:val="0"/>
          <w:marTop w:val="0"/>
          <w:marBottom w:val="0"/>
          <w:divBdr>
            <w:top w:val="none" w:sz="0" w:space="0" w:color="auto"/>
            <w:left w:val="none" w:sz="0" w:space="0" w:color="auto"/>
            <w:bottom w:val="none" w:sz="0" w:space="0" w:color="auto"/>
            <w:right w:val="none" w:sz="0" w:space="0" w:color="auto"/>
          </w:divBdr>
        </w:div>
        <w:div w:id="1794400100">
          <w:marLeft w:val="0"/>
          <w:marRight w:val="0"/>
          <w:marTop w:val="0"/>
          <w:marBottom w:val="0"/>
          <w:divBdr>
            <w:top w:val="none" w:sz="0" w:space="0" w:color="auto"/>
            <w:left w:val="none" w:sz="0" w:space="0" w:color="auto"/>
            <w:bottom w:val="none" w:sz="0" w:space="0" w:color="auto"/>
            <w:right w:val="none" w:sz="0" w:space="0" w:color="auto"/>
          </w:divBdr>
        </w:div>
        <w:div w:id="1842813662">
          <w:marLeft w:val="0"/>
          <w:marRight w:val="0"/>
          <w:marTop w:val="0"/>
          <w:marBottom w:val="0"/>
          <w:divBdr>
            <w:top w:val="none" w:sz="0" w:space="0" w:color="auto"/>
            <w:left w:val="none" w:sz="0" w:space="0" w:color="auto"/>
            <w:bottom w:val="none" w:sz="0" w:space="0" w:color="auto"/>
            <w:right w:val="none" w:sz="0" w:space="0" w:color="auto"/>
          </w:divBdr>
        </w:div>
        <w:div w:id="2084600177">
          <w:marLeft w:val="0"/>
          <w:marRight w:val="0"/>
          <w:marTop w:val="0"/>
          <w:marBottom w:val="0"/>
          <w:divBdr>
            <w:top w:val="none" w:sz="0" w:space="0" w:color="auto"/>
            <w:left w:val="none" w:sz="0" w:space="0" w:color="auto"/>
            <w:bottom w:val="none" w:sz="0" w:space="0" w:color="auto"/>
            <w:right w:val="none" w:sz="0" w:space="0" w:color="auto"/>
          </w:divBdr>
        </w:div>
        <w:div w:id="2130314333">
          <w:marLeft w:val="0"/>
          <w:marRight w:val="0"/>
          <w:marTop w:val="0"/>
          <w:marBottom w:val="0"/>
          <w:divBdr>
            <w:top w:val="none" w:sz="0" w:space="0" w:color="auto"/>
            <w:left w:val="none" w:sz="0" w:space="0" w:color="auto"/>
            <w:bottom w:val="none" w:sz="0" w:space="0" w:color="auto"/>
            <w:right w:val="none" w:sz="0" w:space="0" w:color="auto"/>
          </w:divBdr>
        </w:div>
      </w:divsChild>
    </w:div>
    <w:div w:id="259293138">
      <w:bodyDiv w:val="1"/>
      <w:marLeft w:val="0"/>
      <w:marRight w:val="0"/>
      <w:marTop w:val="0"/>
      <w:marBottom w:val="0"/>
      <w:divBdr>
        <w:top w:val="none" w:sz="0" w:space="0" w:color="auto"/>
        <w:left w:val="none" w:sz="0" w:space="0" w:color="auto"/>
        <w:bottom w:val="none" w:sz="0" w:space="0" w:color="auto"/>
        <w:right w:val="none" w:sz="0" w:space="0" w:color="auto"/>
      </w:divBdr>
      <w:divsChild>
        <w:div w:id="265889518">
          <w:marLeft w:val="0"/>
          <w:marRight w:val="0"/>
          <w:marTop w:val="0"/>
          <w:marBottom w:val="0"/>
          <w:divBdr>
            <w:top w:val="none" w:sz="0" w:space="0" w:color="auto"/>
            <w:left w:val="none" w:sz="0" w:space="0" w:color="auto"/>
            <w:bottom w:val="none" w:sz="0" w:space="0" w:color="auto"/>
            <w:right w:val="none" w:sz="0" w:space="0" w:color="auto"/>
          </w:divBdr>
        </w:div>
        <w:div w:id="604072121">
          <w:marLeft w:val="0"/>
          <w:marRight w:val="0"/>
          <w:marTop w:val="0"/>
          <w:marBottom w:val="0"/>
          <w:divBdr>
            <w:top w:val="none" w:sz="0" w:space="0" w:color="auto"/>
            <w:left w:val="none" w:sz="0" w:space="0" w:color="auto"/>
            <w:bottom w:val="none" w:sz="0" w:space="0" w:color="auto"/>
            <w:right w:val="none" w:sz="0" w:space="0" w:color="auto"/>
          </w:divBdr>
        </w:div>
        <w:div w:id="785467076">
          <w:marLeft w:val="0"/>
          <w:marRight w:val="0"/>
          <w:marTop w:val="0"/>
          <w:marBottom w:val="0"/>
          <w:divBdr>
            <w:top w:val="none" w:sz="0" w:space="0" w:color="auto"/>
            <w:left w:val="none" w:sz="0" w:space="0" w:color="auto"/>
            <w:bottom w:val="none" w:sz="0" w:space="0" w:color="auto"/>
            <w:right w:val="none" w:sz="0" w:space="0" w:color="auto"/>
          </w:divBdr>
        </w:div>
        <w:div w:id="1492058416">
          <w:marLeft w:val="0"/>
          <w:marRight w:val="0"/>
          <w:marTop w:val="0"/>
          <w:marBottom w:val="0"/>
          <w:divBdr>
            <w:top w:val="none" w:sz="0" w:space="0" w:color="auto"/>
            <w:left w:val="none" w:sz="0" w:space="0" w:color="auto"/>
            <w:bottom w:val="none" w:sz="0" w:space="0" w:color="auto"/>
            <w:right w:val="none" w:sz="0" w:space="0" w:color="auto"/>
          </w:divBdr>
        </w:div>
        <w:div w:id="1586912166">
          <w:marLeft w:val="0"/>
          <w:marRight w:val="0"/>
          <w:marTop w:val="0"/>
          <w:marBottom w:val="0"/>
          <w:divBdr>
            <w:top w:val="none" w:sz="0" w:space="0" w:color="auto"/>
            <w:left w:val="none" w:sz="0" w:space="0" w:color="auto"/>
            <w:bottom w:val="none" w:sz="0" w:space="0" w:color="auto"/>
            <w:right w:val="none" w:sz="0" w:space="0" w:color="auto"/>
          </w:divBdr>
        </w:div>
        <w:div w:id="1860968063">
          <w:marLeft w:val="0"/>
          <w:marRight w:val="0"/>
          <w:marTop w:val="0"/>
          <w:marBottom w:val="0"/>
          <w:divBdr>
            <w:top w:val="none" w:sz="0" w:space="0" w:color="auto"/>
            <w:left w:val="none" w:sz="0" w:space="0" w:color="auto"/>
            <w:bottom w:val="none" w:sz="0" w:space="0" w:color="auto"/>
            <w:right w:val="none" w:sz="0" w:space="0" w:color="auto"/>
          </w:divBdr>
        </w:div>
        <w:div w:id="1862208059">
          <w:marLeft w:val="0"/>
          <w:marRight w:val="0"/>
          <w:marTop w:val="0"/>
          <w:marBottom w:val="0"/>
          <w:divBdr>
            <w:top w:val="none" w:sz="0" w:space="0" w:color="auto"/>
            <w:left w:val="none" w:sz="0" w:space="0" w:color="auto"/>
            <w:bottom w:val="none" w:sz="0" w:space="0" w:color="auto"/>
            <w:right w:val="none" w:sz="0" w:space="0" w:color="auto"/>
          </w:divBdr>
        </w:div>
        <w:div w:id="1955475612">
          <w:marLeft w:val="0"/>
          <w:marRight w:val="0"/>
          <w:marTop w:val="0"/>
          <w:marBottom w:val="0"/>
          <w:divBdr>
            <w:top w:val="none" w:sz="0" w:space="0" w:color="auto"/>
            <w:left w:val="none" w:sz="0" w:space="0" w:color="auto"/>
            <w:bottom w:val="none" w:sz="0" w:space="0" w:color="auto"/>
            <w:right w:val="none" w:sz="0" w:space="0" w:color="auto"/>
          </w:divBdr>
        </w:div>
      </w:divsChild>
    </w:div>
    <w:div w:id="275214929">
      <w:bodyDiv w:val="1"/>
      <w:marLeft w:val="0"/>
      <w:marRight w:val="0"/>
      <w:marTop w:val="0"/>
      <w:marBottom w:val="0"/>
      <w:divBdr>
        <w:top w:val="none" w:sz="0" w:space="0" w:color="auto"/>
        <w:left w:val="none" w:sz="0" w:space="0" w:color="auto"/>
        <w:bottom w:val="none" w:sz="0" w:space="0" w:color="auto"/>
        <w:right w:val="none" w:sz="0" w:space="0" w:color="auto"/>
      </w:divBdr>
      <w:divsChild>
        <w:div w:id="128745407">
          <w:marLeft w:val="0"/>
          <w:marRight w:val="0"/>
          <w:marTop w:val="0"/>
          <w:marBottom w:val="0"/>
          <w:divBdr>
            <w:top w:val="none" w:sz="0" w:space="0" w:color="auto"/>
            <w:left w:val="none" w:sz="0" w:space="0" w:color="auto"/>
            <w:bottom w:val="none" w:sz="0" w:space="0" w:color="auto"/>
            <w:right w:val="none" w:sz="0" w:space="0" w:color="auto"/>
          </w:divBdr>
        </w:div>
        <w:div w:id="206921058">
          <w:marLeft w:val="0"/>
          <w:marRight w:val="0"/>
          <w:marTop w:val="0"/>
          <w:marBottom w:val="0"/>
          <w:divBdr>
            <w:top w:val="none" w:sz="0" w:space="0" w:color="auto"/>
            <w:left w:val="none" w:sz="0" w:space="0" w:color="auto"/>
            <w:bottom w:val="none" w:sz="0" w:space="0" w:color="auto"/>
            <w:right w:val="none" w:sz="0" w:space="0" w:color="auto"/>
          </w:divBdr>
        </w:div>
        <w:div w:id="1153378252">
          <w:marLeft w:val="0"/>
          <w:marRight w:val="0"/>
          <w:marTop w:val="0"/>
          <w:marBottom w:val="0"/>
          <w:divBdr>
            <w:top w:val="none" w:sz="0" w:space="0" w:color="auto"/>
            <w:left w:val="none" w:sz="0" w:space="0" w:color="auto"/>
            <w:bottom w:val="none" w:sz="0" w:space="0" w:color="auto"/>
            <w:right w:val="none" w:sz="0" w:space="0" w:color="auto"/>
          </w:divBdr>
        </w:div>
        <w:div w:id="1172721352">
          <w:marLeft w:val="0"/>
          <w:marRight w:val="0"/>
          <w:marTop w:val="0"/>
          <w:marBottom w:val="0"/>
          <w:divBdr>
            <w:top w:val="none" w:sz="0" w:space="0" w:color="auto"/>
            <w:left w:val="none" w:sz="0" w:space="0" w:color="auto"/>
            <w:bottom w:val="none" w:sz="0" w:space="0" w:color="auto"/>
            <w:right w:val="none" w:sz="0" w:space="0" w:color="auto"/>
          </w:divBdr>
        </w:div>
        <w:div w:id="1297835385">
          <w:marLeft w:val="0"/>
          <w:marRight w:val="0"/>
          <w:marTop w:val="0"/>
          <w:marBottom w:val="0"/>
          <w:divBdr>
            <w:top w:val="none" w:sz="0" w:space="0" w:color="auto"/>
            <w:left w:val="none" w:sz="0" w:space="0" w:color="auto"/>
            <w:bottom w:val="none" w:sz="0" w:space="0" w:color="auto"/>
            <w:right w:val="none" w:sz="0" w:space="0" w:color="auto"/>
          </w:divBdr>
        </w:div>
        <w:div w:id="1968196243">
          <w:marLeft w:val="0"/>
          <w:marRight w:val="0"/>
          <w:marTop w:val="0"/>
          <w:marBottom w:val="0"/>
          <w:divBdr>
            <w:top w:val="none" w:sz="0" w:space="0" w:color="auto"/>
            <w:left w:val="none" w:sz="0" w:space="0" w:color="auto"/>
            <w:bottom w:val="none" w:sz="0" w:space="0" w:color="auto"/>
            <w:right w:val="none" w:sz="0" w:space="0" w:color="auto"/>
          </w:divBdr>
        </w:div>
        <w:div w:id="1975216124">
          <w:marLeft w:val="0"/>
          <w:marRight w:val="0"/>
          <w:marTop w:val="0"/>
          <w:marBottom w:val="0"/>
          <w:divBdr>
            <w:top w:val="none" w:sz="0" w:space="0" w:color="auto"/>
            <w:left w:val="none" w:sz="0" w:space="0" w:color="auto"/>
            <w:bottom w:val="none" w:sz="0" w:space="0" w:color="auto"/>
            <w:right w:val="none" w:sz="0" w:space="0" w:color="auto"/>
          </w:divBdr>
        </w:div>
        <w:div w:id="2090077727">
          <w:marLeft w:val="0"/>
          <w:marRight w:val="0"/>
          <w:marTop w:val="0"/>
          <w:marBottom w:val="0"/>
          <w:divBdr>
            <w:top w:val="none" w:sz="0" w:space="0" w:color="auto"/>
            <w:left w:val="none" w:sz="0" w:space="0" w:color="auto"/>
            <w:bottom w:val="none" w:sz="0" w:space="0" w:color="auto"/>
            <w:right w:val="none" w:sz="0" w:space="0" w:color="auto"/>
          </w:divBdr>
        </w:div>
      </w:divsChild>
    </w:div>
    <w:div w:id="296227857">
      <w:bodyDiv w:val="1"/>
      <w:marLeft w:val="0"/>
      <w:marRight w:val="0"/>
      <w:marTop w:val="0"/>
      <w:marBottom w:val="0"/>
      <w:divBdr>
        <w:top w:val="none" w:sz="0" w:space="0" w:color="auto"/>
        <w:left w:val="none" w:sz="0" w:space="0" w:color="auto"/>
        <w:bottom w:val="none" w:sz="0" w:space="0" w:color="auto"/>
        <w:right w:val="none" w:sz="0" w:space="0" w:color="auto"/>
      </w:divBdr>
      <w:divsChild>
        <w:div w:id="54090262">
          <w:marLeft w:val="0"/>
          <w:marRight w:val="0"/>
          <w:marTop w:val="0"/>
          <w:marBottom w:val="0"/>
          <w:divBdr>
            <w:top w:val="none" w:sz="0" w:space="0" w:color="auto"/>
            <w:left w:val="none" w:sz="0" w:space="0" w:color="auto"/>
            <w:bottom w:val="none" w:sz="0" w:space="0" w:color="auto"/>
            <w:right w:val="none" w:sz="0" w:space="0" w:color="auto"/>
          </w:divBdr>
        </w:div>
        <w:div w:id="226844727">
          <w:marLeft w:val="0"/>
          <w:marRight w:val="0"/>
          <w:marTop w:val="0"/>
          <w:marBottom w:val="0"/>
          <w:divBdr>
            <w:top w:val="none" w:sz="0" w:space="0" w:color="auto"/>
            <w:left w:val="none" w:sz="0" w:space="0" w:color="auto"/>
            <w:bottom w:val="none" w:sz="0" w:space="0" w:color="auto"/>
            <w:right w:val="none" w:sz="0" w:space="0" w:color="auto"/>
          </w:divBdr>
        </w:div>
        <w:div w:id="379672824">
          <w:marLeft w:val="0"/>
          <w:marRight w:val="0"/>
          <w:marTop w:val="0"/>
          <w:marBottom w:val="0"/>
          <w:divBdr>
            <w:top w:val="none" w:sz="0" w:space="0" w:color="auto"/>
            <w:left w:val="none" w:sz="0" w:space="0" w:color="auto"/>
            <w:bottom w:val="none" w:sz="0" w:space="0" w:color="auto"/>
            <w:right w:val="none" w:sz="0" w:space="0" w:color="auto"/>
          </w:divBdr>
        </w:div>
        <w:div w:id="384106506">
          <w:marLeft w:val="0"/>
          <w:marRight w:val="0"/>
          <w:marTop w:val="0"/>
          <w:marBottom w:val="0"/>
          <w:divBdr>
            <w:top w:val="none" w:sz="0" w:space="0" w:color="auto"/>
            <w:left w:val="none" w:sz="0" w:space="0" w:color="auto"/>
            <w:bottom w:val="none" w:sz="0" w:space="0" w:color="auto"/>
            <w:right w:val="none" w:sz="0" w:space="0" w:color="auto"/>
          </w:divBdr>
        </w:div>
        <w:div w:id="484247650">
          <w:marLeft w:val="0"/>
          <w:marRight w:val="0"/>
          <w:marTop w:val="0"/>
          <w:marBottom w:val="0"/>
          <w:divBdr>
            <w:top w:val="none" w:sz="0" w:space="0" w:color="auto"/>
            <w:left w:val="none" w:sz="0" w:space="0" w:color="auto"/>
            <w:bottom w:val="none" w:sz="0" w:space="0" w:color="auto"/>
            <w:right w:val="none" w:sz="0" w:space="0" w:color="auto"/>
          </w:divBdr>
        </w:div>
        <w:div w:id="609552582">
          <w:marLeft w:val="0"/>
          <w:marRight w:val="0"/>
          <w:marTop w:val="0"/>
          <w:marBottom w:val="0"/>
          <w:divBdr>
            <w:top w:val="none" w:sz="0" w:space="0" w:color="auto"/>
            <w:left w:val="none" w:sz="0" w:space="0" w:color="auto"/>
            <w:bottom w:val="none" w:sz="0" w:space="0" w:color="auto"/>
            <w:right w:val="none" w:sz="0" w:space="0" w:color="auto"/>
          </w:divBdr>
        </w:div>
        <w:div w:id="684789586">
          <w:marLeft w:val="0"/>
          <w:marRight w:val="0"/>
          <w:marTop w:val="0"/>
          <w:marBottom w:val="0"/>
          <w:divBdr>
            <w:top w:val="none" w:sz="0" w:space="0" w:color="auto"/>
            <w:left w:val="none" w:sz="0" w:space="0" w:color="auto"/>
            <w:bottom w:val="none" w:sz="0" w:space="0" w:color="auto"/>
            <w:right w:val="none" w:sz="0" w:space="0" w:color="auto"/>
          </w:divBdr>
        </w:div>
        <w:div w:id="1539005330">
          <w:marLeft w:val="0"/>
          <w:marRight w:val="0"/>
          <w:marTop w:val="0"/>
          <w:marBottom w:val="0"/>
          <w:divBdr>
            <w:top w:val="none" w:sz="0" w:space="0" w:color="auto"/>
            <w:left w:val="none" w:sz="0" w:space="0" w:color="auto"/>
            <w:bottom w:val="none" w:sz="0" w:space="0" w:color="auto"/>
            <w:right w:val="none" w:sz="0" w:space="0" w:color="auto"/>
          </w:divBdr>
        </w:div>
        <w:div w:id="1846820941">
          <w:marLeft w:val="0"/>
          <w:marRight w:val="0"/>
          <w:marTop w:val="0"/>
          <w:marBottom w:val="0"/>
          <w:divBdr>
            <w:top w:val="none" w:sz="0" w:space="0" w:color="auto"/>
            <w:left w:val="none" w:sz="0" w:space="0" w:color="auto"/>
            <w:bottom w:val="none" w:sz="0" w:space="0" w:color="auto"/>
            <w:right w:val="none" w:sz="0" w:space="0" w:color="auto"/>
          </w:divBdr>
        </w:div>
      </w:divsChild>
    </w:div>
    <w:div w:id="313068342">
      <w:bodyDiv w:val="1"/>
      <w:marLeft w:val="0"/>
      <w:marRight w:val="0"/>
      <w:marTop w:val="0"/>
      <w:marBottom w:val="0"/>
      <w:divBdr>
        <w:top w:val="none" w:sz="0" w:space="0" w:color="auto"/>
        <w:left w:val="none" w:sz="0" w:space="0" w:color="auto"/>
        <w:bottom w:val="none" w:sz="0" w:space="0" w:color="auto"/>
        <w:right w:val="none" w:sz="0" w:space="0" w:color="auto"/>
      </w:divBdr>
      <w:divsChild>
        <w:div w:id="338393755">
          <w:marLeft w:val="0"/>
          <w:marRight w:val="0"/>
          <w:marTop w:val="0"/>
          <w:marBottom w:val="0"/>
          <w:divBdr>
            <w:top w:val="none" w:sz="0" w:space="0" w:color="auto"/>
            <w:left w:val="none" w:sz="0" w:space="0" w:color="auto"/>
            <w:bottom w:val="none" w:sz="0" w:space="0" w:color="auto"/>
            <w:right w:val="none" w:sz="0" w:space="0" w:color="auto"/>
          </w:divBdr>
        </w:div>
        <w:div w:id="1065106691">
          <w:marLeft w:val="0"/>
          <w:marRight w:val="0"/>
          <w:marTop w:val="0"/>
          <w:marBottom w:val="0"/>
          <w:divBdr>
            <w:top w:val="none" w:sz="0" w:space="0" w:color="auto"/>
            <w:left w:val="none" w:sz="0" w:space="0" w:color="auto"/>
            <w:bottom w:val="none" w:sz="0" w:space="0" w:color="auto"/>
            <w:right w:val="none" w:sz="0" w:space="0" w:color="auto"/>
          </w:divBdr>
        </w:div>
        <w:div w:id="1073313340">
          <w:marLeft w:val="0"/>
          <w:marRight w:val="0"/>
          <w:marTop w:val="0"/>
          <w:marBottom w:val="0"/>
          <w:divBdr>
            <w:top w:val="none" w:sz="0" w:space="0" w:color="auto"/>
            <w:left w:val="none" w:sz="0" w:space="0" w:color="auto"/>
            <w:bottom w:val="none" w:sz="0" w:space="0" w:color="auto"/>
            <w:right w:val="none" w:sz="0" w:space="0" w:color="auto"/>
          </w:divBdr>
        </w:div>
        <w:div w:id="1883130054">
          <w:marLeft w:val="0"/>
          <w:marRight w:val="0"/>
          <w:marTop w:val="0"/>
          <w:marBottom w:val="0"/>
          <w:divBdr>
            <w:top w:val="none" w:sz="0" w:space="0" w:color="auto"/>
            <w:left w:val="none" w:sz="0" w:space="0" w:color="auto"/>
            <w:bottom w:val="none" w:sz="0" w:space="0" w:color="auto"/>
            <w:right w:val="none" w:sz="0" w:space="0" w:color="auto"/>
          </w:divBdr>
        </w:div>
        <w:div w:id="2110345509">
          <w:marLeft w:val="0"/>
          <w:marRight w:val="0"/>
          <w:marTop w:val="0"/>
          <w:marBottom w:val="0"/>
          <w:divBdr>
            <w:top w:val="none" w:sz="0" w:space="0" w:color="auto"/>
            <w:left w:val="none" w:sz="0" w:space="0" w:color="auto"/>
            <w:bottom w:val="none" w:sz="0" w:space="0" w:color="auto"/>
            <w:right w:val="none" w:sz="0" w:space="0" w:color="auto"/>
          </w:divBdr>
        </w:div>
      </w:divsChild>
    </w:div>
    <w:div w:id="322584149">
      <w:bodyDiv w:val="1"/>
      <w:marLeft w:val="0"/>
      <w:marRight w:val="0"/>
      <w:marTop w:val="0"/>
      <w:marBottom w:val="0"/>
      <w:divBdr>
        <w:top w:val="none" w:sz="0" w:space="0" w:color="auto"/>
        <w:left w:val="none" w:sz="0" w:space="0" w:color="auto"/>
        <w:bottom w:val="none" w:sz="0" w:space="0" w:color="auto"/>
        <w:right w:val="none" w:sz="0" w:space="0" w:color="auto"/>
      </w:divBdr>
      <w:divsChild>
        <w:div w:id="303855801">
          <w:marLeft w:val="0"/>
          <w:marRight w:val="0"/>
          <w:marTop w:val="0"/>
          <w:marBottom w:val="0"/>
          <w:divBdr>
            <w:top w:val="none" w:sz="0" w:space="0" w:color="auto"/>
            <w:left w:val="none" w:sz="0" w:space="0" w:color="auto"/>
            <w:bottom w:val="none" w:sz="0" w:space="0" w:color="auto"/>
            <w:right w:val="none" w:sz="0" w:space="0" w:color="auto"/>
          </w:divBdr>
        </w:div>
        <w:div w:id="918172486">
          <w:marLeft w:val="0"/>
          <w:marRight w:val="0"/>
          <w:marTop w:val="0"/>
          <w:marBottom w:val="0"/>
          <w:divBdr>
            <w:top w:val="none" w:sz="0" w:space="0" w:color="auto"/>
            <w:left w:val="none" w:sz="0" w:space="0" w:color="auto"/>
            <w:bottom w:val="none" w:sz="0" w:space="0" w:color="auto"/>
            <w:right w:val="none" w:sz="0" w:space="0" w:color="auto"/>
          </w:divBdr>
        </w:div>
        <w:div w:id="1396200157">
          <w:marLeft w:val="0"/>
          <w:marRight w:val="0"/>
          <w:marTop w:val="0"/>
          <w:marBottom w:val="0"/>
          <w:divBdr>
            <w:top w:val="none" w:sz="0" w:space="0" w:color="auto"/>
            <w:left w:val="none" w:sz="0" w:space="0" w:color="auto"/>
            <w:bottom w:val="none" w:sz="0" w:space="0" w:color="auto"/>
            <w:right w:val="none" w:sz="0" w:space="0" w:color="auto"/>
          </w:divBdr>
        </w:div>
        <w:div w:id="2011248509">
          <w:marLeft w:val="0"/>
          <w:marRight w:val="0"/>
          <w:marTop w:val="0"/>
          <w:marBottom w:val="0"/>
          <w:divBdr>
            <w:top w:val="none" w:sz="0" w:space="0" w:color="auto"/>
            <w:left w:val="none" w:sz="0" w:space="0" w:color="auto"/>
            <w:bottom w:val="none" w:sz="0" w:space="0" w:color="auto"/>
            <w:right w:val="none" w:sz="0" w:space="0" w:color="auto"/>
          </w:divBdr>
        </w:div>
        <w:div w:id="2097823985">
          <w:marLeft w:val="0"/>
          <w:marRight w:val="0"/>
          <w:marTop w:val="0"/>
          <w:marBottom w:val="0"/>
          <w:divBdr>
            <w:top w:val="none" w:sz="0" w:space="0" w:color="auto"/>
            <w:left w:val="none" w:sz="0" w:space="0" w:color="auto"/>
            <w:bottom w:val="none" w:sz="0" w:space="0" w:color="auto"/>
            <w:right w:val="none" w:sz="0" w:space="0" w:color="auto"/>
          </w:divBdr>
        </w:div>
      </w:divsChild>
    </w:div>
    <w:div w:id="323778748">
      <w:bodyDiv w:val="1"/>
      <w:marLeft w:val="0"/>
      <w:marRight w:val="0"/>
      <w:marTop w:val="0"/>
      <w:marBottom w:val="0"/>
      <w:divBdr>
        <w:top w:val="none" w:sz="0" w:space="0" w:color="auto"/>
        <w:left w:val="none" w:sz="0" w:space="0" w:color="auto"/>
        <w:bottom w:val="none" w:sz="0" w:space="0" w:color="auto"/>
        <w:right w:val="none" w:sz="0" w:space="0" w:color="auto"/>
      </w:divBdr>
      <w:divsChild>
        <w:div w:id="77145051">
          <w:marLeft w:val="0"/>
          <w:marRight w:val="0"/>
          <w:marTop w:val="0"/>
          <w:marBottom w:val="0"/>
          <w:divBdr>
            <w:top w:val="none" w:sz="0" w:space="0" w:color="auto"/>
            <w:left w:val="none" w:sz="0" w:space="0" w:color="auto"/>
            <w:bottom w:val="none" w:sz="0" w:space="0" w:color="auto"/>
            <w:right w:val="none" w:sz="0" w:space="0" w:color="auto"/>
          </w:divBdr>
        </w:div>
        <w:div w:id="276370906">
          <w:marLeft w:val="0"/>
          <w:marRight w:val="0"/>
          <w:marTop w:val="0"/>
          <w:marBottom w:val="0"/>
          <w:divBdr>
            <w:top w:val="none" w:sz="0" w:space="0" w:color="auto"/>
            <w:left w:val="none" w:sz="0" w:space="0" w:color="auto"/>
            <w:bottom w:val="none" w:sz="0" w:space="0" w:color="auto"/>
            <w:right w:val="none" w:sz="0" w:space="0" w:color="auto"/>
          </w:divBdr>
        </w:div>
        <w:div w:id="350037548">
          <w:marLeft w:val="0"/>
          <w:marRight w:val="0"/>
          <w:marTop w:val="0"/>
          <w:marBottom w:val="0"/>
          <w:divBdr>
            <w:top w:val="none" w:sz="0" w:space="0" w:color="auto"/>
            <w:left w:val="none" w:sz="0" w:space="0" w:color="auto"/>
            <w:bottom w:val="none" w:sz="0" w:space="0" w:color="auto"/>
            <w:right w:val="none" w:sz="0" w:space="0" w:color="auto"/>
          </w:divBdr>
        </w:div>
        <w:div w:id="591280820">
          <w:marLeft w:val="0"/>
          <w:marRight w:val="0"/>
          <w:marTop w:val="0"/>
          <w:marBottom w:val="0"/>
          <w:divBdr>
            <w:top w:val="none" w:sz="0" w:space="0" w:color="auto"/>
            <w:left w:val="none" w:sz="0" w:space="0" w:color="auto"/>
            <w:bottom w:val="none" w:sz="0" w:space="0" w:color="auto"/>
            <w:right w:val="none" w:sz="0" w:space="0" w:color="auto"/>
          </w:divBdr>
        </w:div>
        <w:div w:id="1033504919">
          <w:marLeft w:val="0"/>
          <w:marRight w:val="0"/>
          <w:marTop w:val="0"/>
          <w:marBottom w:val="0"/>
          <w:divBdr>
            <w:top w:val="none" w:sz="0" w:space="0" w:color="auto"/>
            <w:left w:val="none" w:sz="0" w:space="0" w:color="auto"/>
            <w:bottom w:val="none" w:sz="0" w:space="0" w:color="auto"/>
            <w:right w:val="none" w:sz="0" w:space="0" w:color="auto"/>
          </w:divBdr>
        </w:div>
        <w:div w:id="1276328063">
          <w:marLeft w:val="0"/>
          <w:marRight w:val="0"/>
          <w:marTop w:val="0"/>
          <w:marBottom w:val="0"/>
          <w:divBdr>
            <w:top w:val="none" w:sz="0" w:space="0" w:color="auto"/>
            <w:left w:val="none" w:sz="0" w:space="0" w:color="auto"/>
            <w:bottom w:val="none" w:sz="0" w:space="0" w:color="auto"/>
            <w:right w:val="none" w:sz="0" w:space="0" w:color="auto"/>
          </w:divBdr>
        </w:div>
        <w:div w:id="1411385844">
          <w:marLeft w:val="0"/>
          <w:marRight w:val="0"/>
          <w:marTop w:val="0"/>
          <w:marBottom w:val="0"/>
          <w:divBdr>
            <w:top w:val="none" w:sz="0" w:space="0" w:color="auto"/>
            <w:left w:val="none" w:sz="0" w:space="0" w:color="auto"/>
            <w:bottom w:val="none" w:sz="0" w:space="0" w:color="auto"/>
            <w:right w:val="none" w:sz="0" w:space="0" w:color="auto"/>
          </w:divBdr>
        </w:div>
        <w:div w:id="1631862264">
          <w:marLeft w:val="0"/>
          <w:marRight w:val="0"/>
          <w:marTop w:val="0"/>
          <w:marBottom w:val="0"/>
          <w:divBdr>
            <w:top w:val="none" w:sz="0" w:space="0" w:color="auto"/>
            <w:left w:val="none" w:sz="0" w:space="0" w:color="auto"/>
            <w:bottom w:val="none" w:sz="0" w:space="0" w:color="auto"/>
            <w:right w:val="none" w:sz="0" w:space="0" w:color="auto"/>
          </w:divBdr>
        </w:div>
        <w:div w:id="1945843484">
          <w:marLeft w:val="0"/>
          <w:marRight w:val="0"/>
          <w:marTop w:val="0"/>
          <w:marBottom w:val="0"/>
          <w:divBdr>
            <w:top w:val="none" w:sz="0" w:space="0" w:color="auto"/>
            <w:left w:val="none" w:sz="0" w:space="0" w:color="auto"/>
            <w:bottom w:val="none" w:sz="0" w:space="0" w:color="auto"/>
            <w:right w:val="none" w:sz="0" w:space="0" w:color="auto"/>
          </w:divBdr>
        </w:div>
        <w:div w:id="2120832914">
          <w:marLeft w:val="0"/>
          <w:marRight w:val="0"/>
          <w:marTop w:val="0"/>
          <w:marBottom w:val="0"/>
          <w:divBdr>
            <w:top w:val="none" w:sz="0" w:space="0" w:color="auto"/>
            <w:left w:val="none" w:sz="0" w:space="0" w:color="auto"/>
            <w:bottom w:val="none" w:sz="0" w:space="0" w:color="auto"/>
            <w:right w:val="none" w:sz="0" w:space="0" w:color="auto"/>
          </w:divBdr>
        </w:div>
      </w:divsChild>
    </w:div>
    <w:div w:id="329909019">
      <w:bodyDiv w:val="1"/>
      <w:marLeft w:val="0"/>
      <w:marRight w:val="0"/>
      <w:marTop w:val="0"/>
      <w:marBottom w:val="0"/>
      <w:divBdr>
        <w:top w:val="none" w:sz="0" w:space="0" w:color="auto"/>
        <w:left w:val="none" w:sz="0" w:space="0" w:color="auto"/>
        <w:bottom w:val="none" w:sz="0" w:space="0" w:color="auto"/>
        <w:right w:val="none" w:sz="0" w:space="0" w:color="auto"/>
      </w:divBdr>
      <w:divsChild>
        <w:div w:id="212891296">
          <w:marLeft w:val="0"/>
          <w:marRight w:val="0"/>
          <w:marTop w:val="0"/>
          <w:marBottom w:val="0"/>
          <w:divBdr>
            <w:top w:val="none" w:sz="0" w:space="0" w:color="auto"/>
            <w:left w:val="none" w:sz="0" w:space="0" w:color="auto"/>
            <w:bottom w:val="none" w:sz="0" w:space="0" w:color="auto"/>
            <w:right w:val="none" w:sz="0" w:space="0" w:color="auto"/>
          </w:divBdr>
        </w:div>
        <w:div w:id="369382146">
          <w:marLeft w:val="0"/>
          <w:marRight w:val="0"/>
          <w:marTop w:val="0"/>
          <w:marBottom w:val="0"/>
          <w:divBdr>
            <w:top w:val="none" w:sz="0" w:space="0" w:color="auto"/>
            <w:left w:val="none" w:sz="0" w:space="0" w:color="auto"/>
            <w:bottom w:val="none" w:sz="0" w:space="0" w:color="auto"/>
            <w:right w:val="none" w:sz="0" w:space="0" w:color="auto"/>
          </w:divBdr>
        </w:div>
        <w:div w:id="1056202375">
          <w:marLeft w:val="0"/>
          <w:marRight w:val="0"/>
          <w:marTop w:val="0"/>
          <w:marBottom w:val="0"/>
          <w:divBdr>
            <w:top w:val="none" w:sz="0" w:space="0" w:color="auto"/>
            <w:left w:val="none" w:sz="0" w:space="0" w:color="auto"/>
            <w:bottom w:val="none" w:sz="0" w:space="0" w:color="auto"/>
            <w:right w:val="none" w:sz="0" w:space="0" w:color="auto"/>
          </w:divBdr>
        </w:div>
        <w:div w:id="1099762523">
          <w:marLeft w:val="0"/>
          <w:marRight w:val="0"/>
          <w:marTop w:val="0"/>
          <w:marBottom w:val="0"/>
          <w:divBdr>
            <w:top w:val="none" w:sz="0" w:space="0" w:color="auto"/>
            <w:left w:val="none" w:sz="0" w:space="0" w:color="auto"/>
            <w:bottom w:val="none" w:sz="0" w:space="0" w:color="auto"/>
            <w:right w:val="none" w:sz="0" w:space="0" w:color="auto"/>
          </w:divBdr>
        </w:div>
        <w:div w:id="2028095601">
          <w:marLeft w:val="0"/>
          <w:marRight w:val="0"/>
          <w:marTop w:val="0"/>
          <w:marBottom w:val="0"/>
          <w:divBdr>
            <w:top w:val="none" w:sz="0" w:space="0" w:color="auto"/>
            <w:left w:val="none" w:sz="0" w:space="0" w:color="auto"/>
            <w:bottom w:val="none" w:sz="0" w:space="0" w:color="auto"/>
            <w:right w:val="none" w:sz="0" w:space="0" w:color="auto"/>
          </w:divBdr>
        </w:div>
      </w:divsChild>
    </w:div>
    <w:div w:id="333729719">
      <w:bodyDiv w:val="1"/>
      <w:marLeft w:val="0"/>
      <w:marRight w:val="0"/>
      <w:marTop w:val="0"/>
      <w:marBottom w:val="0"/>
      <w:divBdr>
        <w:top w:val="none" w:sz="0" w:space="0" w:color="auto"/>
        <w:left w:val="none" w:sz="0" w:space="0" w:color="auto"/>
        <w:bottom w:val="none" w:sz="0" w:space="0" w:color="auto"/>
        <w:right w:val="none" w:sz="0" w:space="0" w:color="auto"/>
      </w:divBdr>
      <w:divsChild>
        <w:div w:id="228537541">
          <w:marLeft w:val="0"/>
          <w:marRight w:val="0"/>
          <w:marTop w:val="0"/>
          <w:marBottom w:val="0"/>
          <w:divBdr>
            <w:top w:val="none" w:sz="0" w:space="0" w:color="auto"/>
            <w:left w:val="none" w:sz="0" w:space="0" w:color="auto"/>
            <w:bottom w:val="none" w:sz="0" w:space="0" w:color="auto"/>
            <w:right w:val="none" w:sz="0" w:space="0" w:color="auto"/>
          </w:divBdr>
        </w:div>
        <w:div w:id="232354709">
          <w:marLeft w:val="0"/>
          <w:marRight w:val="0"/>
          <w:marTop w:val="0"/>
          <w:marBottom w:val="0"/>
          <w:divBdr>
            <w:top w:val="none" w:sz="0" w:space="0" w:color="auto"/>
            <w:left w:val="none" w:sz="0" w:space="0" w:color="auto"/>
            <w:bottom w:val="none" w:sz="0" w:space="0" w:color="auto"/>
            <w:right w:val="none" w:sz="0" w:space="0" w:color="auto"/>
          </w:divBdr>
        </w:div>
        <w:div w:id="659508657">
          <w:marLeft w:val="0"/>
          <w:marRight w:val="0"/>
          <w:marTop w:val="0"/>
          <w:marBottom w:val="0"/>
          <w:divBdr>
            <w:top w:val="none" w:sz="0" w:space="0" w:color="auto"/>
            <w:left w:val="none" w:sz="0" w:space="0" w:color="auto"/>
            <w:bottom w:val="none" w:sz="0" w:space="0" w:color="auto"/>
            <w:right w:val="none" w:sz="0" w:space="0" w:color="auto"/>
          </w:divBdr>
        </w:div>
        <w:div w:id="708339858">
          <w:marLeft w:val="0"/>
          <w:marRight w:val="0"/>
          <w:marTop w:val="0"/>
          <w:marBottom w:val="0"/>
          <w:divBdr>
            <w:top w:val="none" w:sz="0" w:space="0" w:color="auto"/>
            <w:left w:val="none" w:sz="0" w:space="0" w:color="auto"/>
            <w:bottom w:val="none" w:sz="0" w:space="0" w:color="auto"/>
            <w:right w:val="none" w:sz="0" w:space="0" w:color="auto"/>
          </w:divBdr>
          <w:divsChild>
            <w:div w:id="258874480">
              <w:marLeft w:val="0"/>
              <w:marRight w:val="0"/>
              <w:marTop w:val="0"/>
              <w:marBottom w:val="0"/>
              <w:divBdr>
                <w:top w:val="none" w:sz="0" w:space="0" w:color="auto"/>
                <w:left w:val="none" w:sz="0" w:space="0" w:color="auto"/>
                <w:bottom w:val="none" w:sz="0" w:space="0" w:color="auto"/>
                <w:right w:val="none" w:sz="0" w:space="0" w:color="auto"/>
              </w:divBdr>
            </w:div>
            <w:div w:id="341783527">
              <w:marLeft w:val="0"/>
              <w:marRight w:val="0"/>
              <w:marTop w:val="0"/>
              <w:marBottom w:val="0"/>
              <w:divBdr>
                <w:top w:val="none" w:sz="0" w:space="0" w:color="auto"/>
                <w:left w:val="none" w:sz="0" w:space="0" w:color="auto"/>
                <w:bottom w:val="none" w:sz="0" w:space="0" w:color="auto"/>
                <w:right w:val="none" w:sz="0" w:space="0" w:color="auto"/>
              </w:divBdr>
            </w:div>
            <w:div w:id="984622804">
              <w:marLeft w:val="0"/>
              <w:marRight w:val="0"/>
              <w:marTop w:val="0"/>
              <w:marBottom w:val="0"/>
              <w:divBdr>
                <w:top w:val="none" w:sz="0" w:space="0" w:color="auto"/>
                <w:left w:val="none" w:sz="0" w:space="0" w:color="auto"/>
                <w:bottom w:val="none" w:sz="0" w:space="0" w:color="auto"/>
                <w:right w:val="none" w:sz="0" w:space="0" w:color="auto"/>
              </w:divBdr>
            </w:div>
            <w:div w:id="1317413157">
              <w:marLeft w:val="0"/>
              <w:marRight w:val="0"/>
              <w:marTop w:val="0"/>
              <w:marBottom w:val="0"/>
              <w:divBdr>
                <w:top w:val="none" w:sz="0" w:space="0" w:color="auto"/>
                <w:left w:val="none" w:sz="0" w:space="0" w:color="auto"/>
                <w:bottom w:val="none" w:sz="0" w:space="0" w:color="auto"/>
                <w:right w:val="none" w:sz="0" w:space="0" w:color="auto"/>
              </w:divBdr>
            </w:div>
            <w:div w:id="1330937476">
              <w:marLeft w:val="0"/>
              <w:marRight w:val="0"/>
              <w:marTop w:val="0"/>
              <w:marBottom w:val="0"/>
              <w:divBdr>
                <w:top w:val="none" w:sz="0" w:space="0" w:color="auto"/>
                <w:left w:val="none" w:sz="0" w:space="0" w:color="auto"/>
                <w:bottom w:val="none" w:sz="0" w:space="0" w:color="auto"/>
                <w:right w:val="none" w:sz="0" w:space="0" w:color="auto"/>
              </w:divBdr>
            </w:div>
          </w:divsChild>
        </w:div>
        <w:div w:id="1104225572">
          <w:marLeft w:val="0"/>
          <w:marRight w:val="0"/>
          <w:marTop w:val="0"/>
          <w:marBottom w:val="0"/>
          <w:divBdr>
            <w:top w:val="none" w:sz="0" w:space="0" w:color="auto"/>
            <w:left w:val="none" w:sz="0" w:space="0" w:color="auto"/>
            <w:bottom w:val="none" w:sz="0" w:space="0" w:color="auto"/>
            <w:right w:val="none" w:sz="0" w:space="0" w:color="auto"/>
          </w:divBdr>
        </w:div>
        <w:div w:id="1306622915">
          <w:marLeft w:val="0"/>
          <w:marRight w:val="0"/>
          <w:marTop w:val="0"/>
          <w:marBottom w:val="0"/>
          <w:divBdr>
            <w:top w:val="none" w:sz="0" w:space="0" w:color="auto"/>
            <w:left w:val="none" w:sz="0" w:space="0" w:color="auto"/>
            <w:bottom w:val="none" w:sz="0" w:space="0" w:color="auto"/>
            <w:right w:val="none" w:sz="0" w:space="0" w:color="auto"/>
          </w:divBdr>
        </w:div>
        <w:div w:id="1605116165">
          <w:marLeft w:val="0"/>
          <w:marRight w:val="0"/>
          <w:marTop w:val="0"/>
          <w:marBottom w:val="0"/>
          <w:divBdr>
            <w:top w:val="none" w:sz="0" w:space="0" w:color="auto"/>
            <w:left w:val="none" w:sz="0" w:space="0" w:color="auto"/>
            <w:bottom w:val="none" w:sz="0" w:space="0" w:color="auto"/>
            <w:right w:val="none" w:sz="0" w:space="0" w:color="auto"/>
          </w:divBdr>
        </w:div>
      </w:divsChild>
    </w:div>
    <w:div w:id="336621223">
      <w:bodyDiv w:val="1"/>
      <w:marLeft w:val="0"/>
      <w:marRight w:val="0"/>
      <w:marTop w:val="0"/>
      <w:marBottom w:val="0"/>
      <w:divBdr>
        <w:top w:val="none" w:sz="0" w:space="0" w:color="auto"/>
        <w:left w:val="none" w:sz="0" w:space="0" w:color="auto"/>
        <w:bottom w:val="none" w:sz="0" w:space="0" w:color="auto"/>
        <w:right w:val="none" w:sz="0" w:space="0" w:color="auto"/>
      </w:divBdr>
      <w:divsChild>
        <w:div w:id="749154670">
          <w:marLeft w:val="0"/>
          <w:marRight w:val="0"/>
          <w:marTop w:val="0"/>
          <w:marBottom w:val="0"/>
          <w:divBdr>
            <w:top w:val="none" w:sz="0" w:space="0" w:color="auto"/>
            <w:left w:val="none" w:sz="0" w:space="0" w:color="auto"/>
            <w:bottom w:val="none" w:sz="0" w:space="0" w:color="auto"/>
            <w:right w:val="none" w:sz="0" w:space="0" w:color="auto"/>
          </w:divBdr>
        </w:div>
        <w:div w:id="1128472511">
          <w:marLeft w:val="0"/>
          <w:marRight w:val="0"/>
          <w:marTop w:val="0"/>
          <w:marBottom w:val="0"/>
          <w:divBdr>
            <w:top w:val="none" w:sz="0" w:space="0" w:color="auto"/>
            <w:left w:val="none" w:sz="0" w:space="0" w:color="auto"/>
            <w:bottom w:val="none" w:sz="0" w:space="0" w:color="auto"/>
            <w:right w:val="none" w:sz="0" w:space="0" w:color="auto"/>
          </w:divBdr>
        </w:div>
        <w:div w:id="1371147040">
          <w:marLeft w:val="0"/>
          <w:marRight w:val="0"/>
          <w:marTop w:val="0"/>
          <w:marBottom w:val="0"/>
          <w:divBdr>
            <w:top w:val="none" w:sz="0" w:space="0" w:color="auto"/>
            <w:left w:val="none" w:sz="0" w:space="0" w:color="auto"/>
            <w:bottom w:val="none" w:sz="0" w:space="0" w:color="auto"/>
            <w:right w:val="none" w:sz="0" w:space="0" w:color="auto"/>
          </w:divBdr>
          <w:divsChild>
            <w:div w:id="132866687">
              <w:marLeft w:val="0"/>
              <w:marRight w:val="0"/>
              <w:marTop w:val="0"/>
              <w:marBottom w:val="0"/>
              <w:divBdr>
                <w:top w:val="none" w:sz="0" w:space="0" w:color="auto"/>
                <w:left w:val="none" w:sz="0" w:space="0" w:color="auto"/>
                <w:bottom w:val="none" w:sz="0" w:space="0" w:color="auto"/>
                <w:right w:val="none" w:sz="0" w:space="0" w:color="auto"/>
              </w:divBdr>
            </w:div>
            <w:div w:id="1215191022">
              <w:marLeft w:val="0"/>
              <w:marRight w:val="0"/>
              <w:marTop w:val="0"/>
              <w:marBottom w:val="0"/>
              <w:divBdr>
                <w:top w:val="none" w:sz="0" w:space="0" w:color="auto"/>
                <w:left w:val="none" w:sz="0" w:space="0" w:color="auto"/>
                <w:bottom w:val="none" w:sz="0" w:space="0" w:color="auto"/>
                <w:right w:val="none" w:sz="0" w:space="0" w:color="auto"/>
              </w:divBdr>
            </w:div>
            <w:div w:id="1369843370">
              <w:marLeft w:val="0"/>
              <w:marRight w:val="0"/>
              <w:marTop w:val="0"/>
              <w:marBottom w:val="0"/>
              <w:divBdr>
                <w:top w:val="none" w:sz="0" w:space="0" w:color="auto"/>
                <w:left w:val="none" w:sz="0" w:space="0" w:color="auto"/>
                <w:bottom w:val="none" w:sz="0" w:space="0" w:color="auto"/>
                <w:right w:val="none" w:sz="0" w:space="0" w:color="auto"/>
              </w:divBdr>
            </w:div>
            <w:div w:id="1417634044">
              <w:marLeft w:val="0"/>
              <w:marRight w:val="0"/>
              <w:marTop w:val="0"/>
              <w:marBottom w:val="0"/>
              <w:divBdr>
                <w:top w:val="none" w:sz="0" w:space="0" w:color="auto"/>
                <w:left w:val="none" w:sz="0" w:space="0" w:color="auto"/>
                <w:bottom w:val="none" w:sz="0" w:space="0" w:color="auto"/>
                <w:right w:val="none" w:sz="0" w:space="0" w:color="auto"/>
              </w:divBdr>
            </w:div>
            <w:div w:id="1944681547">
              <w:marLeft w:val="0"/>
              <w:marRight w:val="0"/>
              <w:marTop w:val="0"/>
              <w:marBottom w:val="0"/>
              <w:divBdr>
                <w:top w:val="none" w:sz="0" w:space="0" w:color="auto"/>
                <w:left w:val="none" w:sz="0" w:space="0" w:color="auto"/>
                <w:bottom w:val="none" w:sz="0" w:space="0" w:color="auto"/>
                <w:right w:val="none" w:sz="0" w:space="0" w:color="auto"/>
              </w:divBdr>
            </w:div>
          </w:divsChild>
        </w:div>
        <w:div w:id="1540043264">
          <w:marLeft w:val="0"/>
          <w:marRight w:val="0"/>
          <w:marTop w:val="0"/>
          <w:marBottom w:val="0"/>
          <w:divBdr>
            <w:top w:val="none" w:sz="0" w:space="0" w:color="auto"/>
            <w:left w:val="none" w:sz="0" w:space="0" w:color="auto"/>
            <w:bottom w:val="none" w:sz="0" w:space="0" w:color="auto"/>
            <w:right w:val="none" w:sz="0" w:space="0" w:color="auto"/>
          </w:divBdr>
        </w:div>
        <w:div w:id="1552644101">
          <w:marLeft w:val="0"/>
          <w:marRight w:val="0"/>
          <w:marTop w:val="0"/>
          <w:marBottom w:val="0"/>
          <w:divBdr>
            <w:top w:val="none" w:sz="0" w:space="0" w:color="auto"/>
            <w:left w:val="none" w:sz="0" w:space="0" w:color="auto"/>
            <w:bottom w:val="none" w:sz="0" w:space="0" w:color="auto"/>
            <w:right w:val="none" w:sz="0" w:space="0" w:color="auto"/>
          </w:divBdr>
          <w:divsChild>
            <w:div w:id="733969119">
              <w:marLeft w:val="0"/>
              <w:marRight w:val="0"/>
              <w:marTop w:val="0"/>
              <w:marBottom w:val="0"/>
              <w:divBdr>
                <w:top w:val="none" w:sz="0" w:space="0" w:color="auto"/>
                <w:left w:val="none" w:sz="0" w:space="0" w:color="auto"/>
                <w:bottom w:val="none" w:sz="0" w:space="0" w:color="auto"/>
                <w:right w:val="none" w:sz="0" w:space="0" w:color="auto"/>
              </w:divBdr>
            </w:div>
            <w:div w:id="1507745796">
              <w:marLeft w:val="0"/>
              <w:marRight w:val="0"/>
              <w:marTop w:val="0"/>
              <w:marBottom w:val="0"/>
              <w:divBdr>
                <w:top w:val="none" w:sz="0" w:space="0" w:color="auto"/>
                <w:left w:val="none" w:sz="0" w:space="0" w:color="auto"/>
                <w:bottom w:val="none" w:sz="0" w:space="0" w:color="auto"/>
                <w:right w:val="none" w:sz="0" w:space="0" w:color="auto"/>
              </w:divBdr>
            </w:div>
            <w:div w:id="2104841723">
              <w:marLeft w:val="0"/>
              <w:marRight w:val="0"/>
              <w:marTop w:val="0"/>
              <w:marBottom w:val="0"/>
              <w:divBdr>
                <w:top w:val="none" w:sz="0" w:space="0" w:color="auto"/>
                <w:left w:val="none" w:sz="0" w:space="0" w:color="auto"/>
                <w:bottom w:val="none" w:sz="0" w:space="0" w:color="auto"/>
                <w:right w:val="none" w:sz="0" w:space="0" w:color="auto"/>
              </w:divBdr>
            </w:div>
          </w:divsChild>
        </w:div>
        <w:div w:id="1734426396">
          <w:marLeft w:val="0"/>
          <w:marRight w:val="0"/>
          <w:marTop w:val="0"/>
          <w:marBottom w:val="0"/>
          <w:divBdr>
            <w:top w:val="none" w:sz="0" w:space="0" w:color="auto"/>
            <w:left w:val="none" w:sz="0" w:space="0" w:color="auto"/>
            <w:bottom w:val="none" w:sz="0" w:space="0" w:color="auto"/>
            <w:right w:val="none" w:sz="0" w:space="0" w:color="auto"/>
          </w:divBdr>
        </w:div>
      </w:divsChild>
    </w:div>
    <w:div w:id="370349440">
      <w:bodyDiv w:val="1"/>
      <w:marLeft w:val="0"/>
      <w:marRight w:val="0"/>
      <w:marTop w:val="0"/>
      <w:marBottom w:val="0"/>
      <w:divBdr>
        <w:top w:val="none" w:sz="0" w:space="0" w:color="auto"/>
        <w:left w:val="none" w:sz="0" w:space="0" w:color="auto"/>
        <w:bottom w:val="none" w:sz="0" w:space="0" w:color="auto"/>
        <w:right w:val="none" w:sz="0" w:space="0" w:color="auto"/>
      </w:divBdr>
      <w:divsChild>
        <w:div w:id="127749977">
          <w:marLeft w:val="0"/>
          <w:marRight w:val="0"/>
          <w:marTop w:val="0"/>
          <w:marBottom w:val="0"/>
          <w:divBdr>
            <w:top w:val="none" w:sz="0" w:space="0" w:color="auto"/>
            <w:left w:val="none" w:sz="0" w:space="0" w:color="auto"/>
            <w:bottom w:val="none" w:sz="0" w:space="0" w:color="auto"/>
            <w:right w:val="none" w:sz="0" w:space="0" w:color="auto"/>
          </w:divBdr>
        </w:div>
        <w:div w:id="1118718108">
          <w:marLeft w:val="0"/>
          <w:marRight w:val="0"/>
          <w:marTop w:val="0"/>
          <w:marBottom w:val="0"/>
          <w:divBdr>
            <w:top w:val="none" w:sz="0" w:space="0" w:color="auto"/>
            <w:left w:val="none" w:sz="0" w:space="0" w:color="auto"/>
            <w:bottom w:val="none" w:sz="0" w:space="0" w:color="auto"/>
            <w:right w:val="none" w:sz="0" w:space="0" w:color="auto"/>
          </w:divBdr>
        </w:div>
        <w:div w:id="1512405971">
          <w:marLeft w:val="0"/>
          <w:marRight w:val="0"/>
          <w:marTop w:val="0"/>
          <w:marBottom w:val="0"/>
          <w:divBdr>
            <w:top w:val="none" w:sz="0" w:space="0" w:color="auto"/>
            <w:left w:val="none" w:sz="0" w:space="0" w:color="auto"/>
            <w:bottom w:val="none" w:sz="0" w:space="0" w:color="auto"/>
            <w:right w:val="none" w:sz="0" w:space="0" w:color="auto"/>
          </w:divBdr>
        </w:div>
        <w:div w:id="1728383455">
          <w:marLeft w:val="0"/>
          <w:marRight w:val="0"/>
          <w:marTop w:val="0"/>
          <w:marBottom w:val="0"/>
          <w:divBdr>
            <w:top w:val="none" w:sz="0" w:space="0" w:color="auto"/>
            <w:left w:val="none" w:sz="0" w:space="0" w:color="auto"/>
            <w:bottom w:val="none" w:sz="0" w:space="0" w:color="auto"/>
            <w:right w:val="none" w:sz="0" w:space="0" w:color="auto"/>
          </w:divBdr>
        </w:div>
        <w:div w:id="1800757702">
          <w:marLeft w:val="0"/>
          <w:marRight w:val="0"/>
          <w:marTop w:val="0"/>
          <w:marBottom w:val="0"/>
          <w:divBdr>
            <w:top w:val="none" w:sz="0" w:space="0" w:color="auto"/>
            <w:left w:val="none" w:sz="0" w:space="0" w:color="auto"/>
            <w:bottom w:val="none" w:sz="0" w:space="0" w:color="auto"/>
            <w:right w:val="none" w:sz="0" w:space="0" w:color="auto"/>
          </w:divBdr>
        </w:div>
      </w:divsChild>
    </w:div>
    <w:div w:id="373894086">
      <w:bodyDiv w:val="1"/>
      <w:marLeft w:val="0"/>
      <w:marRight w:val="0"/>
      <w:marTop w:val="0"/>
      <w:marBottom w:val="0"/>
      <w:divBdr>
        <w:top w:val="none" w:sz="0" w:space="0" w:color="auto"/>
        <w:left w:val="none" w:sz="0" w:space="0" w:color="auto"/>
        <w:bottom w:val="none" w:sz="0" w:space="0" w:color="auto"/>
        <w:right w:val="none" w:sz="0" w:space="0" w:color="auto"/>
      </w:divBdr>
      <w:divsChild>
        <w:div w:id="281812015">
          <w:marLeft w:val="0"/>
          <w:marRight w:val="0"/>
          <w:marTop w:val="0"/>
          <w:marBottom w:val="0"/>
          <w:divBdr>
            <w:top w:val="none" w:sz="0" w:space="0" w:color="auto"/>
            <w:left w:val="none" w:sz="0" w:space="0" w:color="auto"/>
            <w:bottom w:val="none" w:sz="0" w:space="0" w:color="auto"/>
            <w:right w:val="none" w:sz="0" w:space="0" w:color="auto"/>
          </w:divBdr>
        </w:div>
        <w:div w:id="765224833">
          <w:marLeft w:val="0"/>
          <w:marRight w:val="0"/>
          <w:marTop w:val="0"/>
          <w:marBottom w:val="0"/>
          <w:divBdr>
            <w:top w:val="none" w:sz="0" w:space="0" w:color="auto"/>
            <w:left w:val="none" w:sz="0" w:space="0" w:color="auto"/>
            <w:bottom w:val="none" w:sz="0" w:space="0" w:color="auto"/>
            <w:right w:val="none" w:sz="0" w:space="0" w:color="auto"/>
          </w:divBdr>
        </w:div>
        <w:div w:id="1094206328">
          <w:marLeft w:val="0"/>
          <w:marRight w:val="0"/>
          <w:marTop w:val="0"/>
          <w:marBottom w:val="0"/>
          <w:divBdr>
            <w:top w:val="none" w:sz="0" w:space="0" w:color="auto"/>
            <w:left w:val="none" w:sz="0" w:space="0" w:color="auto"/>
            <w:bottom w:val="none" w:sz="0" w:space="0" w:color="auto"/>
            <w:right w:val="none" w:sz="0" w:space="0" w:color="auto"/>
          </w:divBdr>
        </w:div>
        <w:div w:id="1459493964">
          <w:marLeft w:val="0"/>
          <w:marRight w:val="0"/>
          <w:marTop w:val="0"/>
          <w:marBottom w:val="0"/>
          <w:divBdr>
            <w:top w:val="none" w:sz="0" w:space="0" w:color="auto"/>
            <w:left w:val="none" w:sz="0" w:space="0" w:color="auto"/>
            <w:bottom w:val="none" w:sz="0" w:space="0" w:color="auto"/>
            <w:right w:val="none" w:sz="0" w:space="0" w:color="auto"/>
          </w:divBdr>
        </w:div>
        <w:div w:id="1895851183">
          <w:marLeft w:val="0"/>
          <w:marRight w:val="0"/>
          <w:marTop w:val="0"/>
          <w:marBottom w:val="0"/>
          <w:divBdr>
            <w:top w:val="none" w:sz="0" w:space="0" w:color="auto"/>
            <w:left w:val="none" w:sz="0" w:space="0" w:color="auto"/>
            <w:bottom w:val="none" w:sz="0" w:space="0" w:color="auto"/>
            <w:right w:val="none" w:sz="0" w:space="0" w:color="auto"/>
          </w:divBdr>
        </w:div>
      </w:divsChild>
    </w:div>
    <w:div w:id="376397687">
      <w:bodyDiv w:val="1"/>
      <w:marLeft w:val="0"/>
      <w:marRight w:val="0"/>
      <w:marTop w:val="0"/>
      <w:marBottom w:val="0"/>
      <w:divBdr>
        <w:top w:val="none" w:sz="0" w:space="0" w:color="auto"/>
        <w:left w:val="none" w:sz="0" w:space="0" w:color="auto"/>
        <w:bottom w:val="none" w:sz="0" w:space="0" w:color="auto"/>
        <w:right w:val="none" w:sz="0" w:space="0" w:color="auto"/>
      </w:divBdr>
      <w:divsChild>
        <w:div w:id="636837818">
          <w:marLeft w:val="0"/>
          <w:marRight w:val="0"/>
          <w:marTop w:val="0"/>
          <w:marBottom w:val="0"/>
          <w:divBdr>
            <w:top w:val="none" w:sz="0" w:space="0" w:color="auto"/>
            <w:left w:val="none" w:sz="0" w:space="0" w:color="auto"/>
            <w:bottom w:val="none" w:sz="0" w:space="0" w:color="auto"/>
            <w:right w:val="none" w:sz="0" w:space="0" w:color="auto"/>
          </w:divBdr>
        </w:div>
        <w:div w:id="1430613929">
          <w:marLeft w:val="0"/>
          <w:marRight w:val="0"/>
          <w:marTop w:val="0"/>
          <w:marBottom w:val="0"/>
          <w:divBdr>
            <w:top w:val="none" w:sz="0" w:space="0" w:color="auto"/>
            <w:left w:val="none" w:sz="0" w:space="0" w:color="auto"/>
            <w:bottom w:val="none" w:sz="0" w:space="0" w:color="auto"/>
            <w:right w:val="none" w:sz="0" w:space="0" w:color="auto"/>
          </w:divBdr>
        </w:div>
      </w:divsChild>
    </w:div>
    <w:div w:id="397097075">
      <w:bodyDiv w:val="1"/>
      <w:marLeft w:val="0"/>
      <w:marRight w:val="0"/>
      <w:marTop w:val="0"/>
      <w:marBottom w:val="0"/>
      <w:divBdr>
        <w:top w:val="none" w:sz="0" w:space="0" w:color="auto"/>
        <w:left w:val="none" w:sz="0" w:space="0" w:color="auto"/>
        <w:bottom w:val="none" w:sz="0" w:space="0" w:color="auto"/>
        <w:right w:val="none" w:sz="0" w:space="0" w:color="auto"/>
      </w:divBdr>
      <w:divsChild>
        <w:div w:id="89157297">
          <w:marLeft w:val="0"/>
          <w:marRight w:val="0"/>
          <w:marTop w:val="0"/>
          <w:marBottom w:val="0"/>
          <w:divBdr>
            <w:top w:val="none" w:sz="0" w:space="0" w:color="auto"/>
            <w:left w:val="none" w:sz="0" w:space="0" w:color="auto"/>
            <w:bottom w:val="none" w:sz="0" w:space="0" w:color="auto"/>
            <w:right w:val="none" w:sz="0" w:space="0" w:color="auto"/>
          </w:divBdr>
        </w:div>
        <w:div w:id="812065122">
          <w:marLeft w:val="0"/>
          <w:marRight w:val="0"/>
          <w:marTop w:val="0"/>
          <w:marBottom w:val="0"/>
          <w:divBdr>
            <w:top w:val="none" w:sz="0" w:space="0" w:color="auto"/>
            <w:left w:val="none" w:sz="0" w:space="0" w:color="auto"/>
            <w:bottom w:val="none" w:sz="0" w:space="0" w:color="auto"/>
            <w:right w:val="none" w:sz="0" w:space="0" w:color="auto"/>
          </w:divBdr>
        </w:div>
        <w:div w:id="851142434">
          <w:marLeft w:val="0"/>
          <w:marRight w:val="0"/>
          <w:marTop w:val="0"/>
          <w:marBottom w:val="0"/>
          <w:divBdr>
            <w:top w:val="none" w:sz="0" w:space="0" w:color="auto"/>
            <w:left w:val="none" w:sz="0" w:space="0" w:color="auto"/>
            <w:bottom w:val="none" w:sz="0" w:space="0" w:color="auto"/>
            <w:right w:val="none" w:sz="0" w:space="0" w:color="auto"/>
          </w:divBdr>
        </w:div>
        <w:div w:id="1156460048">
          <w:marLeft w:val="0"/>
          <w:marRight w:val="0"/>
          <w:marTop w:val="0"/>
          <w:marBottom w:val="0"/>
          <w:divBdr>
            <w:top w:val="none" w:sz="0" w:space="0" w:color="auto"/>
            <w:left w:val="none" w:sz="0" w:space="0" w:color="auto"/>
            <w:bottom w:val="none" w:sz="0" w:space="0" w:color="auto"/>
            <w:right w:val="none" w:sz="0" w:space="0" w:color="auto"/>
          </w:divBdr>
        </w:div>
        <w:div w:id="1510755005">
          <w:marLeft w:val="0"/>
          <w:marRight w:val="0"/>
          <w:marTop w:val="0"/>
          <w:marBottom w:val="0"/>
          <w:divBdr>
            <w:top w:val="none" w:sz="0" w:space="0" w:color="auto"/>
            <w:left w:val="none" w:sz="0" w:space="0" w:color="auto"/>
            <w:bottom w:val="none" w:sz="0" w:space="0" w:color="auto"/>
            <w:right w:val="none" w:sz="0" w:space="0" w:color="auto"/>
          </w:divBdr>
        </w:div>
        <w:div w:id="1540510568">
          <w:marLeft w:val="0"/>
          <w:marRight w:val="0"/>
          <w:marTop w:val="0"/>
          <w:marBottom w:val="0"/>
          <w:divBdr>
            <w:top w:val="none" w:sz="0" w:space="0" w:color="auto"/>
            <w:left w:val="none" w:sz="0" w:space="0" w:color="auto"/>
            <w:bottom w:val="none" w:sz="0" w:space="0" w:color="auto"/>
            <w:right w:val="none" w:sz="0" w:space="0" w:color="auto"/>
          </w:divBdr>
        </w:div>
        <w:div w:id="1581326048">
          <w:marLeft w:val="0"/>
          <w:marRight w:val="0"/>
          <w:marTop w:val="0"/>
          <w:marBottom w:val="0"/>
          <w:divBdr>
            <w:top w:val="none" w:sz="0" w:space="0" w:color="auto"/>
            <w:left w:val="none" w:sz="0" w:space="0" w:color="auto"/>
            <w:bottom w:val="none" w:sz="0" w:space="0" w:color="auto"/>
            <w:right w:val="none" w:sz="0" w:space="0" w:color="auto"/>
          </w:divBdr>
        </w:div>
        <w:div w:id="1690178243">
          <w:marLeft w:val="0"/>
          <w:marRight w:val="0"/>
          <w:marTop w:val="0"/>
          <w:marBottom w:val="0"/>
          <w:divBdr>
            <w:top w:val="none" w:sz="0" w:space="0" w:color="auto"/>
            <w:left w:val="none" w:sz="0" w:space="0" w:color="auto"/>
            <w:bottom w:val="none" w:sz="0" w:space="0" w:color="auto"/>
            <w:right w:val="none" w:sz="0" w:space="0" w:color="auto"/>
          </w:divBdr>
        </w:div>
        <w:div w:id="1704280955">
          <w:marLeft w:val="0"/>
          <w:marRight w:val="0"/>
          <w:marTop w:val="0"/>
          <w:marBottom w:val="0"/>
          <w:divBdr>
            <w:top w:val="none" w:sz="0" w:space="0" w:color="auto"/>
            <w:left w:val="none" w:sz="0" w:space="0" w:color="auto"/>
            <w:bottom w:val="none" w:sz="0" w:space="0" w:color="auto"/>
            <w:right w:val="none" w:sz="0" w:space="0" w:color="auto"/>
          </w:divBdr>
        </w:div>
      </w:divsChild>
    </w:div>
    <w:div w:id="401759899">
      <w:bodyDiv w:val="1"/>
      <w:marLeft w:val="0"/>
      <w:marRight w:val="0"/>
      <w:marTop w:val="0"/>
      <w:marBottom w:val="0"/>
      <w:divBdr>
        <w:top w:val="none" w:sz="0" w:space="0" w:color="auto"/>
        <w:left w:val="none" w:sz="0" w:space="0" w:color="auto"/>
        <w:bottom w:val="none" w:sz="0" w:space="0" w:color="auto"/>
        <w:right w:val="none" w:sz="0" w:space="0" w:color="auto"/>
      </w:divBdr>
      <w:divsChild>
        <w:div w:id="76901311">
          <w:marLeft w:val="0"/>
          <w:marRight w:val="0"/>
          <w:marTop w:val="0"/>
          <w:marBottom w:val="0"/>
          <w:divBdr>
            <w:top w:val="none" w:sz="0" w:space="0" w:color="auto"/>
            <w:left w:val="none" w:sz="0" w:space="0" w:color="auto"/>
            <w:bottom w:val="none" w:sz="0" w:space="0" w:color="auto"/>
            <w:right w:val="none" w:sz="0" w:space="0" w:color="auto"/>
          </w:divBdr>
        </w:div>
        <w:div w:id="178013418">
          <w:marLeft w:val="0"/>
          <w:marRight w:val="0"/>
          <w:marTop w:val="0"/>
          <w:marBottom w:val="0"/>
          <w:divBdr>
            <w:top w:val="none" w:sz="0" w:space="0" w:color="auto"/>
            <w:left w:val="none" w:sz="0" w:space="0" w:color="auto"/>
            <w:bottom w:val="none" w:sz="0" w:space="0" w:color="auto"/>
            <w:right w:val="none" w:sz="0" w:space="0" w:color="auto"/>
          </w:divBdr>
        </w:div>
        <w:div w:id="511847292">
          <w:marLeft w:val="0"/>
          <w:marRight w:val="0"/>
          <w:marTop w:val="0"/>
          <w:marBottom w:val="0"/>
          <w:divBdr>
            <w:top w:val="none" w:sz="0" w:space="0" w:color="auto"/>
            <w:left w:val="none" w:sz="0" w:space="0" w:color="auto"/>
            <w:bottom w:val="none" w:sz="0" w:space="0" w:color="auto"/>
            <w:right w:val="none" w:sz="0" w:space="0" w:color="auto"/>
          </w:divBdr>
        </w:div>
        <w:div w:id="516625103">
          <w:marLeft w:val="0"/>
          <w:marRight w:val="0"/>
          <w:marTop w:val="0"/>
          <w:marBottom w:val="0"/>
          <w:divBdr>
            <w:top w:val="none" w:sz="0" w:space="0" w:color="auto"/>
            <w:left w:val="none" w:sz="0" w:space="0" w:color="auto"/>
            <w:bottom w:val="none" w:sz="0" w:space="0" w:color="auto"/>
            <w:right w:val="none" w:sz="0" w:space="0" w:color="auto"/>
          </w:divBdr>
        </w:div>
        <w:div w:id="740059777">
          <w:marLeft w:val="0"/>
          <w:marRight w:val="0"/>
          <w:marTop w:val="0"/>
          <w:marBottom w:val="0"/>
          <w:divBdr>
            <w:top w:val="none" w:sz="0" w:space="0" w:color="auto"/>
            <w:left w:val="none" w:sz="0" w:space="0" w:color="auto"/>
            <w:bottom w:val="none" w:sz="0" w:space="0" w:color="auto"/>
            <w:right w:val="none" w:sz="0" w:space="0" w:color="auto"/>
          </w:divBdr>
        </w:div>
        <w:div w:id="820196459">
          <w:marLeft w:val="0"/>
          <w:marRight w:val="0"/>
          <w:marTop w:val="0"/>
          <w:marBottom w:val="0"/>
          <w:divBdr>
            <w:top w:val="none" w:sz="0" w:space="0" w:color="auto"/>
            <w:left w:val="none" w:sz="0" w:space="0" w:color="auto"/>
            <w:bottom w:val="none" w:sz="0" w:space="0" w:color="auto"/>
            <w:right w:val="none" w:sz="0" w:space="0" w:color="auto"/>
          </w:divBdr>
        </w:div>
        <w:div w:id="918441066">
          <w:marLeft w:val="0"/>
          <w:marRight w:val="0"/>
          <w:marTop w:val="0"/>
          <w:marBottom w:val="0"/>
          <w:divBdr>
            <w:top w:val="none" w:sz="0" w:space="0" w:color="auto"/>
            <w:left w:val="none" w:sz="0" w:space="0" w:color="auto"/>
            <w:bottom w:val="none" w:sz="0" w:space="0" w:color="auto"/>
            <w:right w:val="none" w:sz="0" w:space="0" w:color="auto"/>
          </w:divBdr>
        </w:div>
        <w:div w:id="1439252002">
          <w:marLeft w:val="0"/>
          <w:marRight w:val="0"/>
          <w:marTop w:val="0"/>
          <w:marBottom w:val="0"/>
          <w:divBdr>
            <w:top w:val="none" w:sz="0" w:space="0" w:color="auto"/>
            <w:left w:val="none" w:sz="0" w:space="0" w:color="auto"/>
            <w:bottom w:val="none" w:sz="0" w:space="0" w:color="auto"/>
            <w:right w:val="none" w:sz="0" w:space="0" w:color="auto"/>
          </w:divBdr>
        </w:div>
        <w:div w:id="1459491759">
          <w:marLeft w:val="0"/>
          <w:marRight w:val="0"/>
          <w:marTop w:val="0"/>
          <w:marBottom w:val="0"/>
          <w:divBdr>
            <w:top w:val="none" w:sz="0" w:space="0" w:color="auto"/>
            <w:left w:val="none" w:sz="0" w:space="0" w:color="auto"/>
            <w:bottom w:val="none" w:sz="0" w:space="0" w:color="auto"/>
            <w:right w:val="none" w:sz="0" w:space="0" w:color="auto"/>
          </w:divBdr>
        </w:div>
        <w:div w:id="1567034188">
          <w:marLeft w:val="0"/>
          <w:marRight w:val="0"/>
          <w:marTop w:val="0"/>
          <w:marBottom w:val="0"/>
          <w:divBdr>
            <w:top w:val="none" w:sz="0" w:space="0" w:color="auto"/>
            <w:left w:val="none" w:sz="0" w:space="0" w:color="auto"/>
            <w:bottom w:val="none" w:sz="0" w:space="0" w:color="auto"/>
            <w:right w:val="none" w:sz="0" w:space="0" w:color="auto"/>
          </w:divBdr>
        </w:div>
        <w:div w:id="1567450653">
          <w:marLeft w:val="0"/>
          <w:marRight w:val="0"/>
          <w:marTop w:val="0"/>
          <w:marBottom w:val="0"/>
          <w:divBdr>
            <w:top w:val="none" w:sz="0" w:space="0" w:color="auto"/>
            <w:left w:val="none" w:sz="0" w:space="0" w:color="auto"/>
            <w:bottom w:val="none" w:sz="0" w:space="0" w:color="auto"/>
            <w:right w:val="none" w:sz="0" w:space="0" w:color="auto"/>
          </w:divBdr>
        </w:div>
        <w:div w:id="2106729251">
          <w:marLeft w:val="0"/>
          <w:marRight w:val="0"/>
          <w:marTop w:val="0"/>
          <w:marBottom w:val="0"/>
          <w:divBdr>
            <w:top w:val="none" w:sz="0" w:space="0" w:color="auto"/>
            <w:left w:val="none" w:sz="0" w:space="0" w:color="auto"/>
            <w:bottom w:val="none" w:sz="0" w:space="0" w:color="auto"/>
            <w:right w:val="none" w:sz="0" w:space="0" w:color="auto"/>
          </w:divBdr>
          <w:divsChild>
            <w:div w:id="358629874">
              <w:marLeft w:val="0"/>
              <w:marRight w:val="0"/>
              <w:marTop w:val="0"/>
              <w:marBottom w:val="0"/>
              <w:divBdr>
                <w:top w:val="none" w:sz="0" w:space="0" w:color="auto"/>
                <w:left w:val="none" w:sz="0" w:space="0" w:color="auto"/>
                <w:bottom w:val="none" w:sz="0" w:space="0" w:color="auto"/>
                <w:right w:val="none" w:sz="0" w:space="0" w:color="auto"/>
              </w:divBdr>
            </w:div>
            <w:div w:id="1016268514">
              <w:marLeft w:val="0"/>
              <w:marRight w:val="0"/>
              <w:marTop w:val="0"/>
              <w:marBottom w:val="0"/>
              <w:divBdr>
                <w:top w:val="none" w:sz="0" w:space="0" w:color="auto"/>
                <w:left w:val="none" w:sz="0" w:space="0" w:color="auto"/>
                <w:bottom w:val="none" w:sz="0" w:space="0" w:color="auto"/>
                <w:right w:val="none" w:sz="0" w:space="0" w:color="auto"/>
              </w:divBdr>
            </w:div>
            <w:div w:id="1710228775">
              <w:marLeft w:val="0"/>
              <w:marRight w:val="0"/>
              <w:marTop w:val="0"/>
              <w:marBottom w:val="0"/>
              <w:divBdr>
                <w:top w:val="none" w:sz="0" w:space="0" w:color="auto"/>
                <w:left w:val="none" w:sz="0" w:space="0" w:color="auto"/>
                <w:bottom w:val="none" w:sz="0" w:space="0" w:color="auto"/>
                <w:right w:val="none" w:sz="0" w:space="0" w:color="auto"/>
              </w:divBdr>
            </w:div>
            <w:div w:id="2002192830">
              <w:marLeft w:val="0"/>
              <w:marRight w:val="0"/>
              <w:marTop w:val="0"/>
              <w:marBottom w:val="0"/>
              <w:divBdr>
                <w:top w:val="none" w:sz="0" w:space="0" w:color="auto"/>
                <w:left w:val="none" w:sz="0" w:space="0" w:color="auto"/>
                <w:bottom w:val="none" w:sz="0" w:space="0" w:color="auto"/>
                <w:right w:val="none" w:sz="0" w:space="0" w:color="auto"/>
              </w:divBdr>
            </w:div>
          </w:divsChild>
        </w:div>
        <w:div w:id="2117752827">
          <w:marLeft w:val="0"/>
          <w:marRight w:val="0"/>
          <w:marTop w:val="0"/>
          <w:marBottom w:val="0"/>
          <w:divBdr>
            <w:top w:val="none" w:sz="0" w:space="0" w:color="auto"/>
            <w:left w:val="none" w:sz="0" w:space="0" w:color="auto"/>
            <w:bottom w:val="none" w:sz="0" w:space="0" w:color="auto"/>
            <w:right w:val="none" w:sz="0" w:space="0" w:color="auto"/>
          </w:divBdr>
        </w:div>
      </w:divsChild>
    </w:div>
    <w:div w:id="405886684">
      <w:bodyDiv w:val="1"/>
      <w:marLeft w:val="0"/>
      <w:marRight w:val="0"/>
      <w:marTop w:val="0"/>
      <w:marBottom w:val="0"/>
      <w:divBdr>
        <w:top w:val="none" w:sz="0" w:space="0" w:color="auto"/>
        <w:left w:val="none" w:sz="0" w:space="0" w:color="auto"/>
        <w:bottom w:val="none" w:sz="0" w:space="0" w:color="auto"/>
        <w:right w:val="none" w:sz="0" w:space="0" w:color="auto"/>
      </w:divBdr>
      <w:divsChild>
        <w:div w:id="477670">
          <w:marLeft w:val="0"/>
          <w:marRight w:val="0"/>
          <w:marTop w:val="0"/>
          <w:marBottom w:val="0"/>
          <w:divBdr>
            <w:top w:val="none" w:sz="0" w:space="0" w:color="auto"/>
            <w:left w:val="none" w:sz="0" w:space="0" w:color="auto"/>
            <w:bottom w:val="none" w:sz="0" w:space="0" w:color="auto"/>
            <w:right w:val="none" w:sz="0" w:space="0" w:color="auto"/>
          </w:divBdr>
        </w:div>
        <w:div w:id="285700130">
          <w:marLeft w:val="0"/>
          <w:marRight w:val="0"/>
          <w:marTop w:val="0"/>
          <w:marBottom w:val="0"/>
          <w:divBdr>
            <w:top w:val="none" w:sz="0" w:space="0" w:color="auto"/>
            <w:left w:val="none" w:sz="0" w:space="0" w:color="auto"/>
            <w:bottom w:val="none" w:sz="0" w:space="0" w:color="auto"/>
            <w:right w:val="none" w:sz="0" w:space="0" w:color="auto"/>
          </w:divBdr>
        </w:div>
        <w:div w:id="681663115">
          <w:marLeft w:val="0"/>
          <w:marRight w:val="0"/>
          <w:marTop w:val="0"/>
          <w:marBottom w:val="0"/>
          <w:divBdr>
            <w:top w:val="none" w:sz="0" w:space="0" w:color="auto"/>
            <w:left w:val="none" w:sz="0" w:space="0" w:color="auto"/>
            <w:bottom w:val="none" w:sz="0" w:space="0" w:color="auto"/>
            <w:right w:val="none" w:sz="0" w:space="0" w:color="auto"/>
          </w:divBdr>
        </w:div>
        <w:div w:id="1105032724">
          <w:marLeft w:val="0"/>
          <w:marRight w:val="0"/>
          <w:marTop w:val="0"/>
          <w:marBottom w:val="0"/>
          <w:divBdr>
            <w:top w:val="none" w:sz="0" w:space="0" w:color="auto"/>
            <w:left w:val="none" w:sz="0" w:space="0" w:color="auto"/>
            <w:bottom w:val="none" w:sz="0" w:space="0" w:color="auto"/>
            <w:right w:val="none" w:sz="0" w:space="0" w:color="auto"/>
          </w:divBdr>
        </w:div>
        <w:div w:id="1750156493">
          <w:marLeft w:val="0"/>
          <w:marRight w:val="0"/>
          <w:marTop w:val="0"/>
          <w:marBottom w:val="0"/>
          <w:divBdr>
            <w:top w:val="none" w:sz="0" w:space="0" w:color="auto"/>
            <w:left w:val="none" w:sz="0" w:space="0" w:color="auto"/>
            <w:bottom w:val="none" w:sz="0" w:space="0" w:color="auto"/>
            <w:right w:val="none" w:sz="0" w:space="0" w:color="auto"/>
          </w:divBdr>
        </w:div>
        <w:div w:id="2008971350">
          <w:marLeft w:val="0"/>
          <w:marRight w:val="0"/>
          <w:marTop w:val="0"/>
          <w:marBottom w:val="0"/>
          <w:divBdr>
            <w:top w:val="none" w:sz="0" w:space="0" w:color="auto"/>
            <w:left w:val="none" w:sz="0" w:space="0" w:color="auto"/>
            <w:bottom w:val="none" w:sz="0" w:space="0" w:color="auto"/>
            <w:right w:val="none" w:sz="0" w:space="0" w:color="auto"/>
          </w:divBdr>
        </w:div>
        <w:div w:id="2037071611">
          <w:marLeft w:val="0"/>
          <w:marRight w:val="0"/>
          <w:marTop w:val="0"/>
          <w:marBottom w:val="0"/>
          <w:divBdr>
            <w:top w:val="none" w:sz="0" w:space="0" w:color="auto"/>
            <w:left w:val="none" w:sz="0" w:space="0" w:color="auto"/>
            <w:bottom w:val="none" w:sz="0" w:space="0" w:color="auto"/>
            <w:right w:val="none" w:sz="0" w:space="0" w:color="auto"/>
          </w:divBdr>
        </w:div>
      </w:divsChild>
    </w:div>
    <w:div w:id="446509963">
      <w:bodyDiv w:val="1"/>
      <w:marLeft w:val="0"/>
      <w:marRight w:val="0"/>
      <w:marTop w:val="0"/>
      <w:marBottom w:val="0"/>
      <w:divBdr>
        <w:top w:val="none" w:sz="0" w:space="0" w:color="auto"/>
        <w:left w:val="none" w:sz="0" w:space="0" w:color="auto"/>
        <w:bottom w:val="none" w:sz="0" w:space="0" w:color="auto"/>
        <w:right w:val="none" w:sz="0" w:space="0" w:color="auto"/>
      </w:divBdr>
      <w:divsChild>
        <w:div w:id="312372516">
          <w:marLeft w:val="0"/>
          <w:marRight w:val="0"/>
          <w:marTop w:val="0"/>
          <w:marBottom w:val="0"/>
          <w:divBdr>
            <w:top w:val="none" w:sz="0" w:space="0" w:color="auto"/>
            <w:left w:val="none" w:sz="0" w:space="0" w:color="auto"/>
            <w:bottom w:val="none" w:sz="0" w:space="0" w:color="auto"/>
            <w:right w:val="none" w:sz="0" w:space="0" w:color="auto"/>
          </w:divBdr>
          <w:divsChild>
            <w:div w:id="729809756">
              <w:marLeft w:val="0"/>
              <w:marRight w:val="0"/>
              <w:marTop w:val="0"/>
              <w:marBottom w:val="0"/>
              <w:divBdr>
                <w:top w:val="none" w:sz="0" w:space="0" w:color="auto"/>
                <w:left w:val="none" w:sz="0" w:space="0" w:color="auto"/>
                <w:bottom w:val="none" w:sz="0" w:space="0" w:color="auto"/>
                <w:right w:val="none" w:sz="0" w:space="0" w:color="auto"/>
              </w:divBdr>
            </w:div>
            <w:div w:id="1282037109">
              <w:marLeft w:val="0"/>
              <w:marRight w:val="0"/>
              <w:marTop w:val="0"/>
              <w:marBottom w:val="0"/>
              <w:divBdr>
                <w:top w:val="none" w:sz="0" w:space="0" w:color="auto"/>
                <w:left w:val="none" w:sz="0" w:space="0" w:color="auto"/>
                <w:bottom w:val="none" w:sz="0" w:space="0" w:color="auto"/>
                <w:right w:val="none" w:sz="0" w:space="0" w:color="auto"/>
              </w:divBdr>
            </w:div>
            <w:div w:id="1633974044">
              <w:marLeft w:val="0"/>
              <w:marRight w:val="0"/>
              <w:marTop w:val="0"/>
              <w:marBottom w:val="0"/>
              <w:divBdr>
                <w:top w:val="none" w:sz="0" w:space="0" w:color="auto"/>
                <w:left w:val="none" w:sz="0" w:space="0" w:color="auto"/>
                <w:bottom w:val="none" w:sz="0" w:space="0" w:color="auto"/>
                <w:right w:val="none" w:sz="0" w:space="0" w:color="auto"/>
              </w:divBdr>
            </w:div>
            <w:div w:id="1910655966">
              <w:marLeft w:val="0"/>
              <w:marRight w:val="0"/>
              <w:marTop w:val="0"/>
              <w:marBottom w:val="0"/>
              <w:divBdr>
                <w:top w:val="none" w:sz="0" w:space="0" w:color="auto"/>
                <w:left w:val="none" w:sz="0" w:space="0" w:color="auto"/>
                <w:bottom w:val="none" w:sz="0" w:space="0" w:color="auto"/>
                <w:right w:val="none" w:sz="0" w:space="0" w:color="auto"/>
              </w:divBdr>
            </w:div>
          </w:divsChild>
        </w:div>
        <w:div w:id="1049720792">
          <w:marLeft w:val="0"/>
          <w:marRight w:val="0"/>
          <w:marTop w:val="0"/>
          <w:marBottom w:val="0"/>
          <w:divBdr>
            <w:top w:val="none" w:sz="0" w:space="0" w:color="auto"/>
            <w:left w:val="none" w:sz="0" w:space="0" w:color="auto"/>
            <w:bottom w:val="none" w:sz="0" w:space="0" w:color="auto"/>
            <w:right w:val="none" w:sz="0" w:space="0" w:color="auto"/>
          </w:divBdr>
        </w:div>
        <w:div w:id="1255632751">
          <w:marLeft w:val="0"/>
          <w:marRight w:val="0"/>
          <w:marTop w:val="0"/>
          <w:marBottom w:val="0"/>
          <w:divBdr>
            <w:top w:val="none" w:sz="0" w:space="0" w:color="auto"/>
            <w:left w:val="none" w:sz="0" w:space="0" w:color="auto"/>
            <w:bottom w:val="none" w:sz="0" w:space="0" w:color="auto"/>
            <w:right w:val="none" w:sz="0" w:space="0" w:color="auto"/>
          </w:divBdr>
        </w:div>
        <w:div w:id="1985624735">
          <w:marLeft w:val="0"/>
          <w:marRight w:val="0"/>
          <w:marTop w:val="0"/>
          <w:marBottom w:val="0"/>
          <w:divBdr>
            <w:top w:val="none" w:sz="0" w:space="0" w:color="auto"/>
            <w:left w:val="none" w:sz="0" w:space="0" w:color="auto"/>
            <w:bottom w:val="none" w:sz="0" w:space="0" w:color="auto"/>
            <w:right w:val="none" w:sz="0" w:space="0" w:color="auto"/>
          </w:divBdr>
          <w:divsChild>
            <w:div w:id="250310633">
              <w:marLeft w:val="0"/>
              <w:marRight w:val="0"/>
              <w:marTop w:val="0"/>
              <w:marBottom w:val="0"/>
              <w:divBdr>
                <w:top w:val="none" w:sz="0" w:space="0" w:color="auto"/>
                <w:left w:val="none" w:sz="0" w:space="0" w:color="auto"/>
                <w:bottom w:val="none" w:sz="0" w:space="0" w:color="auto"/>
                <w:right w:val="none" w:sz="0" w:space="0" w:color="auto"/>
              </w:divBdr>
            </w:div>
            <w:div w:id="506286404">
              <w:marLeft w:val="0"/>
              <w:marRight w:val="0"/>
              <w:marTop w:val="0"/>
              <w:marBottom w:val="0"/>
              <w:divBdr>
                <w:top w:val="none" w:sz="0" w:space="0" w:color="auto"/>
                <w:left w:val="none" w:sz="0" w:space="0" w:color="auto"/>
                <w:bottom w:val="none" w:sz="0" w:space="0" w:color="auto"/>
                <w:right w:val="none" w:sz="0" w:space="0" w:color="auto"/>
              </w:divBdr>
            </w:div>
            <w:div w:id="534661800">
              <w:marLeft w:val="0"/>
              <w:marRight w:val="0"/>
              <w:marTop w:val="0"/>
              <w:marBottom w:val="0"/>
              <w:divBdr>
                <w:top w:val="none" w:sz="0" w:space="0" w:color="auto"/>
                <w:left w:val="none" w:sz="0" w:space="0" w:color="auto"/>
                <w:bottom w:val="none" w:sz="0" w:space="0" w:color="auto"/>
                <w:right w:val="none" w:sz="0" w:space="0" w:color="auto"/>
              </w:divBdr>
            </w:div>
            <w:div w:id="958756725">
              <w:marLeft w:val="0"/>
              <w:marRight w:val="0"/>
              <w:marTop w:val="0"/>
              <w:marBottom w:val="0"/>
              <w:divBdr>
                <w:top w:val="none" w:sz="0" w:space="0" w:color="auto"/>
                <w:left w:val="none" w:sz="0" w:space="0" w:color="auto"/>
                <w:bottom w:val="none" w:sz="0" w:space="0" w:color="auto"/>
                <w:right w:val="none" w:sz="0" w:space="0" w:color="auto"/>
              </w:divBdr>
            </w:div>
            <w:div w:id="19349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55329">
      <w:bodyDiv w:val="1"/>
      <w:marLeft w:val="0"/>
      <w:marRight w:val="0"/>
      <w:marTop w:val="0"/>
      <w:marBottom w:val="0"/>
      <w:divBdr>
        <w:top w:val="none" w:sz="0" w:space="0" w:color="auto"/>
        <w:left w:val="none" w:sz="0" w:space="0" w:color="auto"/>
        <w:bottom w:val="none" w:sz="0" w:space="0" w:color="auto"/>
        <w:right w:val="none" w:sz="0" w:space="0" w:color="auto"/>
      </w:divBdr>
      <w:divsChild>
        <w:div w:id="35281864">
          <w:marLeft w:val="0"/>
          <w:marRight w:val="0"/>
          <w:marTop w:val="0"/>
          <w:marBottom w:val="0"/>
          <w:divBdr>
            <w:top w:val="none" w:sz="0" w:space="0" w:color="auto"/>
            <w:left w:val="none" w:sz="0" w:space="0" w:color="auto"/>
            <w:bottom w:val="none" w:sz="0" w:space="0" w:color="auto"/>
            <w:right w:val="none" w:sz="0" w:space="0" w:color="auto"/>
          </w:divBdr>
        </w:div>
        <w:div w:id="748649596">
          <w:marLeft w:val="0"/>
          <w:marRight w:val="0"/>
          <w:marTop w:val="0"/>
          <w:marBottom w:val="0"/>
          <w:divBdr>
            <w:top w:val="none" w:sz="0" w:space="0" w:color="auto"/>
            <w:left w:val="none" w:sz="0" w:space="0" w:color="auto"/>
            <w:bottom w:val="none" w:sz="0" w:space="0" w:color="auto"/>
            <w:right w:val="none" w:sz="0" w:space="0" w:color="auto"/>
          </w:divBdr>
        </w:div>
        <w:div w:id="910769990">
          <w:marLeft w:val="0"/>
          <w:marRight w:val="0"/>
          <w:marTop w:val="0"/>
          <w:marBottom w:val="0"/>
          <w:divBdr>
            <w:top w:val="none" w:sz="0" w:space="0" w:color="auto"/>
            <w:left w:val="none" w:sz="0" w:space="0" w:color="auto"/>
            <w:bottom w:val="none" w:sz="0" w:space="0" w:color="auto"/>
            <w:right w:val="none" w:sz="0" w:space="0" w:color="auto"/>
          </w:divBdr>
        </w:div>
        <w:div w:id="1302003744">
          <w:marLeft w:val="0"/>
          <w:marRight w:val="0"/>
          <w:marTop w:val="0"/>
          <w:marBottom w:val="0"/>
          <w:divBdr>
            <w:top w:val="none" w:sz="0" w:space="0" w:color="auto"/>
            <w:left w:val="none" w:sz="0" w:space="0" w:color="auto"/>
            <w:bottom w:val="none" w:sz="0" w:space="0" w:color="auto"/>
            <w:right w:val="none" w:sz="0" w:space="0" w:color="auto"/>
          </w:divBdr>
        </w:div>
        <w:div w:id="1377119138">
          <w:marLeft w:val="0"/>
          <w:marRight w:val="0"/>
          <w:marTop w:val="0"/>
          <w:marBottom w:val="0"/>
          <w:divBdr>
            <w:top w:val="none" w:sz="0" w:space="0" w:color="auto"/>
            <w:left w:val="none" w:sz="0" w:space="0" w:color="auto"/>
            <w:bottom w:val="none" w:sz="0" w:space="0" w:color="auto"/>
            <w:right w:val="none" w:sz="0" w:space="0" w:color="auto"/>
          </w:divBdr>
        </w:div>
        <w:div w:id="1493981381">
          <w:marLeft w:val="0"/>
          <w:marRight w:val="0"/>
          <w:marTop w:val="0"/>
          <w:marBottom w:val="0"/>
          <w:divBdr>
            <w:top w:val="none" w:sz="0" w:space="0" w:color="auto"/>
            <w:left w:val="none" w:sz="0" w:space="0" w:color="auto"/>
            <w:bottom w:val="none" w:sz="0" w:space="0" w:color="auto"/>
            <w:right w:val="none" w:sz="0" w:space="0" w:color="auto"/>
          </w:divBdr>
        </w:div>
      </w:divsChild>
    </w:div>
    <w:div w:id="474372562">
      <w:bodyDiv w:val="1"/>
      <w:marLeft w:val="0"/>
      <w:marRight w:val="0"/>
      <w:marTop w:val="0"/>
      <w:marBottom w:val="0"/>
      <w:divBdr>
        <w:top w:val="none" w:sz="0" w:space="0" w:color="auto"/>
        <w:left w:val="none" w:sz="0" w:space="0" w:color="auto"/>
        <w:bottom w:val="none" w:sz="0" w:space="0" w:color="auto"/>
        <w:right w:val="none" w:sz="0" w:space="0" w:color="auto"/>
      </w:divBdr>
      <w:divsChild>
        <w:div w:id="113138150">
          <w:marLeft w:val="0"/>
          <w:marRight w:val="0"/>
          <w:marTop w:val="0"/>
          <w:marBottom w:val="0"/>
          <w:divBdr>
            <w:top w:val="none" w:sz="0" w:space="0" w:color="auto"/>
            <w:left w:val="none" w:sz="0" w:space="0" w:color="auto"/>
            <w:bottom w:val="none" w:sz="0" w:space="0" w:color="auto"/>
            <w:right w:val="none" w:sz="0" w:space="0" w:color="auto"/>
          </w:divBdr>
        </w:div>
        <w:div w:id="212158474">
          <w:marLeft w:val="0"/>
          <w:marRight w:val="0"/>
          <w:marTop w:val="0"/>
          <w:marBottom w:val="0"/>
          <w:divBdr>
            <w:top w:val="none" w:sz="0" w:space="0" w:color="auto"/>
            <w:left w:val="none" w:sz="0" w:space="0" w:color="auto"/>
            <w:bottom w:val="none" w:sz="0" w:space="0" w:color="auto"/>
            <w:right w:val="none" w:sz="0" w:space="0" w:color="auto"/>
          </w:divBdr>
        </w:div>
        <w:div w:id="537624279">
          <w:marLeft w:val="0"/>
          <w:marRight w:val="0"/>
          <w:marTop w:val="0"/>
          <w:marBottom w:val="0"/>
          <w:divBdr>
            <w:top w:val="none" w:sz="0" w:space="0" w:color="auto"/>
            <w:left w:val="none" w:sz="0" w:space="0" w:color="auto"/>
            <w:bottom w:val="none" w:sz="0" w:space="0" w:color="auto"/>
            <w:right w:val="none" w:sz="0" w:space="0" w:color="auto"/>
          </w:divBdr>
        </w:div>
        <w:div w:id="849106963">
          <w:marLeft w:val="0"/>
          <w:marRight w:val="0"/>
          <w:marTop w:val="0"/>
          <w:marBottom w:val="0"/>
          <w:divBdr>
            <w:top w:val="none" w:sz="0" w:space="0" w:color="auto"/>
            <w:left w:val="none" w:sz="0" w:space="0" w:color="auto"/>
            <w:bottom w:val="none" w:sz="0" w:space="0" w:color="auto"/>
            <w:right w:val="none" w:sz="0" w:space="0" w:color="auto"/>
          </w:divBdr>
        </w:div>
        <w:div w:id="1198784622">
          <w:marLeft w:val="0"/>
          <w:marRight w:val="0"/>
          <w:marTop w:val="0"/>
          <w:marBottom w:val="0"/>
          <w:divBdr>
            <w:top w:val="none" w:sz="0" w:space="0" w:color="auto"/>
            <w:left w:val="none" w:sz="0" w:space="0" w:color="auto"/>
            <w:bottom w:val="none" w:sz="0" w:space="0" w:color="auto"/>
            <w:right w:val="none" w:sz="0" w:space="0" w:color="auto"/>
          </w:divBdr>
        </w:div>
        <w:div w:id="1224170788">
          <w:marLeft w:val="0"/>
          <w:marRight w:val="0"/>
          <w:marTop w:val="0"/>
          <w:marBottom w:val="0"/>
          <w:divBdr>
            <w:top w:val="none" w:sz="0" w:space="0" w:color="auto"/>
            <w:left w:val="none" w:sz="0" w:space="0" w:color="auto"/>
            <w:bottom w:val="none" w:sz="0" w:space="0" w:color="auto"/>
            <w:right w:val="none" w:sz="0" w:space="0" w:color="auto"/>
          </w:divBdr>
        </w:div>
        <w:div w:id="1491216153">
          <w:marLeft w:val="0"/>
          <w:marRight w:val="0"/>
          <w:marTop w:val="0"/>
          <w:marBottom w:val="0"/>
          <w:divBdr>
            <w:top w:val="none" w:sz="0" w:space="0" w:color="auto"/>
            <w:left w:val="none" w:sz="0" w:space="0" w:color="auto"/>
            <w:bottom w:val="none" w:sz="0" w:space="0" w:color="auto"/>
            <w:right w:val="none" w:sz="0" w:space="0" w:color="auto"/>
          </w:divBdr>
        </w:div>
        <w:div w:id="1525632899">
          <w:marLeft w:val="0"/>
          <w:marRight w:val="0"/>
          <w:marTop w:val="0"/>
          <w:marBottom w:val="0"/>
          <w:divBdr>
            <w:top w:val="none" w:sz="0" w:space="0" w:color="auto"/>
            <w:left w:val="none" w:sz="0" w:space="0" w:color="auto"/>
            <w:bottom w:val="none" w:sz="0" w:space="0" w:color="auto"/>
            <w:right w:val="none" w:sz="0" w:space="0" w:color="auto"/>
          </w:divBdr>
        </w:div>
        <w:div w:id="1809778461">
          <w:marLeft w:val="0"/>
          <w:marRight w:val="0"/>
          <w:marTop w:val="0"/>
          <w:marBottom w:val="0"/>
          <w:divBdr>
            <w:top w:val="none" w:sz="0" w:space="0" w:color="auto"/>
            <w:left w:val="none" w:sz="0" w:space="0" w:color="auto"/>
            <w:bottom w:val="none" w:sz="0" w:space="0" w:color="auto"/>
            <w:right w:val="none" w:sz="0" w:space="0" w:color="auto"/>
          </w:divBdr>
        </w:div>
        <w:div w:id="1829245775">
          <w:marLeft w:val="0"/>
          <w:marRight w:val="0"/>
          <w:marTop w:val="0"/>
          <w:marBottom w:val="0"/>
          <w:divBdr>
            <w:top w:val="none" w:sz="0" w:space="0" w:color="auto"/>
            <w:left w:val="none" w:sz="0" w:space="0" w:color="auto"/>
            <w:bottom w:val="none" w:sz="0" w:space="0" w:color="auto"/>
            <w:right w:val="none" w:sz="0" w:space="0" w:color="auto"/>
          </w:divBdr>
        </w:div>
        <w:div w:id="1836189538">
          <w:marLeft w:val="0"/>
          <w:marRight w:val="0"/>
          <w:marTop w:val="0"/>
          <w:marBottom w:val="0"/>
          <w:divBdr>
            <w:top w:val="none" w:sz="0" w:space="0" w:color="auto"/>
            <w:left w:val="none" w:sz="0" w:space="0" w:color="auto"/>
            <w:bottom w:val="none" w:sz="0" w:space="0" w:color="auto"/>
            <w:right w:val="none" w:sz="0" w:space="0" w:color="auto"/>
          </w:divBdr>
        </w:div>
        <w:div w:id="1912304936">
          <w:marLeft w:val="0"/>
          <w:marRight w:val="0"/>
          <w:marTop w:val="0"/>
          <w:marBottom w:val="0"/>
          <w:divBdr>
            <w:top w:val="none" w:sz="0" w:space="0" w:color="auto"/>
            <w:left w:val="none" w:sz="0" w:space="0" w:color="auto"/>
            <w:bottom w:val="none" w:sz="0" w:space="0" w:color="auto"/>
            <w:right w:val="none" w:sz="0" w:space="0" w:color="auto"/>
          </w:divBdr>
        </w:div>
        <w:div w:id="1972905323">
          <w:marLeft w:val="0"/>
          <w:marRight w:val="0"/>
          <w:marTop w:val="0"/>
          <w:marBottom w:val="0"/>
          <w:divBdr>
            <w:top w:val="none" w:sz="0" w:space="0" w:color="auto"/>
            <w:left w:val="none" w:sz="0" w:space="0" w:color="auto"/>
            <w:bottom w:val="none" w:sz="0" w:space="0" w:color="auto"/>
            <w:right w:val="none" w:sz="0" w:space="0" w:color="auto"/>
          </w:divBdr>
        </w:div>
        <w:div w:id="1998144252">
          <w:marLeft w:val="0"/>
          <w:marRight w:val="0"/>
          <w:marTop w:val="0"/>
          <w:marBottom w:val="0"/>
          <w:divBdr>
            <w:top w:val="none" w:sz="0" w:space="0" w:color="auto"/>
            <w:left w:val="none" w:sz="0" w:space="0" w:color="auto"/>
            <w:bottom w:val="none" w:sz="0" w:space="0" w:color="auto"/>
            <w:right w:val="none" w:sz="0" w:space="0" w:color="auto"/>
          </w:divBdr>
        </w:div>
        <w:div w:id="2073893572">
          <w:marLeft w:val="0"/>
          <w:marRight w:val="0"/>
          <w:marTop w:val="0"/>
          <w:marBottom w:val="0"/>
          <w:divBdr>
            <w:top w:val="none" w:sz="0" w:space="0" w:color="auto"/>
            <w:left w:val="none" w:sz="0" w:space="0" w:color="auto"/>
            <w:bottom w:val="none" w:sz="0" w:space="0" w:color="auto"/>
            <w:right w:val="none" w:sz="0" w:space="0" w:color="auto"/>
          </w:divBdr>
        </w:div>
        <w:div w:id="2136561076">
          <w:marLeft w:val="0"/>
          <w:marRight w:val="0"/>
          <w:marTop w:val="0"/>
          <w:marBottom w:val="0"/>
          <w:divBdr>
            <w:top w:val="none" w:sz="0" w:space="0" w:color="auto"/>
            <w:left w:val="none" w:sz="0" w:space="0" w:color="auto"/>
            <w:bottom w:val="none" w:sz="0" w:space="0" w:color="auto"/>
            <w:right w:val="none" w:sz="0" w:space="0" w:color="auto"/>
          </w:divBdr>
        </w:div>
      </w:divsChild>
    </w:div>
    <w:div w:id="483544828">
      <w:bodyDiv w:val="1"/>
      <w:marLeft w:val="0"/>
      <w:marRight w:val="0"/>
      <w:marTop w:val="0"/>
      <w:marBottom w:val="0"/>
      <w:divBdr>
        <w:top w:val="none" w:sz="0" w:space="0" w:color="auto"/>
        <w:left w:val="none" w:sz="0" w:space="0" w:color="auto"/>
        <w:bottom w:val="none" w:sz="0" w:space="0" w:color="auto"/>
        <w:right w:val="none" w:sz="0" w:space="0" w:color="auto"/>
      </w:divBdr>
      <w:divsChild>
        <w:div w:id="18898606">
          <w:marLeft w:val="0"/>
          <w:marRight w:val="0"/>
          <w:marTop w:val="0"/>
          <w:marBottom w:val="0"/>
          <w:divBdr>
            <w:top w:val="none" w:sz="0" w:space="0" w:color="auto"/>
            <w:left w:val="none" w:sz="0" w:space="0" w:color="auto"/>
            <w:bottom w:val="none" w:sz="0" w:space="0" w:color="auto"/>
            <w:right w:val="none" w:sz="0" w:space="0" w:color="auto"/>
          </w:divBdr>
        </w:div>
        <w:div w:id="60688077">
          <w:marLeft w:val="0"/>
          <w:marRight w:val="0"/>
          <w:marTop w:val="0"/>
          <w:marBottom w:val="0"/>
          <w:divBdr>
            <w:top w:val="none" w:sz="0" w:space="0" w:color="auto"/>
            <w:left w:val="none" w:sz="0" w:space="0" w:color="auto"/>
            <w:bottom w:val="none" w:sz="0" w:space="0" w:color="auto"/>
            <w:right w:val="none" w:sz="0" w:space="0" w:color="auto"/>
          </w:divBdr>
        </w:div>
        <w:div w:id="375157193">
          <w:marLeft w:val="0"/>
          <w:marRight w:val="0"/>
          <w:marTop w:val="0"/>
          <w:marBottom w:val="0"/>
          <w:divBdr>
            <w:top w:val="none" w:sz="0" w:space="0" w:color="auto"/>
            <w:left w:val="none" w:sz="0" w:space="0" w:color="auto"/>
            <w:bottom w:val="none" w:sz="0" w:space="0" w:color="auto"/>
            <w:right w:val="none" w:sz="0" w:space="0" w:color="auto"/>
          </w:divBdr>
        </w:div>
        <w:div w:id="838932028">
          <w:marLeft w:val="0"/>
          <w:marRight w:val="0"/>
          <w:marTop w:val="0"/>
          <w:marBottom w:val="0"/>
          <w:divBdr>
            <w:top w:val="none" w:sz="0" w:space="0" w:color="auto"/>
            <w:left w:val="none" w:sz="0" w:space="0" w:color="auto"/>
            <w:bottom w:val="none" w:sz="0" w:space="0" w:color="auto"/>
            <w:right w:val="none" w:sz="0" w:space="0" w:color="auto"/>
          </w:divBdr>
        </w:div>
        <w:div w:id="932517672">
          <w:marLeft w:val="0"/>
          <w:marRight w:val="0"/>
          <w:marTop w:val="0"/>
          <w:marBottom w:val="0"/>
          <w:divBdr>
            <w:top w:val="none" w:sz="0" w:space="0" w:color="auto"/>
            <w:left w:val="none" w:sz="0" w:space="0" w:color="auto"/>
            <w:bottom w:val="none" w:sz="0" w:space="0" w:color="auto"/>
            <w:right w:val="none" w:sz="0" w:space="0" w:color="auto"/>
          </w:divBdr>
        </w:div>
        <w:div w:id="1143037082">
          <w:marLeft w:val="0"/>
          <w:marRight w:val="0"/>
          <w:marTop w:val="0"/>
          <w:marBottom w:val="0"/>
          <w:divBdr>
            <w:top w:val="none" w:sz="0" w:space="0" w:color="auto"/>
            <w:left w:val="none" w:sz="0" w:space="0" w:color="auto"/>
            <w:bottom w:val="none" w:sz="0" w:space="0" w:color="auto"/>
            <w:right w:val="none" w:sz="0" w:space="0" w:color="auto"/>
          </w:divBdr>
        </w:div>
        <w:div w:id="1300719232">
          <w:marLeft w:val="0"/>
          <w:marRight w:val="0"/>
          <w:marTop w:val="0"/>
          <w:marBottom w:val="0"/>
          <w:divBdr>
            <w:top w:val="none" w:sz="0" w:space="0" w:color="auto"/>
            <w:left w:val="none" w:sz="0" w:space="0" w:color="auto"/>
            <w:bottom w:val="none" w:sz="0" w:space="0" w:color="auto"/>
            <w:right w:val="none" w:sz="0" w:space="0" w:color="auto"/>
          </w:divBdr>
        </w:div>
        <w:div w:id="1378045947">
          <w:marLeft w:val="0"/>
          <w:marRight w:val="0"/>
          <w:marTop w:val="0"/>
          <w:marBottom w:val="0"/>
          <w:divBdr>
            <w:top w:val="none" w:sz="0" w:space="0" w:color="auto"/>
            <w:left w:val="none" w:sz="0" w:space="0" w:color="auto"/>
            <w:bottom w:val="none" w:sz="0" w:space="0" w:color="auto"/>
            <w:right w:val="none" w:sz="0" w:space="0" w:color="auto"/>
          </w:divBdr>
        </w:div>
        <w:div w:id="1446119748">
          <w:marLeft w:val="0"/>
          <w:marRight w:val="0"/>
          <w:marTop w:val="0"/>
          <w:marBottom w:val="0"/>
          <w:divBdr>
            <w:top w:val="none" w:sz="0" w:space="0" w:color="auto"/>
            <w:left w:val="none" w:sz="0" w:space="0" w:color="auto"/>
            <w:bottom w:val="none" w:sz="0" w:space="0" w:color="auto"/>
            <w:right w:val="none" w:sz="0" w:space="0" w:color="auto"/>
          </w:divBdr>
        </w:div>
        <w:div w:id="1596861503">
          <w:marLeft w:val="0"/>
          <w:marRight w:val="0"/>
          <w:marTop w:val="0"/>
          <w:marBottom w:val="0"/>
          <w:divBdr>
            <w:top w:val="none" w:sz="0" w:space="0" w:color="auto"/>
            <w:left w:val="none" w:sz="0" w:space="0" w:color="auto"/>
            <w:bottom w:val="none" w:sz="0" w:space="0" w:color="auto"/>
            <w:right w:val="none" w:sz="0" w:space="0" w:color="auto"/>
          </w:divBdr>
        </w:div>
        <w:div w:id="1691176199">
          <w:marLeft w:val="0"/>
          <w:marRight w:val="0"/>
          <w:marTop w:val="0"/>
          <w:marBottom w:val="0"/>
          <w:divBdr>
            <w:top w:val="none" w:sz="0" w:space="0" w:color="auto"/>
            <w:left w:val="none" w:sz="0" w:space="0" w:color="auto"/>
            <w:bottom w:val="none" w:sz="0" w:space="0" w:color="auto"/>
            <w:right w:val="none" w:sz="0" w:space="0" w:color="auto"/>
          </w:divBdr>
        </w:div>
        <w:div w:id="1923026216">
          <w:marLeft w:val="0"/>
          <w:marRight w:val="0"/>
          <w:marTop w:val="0"/>
          <w:marBottom w:val="0"/>
          <w:divBdr>
            <w:top w:val="none" w:sz="0" w:space="0" w:color="auto"/>
            <w:left w:val="none" w:sz="0" w:space="0" w:color="auto"/>
            <w:bottom w:val="none" w:sz="0" w:space="0" w:color="auto"/>
            <w:right w:val="none" w:sz="0" w:space="0" w:color="auto"/>
          </w:divBdr>
        </w:div>
        <w:div w:id="2024696435">
          <w:marLeft w:val="0"/>
          <w:marRight w:val="0"/>
          <w:marTop w:val="0"/>
          <w:marBottom w:val="0"/>
          <w:divBdr>
            <w:top w:val="none" w:sz="0" w:space="0" w:color="auto"/>
            <w:left w:val="none" w:sz="0" w:space="0" w:color="auto"/>
            <w:bottom w:val="none" w:sz="0" w:space="0" w:color="auto"/>
            <w:right w:val="none" w:sz="0" w:space="0" w:color="auto"/>
          </w:divBdr>
        </w:div>
        <w:div w:id="2137789847">
          <w:marLeft w:val="0"/>
          <w:marRight w:val="0"/>
          <w:marTop w:val="0"/>
          <w:marBottom w:val="0"/>
          <w:divBdr>
            <w:top w:val="none" w:sz="0" w:space="0" w:color="auto"/>
            <w:left w:val="none" w:sz="0" w:space="0" w:color="auto"/>
            <w:bottom w:val="none" w:sz="0" w:space="0" w:color="auto"/>
            <w:right w:val="none" w:sz="0" w:space="0" w:color="auto"/>
          </w:divBdr>
        </w:div>
      </w:divsChild>
    </w:div>
    <w:div w:id="502361879">
      <w:bodyDiv w:val="1"/>
      <w:marLeft w:val="0"/>
      <w:marRight w:val="0"/>
      <w:marTop w:val="0"/>
      <w:marBottom w:val="0"/>
      <w:divBdr>
        <w:top w:val="none" w:sz="0" w:space="0" w:color="auto"/>
        <w:left w:val="none" w:sz="0" w:space="0" w:color="auto"/>
        <w:bottom w:val="none" w:sz="0" w:space="0" w:color="auto"/>
        <w:right w:val="none" w:sz="0" w:space="0" w:color="auto"/>
      </w:divBdr>
      <w:divsChild>
        <w:div w:id="299384032">
          <w:marLeft w:val="0"/>
          <w:marRight w:val="0"/>
          <w:marTop w:val="0"/>
          <w:marBottom w:val="0"/>
          <w:divBdr>
            <w:top w:val="none" w:sz="0" w:space="0" w:color="auto"/>
            <w:left w:val="none" w:sz="0" w:space="0" w:color="auto"/>
            <w:bottom w:val="none" w:sz="0" w:space="0" w:color="auto"/>
            <w:right w:val="none" w:sz="0" w:space="0" w:color="auto"/>
          </w:divBdr>
        </w:div>
        <w:div w:id="712386457">
          <w:marLeft w:val="0"/>
          <w:marRight w:val="0"/>
          <w:marTop w:val="0"/>
          <w:marBottom w:val="0"/>
          <w:divBdr>
            <w:top w:val="none" w:sz="0" w:space="0" w:color="auto"/>
            <w:left w:val="none" w:sz="0" w:space="0" w:color="auto"/>
            <w:bottom w:val="none" w:sz="0" w:space="0" w:color="auto"/>
            <w:right w:val="none" w:sz="0" w:space="0" w:color="auto"/>
          </w:divBdr>
        </w:div>
        <w:div w:id="1194727339">
          <w:marLeft w:val="0"/>
          <w:marRight w:val="0"/>
          <w:marTop w:val="0"/>
          <w:marBottom w:val="0"/>
          <w:divBdr>
            <w:top w:val="none" w:sz="0" w:space="0" w:color="auto"/>
            <w:left w:val="none" w:sz="0" w:space="0" w:color="auto"/>
            <w:bottom w:val="none" w:sz="0" w:space="0" w:color="auto"/>
            <w:right w:val="none" w:sz="0" w:space="0" w:color="auto"/>
          </w:divBdr>
        </w:div>
        <w:div w:id="1304576703">
          <w:marLeft w:val="0"/>
          <w:marRight w:val="0"/>
          <w:marTop w:val="0"/>
          <w:marBottom w:val="0"/>
          <w:divBdr>
            <w:top w:val="none" w:sz="0" w:space="0" w:color="auto"/>
            <w:left w:val="none" w:sz="0" w:space="0" w:color="auto"/>
            <w:bottom w:val="none" w:sz="0" w:space="0" w:color="auto"/>
            <w:right w:val="none" w:sz="0" w:space="0" w:color="auto"/>
          </w:divBdr>
        </w:div>
        <w:div w:id="1785417972">
          <w:marLeft w:val="0"/>
          <w:marRight w:val="0"/>
          <w:marTop w:val="0"/>
          <w:marBottom w:val="0"/>
          <w:divBdr>
            <w:top w:val="none" w:sz="0" w:space="0" w:color="auto"/>
            <w:left w:val="none" w:sz="0" w:space="0" w:color="auto"/>
            <w:bottom w:val="none" w:sz="0" w:space="0" w:color="auto"/>
            <w:right w:val="none" w:sz="0" w:space="0" w:color="auto"/>
          </w:divBdr>
        </w:div>
      </w:divsChild>
    </w:div>
    <w:div w:id="562108127">
      <w:bodyDiv w:val="1"/>
      <w:marLeft w:val="0"/>
      <w:marRight w:val="0"/>
      <w:marTop w:val="0"/>
      <w:marBottom w:val="0"/>
      <w:divBdr>
        <w:top w:val="none" w:sz="0" w:space="0" w:color="auto"/>
        <w:left w:val="none" w:sz="0" w:space="0" w:color="auto"/>
        <w:bottom w:val="none" w:sz="0" w:space="0" w:color="auto"/>
        <w:right w:val="none" w:sz="0" w:space="0" w:color="auto"/>
      </w:divBdr>
      <w:divsChild>
        <w:div w:id="698165291">
          <w:marLeft w:val="0"/>
          <w:marRight w:val="0"/>
          <w:marTop w:val="0"/>
          <w:marBottom w:val="0"/>
          <w:divBdr>
            <w:top w:val="none" w:sz="0" w:space="0" w:color="auto"/>
            <w:left w:val="none" w:sz="0" w:space="0" w:color="auto"/>
            <w:bottom w:val="none" w:sz="0" w:space="0" w:color="auto"/>
            <w:right w:val="none" w:sz="0" w:space="0" w:color="auto"/>
          </w:divBdr>
          <w:divsChild>
            <w:div w:id="448354119">
              <w:marLeft w:val="0"/>
              <w:marRight w:val="0"/>
              <w:marTop w:val="0"/>
              <w:marBottom w:val="0"/>
              <w:divBdr>
                <w:top w:val="none" w:sz="0" w:space="0" w:color="auto"/>
                <w:left w:val="none" w:sz="0" w:space="0" w:color="auto"/>
                <w:bottom w:val="none" w:sz="0" w:space="0" w:color="auto"/>
                <w:right w:val="none" w:sz="0" w:space="0" w:color="auto"/>
              </w:divBdr>
            </w:div>
            <w:div w:id="633559434">
              <w:marLeft w:val="0"/>
              <w:marRight w:val="0"/>
              <w:marTop w:val="0"/>
              <w:marBottom w:val="0"/>
              <w:divBdr>
                <w:top w:val="none" w:sz="0" w:space="0" w:color="auto"/>
                <w:left w:val="none" w:sz="0" w:space="0" w:color="auto"/>
                <w:bottom w:val="none" w:sz="0" w:space="0" w:color="auto"/>
                <w:right w:val="none" w:sz="0" w:space="0" w:color="auto"/>
              </w:divBdr>
            </w:div>
            <w:div w:id="970674192">
              <w:marLeft w:val="0"/>
              <w:marRight w:val="0"/>
              <w:marTop w:val="0"/>
              <w:marBottom w:val="0"/>
              <w:divBdr>
                <w:top w:val="none" w:sz="0" w:space="0" w:color="auto"/>
                <w:left w:val="none" w:sz="0" w:space="0" w:color="auto"/>
                <w:bottom w:val="none" w:sz="0" w:space="0" w:color="auto"/>
                <w:right w:val="none" w:sz="0" w:space="0" w:color="auto"/>
              </w:divBdr>
            </w:div>
            <w:div w:id="1196238778">
              <w:marLeft w:val="0"/>
              <w:marRight w:val="0"/>
              <w:marTop w:val="0"/>
              <w:marBottom w:val="0"/>
              <w:divBdr>
                <w:top w:val="none" w:sz="0" w:space="0" w:color="auto"/>
                <w:left w:val="none" w:sz="0" w:space="0" w:color="auto"/>
                <w:bottom w:val="none" w:sz="0" w:space="0" w:color="auto"/>
                <w:right w:val="none" w:sz="0" w:space="0" w:color="auto"/>
              </w:divBdr>
            </w:div>
            <w:div w:id="1733116837">
              <w:marLeft w:val="0"/>
              <w:marRight w:val="0"/>
              <w:marTop w:val="0"/>
              <w:marBottom w:val="0"/>
              <w:divBdr>
                <w:top w:val="none" w:sz="0" w:space="0" w:color="auto"/>
                <w:left w:val="none" w:sz="0" w:space="0" w:color="auto"/>
                <w:bottom w:val="none" w:sz="0" w:space="0" w:color="auto"/>
                <w:right w:val="none" w:sz="0" w:space="0" w:color="auto"/>
              </w:divBdr>
            </w:div>
          </w:divsChild>
        </w:div>
        <w:div w:id="1318727407">
          <w:marLeft w:val="0"/>
          <w:marRight w:val="0"/>
          <w:marTop w:val="0"/>
          <w:marBottom w:val="0"/>
          <w:divBdr>
            <w:top w:val="none" w:sz="0" w:space="0" w:color="auto"/>
            <w:left w:val="none" w:sz="0" w:space="0" w:color="auto"/>
            <w:bottom w:val="none" w:sz="0" w:space="0" w:color="auto"/>
            <w:right w:val="none" w:sz="0" w:space="0" w:color="auto"/>
          </w:divBdr>
          <w:divsChild>
            <w:div w:id="10382902">
              <w:marLeft w:val="0"/>
              <w:marRight w:val="0"/>
              <w:marTop w:val="0"/>
              <w:marBottom w:val="0"/>
              <w:divBdr>
                <w:top w:val="none" w:sz="0" w:space="0" w:color="auto"/>
                <w:left w:val="none" w:sz="0" w:space="0" w:color="auto"/>
                <w:bottom w:val="none" w:sz="0" w:space="0" w:color="auto"/>
                <w:right w:val="none" w:sz="0" w:space="0" w:color="auto"/>
              </w:divBdr>
            </w:div>
            <w:div w:id="495805784">
              <w:marLeft w:val="0"/>
              <w:marRight w:val="0"/>
              <w:marTop w:val="0"/>
              <w:marBottom w:val="0"/>
              <w:divBdr>
                <w:top w:val="none" w:sz="0" w:space="0" w:color="auto"/>
                <w:left w:val="none" w:sz="0" w:space="0" w:color="auto"/>
                <w:bottom w:val="none" w:sz="0" w:space="0" w:color="auto"/>
                <w:right w:val="none" w:sz="0" w:space="0" w:color="auto"/>
              </w:divBdr>
            </w:div>
            <w:div w:id="709575737">
              <w:marLeft w:val="0"/>
              <w:marRight w:val="0"/>
              <w:marTop w:val="0"/>
              <w:marBottom w:val="0"/>
              <w:divBdr>
                <w:top w:val="none" w:sz="0" w:space="0" w:color="auto"/>
                <w:left w:val="none" w:sz="0" w:space="0" w:color="auto"/>
                <w:bottom w:val="none" w:sz="0" w:space="0" w:color="auto"/>
                <w:right w:val="none" w:sz="0" w:space="0" w:color="auto"/>
              </w:divBdr>
            </w:div>
            <w:div w:id="1094321461">
              <w:marLeft w:val="0"/>
              <w:marRight w:val="0"/>
              <w:marTop w:val="0"/>
              <w:marBottom w:val="0"/>
              <w:divBdr>
                <w:top w:val="none" w:sz="0" w:space="0" w:color="auto"/>
                <w:left w:val="none" w:sz="0" w:space="0" w:color="auto"/>
                <w:bottom w:val="none" w:sz="0" w:space="0" w:color="auto"/>
                <w:right w:val="none" w:sz="0" w:space="0" w:color="auto"/>
              </w:divBdr>
            </w:div>
            <w:div w:id="1132290539">
              <w:marLeft w:val="0"/>
              <w:marRight w:val="0"/>
              <w:marTop w:val="0"/>
              <w:marBottom w:val="0"/>
              <w:divBdr>
                <w:top w:val="none" w:sz="0" w:space="0" w:color="auto"/>
                <w:left w:val="none" w:sz="0" w:space="0" w:color="auto"/>
                <w:bottom w:val="none" w:sz="0" w:space="0" w:color="auto"/>
                <w:right w:val="none" w:sz="0" w:space="0" w:color="auto"/>
              </w:divBdr>
            </w:div>
            <w:div w:id="1548251870">
              <w:marLeft w:val="0"/>
              <w:marRight w:val="0"/>
              <w:marTop w:val="0"/>
              <w:marBottom w:val="0"/>
              <w:divBdr>
                <w:top w:val="none" w:sz="0" w:space="0" w:color="auto"/>
                <w:left w:val="none" w:sz="0" w:space="0" w:color="auto"/>
                <w:bottom w:val="none" w:sz="0" w:space="0" w:color="auto"/>
                <w:right w:val="none" w:sz="0" w:space="0" w:color="auto"/>
              </w:divBdr>
            </w:div>
            <w:div w:id="1591161781">
              <w:marLeft w:val="0"/>
              <w:marRight w:val="0"/>
              <w:marTop w:val="0"/>
              <w:marBottom w:val="0"/>
              <w:divBdr>
                <w:top w:val="none" w:sz="0" w:space="0" w:color="auto"/>
                <w:left w:val="none" w:sz="0" w:space="0" w:color="auto"/>
                <w:bottom w:val="none" w:sz="0" w:space="0" w:color="auto"/>
                <w:right w:val="none" w:sz="0" w:space="0" w:color="auto"/>
              </w:divBdr>
            </w:div>
            <w:div w:id="15962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33060">
      <w:bodyDiv w:val="1"/>
      <w:marLeft w:val="0"/>
      <w:marRight w:val="0"/>
      <w:marTop w:val="0"/>
      <w:marBottom w:val="0"/>
      <w:divBdr>
        <w:top w:val="none" w:sz="0" w:space="0" w:color="auto"/>
        <w:left w:val="none" w:sz="0" w:space="0" w:color="auto"/>
        <w:bottom w:val="none" w:sz="0" w:space="0" w:color="auto"/>
        <w:right w:val="none" w:sz="0" w:space="0" w:color="auto"/>
      </w:divBdr>
    </w:div>
    <w:div w:id="602685331">
      <w:bodyDiv w:val="1"/>
      <w:marLeft w:val="0"/>
      <w:marRight w:val="0"/>
      <w:marTop w:val="0"/>
      <w:marBottom w:val="0"/>
      <w:divBdr>
        <w:top w:val="none" w:sz="0" w:space="0" w:color="auto"/>
        <w:left w:val="none" w:sz="0" w:space="0" w:color="auto"/>
        <w:bottom w:val="none" w:sz="0" w:space="0" w:color="auto"/>
        <w:right w:val="none" w:sz="0" w:space="0" w:color="auto"/>
      </w:divBdr>
      <w:divsChild>
        <w:div w:id="224679870">
          <w:marLeft w:val="0"/>
          <w:marRight w:val="0"/>
          <w:marTop w:val="0"/>
          <w:marBottom w:val="0"/>
          <w:divBdr>
            <w:top w:val="none" w:sz="0" w:space="0" w:color="auto"/>
            <w:left w:val="none" w:sz="0" w:space="0" w:color="auto"/>
            <w:bottom w:val="none" w:sz="0" w:space="0" w:color="auto"/>
            <w:right w:val="none" w:sz="0" w:space="0" w:color="auto"/>
          </w:divBdr>
        </w:div>
        <w:div w:id="641423193">
          <w:marLeft w:val="0"/>
          <w:marRight w:val="0"/>
          <w:marTop w:val="0"/>
          <w:marBottom w:val="0"/>
          <w:divBdr>
            <w:top w:val="none" w:sz="0" w:space="0" w:color="auto"/>
            <w:left w:val="none" w:sz="0" w:space="0" w:color="auto"/>
            <w:bottom w:val="none" w:sz="0" w:space="0" w:color="auto"/>
            <w:right w:val="none" w:sz="0" w:space="0" w:color="auto"/>
          </w:divBdr>
        </w:div>
        <w:div w:id="773552842">
          <w:marLeft w:val="0"/>
          <w:marRight w:val="0"/>
          <w:marTop w:val="0"/>
          <w:marBottom w:val="0"/>
          <w:divBdr>
            <w:top w:val="none" w:sz="0" w:space="0" w:color="auto"/>
            <w:left w:val="none" w:sz="0" w:space="0" w:color="auto"/>
            <w:bottom w:val="none" w:sz="0" w:space="0" w:color="auto"/>
            <w:right w:val="none" w:sz="0" w:space="0" w:color="auto"/>
          </w:divBdr>
        </w:div>
        <w:div w:id="886725689">
          <w:marLeft w:val="0"/>
          <w:marRight w:val="0"/>
          <w:marTop w:val="0"/>
          <w:marBottom w:val="0"/>
          <w:divBdr>
            <w:top w:val="none" w:sz="0" w:space="0" w:color="auto"/>
            <w:left w:val="none" w:sz="0" w:space="0" w:color="auto"/>
            <w:bottom w:val="none" w:sz="0" w:space="0" w:color="auto"/>
            <w:right w:val="none" w:sz="0" w:space="0" w:color="auto"/>
          </w:divBdr>
        </w:div>
        <w:div w:id="1840853253">
          <w:marLeft w:val="0"/>
          <w:marRight w:val="0"/>
          <w:marTop w:val="0"/>
          <w:marBottom w:val="0"/>
          <w:divBdr>
            <w:top w:val="none" w:sz="0" w:space="0" w:color="auto"/>
            <w:left w:val="none" w:sz="0" w:space="0" w:color="auto"/>
            <w:bottom w:val="none" w:sz="0" w:space="0" w:color="auto"/>
            <w:right w:val="none" w:sz="0" w:space="0" w:color="auto"/>
          </w:divBdr>
        </w:div>
      </w:divsChild>
    </w:div>
    <w:div w:id="624196994">
      <w:bodyDiv w:val="1"/>
      <w:marLeft w:val="0"/>
      <w:marRight w:val="0"/>
      <w:marTop w:val="0"/>
      <w:marBottom w:val="0"/>
      <w:divBdr>
        <w:top w:val="none" w:sz="0" w:space="0" w:color="auto"/>
        <w:left w:val="none" w:sz="0" w:space="0" w:color="auto"/>
        <w:bottom w:val="none" w:sz="0" w:space="0" w:color="auto"/>
        <w:right w:val="none" w:sz="0" w:space="0" w:color="auto"/>
      </w:divBdr>
      <w:divsChild>
        <w:div w:id="77021488">
          <w:marLeft w:val="0"/>
          <w:marRight w:val="0"/>
          <w:marTop w:val="0"/>
          <w:marBottom w:val="0"/>
          <w:divBdr>
            <w:top w:val="none" w:sz="0" w:space="0" w:color="auto"/>
            <w:left w:val="none" w:sz="0" w:space="0" w:color="auto"/>
            <w:bottom w:val="none" w:sz="0" w:space="0" w:color="auto"/>
            <w:right w:val="none" w:sz="0" w:space="0" w:color="auto"/>
          </w:divBdr>
        </w:div>
        <w:div w:id="798259008">
          <w:marLeft w:val="0"/>
          <w:marRight w:val="0"/>
          <w:marTop w:val="0"/>
          <w:marBottom w:val="0"/>
          <w:divBdr>
            <w:top w:val="none" w:sz="0" w:space="0" w:color="auto"/>
            <w:left w:val="none" w:sz="0" w:space="0" w:color="auto"/>
            <w:bottom w:val="none" w:sz="0" w:space="0" w:color="auto"/>
            <w:right w:val="none" w:sz="0" w:space="0" w:color="auto"/>
          </w:divBdr>
        </w:div>
        <w:div w:id="1108623222">
          <w:marLeft w:val="0"/>
          <w:marRight w:val="0"/>
          <w:marTop w:val="0"/>
          <w:marBottom w:val="0"/>
          <w:divBdr>
            <w:top w:val="none" w:sz="0" w:space="0" w:color="auto"/>
            <w:left w:val="none" w:sz="0" w:space="0" w:color="auto"/>
            <w:bottom w:val="none" w:sz="0" w:space="0" w:color="auto"/>
            <w:right w:val="none" w:sz="0" w:space="0" w:color="auto"/>
          </w:divBdr>
        </w:div>
        <w:div w:id="1793133263">
          <w:marLeft w:val="0"/>
          <w:marRight w:val="0"/>
          <w:marTop w:val="0"/>
          <w:marBottom w:val="0"/>
          <w:divBdr>
            <w:top w:val="none" w:sz="0" w:space="0" w:color="auto"/>
            <w:left w:val="none" w:sz="0" w:space="0" w:color="auto"/>
            <w:bottom w:val="none" w:sz="0" w:space="0" w:color="auto"/>
            <w:right w:val="none" w:sz="0" w:space="0" w:color="auto"/>
          </w:divBdr>
          <w:divsChild>
            <w:div w:id="46924940">
              <w:marLeft w:val="0"/>
              <w:marRight w:val="0"/>
              <w:marTop w:val="0"/>
              <w:marBottom w:val="0"/>
              <w:divBdr>
                <w:top w:val="none" w:sz="0" w:space="0" w:color="auto"/>
                <w:left w:val="none" w:sz="0" w:space="0" w:color="auto"/>
                <w:bottom w:val="none" w:sz="0" w:space="0" w:color="auto"/>
                <w:right w:val="none" w:sz="0" w:space="0" w:color="auto"/>
              </w:divBdr>
            </w:div>
            <w:div w:id="658003350">
              <w:marLeft w:val="0"/>
              <w:marRight w:val="0"/>
              <w:marTop w:val="0"/>
              <w:marBottom w:val="0"/>
              <w:divBdr>
                <w:top w:val="none" w:sz="0" w:space="0" w:color="auto"/>
                <w:left w:val="none" w:sz="0" w:space="0" w:color="auto"/>
                <w:bottom w:val="none" w:sz="0" w:space="0" w:color="auto"/>
                <w:right w:val="none" w:sz="0" w:space="0" w:color="auto"/>
              </w:divBdr>
            </w:div>
            <w:div w:id="1567569316">
              <w:marLeft w:val="0"/>
              <w:marRight w:val="0"/>
              <w:marTop w:val="0"/>
              <w:marBottom w:val="0"/>
              <w:divBdr>
                <w:top w:val="none" w:sz="0" w:space="0" w:color="auto"/>
                <w:left w:val="none" w:sz="0" w:space="0" w:color="auto"/>
                <w:bottom w:val="none" w:sz="0" w:space="0" w:color="auto"/>
                <w:right w:val="none" w:sz="0" w:space="0" w:color="auto"/>
              </w:divBdr>
            </w:div>
            <w:div w:id="1801337192">
              <w:marLeft w:val="0"/>
              <w:marRight w:val="0"/>
              <w:marTop w:val="0"/>
              <w:marBottom w:val="0"/>
              <w:divBdr>
                <w:top w:val="none" w:sz="0" w:space="0" w:color="auto"/>
                <w:left w:val="none" w:sz="0" w:space="0" w:color="auto"/>
                <w:bottom w:val="none" w:sz="0" w:space="0" w:color="auto"/>
                <w:right w:val="none" w:sz="0" w:space="0" w:color="auto"/>
              </w:divBdr>
            </w:div>
            <w:div w:id="1922368213">
              <w:marLeft w:val="0"/>
              <w:marRight w:val="0"/>
              <w:marTop w:val="0"/>
              <w:marBottom w:val="0"/>
              <w:divBdr>
                <w:top w:val="none" w:sz="0" w:space="0" w:color="auto"/>
                <w:left w:val="none" w:sz="0" w:space="0" w:color="auto"/>
                <w:bottom w:val="none" w:sz="0" w:space="0" w:color="auto"/>
                <w:right w:val="none" w:sz="0" w:space="0" w:color="auto"/>
              </w:divBdr>
            </w:div>
          </w:divsChild>
        </w:div>
        <w:div w:id="1829438372">
          <w:marLeft w:val="0"/>
          <w:marRight w:val="0"/>
          <w:marTop w:val="0"/>
          <w:marBottom w:val="0"/>
          <w:divBdr>
            <w:top w:val="none" w:sz="0" w:space="0" w:color="auto"/>
            <w:left w:val="none" w:sz="0" w:space="0" w:color="auto"/>
            <w:bottom w:val="none" w:sz="0" w:space="0" w:color="auto"/>
            <w:right w:val="none" w:sz="0" w:space="0" w:color="auto"/>
          </w:divBdr>
        </w:div>
        <w:div w:id="1996839910">
          <w:marLeft w:val="0"/>
          <w:marRight w:val="0"/>
          <w:marTop w:val="0"/>
          <w:marBottom w:val="0"/>
          <w:divBdr>
            <w:top w:val="none" w:sz="0" w:space="0" w:color="auto"/>
            <w:left w:val="none" w:sz="0" w:space="0" w:color="auto"/>
            <w:bottom w:val="none" w:sz="0" w:space="0" w:color="auto"/>
            <w:right w:val="none" w:sz="0" w:space="0" w:color="auto"/>
          </w:divBdr>
        </w:div>
      </w:divsChild>
    </w:div>
    <w:div w:id="630551658">
      <w:bodyDiv w:val="1"/>
      <w:marLeft w:val="0"/>
      <w:marRight w:val="0"/>
      <w:marTop w:val="0"/>
      <w:marBottom w:val="0"/>
      <w:divBdr>
        <w:top w:val="none" w:sz="0" w:space="0" w:color="auto"/>
        <w:left w:val="none" w:sz="0" w:space="0" w:color="auto"/>
        <w:bottom w:val="none" w:sz="0" w:space="0" w:color="auto"/>
        <w:right w:val="none" w:sz="0" w:space="0" w:color="auto"/>
      </w:divBdr>
      <w:divsChild>
        <w:div w:id="175970071">
          <w:marLeft w:val="0"/>
          <w:marRight w:val="0"/>
          <w:marTop w:val="0"/>
          <w:marBottom w:val="0"/>
          <w:divBdr>
            <w:top w:val="none" w:sz="0" w:space="0" w:color="auto"/>
            <w:left w:val="none" w:sz="0" w:space="0" w:color="auto"/>
            <w:bottom w:val="none" w:sz="0" w:space="0" w:color="auto"/>
            <w:right w:val="none" w:sz="0" w:space="0" w:color="auto"/>
          </w:divBdr>
        </w:div>
        <w:div w:id="1468669049">
          <w:marLeft w:val="0"/>
          <w:marRight w:val="0"/>
          <w:marTop w:val="0"/>
          <w:marBottom w:val="0"/>
          <w:divBdr>
            <w:top w:val="none" w:sz="0" w:space="0" w:color="auto"/>
            <w:left w:val="none" w:sz="0" w:space="0" w:color="auto"/>
            <w:bottom w:val="none" w:sz="0" w:space="0" w:color="auto"/>
            <w:right w:val="none" w:sz="0" w:space="0" w:color="auto"/>
          </w:divBdr>
        </w:div>
        <w:div w:id="1487822514">
          <w:marLeft w:val="0"/>
          <w:marRight w:val="0"/>
          <w:marTop w:val="0"/>
          <w:marBottom w:val="0"/>
          <w:divBdr>
            <w:top w:val="none" w:sz="0" w:space="0" w:color="auto"/>
            <w:left w:val="none" w:sz="0" w:space="0" w:color="auto"/>
            <w:bottom w:val="none" w:sz="0" w:space="0" w:color="auto"/>
            <w:right w:val="none" w:sz="0" w:space="0" w:color="auto"/>
          </w:divBdr>
        </w:div>
        <w:div w:id="1554611947">
          <w:marLeft w:val="0"/>
          <w:marRight w:val="0"/>
          <w:marTop w:val="0"/>
          <w:marBottom w:val="0"/>
          <w:divBdr>
            <w:top w:val="none" w:sz="0" w:space="0" w:color="auto"/>
            <w:left w:val="none" w:sz="0" w:space="0" w:color="auto"/>
            <w:bottom w:val="none" w:sz="0" w:space="0" w:color="auto"/>
            <w:right w:val="none" w:sz="0" w:space="0" w:color="auto"/>
          </w:divBdr>
        </w:div>
        <w:div w:id="2143231872">
          <w:marLeft w:val="0"/>
          <w:marRight w:val="0"/>
          <w:marTop w:val="0"/>
          <w:marBottom w:val="0"/>
          <w:divBdr>
            <w:top w:val="none" w:sz="0" w:space="0" w:color="auto"/>
            <w:left w:val="none" w:sz="0" w:space="0" w:color="auto"/>
            <w:bottom w:val="none" w:sz="0" w:space="0" w:color="auto"/>
            <w:right w:val="none" w:sz="0" w:space="0" w:color="auto"/>
          </w:divBdr>
        </w:div>
      </w:divsChild>
    </w:div>
    <w:div w:id="679504574">
      <w:bodyDiv w:val="1"/>
      <w:marLeft w:val="0"/>
      <w:marRight w:val="0"/>
      <w:marTop w:val="0"/>
      <w:marBottom w:val="0"/>
      <w:divBdr>
        <w:top w:val="none" w:sz="0" w:space="0" w:color="auto"/>
        <w:left w:val="none" w:sz="0" w:space="0" w:color="auto"/>
        <w:bottom w:val="none" w:sz="0" w:space="0" w:color="auto"/>
        <w:right w:val="none" w:sz="0" w:space="0" w:color="auto"/>
      </w:divBdr>
      <w:divsChild>
        <w:div w:id="815225099">
          <w:marLeft w:val="0"/>
          <w:marRight w:val="0"/>
          <w:marTop w:val="0"/>
          <w:marBottom w:val="0"/>
          <w:divBdr>
            <w:top w:val="none" w:sz="0" w:space="0" w:color="auto"/>
            <w:left w:val="none" w:sz="0" w:space="0" w:color="auto"/>
            <w:bottom w:val="none" w:sz="0" w:space="0" w:color="auto"/>
            <w:right w:val="none" w:sz="0" w:space="0" w:color="auto"/>
          </w:divBdr>
        </w:div>
      </w:divsChild>
    </w:div>
    <w:div w:id="715350309">
      <w:bodyDiv w:val="1"/>
      <w:marLeft w:val="0"/>
      <w:marRight w:val="0"/>
      <w:marTop w:val="0"/>
      <w:marBottom w:val="0"/>
      <w:divBdr>
        <w:top w:val="none" w:sz="0" w:space="0" w:color="auto"/>
        <w:left w:val="none" w:sz="0" w:space="0" w:color="auto"/>
        <w:bottom w:val="none" w:sz="0" w:space="0" w:color="auto"/>
        <w:right w:val="none" w:sz="0" w:space="0" w:color="auto"/>
      </w:divBdr>
      <w:divsChild>
        <w:div w:id="241330583">
          <w:marLeft w:val="0"/>
          <w:marRight w:val="0"/>
          <w:marTop w:val="0"/>
          <w:marBottom w:val="0"/>
          <w:divBdr>
            <w:top w:val="none" w:sz="0" w:space="0" w:color="auto"/>
            <w:left w:val="none" w:sz="0" w:space="0" w:color="auto"/>
            <w:bottom w:val="none" w:sz="0" w:space="0" w:color="auto"/>
            <w:right w:val="none" w:sz="0" w:space="0" w:color="auto"/>
          </w:divBdr>
        </w:div>
        <w:div w:id="624695271">
          <w:marLeft w:val="0"/>
          <w:marRight w:val="0"/>
          <w:marTop w:val="0"/>
          <w:marBottom w:val="0"/>
          <w:divBdr>
            <w:top w:val="none" w:sz="0" w:space="0" w:color="auto"/>
            <w:left w:val="none" w:sz="0" w:space="0" w:color="auto"/>
            <w:bottom w:val="none" w:sz="0" w:space="0" w:color="auto"/>
            <w:right w:val="none" w:sz="0" w:space="0" w:color="auto"/>
          </w:divBdr>
        </w:div>
        <w:div w:id="1206681343">
          <w:marLeft w:val="0"/>
          <w:marRight w:val="0"/>
          <w:marTop w:val="0"/>
          <w:marBottom w:val="0"/>
          <w:divBdr>
            <w:top w:val="none" w:sz="0" w:space="0" w:color="auto"/>
            <w:left w:val="none" w:sz="0" w:space="0" w:color="auto"/>
            <w:bottom w:val="none" w:sz="0" w:space="0" w:color="auto"/>
            <w:right w:val="none" w:sz="0" w:space="0" w:color="auto"/>
          </w:divBdr>
        </w:div>
        <w:div w:id="1574124102">
          <w:marLeft w:val="0"/>
          <w:marRight w:val="0"/>
          <w:marTop w:val="0"/>
          <w:marBottom w:val="0"/>
          <w:divBdr>
            <w:top w:val="none" w:sz="0" w:space="0" w:color="auto"/>
            <w:left w:val="none" w:sz="0" w:space="0" w:color="auto"/>
            <w:bottom w:val="none" w:sz="0" w:space="0" w:color="auto"/>
            <w:right w:val="none" w:sz="0" w:space="0" w:color="auto"/>
          </w:divBdr>
          <w:divsChild>
            <w:div w:id="96026665">
              <w:marLeft w:val="0"/>
              <w:marRight w:val="0"/>
              <w:marTop w:val="0"/>
              <w:marBottom w:val="0"/>
              <w:divBdr>
                <w:top w:val="none" w:sz="0" w:space="0" w:color="auto"/>
                <w:left w:val="none" w:sz="0" w:space="0" w:color="auto"/>
                <w:bottom w:val="none" w:sz="0" w:space="0" w:color="auto"/>
                <w:right w:val="none" w:sz="0" w:space="0" w:color="auto"/>
              </w:divBdr>
            </w:div>
            <w:div w:id="311256390">
              <w:marLeft w:val="0"/>
              <w:marRight w:val="0"/>
              <w:marTop w:val="0"/>
              <w:marBottom w:val="0"/>
              <w:divBdr>
                <w:top w:val="none" w:sz="0" w:space="0" w:color="auto"/>
                <w:left w:val="none" w:sz="0" w:space="0" w:color="auto"/>
                <w:bottom w:val="none" w:sz="0" w:space="0" w:color="auto"/>
                <w:right w:val="none" w:sz="0" w:space="0" w:color="auto"/>
              </w:divBdr>
            </w:div>
            <w:div w:id="855660300">
              <w:marLeft w:val="0"/>
              <w:marRight w:val="0"/>
              <w:marTop w:val="0"/>
              <w:marBottom w:val="0"/>
              <w:divBdr>
                <w:top w:val="none" w:sz="0" w:space="0" w:color="auto"/>
                <w:left w:val="none" w:sz="0" w:space="0" w:color="auto"/>
                <w:bottom w:val="none" w:sz="0" w:space="0" w:color="auto"/>
                <w:right w:val="none" w:sz="0" w:space="0" w:color="auto"/>
              </w:divBdr>
            </w:div>
            <w:div w:id="1708143611">
              <w:marLeft w:val="0"/>
              <w:marRight w:val="0"/>
              <w:marTop w:val="0"/>
              <w:marBottom w:val="0"/>
              <w:divBdr>
                <w:top w:val="none" w:sz="0" w:space="0" w:color="auto"/>
                <w:left w:val="none" w:sz="0" w:space="0" w:color="auto"/>
                <w:bottom w:val="none" w:sz="0" w:space="0" w:color="auto"/>
                <w:right w:val="none" w:sz="0" w:space="0" w:color="auto"/>
              </w:divBdr>
            </w:div>
            <w:div w:id="1989359753">
              <w:marLeft w:val="0"/>
              <w:marRight w:val="0"/>
              <w:marTop w:val="0"/>
              <w:marBottom w:val="0"/>
              <w:divBdr>
                <w:top w:val="none" w:sz="0" w:space="0" w:color="auto"/>
                <w:left w:val="none" w:sz="0" w:space="0" w:color="auto"/>
                <w:bottom w:val="none" w:sz="0" w:space="0" w:color="auto"/>
                <w:right w:val="none" w:sz="0" w:space="0" w:color="auto"/>
              </w:divBdr>
            </w:div>
          </w:divsChild>
        </w:div>
        <w:div w:id="1727416080">
          <w:marLeft w:val="0"/>
          <w:marRight w:val="0"/>
          <w:marTop w:val="0"/>
          <w:marBottom w:val="0"/>
          <w:divBdr>
            <w:top w:val="none" w:sz="0" w:space="0" w:color="auto"/>
            <w:left w:val="none" w:sz="0" w:space="0" w:color="auto"/>
            <w:bottom w:val="none" w:sz="0" w:space="0" w:color="auto"/>
            <w:right w:val="none" w:sz="0" w:space="0" w:color="auto"/>
          </w:divBdr>
        </w:div>
        <w:div w:id="1953324495">
          <w:marLeft w:val="0"/>
          <w:marRight w:val="0"/>
          <w:marTop w:val="0"/>
          <w:marBottom w:val="0"/>
          <w:divBdr>
            <w:top w:val="none" w:sz="0" w:space="0" w:color="auto"/>
            <w:left w:val="none" w:sz="0" w:space="0" w:color="auto"/>
            <w:bottom w:val="none" w:sz="0" w:space="0" w:color="auto"/>
            <w:right w:val="none" w:sz="0" w:space="0" w:color="auto"/>
          </w:divBdr>
        </w:div>
        <w:div w:id="1984581380">
          <w:marLeft w:val="0"/>
          <w:marRight w:val="0"/>
          <w:marTop w:val="0"/>
          <w:marBottom w:val="0"/>
          <w:divBdr>
            <w:top w:val="none" w:sz="0" w:space="0" w:color="auto"/>
            <w:left w:val="none" w:sz="0" w:space="0" w:color="auto"/>
            <w:bottom w:val="none" w:sz="0" w:space="0" w:color="auto"/>
            <w:right w:val="none" w:sz="0" w:space="0" w:color="auto"/>
          </w:divBdr>
        </w:div>
        <w:div w:id="2021664023">
          <w:marLeft w:val="0"/>
          <w:marRight w:val="0"/>
          <w:marTop w:val="0"/>
          <w:marBottom w:val="0"/>
          <w:divBdr>
            <w:top w:val="none" w:sz="0" w:space="0" w:color="auto"/>
            <w:left w:val="none" w:sz="0" w:space="0" w:color="auto"/>
            <w:bottom w:val="none" w:sz="0" w:space="0" w:color="auto"/>
            <w:right w:val="none" w:sz="0" w:space="0" w:color="auto"/>
          </w:divBdr>
        </w:div>
      </w:divsChild>
    </w:div>
    <w:div w:id="748187704">
      <w:bodyDiv w:val="1"/>
      <w:marLeft w:val="0"/>
      <w:marRight w:val="0"/>
      <w:marTop w:val="0"/>
      <w:marBottom w:val="0"/>
      <w:divBdr>
        <w:top w:val="none" w:sz="0" w:space="0" w:color="auto"/>
        <w:left w:val="none" w:sz="0" w:space="0" w:color="auto"/>
        <w:bottom w:val="none" w:sz="0" w:space="0" w:color="auto"/>
        <w:right w:val="none" w:sz="0" w:space="0" w:color="auto"/>
      </w:divBdr>
      <w:divsChild>
        <w:div w:id="333992166">
          <w:marLeft w:val="0"/>
          <w:marRight w:val="0"/>
          <w:marTop w:val="0"/>
          <w:marBottom w:val="0"/>
          <w:divBdr>
            <w:top w:val="none" w:sz="0" w:space="0" w:color="auto"/>
            <w:left w:val="none" w:sz="0" w:space="0" w:color="auto"/>
            <w:bottom w:val="none" w:sz="0" w:space="0" w:color="auto"/>
            <w:right w:val="none" w:sz="0" w:space="0" w:color="auto"/>
          </w:divBdr>
        </w:div>
        <w:div w:id="733309085">
          <w:marLeft w:val="0"/>
          <w:marRight w:val="0"/>
          <w:marTop w:val="0"/>
          <w:marBottom w:val="0"/>
          <w:divBdr>
            <w:top w:val="none" w:sz="0" w:space="0" w:color="auto"/>
            <w:left w:val="none" w:sz="0" w:space="0" w:color="auto"/>
            <w:bottom w:val="none" w:sz="0" w:space="0" w:color="auto"/>
            <w:right w:val="none" w:sz="0" w:space="0" w:color="auto"/>
          </w:divBdr>
        </w:div>
        <w:div w:id="979768016">
          <w:marLeft w:val="0"/>
          <w:marRight w:val="0"/>
          <w:marTop w:val="0"/>
          <w:marBottom w:val="0"/>
          <w:divBdr>
            <w:top w:val="none" w:sz="0" w:space="0" w:color="auto"/>
            <w:left w:val="none" w:sz="0" w:space="0" w:color="auto"/>
            <w:bottom w:val="none" w:sz="0" w:space="0" w:color="auto"/>
            <w:right w:val="none" w:sz="0" w:space="0" w:color="auto"/>
          </w:divBdr>
        </w:div>
        <w:div w:id="1188593248">
          <w:marLeft w:val="0"/>
          <w:marRight w:val="0"/>
          <w:marTop w:val="0"/>
          <w:marBottom w:val="0"/>
          <w:divBdr>
            <w:top w:val="none" w:sz="0" w:space="0" w:color="auto"/>
            <w:left w:val="none" w:sz="0" w:space="0" w:color="auto"/>
            <w:bottom w:val="none" w:sz="0" w:space="0" w:color="auto"/>
            <w:right w:val="none" w:sz="0" w:space="0" w:color="auto"/>
          </w:divBdr>
        </w:div>
        <w:div w:id="1253512454">
          <w:marLeft w:val="0"/>
          <w:marRight w:val="0"/>
          <w:marTop w:val="0"/>
          <w:marBottom w:val="0"/>
          <w:divBdr>
            <w:top w:val="none" w:sz="0" w:space="0" w:color="auto"/>
            <w:left w:val="none" w:sz="0" w:space="0" w:color="auto"/>
            <w:bottom w:val="none" w:sz="0" w:space="0" w:color="auto"/>
            <w:right w:val="none" w:sz="0" w:space="0" w:color="auto"/>
          </w:divBdr>
        </w:div>
        <w:div w:id="1311447854">
          <w:marLeft w:val="0"/>
          <w:marRight w:val="0"/>
          <w:marTop w:val="0"/>
          <w:marBottom w:val="0"/>
          <w:divBdr>
            <w:top w:val="none" w:sz="0" w:space="0" w:color="auto"/>
            <w:left w:val="none" w:sz="0" w:space="0" w:color="auto"/>
            <w:bottom w:val="none" w:sz="0" w:space="0" w:color="auto"/>
            <w:right w:val="none" w:sz="0" w:space="0" w:color="auto"/>
          </w:divBdr>
        </w:div>
        <w:div w:id="1781410907">
          <w:marLeft w:val="0"/>
          <w:marRight w:val="0"/>
          <w:marTop w:val="0"/>
          <w:marBottom w:val="0"/>
          <w:divBdr>
            <w:top w:val="none" w:sz="0" w:space="0" w:color="auto"/>
            <w:left w:val="none" w:sz="0" w:space="0" w:color="auto"/>
            <w:bottom w:val="none" w:sz="0" w:space="0" w:color="auto"/>
            <w:right w:val="none" w:sz="0" w:space="0" w:color="auto"/>
          </w:divBdr>
        </w:div>
      </w:divsChild>
    </w:div>
    <w:div w:id="773012158">
      <w:bodyDiv w:val="1"/>
      <w:marLeft w:val="0"/>
      <w:marRight w:val="0"/>
      <w:marTop w:val="0"/>
      <w:marBottom w:val="0"/>
      <w:divBdr>
        <w:top w:val="none" w:sz="0" w:space="0" w:color="auto"/>
        <w:left w:val="none" w:sz="0" w:space="0" w:color="auto"/>
        <w:bottom w:val="none" w:sz="0" w:space="0" w:color="auto"/>
        <w:right w:val="none" w:sz="0" w:space="0" w:color="auto"/>
      </w:divBdr>
      <w:divsChild>
        <w:div w:id="108280256">
          <w:marLeft w:val="0"/>
          <w:marRight w:val="0"/>
          <w:marTop w:val="0"/>
          <w:marBottom w:val="0"/>
          <w:divBdr>
            <w:top w:val="none" w:sz="0" w:space="0" w:color="auto"/>
            <w:left w:val="none" w:sz="0" w:space="0" w:color="auto"/>
            <w:bottom w:val="none" w:sz="0" w:space="0" w:color="auto"/>
            <w:right w:val="none" w:sz="0" w:space="0" w:color="auto"/>
          </w:divBdr>
        </w:div>
        <w:div w:id="259023022">
          <w:marLeft w:val="0"/>
          <w:marRight w:val="0"/>
          <w:marTop w:val="0"/>
          <w:marBottom w:val="0"/>
          <w:divBdr>
            <w:top w:val="none" w:sz="0" w:space="0" w:color="auto"/>
            <w:left w:val="none" w:sz="0" w:space="0" w:color="auto"/>
            <w:bottom w:val="none" w:sz="0" w:space="0" w:color="auto"/>
            <w:right w:val="none" w:sz="0" w:space="0" w:color="auto"/>
          </w:divBdr>
        </w:div>
        <w:div w:id="317000009">
          <w:marLeft w:val="0"/>
          <w:marRight w:val="0"/>
          <w:marTop w:val="0"/>
          <w:marBottom w:val="0"/>
          <w:divBdr>
            <w:top w:val="none" w:sz="0" w:space="0" w:color="auto"/>
            <w:left w:val="none" w:sz="0" w:space="0" w:color="auto"/>
            <w:bottom w:val="none" w:sz="0" w:space="0" w:color="auto"/>
            <w:right w:val="none" w:sz="0" w:space="0" w:color="auto"/>
          </w:divBdr>
        </w:div>
        <w:div w:id="616329147">
          <w:marLeft w:val="0"/>
          <w:marRight w:val="0"/>
          <w:marTop w:val="0"/>
          <w:marBottom w:val="0"/>
          <w:divBdr>
            <w:top w:val="none" w:sz="0" w:space="0" w:color="auto"/>
            <w:left w:val="none" w:sz="0" w:space="0" w:color="auto"/>
            <w:bottom w:val="none" w:sz="0" w:space="0" w:color="auto"/>
            <w:right w:val="none" w:sz="0" w:space="0" w:color="auto"/>
          </w:divBdr>
        </w:div>
        <w:div w:id="1516461606">
          <w:marLeft w:val="0"/>
          <w:marRight w:val="0"/>
          <w:marTop w:val="0"/>
          <w:marBottom w:val="0"/>
          <w:divBdr>
            <w:top w:val="none" w:sz="0" w:space="0" w:color="auto"/>
            <w:left w:val="none" w:sz="0" w:space="0" w:color="auto"/>
            <w:bottom w:val="none" w:sz="0" w:space="0" w:color="auto"/>
            <w:right w:val="none" w:sz="0" w:space="0" w:color="auto"/>
          </w:divBdr>
        </w:div>
      </w:divsChild>
    </w:div>
    <w:div w:id="810366997">
      <w:bodyDiv w:val="1"/>
      <w:marLeft w:val="0"/>
      <w:marRight w:val="0"/>
      <w:marTop w:val="0"/>
      <w:marBottom w:val="0"/>
      <w:divBdr>
        <w:top w:val="none" w:sz="0" w:space="0" w:color="auto"/>
        <w:left w:val="none" w:sz="0" w:space="0" w:color="auto"/>
        <w:bottom w:val="none" w:sz="0" w:space="0" w:color="auto"/>
        <w:right w:val="none" w:sz="0" w:space="0" w:color="auto"/>
      </w:divBdr>
      <w:divsChild>
        <w:div w:id="357134">
          <w:marLeft w:val="0"/>
          <w:marRight w:val="0"/>
          <w:marTop w:val="0"/>
          <w:marBottom w:val="0"/>
          <w:divBdr>
            <w:top w:val="none" w:sz="0" w:space="0" w:color="auto"/>
            <w:left w:val="none" w:sz="0" w:space="0" w:color="auto"/>
            <w:bottom w:val="none" w:sz="0" w:space="0" w:color="auto"/>
            <w:right w:val="none" w:sz="0" w:space="0" w:color="auto"/>
          </w:divBdr>
        </w:div>
        <w:div w:id="121730331">
          <w:marLeft w:val="0"/>
          <w:marRight w:val="0"/>
          <w:marTop w:val="0"/>
          <w:marBottom w:val="0"/>
          <w:divBdr>
            <w:top w:val="none" w:sz="0" w:space="0" w:color="auto"/>
            <w:left w:val="none" w:sz="0" w:space="0" w:color="auto"/>
            <w:bottom w:val="none" w:sz="0" w:space="0" w:color="auto"/>
            <w:right w:val="none" w:sz="0" w:space="0" w:color="auto"/>
          </w:divBdr>
        </w:div>
        <w:div w:id="793715888">
          <w:marLeft w:val="0"/>
          <w:marRight w:val="0"/>
          <w:marTop w:val="0"/>
          <w:marBottom w:val="0"/>
          <w:divBdr>
            <w:top w:val="none" w:sz="0" w:space="0" w:color="auto"/>
            <w:left w:val="none" w:sz="0" w:space="0" w:color="auto"/>
            <w:bottom w:val="none" w:sz="0" w:space="0" w:color="auto"/>
            <w:right w:val="none" w:sz="0" w:space="0" w:color="auto"/>
          </w:divBdr>
        </w:div>
        <w:div w:id="1084884567">
          <w:marLeft w:val="0"/>
          <w:marRight w:val="0"/>
          <w:marTop w:val="0"/>
          <w:marBottom w:val="0"/>
          <w:divBdr>
            <w:top w:val="none" w:sz="0" w:space="0" w:color="auto"/>
            <w:left w:val="none" w:sz="0" w:space="0" w:color="auto"/>
            <w:bottom w:val="none" w:sz="0" w:space="0" w:color="auto"/>
            <w:right w:val="none" w:sz="0" w:space="0" w:color="auto"/>
          </w:divBdr>
        </w:div>
        <w:div w:id="2130276023">
          <w:marLeft w:val="0"/>
          <w:marRight w:val="0"/>
          <w:marTop w:val="0"/>
          <w:marBottom w:val="0"/>
          <w:divBdr>
            <w:top w:val="none" w:sz="0" w:space="0" w:color="auto"/>
            <w:left w:val="none" w:sz="0" w:space="0" w:color="auto"/>
            <w:bottom w:val="none" w:sz="0" w:space="0" w:color="auto"/>
            <w:right w:val="none" w:sz="0" w:space="0" w:color="auto"/>
          </w:divBdr>
        </w:div>
      </w:divsChild>
    </w:div>
    <w:div w:id="826897697">
      <w:bodyDiv w:val="1"/>
      <w:marLeft w:val="0"/>
      <w:marRight w:val="0"/>
      <w:marTop w:val="0"/>
      <w:marBottom w:val="0"/>
      <w:divBdr>
        <w:top w:val="none" w:sz="0" w:space="0" w:color="auto"/>
        <w:left w:val="none" w:sz="0" w:space="0" w:color="auto"/>
        <w:bottom w:val="none" w:sz="0" w:space="0" w:color="auto"/>
        <w:right w:val="none" w:sz="0" w:space="0" w:color="auto"/>
      </w:divBdr>
      <w:divsChild>
        <w:div w:id="550075866">
          <w:marLeft w:val="0"/>
          <w:marRight w:val="0"/>
          <w:marTop w:val="0"/>
          <w:marBottom w:val="0"/>
          <w:divBdr>
            <w:top w:val="none" w:sz="0" w:space="0" w:color="auto"/>
            <w:left w:val="none" w:sz="0" w:space="0" w:color="auto"/>
            <w:bottom w:val="none" w:sz="0" w:space="0" w:color="auto"/>
            <w:right w:val="none" w:sz="0" w:space="0" w:color="auto"/>
          </w:divBdr>
        </w:div>
        <w:div w:id="551119087">
          <w:marLeft w:val="0"/>
          <w:marRight w:val="0"/>
          <w:marTop w:val="0"/>
          <w:marBottom w:val="0"/>
          <w:divBdr>
            <w:top w:val="none" w:sz="0" w:space="0" w:color="auto"/>
            <w:left w:val="none" w:sz="0" w:space="0" w:color="auto"/>
            <w:bottom w:val="none" w:sz="0" w:space="0" w:color="auto"/>
            <w:right w:val="none" w:sz="0" w:space="0" w:color="auto"/>
          </w:divBdr>
        </w:div>
        <w:div w:id="832836313">
          <w:marLeft w:val="0"/>
          <w:marRight w:val="0"/>
          <w:marTop w:val="0"/>
          <w:marBottom w:val="0"/>
          <w:divBdr>
            <w:top w:val="none" w:sz="0" w:space="0" w:color="auto"/>
            <w:left w:val="none" w:sz="0" w:space="0" w:color="auto"/>
            <w:bottom w:val="none" w:sz="0" w:space="0" w:color="auto"/>
            <w:right w:val="none" w:sz="0" w:space="0" w:color="auto"/>
          </w:divBdr>
        </w:div>
        <w:div w:id="838275605">
          <w:marLeft w:val="0"/>
          <w:marRight w:val="0"/>
          <w:marTop w:val="0"/>
          <w:marBottom w:val="0"/>
          <w:divBdr>
            <w:top w:val="none" w:sz="0" w:space="0" w:color="auto"/>
            <w:left w:val="none" w:sz="0" w:space="0" w:color="auto"/>
            <w:bottom w:val="none" w:sz="0" w:space="0" w:color="auto"/>
            <w:right w:val="none" w:sz="0" w:space="0" w:color="auto"/>
          </w:divBdr>
        </w:div>
        <w:div w:id="885029435">
          <w:marLeft w:val="0"/>
          <w:marRight w:val="0"/>
          <w:marTop w:val="0"/>
          <w:marBottom w:val="0"/>
          <w:divBdr>
            <w:top w:val="none" w:sz="0" w:space="0" w:color="auto"/>
            <w:left w:val="none" w:sz="0" w:space="0" w:color="auto"/>
            <w:bottom w:val="none" w:sz="0" w:space="0" w:color="auto"/>
            <w:right w:val="none" w:sz="0" w:space="0" w:color="auto"/>
          </w:divBdr>
        </w:div>
        <w:div w:id="1040782934">
          <w:marLeft w:val="0"/>
          <w:marRight w:val="0"/>
          <w:marTop w:val="0"/>
          <w:marBottom w:val="0"/>
          <w:divBdr>
            <w:top w:val="none" w:sz="0" w:space="0" w:color="auto"/>
            <w:left w:val="none" w:sz="0" w:space="0" w:color="auto"/>
            <w:bottom w:val="none" w:sz="0" w:space="0" w:color="auto"/>
            <w:right w:val="none" w:sz="0" w:space="0" w:color="auto"/>
          </w:divBdr>
        </w:div>
        <w:div w:id="1287008291">
          <w:marLeft w:val="0"/>
          <w:marRight w:val="0"/>
          <w:marTop w:val="0"/>
          <w:marBottom w:val="0"/>
          <w:divBdr>
            <w:top w:val="none" w:sz="0" w:space="0" w:color="auto"/>
            <w:left w:val="none" w:sz="0" w:space="0" w:color="auto"/>
            <w:bottom w:val="none" w:sz="0" w:space="0" w:color="auto"/>
            <w:right w:val="none" w:sz="0" w:space="0" w:color="auto"/>
          </w:divBdr>
        </w:div>
        <w:div w:id="1551572932">
          <w:marLeft w:val="0"/>
          <w:marRight w:val="0"/>
          <w:marTop w:val="0"/>
          <w:marBottom w:val="0"/>
          <w:divBdr>
            <w:top w:val="none" w:sz="0" w:space="0" w:color="auto"/>
            <w:left w:val="none" w:sz="0" w:space="0" w:color="auto"/>
            <w:bottom w:val="none" w:sz="0" w:space="0" w:color="auto"/>
            <w:right w:val="none" w:sz="0" w:space="0" w:color="auto"/>
          </w:divBdr>
        </w:div>
        <w:div w:id="1641571515">
          <w:marLeft w:val="0"/>
          <w:marRight w:val="0"/>
          <w:marTop w:val="0"/>
          <w:marBottom w:val="0"/>
          <w:divBdr>
            <w:top w:val="none" w:sz="0" w:space="0" w:color="auto"/>
            <w:left w:val="none" w:sz="0" w:space="0" w:color="auto"/>
            <w:bottom w:val="none" w:sz="0" w:space="0" w:color="auto"/>
            <w:right w:val="none" w:sz="0" w:space="0" w:color="auto"/>
          </w:divBdr>
        </w:div>
        <w:div w:id="1926724718">
          <w:marLeft w:val="0"/>
          <w:marRight w:val="0"/>
          <w:marTop w:val="0"/>
          <w:marBottom w:val="0"/>
          <w:divBdr>
            <w:top w:val="none" w:sz="0" w:space="0" w:color="auto"/>
            <w:left w:val="none" w:sz="0" w:space="0" w:color="auto"/>
            <w:bottom w:val="none" w:sz="0" w:space="0" w:color="auto"/>
            <w:right w:val="none" w:sz="0" w:space="0" w:color="auto"/>
          </w:divBdr>
        </w:div>
        <w:div w:id="2096703215">
          <w:marLeft w:val="0"/>
          <w:marRight w:val="0"/>
          <w:marTop w:val="0"/>
          <w:marBottom w:val="0"/>
          <w:divBdr>
            <w:top w:val="none" w:sz="0" w:space="0" w:color="auto"/>
            <w:left w:val="none" w:sz="0" w:space="0" w:color="auto"/>
            <w:bottom w:val="none" w:sz="0" w:space="0" w:color="auto"/>
            <w:right w:val="none" w:sz="0" w:space="0" w:color="auto"/>
          </w:divBdr>
        </w:div>
      </w:divsChild>
    </w:div>
    <w:div w:id="839004726">
      <w:bodyDiv w:val="1"/>
      <w:marLeft w:val="0"/>
      <w:marRight w:val="0"/>
      <w:marTop w:val="0"/>
      <w:marBottom w:val="0"/>
      <w:divBdr>
        <w:top w:val="none" w:sz="0" w:space="0" w:color="auto"/>
        <w:left w:val="none" w:sz="0" w:space="0" w:color="auto"/>
        <w:bottom w:val="none" w:sz="0" w:space="0" w:color="auto"/>
        <w:right w:val="none" w:sz="0" w:space="0" w:color="auto"/>
      </w:divBdr>
      <w:divsChild>
        <w:div w:id="548343958">
          <w:marLeft w:val="0"/>
          <w:marRight w:val="0"/>
          <w:marTop w:val="0"/>
          <w:marBottom w:val="0"/>
          <w:divBdr>
            <w:top w:val="none" w:sz="0" w:space="0" w:color="auto"/>
            <w:left w:val="none" w:sz="0" w:space="0" w:color="auto"/>
            <w:bottom w:val="none" w:sz="0" w:space="0" w:color="auto"/>
            <w:right w:val="none" w:sz="0" w:space="0" w:color="auto"/>
          </w:divBdr>
        </w:div>
        <w:div w:id="773668146">
          <w:marLeft w:val="0"/>
          <w:marRight w:val="0"/>
          <w:marTop w:val="0"/>
          <w:marBottom w:val="0"/>
          <w:divBdr>
            <w:top w:val="none" w:sz="0" w:space="0" w:color="auto"/>
            <w:left w:val="none" w:sz="0" w:space="0" w:color="auto"/>
            <w:bottom w:val="none" w:sz="0" w:space="0" w:color="auto"/>
            <w:right w:val="none" w:sz="0" w:space="0" w:color="auto"/>
          </w:divBdr>
        </w:div>
        <w:div w:id="854228985">
          <w:marLeft w:val="0"/>
          <w:marRight w:val="0"/>
          <w:marTop w:val="0"/>
          <w:marBottom w:val="0"/>
          <w:divBdr>
            <w:top w:val="none" w:sz="0" w:space="0" w:color="auto"/>
            <w:left w:val="none" w:sz="0" w:space="0" w:color="auto"/>
            <w:bottom w:val="none" w:sz="0" w:space="0" w:color="auto"/>
            <w:right w:val="none" w:sz="0" w:space="0" w:color="auto"/>
          </w:divBdr>
        </w:div>
        <w:div w:id="909533496">
          <w:marLeft w:val="0"/>
          <w:marRight w:val="0"/>
          <w:marTop w:val="0"/>
          <w:marBottom w:val="0"/>
          <w:divBdr>
            <w:top w:val="none" w:sz="0" w:space="0" w:color="auto"/>
            <w:left w:val="none" w:sz="0" w:space="0" w:color="auto"/>
            <w:bottom w:val="none" w:sz="0" w:space="0" w:color="auto"/>
            <w:right w:val="none" w:sz="0" w:space="0" w:color="auto"/>
          </w:divBdr>
        </w:div>
        <w:div w:id="964770310">
          <w:marLeft w:val="0"/>
          <w:marRight w:val="0"/>
          <w:marTop w:val="0"/>
          <w:marBottom w:val="0"/>
          <w:divBdr>
            <w:top w:val="none" w:sz="0" w:space="0" w:color="auto"/>
            <w:left w:val="none" w:sz="0" w:space="0" w:color="auto"/>
            <w:bottom w:val="none" w:sz="0" w:space="0" w:color="auto"/>
            <w:right w:val="none" w:sz="0" w:space="0" w:color="auto"/>
          </w:divBdr>
        </w:div>
        <w:div w:id="1286892880">
          <w:marLeft w:val="0"/>
          <w:marRight w:val="0"/>
          <w:marTop w:val="0"/>
          <w:marBottom w:val="0"/>
          <w:divBdr>
            <w:top w:val="none" w:sz="0" w:space="0" w:color="auto"/>
            <w:left w:val="none" w:sz="0" w:space="0" w:color="auto"/>
            <w:bottom w:val="none" w:sz="0" w:space="0" w:color="auto"/>
            <w:right w:val="none" w:sz="0" w:space="0" w:color="auto"/>
          </w:divBdr>
        </w:div>
        <w:div w:id="1479613516">
          <w:marLeft w:val="0"/>
          <w:marRight w:val="0"/>
          <w:marTop w:val="0"/>
          <w:marBottom w:val="0"/>
          <w:divBdr>
            <w:top w:val="none" w:sz="0" w:space="0" w:color="auto"/>
            <w:left w:val="none" w:sz="0" w:space="0" w:color="auto"/>
            <w:bottom w:val="none" w:sz="0" w:space="0" w:color="auto"/>
            <w:right w:val="none" w:sz="0" w:space="0" w:color="auto"/>
          </w:divBdr>
        </w:div>
      </w:divsChild>
    </w:div>
    <w:div w:id="839396065">
      <w:bodyDiv w:val="1"/>
      <w:marLeft w:val="0"/>
      <w:marRight w:val="0"/>
      <w:marTop w:val="0"/>
      <w:marBottom w:val="0"/>
      <w:divBdr>
        <w:top w:val="none" w:sz="0" w:space="0" w:color="auto"/>
        <w:left w:val="none" w:sz="0" w:space="0" w:color="auto"/>
        <w:bottom w:val="none" w:sz="0" w:space="0" w:color="auto"/>
        <w:right w:val="none" w:sz="0" w:space="0" w:color="auto"/>
      </w:divBdr>
      <w:divsChild>
        <w:div w:id="71658877">
          <w:marLeft w:val="0"/>
          <w:marRight w:val="0"/>
          <w:marTop w:val="0"/>
          <w:marBottom w:val="0"/>
          <w:divBdr>
            <w:top w:val="none" w:sz="0" w:space="0" w:color="auto"/>
            <w:left w:val="none" w:sz="0" w:space="0" w:color="auto"/>
            <w:bottom w:val="none" w:sz="0" w:space="0" w:color="auto"/>
            <w:right w:val="none" w:sz="0" w:space="0" w:color="auto"/>
          </w:divBdr>
        </w:div>
        <w:div w:id="223566315">
          <w:marLeft w:val="0"/>
          <w:marRight w:val="0"/>
          <w:marTop w:val="0"/>
          <w:marBottom w:val="0"/>
          <w:divBdr>
            <w:top w:val="none" w:sz="0" w:space="0" w:color="auto"/>
            <w:left w:val="none" w:sz="0" w:space="0" w:color="auto"/>
            <w:bottom w:val="none" w:sz="0" w:space="0" w:color="auto"/>
            <w:right w:val="none" w:sz="0" w:space="0" w:color="auto"/>
          </w:divBdr>
        </w:div>
        <w:div w:id="324431398">
          <w:marLeft w:val="0"/>
          <w:marRight w:val="0"/>
          <w:marTop w:val="0"/>
          <w:marBottom w:val="0"/>
          <w:divBdr>
            <w:top w:val="none" w:sz="0" w:space="0" w:color="auto"/>
            <w:left w:val="none" w:sz="0" w:space="0" w:color="auto"/>
            <w:bottom w:val="none" w:sz="0" w:space="0" w:color="auto"/>
            <w:right w:val="none" w:sz="0" w:space="0" w:color="auto"/>
          </w:divBdr>
        </w:div>
        <w:div w:id="1470241801">
          <w:marLeft w:val="0"/>
          <w:marRight w:val="0"/>
          <w:marTop w:val="0"/>
          <w:marBottom w:val="0"/>
          <w:divBdr>
            <w:top w:val="none" w:sz="0" w:space="0" w:color="auto"/>
            <w:left w:val="none" w:sz="0" w:space="0" w:color="auto"/>
            <w:bottom w:val="none" w:sz="0" w:space="0" w:color="auto"/>
            <w:right w:val="none" w:sz="0" w:space="0" w:color="auto"/>
          </w:divBdr>
        </w:div>
        <w:div w:id="2137260529">
          <w:marLeft w:val="0"/>
          <w:marRight w:val="0"/>
          <w:marTop w:val="0"/>
          <w:marBottom w:val="0"/>
          <w:divBdr>
            <w:top w:val="none" w:sz="0" w:space="0" w:color="auto"/>
            <w:left w:val="none" w:sz="0" w:space="0" w:color="auto"/>
            <w:bottom w:val="none" w:sz="0" w:space="0" w:color="auto"/>
            <w:right w:val="none" w:sz="0" w:space="0" w:color="auto"/>
          </w:divBdr>
        </w:div>
      </w:divsChild>
    </w:div>
    <w:div w:id="842162986">
      <w:bodyDiv w:val="1"/>
      <w:marLeft w:val="0"/>
      <w:marRight w:val="0"/>
      <w:marTop w:val="0"/>
      <w:marBottom w:val="0"/>
      <w:divBdr>
        <w:top w:val="none" w:sz="0" w:space="0" w:color="auto"/>
        <w:left w:val="none" w:sz="0" w:space="0" w:color="auto"/>
        <w:bottom w:val="none" w:sz="0" w:space="0" w:color="auto"/>
        <w:right w:val="none" w:sz="0" w:space="0" w:color="auto"/>
      </w:divBdr>
      <w:divsChild>
        <w:div w:id="1309165768">
          <w:marLeft w:val="0"/>
          <w:marRight w:val="0"/>
          <w:marTop w:val="0"/>
          <w:marBottom w:val="0"/>
          <w:divBdr>
            <w:top w:val="none" w:sz="0" w:space="0" w:color="auto"/>
            <w:left w:val="none" w:sz="0" w:space="0" w:color="auto"/>
            <w:bottom w:val="none" w:sz="0" w:space="0" w:color="auto"/>
            <w:right w:val="none" w:sz="0" w:space="0" w:color="auto"/>
          </w:divBdr>
        </w:div>
      </w:divsChild>
    </w:div>
    <w:div w:id="863858186">
      <w:bodyDiv w:val="1"/>
      <w:marLeft w:val="0"/>
      <w:marRight w:val="0"/>
      <w:marTop w:val="0"/>
      <w:marBottom w:val="0"/>
      <w:divBdr>
        <w:top w:val="none" w:sz="0" w:space="0" w:color="auto"/>
        <w:left w:val="none" w:sz="0" w:space="0" w:color="auto"/>
        <w:bottom w:val="none" w:sz="0" w:space="0" w:color="auto"/>
        <w:right w:val="none" w:sz="0" w:space="0" w:color="auto"/>
      </w:divBdr>
      <w:divsChild>
        <w:div w:id="283586154">
          <w:marLeft w:val="0"/>
          <w:marRight w:val="0"/>
          <w:marTop w:val="0"/>
          <w:marBottom w:val="0"/>
          <w:divBdr>
            <w:top w:val="none" w:sz="0" w:space="0" w:color="auto"/>
            <w:left w:val="none" w:sz="0" w:space="0" w:color="auto"/>
            <w:bottom w:val="none" w:sz="0" w:space="0" w:color="auto"/>
            <w:right w:val="none" w:sz="0" w:space="0" w:color="auto"/>
          </w:divBdr>
        </w:div>
        <w:div w:id="657996456">
          <w:marLeft w:val="0"/>
          <w:marRight w:val="0"/>
          <w:marTop w:val="0"/>
          <w:marBottom w:val="0"/>
          <w:divBdr>
            <w:top w:val="none" w:sz="0" w:space="0" w:color="auto"/>
            <w:left w:val="none" w:sz="0" w:space="0" w:color="auto"/>
            <w:bottom w:val="none" w:sz="0" w:space="0" w:color="auto"/>
            <w:right w:val="none" w:sz="0" w:space="0" w:color="auto"/>
          </w:divBdr>
        </w:div>
        <w:div w:id="822625051">
          <w:marLeft w:val="0"/>
          <w:marRight w:val="0"/>
          <w:marTop w:val="0"/>
          <w:marBottom w:val="0"/>
          <w:divBdr>
            <w:top w:val="none" w:sz="0" w:space="0" w:color="auto"/>
            <w:left w:val="none" w:sz="0" w:space="0" w:color="auto"/>
            <w:bottom w:val="none" w:sz="0" w:space="0" w:color="auto"/>
            <w:right w:val="none" w:sz="0" w:space="0" w:color="auto"/>
          </w:divBdr>
        </w:div>
        <w:div w:id="953943168">
          <w:marLeft w:val="0"/>
          <w:marRight w:val="0"/>
          <w:marTop w:val="0"/>
          <w:marBottom w:val="0"/>
          <w:divBdr>
            <w:top w:val="none" w:sz="0" w:space="0" w:color="auto"/>
            <w:left w:val="none" w:sz="0" w:space="0" w:color="auto"/>
            <w:bottom w:val="none" w:sz="0" w:space="0" w:color="auto"/>
            <w:right w:val="none" w:sz="0" w:space="0" w:color="auto"/>
          </w:divBdr>
        </w:div>
        <w:div w:id="1074745487">
          <w:marLeft w:val="0"/>
          <w:marRight w:val="0"/>
          <w:marTop w:val="0"/>
          <w:marBottom w:val="0"/>
          <w:divBdr>
            <w:top w:val="none" w:sz="0" w:space="0" w:color="auto"/>
            <w:left w:val="none" w:sz="0" w:space="0" w:color="auto"/>
            <w:bottom w:val="none" w:sz="0" w:space="0" w:color="auto"/>
            <w:right w:val="none" w:sz="0" w:space="0" w:color="auto"/>
          </w:divBdr>
        </w:div>
        <w:div w:id="1757969812">
          <w:marLeft w:val="0"/>
          <w:marRight w:val="0"/>
          <w:marTop w:val="0"/>
          <w:marBottom w:val="0"/>
          <w:divBdr>
            <w:top w:val="none" w:sz="0" w:space="0" w:color="auto"/>
            <w:left w:val="none" w:sz="0" w:space="0" w:color="auto"/>
            <w:bottom w:val="none" w:sz="0" w:space="0" w:color="auto"/>
            <w:right w:val="none" w:sz="0" w:space="0" w:color="auto"/>
          </w:divBdr>
        </w:div>
        <w:div w:id="1770352249">
          <w:marLeft w:val="0"/>
          <w:marRight w:val="0"/>
          <w:marTop w:val="0"/>
          <w:marBottom w:val="0"/>
          <w:divBdr>
            <w:top w:val="none" w:sz="0" w:space="0" w:color="auto"/>
            <w:left w:val="none" w:sz="0" w:space="0" w:color="auto"/>
            <w:bottom w:val="none" w:sz="0" w:space="0" w:color="auto"/>
            <w:right w:val="none" w:sz="0" w:space="0" w:color="auto"/>
          </w:divBdr>
        </w:div>
      </w:divsChild>
    </w:div>
    <w:div w:id="927274441">
      <w:bodyDiv w:val="1"/>
      <w:marLeft w:val="0"/>
      <w:marRight w:val="0"/>
      <w:marTop w:val="0"/>
      <w:marBottom w:val="0"/>
      <w:divBdr>
        <w:top w:val="none" w:sz="0" w:space="0" w:color="auto"/>
        <w:left w:val="none" w:sz="0" w:space="0" w:color="auto"/>
        <w:bottom w:val="none" w:sz="0" w:space="0" w:color="auto"/>
        <w:right w:val="none" w:sz="0" w:space="0" w:color="auto"/>
      </w:divBdr>
      <w:divsChild>
        <w:div w:id="213011509">
          <w:marLeft w:val="0"/>
          <w:marRight w:val="0"/>
          <w:marTop w:val="0"/>
          <w:marBottom w:val="0"/>
          <w:divBdr>
            <w:top w:val="none" w:sz="0" w:space="0" w:color="auto"/>
            <w:left w:val="none" w:sz="0" w:space="0" w:color="auto"/>
            <w:bottom w:val="none" w:sz="0" w:space="0" w:color="auto"/>
            <w:right w:val="none" w:sz="0" w:space="0" w:color="auto"/>
          </w:divBdr>
        </w:div>
        <w:div w:id="409229709">
          <w:marLeft w:val="0"/>
          <w:marRight w:val="0"/>
          <w:marTop w:val="0"/>
          <w:marBottom w:val="0"/>
          <w:divBdr>
            <w:top w:val="none" w:sz="0" w:space="0" w:color="auto"/>
            <w:left w:val="none" w:sz="0" w:space="0" w:color="auto"/>
            <w:bottom w:val="none" w:sz="0" w:space="0" w:color="auto"/>
            <w:right w:val="none" w:sz="0" w:space="0" w:color="auto"/>
          </w:divBdr>
        </w:div>
        <w:div w:id="446659586">
          <w:marLeft w:val="0"/>
          <w:marRight w:val="0"/>
          <w:marTop w:val="0"/>
          <w:marBottom w:val="0"/>
          <w:divBdr>
            <w:top w:val="none" w:sz="0" w:space="0" w:color="auto"/>
            <w:left w:val="none" w:sz="0" w:space="0" w:color="auto"/>
            <w:bottom w:val="none" w:sz="0" w:space="0" w:color="auto"/>
            <w:right w:val="none" w:sz="0" w:space="0" w:color="auto"/>
          </w:divBdr>
        </w:div>
        <w:div w:id="556940726">
          <w:marLeft w:val="0"/>
          <w:marRight w:val="0"/>
          <w:marTop w:val="0"/>
          <w:marBottom w:val="0"/>
          <w:divBdr>
            <w:top w:val="none" w:sz="0" w:space="0" w:color="auto"/>
            <w:left w:val="none" w:sz="0" w:space="0" w:color="auto"/>
            <w:bottom w:val="none" w:sz="0" w:space="0" w:color="auto"/>
            <w:right w:val="none" w:sz="0" w:space="0" w:color="auto"/>
          </w:divBdr>
        </w:div>
        <w:div w:id="576979733">
          <w:marLeft w:val="0"/>
          <w:marRight w:val="0"/>
          <w:marTop w:val="0"/>
          <w:marBottom w:val="0"/>
          <w:divBdr>
            <w:top w:val="none" w:sz="0" w:space="0" w:color="auto"/>
            <w:left w:val="none" w:sz="0" w:space="0" w:color="auto"/>
            <w:bottom w:val="none" w:sz="0" w:space="0" w:color="auto"/>
            <w:right w:val="none" w:sz="0" w:space="0" w:color="auto"/>
          </w:divBdr>
        </w:div>
        <w:div w:id="1373378929">
          <w:marLeft w:val="0"/>
          <w:marRight w:val="0"/>
          <w:marTop w:val="0"/>
          <w:marBottom w:val="0"/>
          <w:divBdr>
            <w:top w:val="none" w:sz="0" w:space="0" w:color="auto"/>
            <w:left w:val="none" w:sz="0" w:space="0" w:color="auto"/>
            <w:bottom w:val="none" w:sz="0" w:space="0" w:color="auto"/>
            <w:right w:val="none" w:sz="0" w:space="0" w:color="auto"/>
          </w:divBdr>
        </w:div>
        <w:div w:id="1940482497">
          <w:marLeft w:val="0"/>
          <w:marRight w:val="0"/>
          <w:marTop w:val="0"/>
          <w:marBottom w:val="0"/>
          <w:divBdr>
            <w:top w:val="none" w:sz="0" w:space="0" w:color="auto"/>
            <w:left w:val="none" w:sz="0" w:space="0" w:color="auto"/>
            <w:bottom w:val="none" w:sz="0" w:space="0" w:color="auto"/>
            <w:right w:val="none" w:sz="0" w:space="0" w:color="auto"/>
          </w:divBdr>
        </w:div>
      </w:divsChild>
    </w:div>
    <w:div w:id="955795374">
      <w:bodyDiv w:val="1"/>
      <w:marLeft w:val="0"/>
      <w:marRight w:val="0"/>
      <w:marTop w:val="0"/>
      <w:marBottom w:val="0"/>
      <w:divBdr>
        <w:top w:val="none" w:sz="0" w:space="0" w:color="auto"/>
        <w:left w:val="none" w:sz="0" w:space="0" w:color="auto"/>
        <w:bottom w:val="none" w:sz="0" w:space="0" w:color="auto"/>
        <w:right w:val="none" w:sz="0" w:space="0" w:color="auto"/>
      </w:divBdr>
      <w:divsChild>
        <w:div w:id="12196324">
          <w:marLeft w:val="0"/>
          <w:marRight w:val="0"/>
          <w:marTop w:val="0"/>
          <w:marBottom w:val="0"/>
          <w:divBdr>
            <w:top w:val="none" w:sz="0" w:space="0" w:color="auto"/>
            <w:left w:val="none" w:sz="0" w:space="0" w:color="auto"/>
            <w:bottom w:val="none" w:sz="0" w:space="0" w:color="auto"/>
            <w:right w:val="none" w:sz="0" w:space="0" w:color="auto"/>
          </w:divBdr>
        </w:div>
        <w:div w:id="184103939">
          <w:marLeft w:val="0"/>
          <w:marRight w:val="0"/>
          <w:marTop w:val="0"/>
          <w:marBottom w:val="0"/>
          <w:divBdr>
            <w:top w:val="none" w:sz="0" w:space="0" w:color="auto"/>
            <w:left w:val="none" w:sz="0" w:space="0" w:color="auto"/>
            <w:bottom w:val="none" w:sz="0" w:space="0" w:color="auto"/>
            <w:right w:val="none" w:sz="0" w:space="0" w:color="auto"/>
          </w:divBdr>
        </w:div>
        <w:div w:id="804275372">
          <w:marLeft w:val="0"/>
          <w:marRight w:val="0"/>
          <w:marTop w:val="0"/>
          <w:marBottom w:val="0"/>
          <w:divBdr>
            <w:top w:val="none" w:sz="0" w:space="0" w:color="auto"/>
            <w:left w:val="none" w:sz="0" w:space="0" w:color="auto"/>
            <w:bottom w:val="none" w:sz="0" w:space="0" w:color="auto"/>
            <w:right w:val="none" w:sz="0" w:space="0" w:color="auto"/>
          </w:divBdr>
        </w:div>
        <w:div w:id="1403068359">
          <w:marLeft w:val="0"/>
          <w:marRight w:val="0"/>
          <w:marTop w:val="0"/>
          <w:marBottom w:val="0"/>
          <w:divBdr>
            <w:top w:val="none" w:sz="0" w:space="0" w:color="auto"/>
            <w:left w:val="none" w:sz="0" w:space="0" w:color="auto"/>
            <w:bottom w:val="none" w:sz="0" w:space="0" w:color="auto"/>
            <w:right w:val="none" w:sz="0" w:space="0" w:color="auto"/>
          </w:divBdr>
        </w:div>
        <w:div w:id="1655522636">
          <w:marLeft w:val="0"/>
          <w:marRight w:val="0"/>
          <w:marTop w:val="0"/>
          <w:marBottom w:val="0"/>
          <w:divBdr>
            <w:top w:val="none" w:sz="0" w:space="0" w:color="auto"/>
            <w:left w:val="none" w:sz="0" w:space="0" w:color="auto"/>
            <w:bottom w:val="none" w:sz="0" w:space="0" w:color="auto"/>
            <w:right w:val="none" w:sz="0" w:space="0" w:color="auto"/>
          </w:divBdr>
        </w:div>
        <w:div w:id="1680962277">
          <w:marLeft w:val="0"/>
          <w:marRight w:val="0"/>
          <w:marTop w:val="0"/>
          <w:marBottom w:val="0"/>
          <w:divBdr>
            <w:top w:val="none" w:sz="0" w:space="0" w:color="auto"/>
            <w:left w:val="none" w:sz="0" w:space="0" w:color="auto"/>
            <w:bottom w:val="none" w:sz="0" w:space="0" w:color="auto"/>
            <w:right w:val="none" w:sz="0" w:space="0" w:color="auto"/>
          </w:divBdr>
        </w:div>
        <w:div w:id="2007398903">
          <w:marLeft w:val="0"/>
          <w:marRight w:val="0"/>
          <w:marTop w:val="0"/>
          <w:marBottom w:val="0"/>
          <w:divBdr>
            <w:top w:val="none" w:sz="0" w:space="0" w:color="auto"/>
            <w:left w:val="none" w:sz="0" w:space="0" w:color="auto"/>
            <w:bottom w:val="none" w:sz="0" w:space="0" w:color="auto"/>
            <w:right w:val="none" w:sz="0" w:space="0" w:color="auto"/>
          </w:divBdr>
        </w:div>
      </w:divsChild>
    </w:div>
    <w:div w:id="963653603">
      <w:bodyDiv w:val="1"/>
      <w:marLeft w:val="0"/>
      <w:marRight w:val="0"/>
      <w:marTop w:val="0"/>
      <w:marBottom w:val="0"/>
      <w:divBdr>
        <w:top w:val="none" w:sz="0" w:space="0" w:color="auto"/>
        <w:left w:val="none" w:sz="0" w:space="0" w:color="auto"/>
        <w:bottom w:val="none" w:sz="0" w:space="0" w:color="auto"/>
        <w:right w:val="none" w:sz="0" w:space="0" w:color="auto"/>
      </w:divBdr>
      <w:divsChild>
        <w:div w:id="139884260">
          <w:marLeft w:val="0"/>
          <w:marRight w:val="0"/>
          <w:marTop w:val="0"/>
          <w:marBottom w:val="0"/>
          <w:divBdr>
            <w:top w:val="none" w:sz="0" w:space="0" w:color="auto"/>
            <w:left w:val="none" w:sz="0" w:space="0" w:color="auto"/>
            <w:bottom w:val="none" w:sz="0" w:space="0" w:color="auto"/>
            <w:right w:val="none" w:sz="0" w:space="0" w:color="auto"/>
          </w:divBdr>
        </w:div>
        <w:div w:id="201862581">
          <w:marLeft w:val="0"/>
          <w:marRight w:val="0"/>
          <w:marTop w:val="0"/>
          <w:marBottom w:val="0"/>
          <w:divBdr>
            <w:top w:val="none" w:sz="0" w:space="0" w:color="auto"/>
            <w:left w:val="none" w:sz="0" w:space="0" w:color="auto"/>
            <w:bottom w:val="none" w:sz="0" w:space="0" w:color="auto"/>
            <w:right w:val="none" w:sz="0" w:space="0" w:color="auto"/>
          </w:divBdr>
        </w:div>
        <w:div w:id="448547686">
          <w:marLeft w:val="0"/>
          <w:marRight w:val="0"/>
          <w:marTop w:val="0"/>
          <w:marBottom w:val="0"/>
          <w:divBdr>
            <w:top w:val="none" w:sz="0" w:space="0" w:color="auto"/>
            <w:left w:val="none" w:sz="0" w:space="0" w:color="auto"/>
            <w:bottom w:val="none" w:sz="0" w:space="0" w:color="auto"/>
            <w:right w:val="none" w:sz="0" w:space="0" w:color="auto"/>
          </w:divBdr>
        </w:div>
        <w:div w:id="618224713">
          <w:marLeft w:val="0"/>
          <w:marRight w:val="0"/>
          <w:marTop w:val="0"/>
          <w:marBottom w:val="0"/>
          <w:divBdr>
            <w:top w:val="none" w:sz="0" w:space="0" w:color="auto"/>
            <w:left w:val="none" w:sz="0" w:space="0" w:color="auto"/>
            <w:bottom w:val="none" w:sz="0" w:space="0" w:color="auto"/>
            <w:right w:val="none" w:sz="0" w:space="0" w:color="auto"/>
          </w:divBdr>
        </w:div>
        <w:div w:id="675882005">
          <w:marLeft w:val="0"/>
          <w:marRight w:val="0"/>
          <w:marTop w:val="0"/>
          <w:marBottom w:val="0"/>
          <w:divBdr>
            <w:top w:val="none" w:sz="0" w:space="0" w:color="auto"/>
            <w:left w:val="none" w:sz="0" w:space="0" w:color="auto"/>
            <w:bottom w:val="none" w:sz="0" w:space="0" w:color="auto"/>
            <w:right w:val="none" w:sz="0" w:space="0" w:color="auto"/>
          </w:divBdr>
        </w:div>
        <w:div w:id="970134513">
          <w:marLeft w:val="0"/>
          <w:marRight w:val="0"/>
          <w:marTop w:val="0"/>
          <w:marBottom w:val="0"/>
          <w:divBdr>
            <w:top w:val="none" w:sz="0" w:space="0" w:color="auto"/>
            <w:left w:val="none" w:sz="0" w:space="0" w:color="auto"/>
            <w:bottom w:val="none" w:sz="0" w:space="0" w:color="auto"/>
            <w:right w:val="none" w:sz="0" w:space="0" w:color="auto"/>
          </w:divBdr>
        </w:div>
        <w:div w:id="997655123">
          <w:marLeft w:val="0"/>
          <w:marRight w:val="0"/>
          <w:marTop w:val="0"/>
          <w:marBottom w:val="0"/>
          <w:divBdr>
            <w:top w:val="none" w:sz="0" w:space="0" w:color="auto"/>
            <w:left w:val="none" w:sz="0" w:space="0" w:color="auto"/>
            <w:bottom w:val="none" w:sz="0" w:space="0" w:color="auto"/>
            <w:right w:val="none" w:sz="0" w:space="0" w:color="auto"/>
          </w:divBdr>
        </w:div>
        <w:div w:id="998196200">
          <w:marLeft w:val="0"/>
          <w:marRight w:val="0"/>
          <w:marTop w:val="0"/>
          <w:marBottom w:val="0"/>
          <w:divBdr>
            <w:top w:val="none" w:sz="0" w:space="0" w:color="auto"/>
            <w:left w:val="none" w:sz="0" w:space="0" w:color="auto"/>
            <w:bottom w:val="none" w:sz="0" w:space="0" w:color="auto"/>
            <w:right w:val="none" w:sz="0" w:space="0" w:color="auto"/>
          </w:divBdr>
        </w:div>
        <w:div w:id="1549489331">
          <w:marLeft w:val="0"/>
          <w:marRight w:val="0"/>
          <w:marTop w:val="0"/>
          <w:marBottom w:val="0"/>
          <w:divBdr>
            <w:top w:val="none" w:sz="0" w:space="0" w:color="auto"/>
            <w:left w:val="none" w:sz="0" w:space="0" w:color="auto"/>
            <w:bottom w:val="none" w:sz="0" w:space="0" w:color="auto"/>
            <w:right w:val="none" w:sz="0" w:space="0" w:color="auto"/>
          </w:divBdr>
        </w:div>
        <w:div w:id="1827553903">
          <w:marLeft w:val="0"/>
          <w:marRight w:val="0"/>
          <w:marTop w:val="0"/>
          <w:marBottom w:val="0"/>
          <w:divBdr>
            <w:top w:val="none" w:sz="0" w:space="0" w:color="auto"/>
            <w:left w:val="none" w:sz="0" w:space="0" w:color="auto"/>
            <w:bottom w:val="none" w:sz="0" w:space="0" w:color="auto"/>
            <w:right w:val="none" w:sz="0" w:space="0" w:color="auto"/>
          </w:divBdr>
        </w:div>
        <w:div w:id="1870490572">
          <w:marLeft w:val="0"/>
          <w:marRight w:val="0"/>
          <w:marTop w:val="0"/>
          <w:marBottom w:val="0"/>
          <w:divBdr>
            <w:top w:val="none" w:sz="0" w:space="0" w:color="auto"/>
            <w:left w:val="none" w:sz="0" w:space="0" w:color="auto"/>
            <w:bottom w:val="none" w:sz="0" w:space="0" w:color="auto"/>
            <w:right w:val="none" w:sz="0" w:space="0" w:color="auto"/>
          </w:divBdr>
        </w:div>
      </w:divsChild>
    </w:div>
    <w:div w:id="970286098">
      <w:bodyDiv w:val="1"/>
      <w:marLeft w:val="0"/>
      <w:marRight w:val="0"/>
      <w:marTop w:val="0"/>
      <w:marBottom w:val="0"/>
      <w:divBdr>
        <w:top w:val="none" w:sz="0" w:space="0" w:color="auto"/>
        <w:left w:val="none" w:sz="0" w:space="0" w:color="auto"/>
        <w:bottom w:val="none" w:sz="0" w:space="0" w:color="auto"/>
        <w:right w:val="none" w:sz="0" w:space="0" w:color="auto"/>
      </w:divBdr>
      <w:divsChild>
        <w:div w:id="122508298">
          <w:marLeft w:val="0"/>
          <w:marRight w:val="0"/>
          <w:marTop w:val="0"/>
          <w:marBottom w:val="0"/>
          <w:divBdr>
            <w:top w:val="none" w:sz="0" w:space="0" w:color="auto"/>
            <w:left w:val="none" w:sz="0" w:space="0" w:color="auto"/>
            <w:bottom w:val="none" w:sz="0" w:space="0" w:color="auto"/>
            <w:right w:val="none" w:sz="0" w:space="0" w:color="auto"/>
          </w:divBdr>
        </w:div>
        <w:div w:id="341710776">
          <w:marLeft w:val="0"/>
          <w:marRight w:val="0"/>
          <w:marTop w:val="0"/>
          <w:marBottom w:val="0"/>
          <w:divBdr>
            <w:top w:val="none" w:sz="0" w:space="0" w:color="auto"/>
            <w:left w:val="none" w:sz="0" w:space="0" w:color="auto"/>
            <w:bottom w:val="none" w:sz="0" w:space="0" w:color="auto"/>
            <w:right w:val="none" w:sz="0" w:space="0" w:color="auto"/>
          </w:divBdr>
        </w:div>
        <w:div w:id="510491361">
          <w:marLeft w:val="0"/>
          <w:marRight w:val="0"/>
          <w:marTop w:val="0"/>
          <w:marBottom w:val="0"/>
          <w:divBdr>
            <w:top w:val="none" w:sz="0" w:space="0" w:color="auto"/>
            <w:left w:val="none" w:sz="0" w:space="0" w:color="auto"/>
            <w:bottom w:val="none" w:sz="0" w:space="0" w:color="auto"/>
            <w:right w:val="none" w:sz="0" w:space="0" w:color="auto"/>
          </w:divBdr>
        </w:div>
        <w:div w:id="642546534">
          <w:marLeft w:val="0"/>
          <w:marRight w:val="0"/>
          <w:marTop w:val="0"/>
          <w:marBottom w:val="0"/>
          <w:divBdr>
            <w:top w:val="none" w:sz="0" w:space="0" w:color="auto"/>
            <w:left w:val="none" w:sz="0" w:space="0" w:color="auto"/>
            <w:bottom w:val="none" w:sz="0" w:space="0" w:color="auto"/>
            <w:right w:val="none" w:sz="0" w:space="0" w:color="auto"/>
          </w:divBdr>
        </w:div>
        <w:div w:id="973752622">
          <w:marLeft w:val="0"/>
          <w:marRight w:val="0"/>
          <w:marTop w:val="0"/>
          <w:marBottom w:val="0"/>
          <w:divBdr>
            <w:top w:val="none" w:sz="0" w:space="0" w:color="auto"/>
            <w:left w:val="none" w:sz="0" w:space="0" w:color="auto"/>
            <w:bottom w:val="none" w:sz="0" w:space="0" w:color="auto"/>
            <w:right w:val="none" w:sz="0" w:space="0" w:color="auto"/>
          </w:divBdr>
        </w:div>
      </w:divsChild>
    </w:div>
    <w:div w:id="983779123">
      <w:bodyDiv w:val="1"/>
      <w:marLeft w:val="0"/>
      <w:marRight w:val="0"/>
      <w:marTop w:val="0"/>
      <w:marBottom w:val="0"/>
      <w:divBdr>
        <w:top w:val="none" w:sz="0" w:space="0" w:color="auto"/>
        <w:left w:val="none" w:sz="0" w:space="0" w:color="auto"/>
        <w:bottom w:val="none" w:sz="0" w:space="0" w:color="auto"/>
        <w:right w:val="none" w:sz="0" w:space="0" w:color="auto"/>
      </w:divBdr>
      <w:divsChild>
        <w:div w:id="287857724">
          <w:marLeft w:val="0"/>
          <w:marRight w:val="0"/>
          <w:marTop w:val="0"/>
          <w:marBottom w:val="0"/>
          <w:divBdr>
            <w:top w:val="none" w:sz="0" w:space="0" w:color="auto"/>
            <w:left w:val="none" w:sz="0" w:space="0" w:color="auto"/>
            <w:bottom w:val="none" w:sz="0" w:space="0" w:color="auto"/>
            <w:right w:val="none" w:sz="0" w:space="0" w:color="auto"/>
          </w:divBdr>
        </w:div>
        <w:div w:id="340739041">
          <w:marLeft w:val="0"/>
          <w:marRight w:val="0"/>
          <w:marTop w:val="0"/>
          <w:marBottom w:val="0"/>
          <w:divBdr>
            <w:top w:val="none" w:sz="0" w:space="0" w:color="auto"/>
            <w:left w:val="none" w:sz="0" w:space="0" w:color="auto"/>
            <w:bottom w:val="none" w:sz="0" w:space="0" w:color="auto"/>
            <w:right w:val="none" w:sz="0" w:space="0" w:color="auto"/>
          </w:divBdr>
        </w:div>
        <w:div w:id="435830196">
          <w:marLeft w:val="0"/>
          <w:marRight w:val="0"/>
          <w:marTop w:val="0"/>
          <w:marBottom w:val="0"/>
          <w:divBdr>
            <w:top w:val="none" w:sz="0" w:space="0" w:color="auto"/>
            <w:left w:val="none" w:sz="0" w:space="0" w:color="auto"/>
            <w:bottom w:val="none" w:sz="0" w:space="0" w:color="auto"/>
            <w:right w:val="none" w:sz="0" w:space="0" w:color="auto"/>
          </w:divBdr>
        </w:div>
        <w:div w:id="585572497">
          <w:marLeft w:val="0"/>
          <w:marRight w:val="0"/>
          <w:marTop w:val="0"/>
          <w:marBottom w:val="0"/>
          <w:divBdr>
            <w:top w:val="none" w:sz="0" w:space="0" w:color="auto"/>
            <w:left w:val="none" w:sz="0" w:space="0" w:color="auto"/>
            <w:bottom w:val="none" w:sz="0" w:space="0" w:color="auto"/>
            <w:right w:val="none" w:sz="0" w:space="0" w:color="auto"/>
          </w:divBdr>
        </w:div>
        <w:div w:id="832186998">
          <w:marLeft w:val="0"/>
          <w:marRight w:val="0"/>
          <w:marTop w:val="0"/>
          <w:marBottom w:val="0"/>
          <w:divBdr>
            <w:top w:val="none" w:sz="0" w:space="0" w:color="auto"/>
            <w:left w:val="none" w:sz="0" w:space="0" w:color="auto"/>
            <w:bottom w:val="none" w:sz="0" w:space="0" w:color="auto"/>
            <w:right w:val="none" w:sz="0" w:space="0" w:color="auto"/>
          </w:divBdr>
        </w:div>
        <w:div w:id="1693919138">
          <w:marLeft w:val="0"/>
          <w:marRight w:val="0"/>
          <w:marTop w:val="0"/>
          <w:marBottom w:val="0"/>
          <w:divBdr>
            <w:top w:val="none" w:sz="0" w:space="0" w:color="auto"/>
            <w:left w:val="none" w:sz="0" w:space="0" w:color="auto"/>
            <w:bottom w:val="none" w:sz="0" w:space="0" w:color="auto"/>
            <w:right w:val="none" w:sz="0" w:space="0" w:color="auto"/>
          </w:divBdr>
        </w:div>
        <w:div w:id="1740639706">
          <w:marLeft w:val="0"/>
          <w:marRight w:val="0"/>
          <w:marTop w:val="0"/>
          <w:marBottom w:val="0"/>
          <w:divBdr>
            <w:top w:val="none" w:sz="0" w:space="0" w:color="auto"/>
            <w:left w:val="none" w:sz="0" w:space="0" w:color="auto"/>
            <w:bottom w:val="none" w:sz="0" w:space="0" w:color="auto"/>
            <w:right w:val="none" w:sz="0" w:space="0" w:color="auto"/>
          </w:divBdr>
        </w:div>
        <w:div w:id="2046055367">
          <w:marLeft w:val="0"/>
          <w:marRight w:val="0"/>
          <w:marTop w:val="0"/>
          <w:marBottom w:val="0"/>
          <w:divBdr>
            <w:top w:val="none" w:sz="0" w:space="0" w:color="auto"/>
            <w:left w:val="none" w:sz="0" w:space="0" w:color="auto"/>
            <w:bottom w:val="none" w:sz="0" w:space="0" w:color="auto"/>
            <w:right w:val="none" w:sz="0" w:space="0" w:color="auto"/>
          </w:divBdr>
        </w:div>
        <w:div w:id="2110660434">
          <w:marLeft w:val="0"/>
          <w:marRight w:val="0"/>
          <w:marTop w:val="0"/>
          <w:marBottom w:val="0"/>
          <w:divBdr>
            <w:top w:val="none" w:sz="0" w:space="0" w:color="auto"/>
            <w:left w:val="none" w:sz="0" w:space="0" w:color="auto"/>
            <w:bottom w:val="none" w:sz="0" w:space="0" w:color="auto"/>
            <w:right w:val="none" w:sz="0" w:space="0" w:color="auto"/>
          </w:divBdr>
        </w:div>
      </w:divsChild>
    </w:div>
    <w:div w:id="998459655">
      <w:bodyDiv w:val="1"/>
      <w:marLeft w:val="0"/>
      <w:marRight w:val="0"/>
      <w:marTop w:val="0"/>
      <w:marBottom w:val="0"/>
      <w:divBdr>
        <w:top w:val="none" w:sz="0" w:space="0" w:color="auto"/>
        <w:left w:val="none" w:sz="0" w:space="0" w:color="auto"/>
        <w:bottom w:val="none" w:sz="0" w:space="0" w:color="auto"/>
        <w:right w:val="none" w:sz="0" w:space="0" w:color="auto"/>
      </w:divBdr>
      <w:divsChild>
        <w:div w:id="273557766">
          <w:marLeft w:val="0"/>
          <w:marRight w:val="0"/>
          <w:marTop w:val="0"/>
          <w:marBottom w:val="0"/>
          <w:divBdr>
            <w:top w:val="none" w:sz="0" w:space="0" w:color="auto"/>
            <w:left w:val="none" w:sz="0" w:space="0" w:color="auto"/>
            <w:bottom w:val="none" w:sz="0" w:space="0" w:color="auto"/>
            <w:right w:val="none" w:sz="0" w:space="0" w:color="auto"/>
          </w:divBdr>
        </w:div>
        <w:div w:id="522018263">
          <w:marLeft w:val="0"/>
          <w:marRight w:val="0"/>
          <w:marTop w:val="0"/>
          <w:marBottom w:val="0"/>
          <w:divBdr>
            <w:top w:val="none" w:sz="0" w:space="0" w:color="auto"/>
            <w:left w:val="none" w:sz="0" w:space="0" w:color="auto"/>
            <w:bottom w:val="none" w:sz="0" w:space="0" w:color="auto"/>
            <w:right w:val="none" w:sz="0" w:space="0" w:color="auto"/>
          </w:divBdr>
        </w:div>
        <w:div w:id="758865016">
          <w:marLeft w:val="0"/>
          <w:marRight w:val="0"/>
          <w:marTop w:val="0"/>
          <w:marBottom w:val="0"/>
          <w:divBdr>
            <w:top w:val="none" w:sz="0" w:space="0" w:color="auto"/>
            <w:left w:val="none" w:sz="0" w:space="0" w:color="auto"/>
            <w:bottom w:val="none" w:sz="0" w:space="0" w:color="auto"/>
            <w:right w:val="none" w:sz="0" w:space="0" w:color="auto"/>
          </w:divBdr>
        </w:div>
        <w:div w:id="1854100931">
          <w:marLeft w:val="0"/>
          <w:marRight w:val="0"/>
          <w:marTop w:val="0"/>
          <w:marBottom w:val="0"/>
          <w:divBdr>
            <w:top w:val="none" w:sz="0" w:space="0" w:color="auto"/>
            <w:left w:val="none" w:sz="0" w:space="0" w:color="auto"/>
            <w:bottom w:val="none" w:sz="0" w:space="0" w:color="auto"/>
            <w:right w:val="none" w:sz="0" w:space="0" w:color="auto"/>
          </w:divBdr>
        </w:div>
        <w:div w:id="2045861278">
          <w:marLeft w:val="0"/>
          <w:marRight w:val="0"/>
          <w:marTop w:val="0"/>
          <w:marBottom w:val="0"/>
          <w:divBdr>
            <w:top w:val="none" w:sz="0" w:space="0" w:color="auto"/>
            <w:left w:val="none" w:sz="0" w:space="0" w:color="auto"/>
            <w:bottom w:val="none" w:sz="0" w:space="0" w:color="auto"/>
            <w:right w:val="none" w:sz="0" w:space="0" w:color="auto"/>
          </w:divBdr>
        </w:div>
      </w:divsChild>
    </w:div>
    <w:div w:id="1004213167">
      <w:bodyDiv w:val="1"/>
      <w:marLeft w:val="0"/>
      <w:marRight w:val="0"/>
      <w:marTop w:val="0"/>
      <w:marBottom w:val="0"/>
      <w:divBdr>
        <w:top w:val="none" w:sz="0" w:space="0" w:color="auto"/>
        <w:left w:val="none" w:sz="0" w:space="0" w:color="auto"/>
        <w:bottom w:val="none" w:sz="0" w:space="0" w:color="auto"/>
        <w:right w:val="none" w:sz="0" w:space="0" w:color="auto"/>
      </w:divBdr>
      <w:divsChild>
        <w:div w:id="365057736">
          <w:marLeft w:val="0"/>
          <w:marRight w:val="0"/>
          <w:marTop w:val="0"/>
          <w:marBottom w:val="0"/>
          <w:divBdr>
            <w:top w:val="none" w:sz="0" w:space="0" w:color="auto"/>
            <w:left w:val="none" w:sz="0" w:space="0" w:color="auto"/>
            <w:bottom w:val="none" w:sz="0" w:space="0" w:color="auto"/>
            <w:right w:val="none" w:sz="0" w:space="0" w:color="auto"/>
          </w:divBdr>
        </w:div>
        <w:div w:id="478351286">
          <w:marLeft w:val="0"/>
          <w:marRight w:val="0"/>
          <w:marTop w:val="0"/>
          <w:marBottom w:val="0"/>
          <w:divBdr>
            <w:top w:val="none" w:sz="0" w:space="0" w:color="auto"/>
            <w:left w:val="none" w:sz="0" w:space="0" w:color="auto"/>
            <w:bottom w:val="none" w:sz="0" w:space="0" w:color="auto"/>
            <w:right w:val="none" w:sz="0" w:space="0" w:color="auto"/>
          </w:divBdr>
        </w:div>
        <w:div w:id="622927045">
          <w:marLeft w:val="0"/>
          <w:marRight w:val="0"/>
          <w:marTop w:val="0"/>
          <w:marBottom w:val="0"/>
          <w:divBdr>
            <w:top w:val="none" w:sz="0" w:space="0" w:color="auto"/>
            <w:left w:val="none" w:sz="0" w:space="0" w:color="auto"/>
            <w:bottom w:val="none" w:sz="0" w:space="0" w:color="auto"/>
            <w:right w:val="none" w:sz="0" w:space="0" w:color="auto"/>
          </w:divBdr>
        </w:div>
        <w:div w:id="870842799">
          <w:marLeft w:val="0"/>
          <w:marRight w:val="0"/>
          <w:marTop w:val="0"/>
          <w:marBottom w:val="0"/>
          <w:divBdr>
            <w:top w:val="none" w:sz="0" w:space="0" w:color="auto"/>
            <w:left w:val="none" w:sz="0" w:space="0" w:color="auto"/>
            <w:bottom w:val="none" w:sz="0" w:space="0" w:color="auto"/>
            <w:right w:val="none" w:sz="0" w:space="0" w:color="auto"/>
          </w:divBdr>
        </w:div>
        <w:div w:id="1321811135">
          <w:marLeft w:val="0"/>
          <w:marRight w:val="0"/>
          <w:marTop w:val="0"/>
          <w:marBottom w:val="0"/>
          <w:divBdr>
            <w:top w:val="none" w:sz="0" w:space="0" w:color="auto"/>
            <w:left w:val="none" w:sz="0" w:space="0" w:color="auto"/>
            <w:bottom w:val="none" w:sz="0" w:space="0" w:color="auto"/>
            <w:right w:val="none" w:sz="0" w:space="0" w:color="auto"/>
          </w:divBdr>
        </w:div>
        <w:div w:id="1379084480">
          <w:marLeft w:val="0"/>
          <w:marRight w:val="0"/>
          <w:marTop w:val="0"/>
          <w:marBottom w:val="0"/>
          <w:divBdr>
            <w:top w:val="none" w:sz="0" w:space="0" w:color="auto"/>
            <w:left w:val="none" w:sz="0" w:space="0" w:color="auto"/>
            <w:bottom w:val="none" w:sz="0" w:space="0" w:color="auto"/>
            <w:right w:val="none" w:sz="0" w:space="0" w:color="auto"/>
          </w:divBdr>
        </w:div>
        <w:div w:id="1507281025">
          <w:marLeft w:val="0"/>
          <w:marRight w:val="0"/>
          <w:marTop w:val="0"/>
          <w:marBottom w:val="0"/>
          <w:divBdr>
            <w:top w:val="none" w:sz="0" w:space="0" w:color="auto"/>
            <w:left w:val="none" w:sz="0" w:space="0" w:color="auto"/>
            <w:bottom w:val="none" w:sz="0" w:space="0" w:color="auto"/>
            <w:right w:val="none" w:sz="0" w:space="0" w:color="auto"/>
          </w:divBdr>
        </w:div>
      </w:divsChild>
    </w:div>
    <w:div w:id="1016346037">
      <w:bodyDiv w:val="1"/>
      <w:marLeft w:val="0"/>
      <w:marRight w:val="0"/>
      <w:marTop w:val="0"/>
      <w:marBottom w:val="0"/>
      <w:divBdr>
        <w:top w:val="none" w:sz="0" w:space="0" w:color="auto"/>
        <w:left w:val="none" w:sz="0" w:space="0" w:color="auto"/>
        <w:bottom w:val="none" w:sz="0" w:space="0" w:color="auto"/>
        <w:right w:val="none" w:sz="0" w:space="0" w:color="auto"/>
      </w:divBdr>
      <w:divsChild>
        <w:div w:id="82452887">
          <w:marLeft w:val="0"/>
          <w:marRight w:val="0"/>
          <w:marTop w:val="0"/>
          <w:marBottom w:val="0"/>
          <w:divBdr>
            <w:top w:val="none" w:sz="0" w:space="0" w:color="auto"/>
            <w:left w:val="none" w:sz="0" w:space="0" w:color="auto"/>
            <w:bottom w:val="none" w:sz="0" w:space="0" w:color="auto"/>
            <w:right w:val="none" w:sz="0" w:space="0" w:color="auto"/>
          </w:divBdr>
        </w:div>
        <w:div w:id="320013606">
          <w:marLeft w:val="0"/>
          <w:marRight w:val="0"/>
          <w:marTop w:val="0"/>
          <w:marBottom w:val="0"/>
          <w:divBdr>
            <w:top w:val="none" w:sz="0" w:space="0" w:color="auto"/>
            <w:left w:val="none" w:sz="0" w:space="0" w:color="auto"/>
            <w:bottom w:val="none" w:sz="0" w:space="0" w:color="auto"/>
            <w:right w:val="none" w:sz="0" w:space="0" w:color="auto"/>
          </w:divBdr>
        </w:div>
        <w:div w:id="394742142">
          <w:marLeft w:val="0"/>
          <w:marRight w:val="0"/>
          <w:marTop w:val="0"/>
          <w:marBottom w:val="0"/>
          <w:divBdr>
            <w:top w:val="none" w:sz="0" w:space="0" w:color="auto"/>
            <w:left w:val="none" w:sz="0" w:space="0" w:color="auto"/>
            <w:bottom w:val="none" w:sz="0" w:space="0" w:color="auto"/>
            <w:right w:val="none" w:sz="0" w:space="0" w:color="auto"/>
          </w:divBdr>
        </w:div>
        <w:div w:id="472336874">
          <w:marLeft w:val="0"/>
          <w:marRight w:val="0"/>
          <w:marTop w:val="0"/>
          <w:marBottom w:val="0"/>
          <w:divBdr>
            <w:top w:val="none" w:sz="0" w:space="0" w:color="auto"/>
            <w:left w:val="none" w:sz="0" w:space="0" w:color="auto"/>
            <w:bottom w:val="none" w:sz="0" w:space="0" w:color="auto"/>
            <w:right w:val="none" w:sz="0" w:space="0" w:color="auto"/>
          </w:divBdr>
        </w:div>
        <w:div w:id="475758531">
          <w:marLeft w:val="0"/>
          <w:marRight w:val="0"/>
          <w:marTop w:val="0"/>
          <w:marBottom w:val="0"/>
          <w:divBdr>
            <w:top w:val="none" w:sz="0" w:space="0" w:color="auto"/>
            <w:left w:val="none" w:sz="0" w:space="0" w:color="auto"/>
            <w:bottom w:val="none" w:sz="0" w:space="0" w:color="auto"/>
            <w:right w:val="none" w:sz="0" w:space="0" w:color="auto"/>
          </w:divBdr>
        </w:div>
        <w:div w:id="1974677404">
          <w:marLeft w:val="0"/>
          <w:marRight w:val="0"/>
          <w:marTop w:val="0"/>
          <w:marBottom w:val="0"/>
          <w:divBdr>
            <w:top w:val="none" w:sz="0" w:space="0" w:color="auto"/>
            <w:left w:val="none" w:sz="0" w:space="0" w:color="auto"/>
            <w:bottom w:val="none" w:sz="0" w:space="0" w:color="auto"/>
            <w:right w:val="none" w:sz="0" w:space="0" w:color="auto"/>
          </w:divBdr>
          <w:divsChild>
            <w:div w:id="519510428">
              <w:marLeft w:val="0"/>
              <w:marRight w:val="0"/>
              <w:marTop w:val="0"/>
              <w:marBottom w:val="0"/>
              <w:divBdr>
                <w:top w:val="none" w:sz="0" w:space="0" w:color="auto"/>
                <w:left w:val="none" w:sz="0" w:space="0" w:color="auto"/>
                <w:bottom w:val="none" w:sz="0" w:space="0" w:color="auto"/>
                <w:right w:val="none" w:sz="0" w:space="0" w:color="auto"/>
              </w:divBdr>
            </w:div>
            <w:div w:id="1601256225">
              <w:marLeft w:val="0"/>
              <w:marRight w:val="0"/>
              <w:marTop w:val="0"/>
              <w:marBottom w:val="0"/>
              <w:divBdr>
                <w:top w:val="none" w:sz="0" w:space="0" w:color="auto"/>
                <w:left w:val="none" w:sz="0" w:space="0" w:color="auto"/>
                <w:bottom w:val="none" w:sz="0" w:space="0" w:color="auto"/>
                <w:right w:val="none" w:sz="0" w:space="0" w:color="auto"/>
              </w:divBdr>
            </w:div>
            <w:div w:id="1631981018">
              <w:marLeft w:val="0"/>
              <w:marRight w:val="0"/>
              <w:marTop w:val="0"/>
              <w:marBottom w:val="0"/>
              <w:divBdr>
                <w:top w:val="none" w:sz="0" w:space="0" w:color="auto"/>
                <w:left w:val="none" w:sz="0" w:space="0" w:color="auto"/>
                <w:bottom w:val="none" w:sz="0" w:space="0" w:color="auto"/>
                <w:right w:val="none" w:sz="0" w:space="0" w:color="auto"/>
              </w:divBdr>
            </w:div>
            <w:div w:id="1828476060">
              <w:marLeft w:val="0"/>
              <w:marRight w:val="0"/>
              <w:marTop w:val="0"/>
              <w:marBottom w:val="0"/>
              <w:divBdr>
                <w:top w:val="none" w:sz="0" w:space="0" w:color="auto"/>
                <w:left w:val="none" w:sz="0" w:space="0" w:color="auto"/>
                <w:bottom w:val="none" w:sz="0" w:space="0" w:color="auto"/>
                <w:right w:val="none" w:sz="0" w:space="0" w:color="auto"/>
              </w:divBdr>
            </w:div>
            <w:div w:id="1876692954">
              <w:marLeft w:val="0"/>
              <w:marRight w:val="0"/>
              <w:marTop w:val="0"/>
              <w:marBottom w:val="0"/>
              <w:divBdr>
                <w:top w:val="none" w:sz="0" w:space="0" w:color="auto"/>
                <w:left w:val="none" w:sz="0" w:space="0" w:color="auto"/>
                <w:bottom w:val="none" w:sz="0" w:space="0" w:color="auto"/>
                <w:right w:val="none" w:sz="0" w:space="0" w:color="auto"/>
              </w:divBdr>
            </w:div>
          </w:divsChild>
        </w:div>
        <w:div w:id="773210653">
          <w:marLeft w:val="0"/>
          <w:marRight w:val="0"/>
          <w:marTop w:val="0"/>
          <w:marBottom w:val="0"/>
          <w:divBdr>
            <w:top w:val="none" w:sz="0" w:space="0" w:color="auto"/>
            <w:left w:val="none" w:sz="0" w:space="0" w:color="auto"/>
            <w:bottom w:val="none" w:sz="0" w:space="0" w:color="auto"/>
            <w:right w:val="none" w:sz="0" w:space="0" w:color="auto"/>
          </w:divBdr>
        </w:div>
        <w:div w:id="807552500">
          <w:marLeft w:val="0"/>
          <w:marRight w:val="0"/>
          <w:marTop w:val="0"/>
          <w:marBottom w:val="0"/>
          <w:divBdr>
            <w:top w:val="none" w:sz="0" w:space="0" w:color="auto"/>
            <w:left w:val="none" w:sz="0" w:space="0" w:color="auto"/>
            <w:bottom w:val="none" w:sz="0" w:space="0" w:color="auto"/>
            <w:right w:val="none" w:sz="0" w:space="0" w:color="auto"/>
          </w:divBdr>
        </w:div>
        <w:div w:id="1543328140">
          <w:marLeft w:val="0"/>
          <w:marRight w:val="0"/>
          <w:marTop w:val="0"/>
          <w:marBottom w:val="0"/>
          <w:divBdr>
            <w:top w:val="none" w:sz="0" w:space="0" w:color="auto"/>
            <w:left w:val="none" w:sz="0" w:space="0" w:color="auto"/>
            <w:bottom w:val="none" w:sz="0" w:space="0" w:color="auto"/>
            <w:right w:val="none" w:sz="0" w:space="0" w:color="auto"/>
          </w:divBdr>
        </w:div>
        <w:div w:id="1639993502">
          <w:marLeft w:val="0"/>
          <w:marRight w:val="0"/>
          <w:marTop w:val="0"/>
          <w:marBottom w:val="0"/>
          <w:divBdr>
            <w:top w:val="none" w:sz="0" w:space="0" w:color="auto"/>
            <w:left w:val="none" w:sz="0" w:space="0" w:color="auto"/>
            <w:bottom w:val="none" w:sz="0" w:space="0" w:color="auto"/>
            <w:right w:val="none" w:sz="0" w:space="0" w:color="auto"/>
          </w:divBdr>
        </w:div>
        <w:div w:id="1652784311">
          <w:marLeft w:val="0"/>
          <w:marRight w:val="0"/>
          <w:marTop w:val="0"/>
          <w:marBottom w:val="0"/>
          <w:divBdr>
            <w:top w:val="none" w:sz="0" w:space="0" w:color="auto"/>
            <w:left w:val="none" w:sz="0" w:space="0" w:color="auto"/>
            <w:bottom w:val="none" w:sz="0" w:space="0" w:color="auto"/>
            <w:right w:val="none" w:sz="0" w:space="0" w:color="auto"/>
          </w:divBdr>
        </w:div>
        <w:div w:id="2016375320">
          <w:marLeft w:val="0"/>
          <w:marRight w:val="0"/>
          <w:marTop w:val="0"/>
          <w:marBottom w:val="0"/>
          <w:divBdr>
            <w:top w:val="none" w:sz="0" w:space="0" w:color="auto"/>
            <w:left w:val="none" w:sz="0" w:space="0" w:color="auto"/>
            <w:bottom w:val="none" w:sz="0" w:space="0" w:color="auto"/>
            <w:right w:val="none" w:sz="0" w:space="0" w:color="auto"/>
          </w:divBdr>
        </w:div>
        <w:div w:id="2093502095">
          <w:marLeft w:val="0"/>
          <w:marRight w:val="0"/>
          <w:marTop w:val="0"/>
          <w:marBottom w:val="0"/>
          <w:divBdr>
            <w:top w:val="none" w:sz="0" w:space="0" w:color="auto"/>
            <w:left w:val="none" w:sz="0" w:space="0" w:color="auto"/>
            <w:bottom w:val="none" w:sz="0" w:space="0" w:color="auto"/>
            <w:right w:val="none" w:sz="0" w:space="0" w:color="auto"/>
          </w:divBdr>
        </w:div>
      </w:divsChild>
    </w:div>
    <w:div w:id="1033769882">
      <w:bodyDiv w:val="1"/>
      <w:marLeft w:val="0"/>
      <w:marRight w:val="0"/>
      <w:marTop w:val="0"/>
      <w:marBottom w:val="0"/>
      <w:divBdr>
        <w:top w:val="none" w:sz="0" w:space="0" w:color="auto"/>
        <w:left w:val="none" w:sz="0" w:space="0" w:color="auto"/>
        <w:bottom w:val="none" w:sz="0" w:space="0" w:color="auto"/>
        <w:right w:val="none" w:sz="0" w:space="0" w:color="auto"/>
      </w:divBdr>
      <w:divsChild>
        <w:div w:id="352220942">
          <w:marLeft w:val="0"/>
          <w:marRight w:val="0"/>
          <w:marTop w:val="0"/>
          <w:marBottom w:val="0"/>
          <w:divBdr>
            <w:top w:val="none" w:sz="0" w:space="0" w:color="auto"/>
            <w:left w:val="none" w:sz="0" w:space="0" w:color="auto"/>
            <w:bottom w:val="none" w:sz="0" w:space="0" w:color="auto"/>
            <w:right w:val="none" w:sz="0" w:space="0" w:color="auto"/>
          </w:divBdr>
        </w:div>
        <w:div w:id="368605191">
          <w:marLeft w:val="0"/>
          <w:marRight w:val="0"/>
          <w:marTop w:val="0"/>
          <w:marBottom w:val="0"/>
          <w:divBdr>
            <w:top w:val="none" w:sz="0" w:space="0" w:color="auto"/>
            <w:left w:val="none" w:sz="0" w:space="0" w:color="auto"/>
            <w:bottom w:val="none" w:sz="0" w:space="0" w:color="auto"/>
            <w:right w:val="none" w:sz="0" w:space="0" w:color="auto"/>
          </w:divBdr>
        </w:div>
        <w:div w:id="481194523">
          <w:marLeft w:val="0"/>
          <w:marRight w:val="0"/>
          <w:marTop w:val="0"/>
          <w:marBottom w:val="0"/>
          <w:divBdr>
            <w:top w:val="none" w:sz="0" w:space="0" w:color="auto"/>
            <w:left w:val="none" w:sz="0" w:space="0" w:color="auto"/>
            <w:bottom w:val="none" w:sz="0" w:space="0" w:color="auto"/>
            <w:right w:val="none" w:sz="0" w:space="0" w:color="auto"/>
          </w:divBdr>
        </w:div>
        <w:div w:id="797065881">
          <w:marLeft w:val="0"/>
          <w:marRight w:val="0"/>
          <w:marTop w:val="0"/>
          <w:marBottom w:val="0"/>
          <w:divBdr>
            <w:top w:val="none" w:sz="0" w:space="0" w:color="auto"/>
            <w:left w:val="none" w:sz="0" w:space="0" w:color="auto"/>
            <w:bottom w:val="none" w:sz="0" w:space="0" w:color="auto"/>
            <w:right w:val="none" w:sz="0" w:space="0" w:color="auto"/>
          </w:divBdr>
        </w:div>
        <w:div w:id="1634166903">
          <w:marLeft w:val="0"/>
          <w:marRight w:val="0"/>
          <w:marTop w:val="0"/>
          <w:marBottom w:val="0"/>
          <w:divBdr>
            <w:top w:val="none" w:sz="0" w:space="0" w:color="auto"/>
            <w:left w:val="none" w:sz="0" w:space="0" w:color="auto"/>
            <w:bottom w:val="none" w:sz="0" w:space="0" w:color="auto"/>
            <w:right w:val="none" w:sz="0" w:space="0" w:color="auto"/>
          </w:divBdr>
        </w:div>
        <w:div w:id="1888301437">
          <w:marLeft w:val="0"/>
          <w:marRight w:val="0"/>
          <w:marTop w:val="0"/>
          <w:marBottom w:val="0"/>
          <w:divBdr>
            <w:top w:val="none" w:sz="0" w:space="0" w:color="auto"/>
            <w:left w:val="none" w:sz="0" w:space="0" w:color="auto"/>
            <w:bottom w:val="none" w:sz="0" w:space="0" w:color="auto"/>
            <w:right w:val="none" w:sz="0" w:space="0" w:color="auto"/>
          </w:divBdr>
        </w:div>
      </w:divsChild>
    </w:div>
    <w:div w:id="1057365276">
      <w:bodyDiv w:val="1"/>
      <w:marLeft w:val="0"/>
      <w:marRight w:val="0"/>
      <w:marTop w:val="0"/>
      <w:marBottom w:val="0"/>
      <w:divBdr>
        <w:top w:val="none" w:sz="0" w:space="0" w:color="auto"/>
        <w:left w:val="none" w:sz="0" w:space="0" w:color="auto"/>
        <w:bottom w:val="none" w:sz="0" w:space="0" w:color="auto"/>
        <w:right w:val="none" w:sz="0" w:space="0" w:color="auto"/>
      </w:divBdr>
      <w:divsChild>
        <w:div w:id="123349080">
          <w:marLeft w:val="0"/>
          <w:marRight w:val="0"/>
          <w:marTop w:val="0"/>
          <w:marBottom w:val="0"/>
          <w:divBdr>
            <w:top w:val="none" w:sz="0" w:space="0" w:color="auto"/>
            <w:left w:val="none" w:sz="0" w:space="0" w:color="auto"/>
            <w:bottom w:val="none" w:sz="0" w:space="0" w:color="auto"/>
            <w:right w:val="none" w:sz="0" w:space="0" w:color="auto"/>
          </w:divBdr>
          <w:divsChild>
            <w:div w:id="320238709">
              <w:marLeft w:val="0"/>
              <w:marRight w:val="0"/>
              <w:marTop w:val="0"/>
              <w:marBottom w:val="0"/>
              <w:divBdr>
                <w:top w:val="none" w:sz="0" w:space="0" w:color="auto"/>
                <w:left w:val="none" w:sz="0" w:space="0" w:color="auto"/>
                <w:bottom w:val="none" w:sz="0" w:space="0" w:color="auto"/>
                <w:right w:val="none" w:sz="0" w:space="0" w:color="auto"/>
              </w:divBdr>
            </w:div>
            <w:div w:id="1094596357">
              <w:marLeft w:val="0"/>
              <w:marRight w:val="0"/>
              <w:marTop w:val="0"/>
              <w:marBottom w:val="0"/>
              <w:divBdr>
                <w:top w:val="none" w:sz="0" w:space="0" w:color="auto"/>
                <w:left w:val="none" w:sz="0" w:space="0" w:color="auto"/>
                <w:bottom w:val="none" w:sz="0" w:space="0" w:color="auto"/>
                <w:right w:val="none" w:sz="0" w:space="0" w:color="auto"/>
              </w:divBdr>
            </w:div>
            <w:div w:id="1344864600">
              <w:marLeft w:val="0"/>
              <w:marRight w:val="0"/>
              <w:marTop w:val="0"/>
              <w:marBottom w:val="0"/>
              <w:divBdr>
                <w:top w:val="none" w:sz="0" w:space="0" w:color="auto"/>
                <w:left w:val="none" w:sz="0" w:space="0" w:color="auto"/>
                <w:bottom w:val="none" w:sz="0" w:space="0" w:color="auto"/>
                <w:right w:val="none" w:sz="0" w:space="0" w:color="auto"/>
              </w:divBdr>
            </w:div>
            <w:div w:id="1458139536">
              <w:marLeft w:val="0"/>
              <w:marRight w:val="0"/>
              <w:marTop w:val="0"/>
              <w:marBottom w:val="0"/>
              <w:divBdr>
                <w:top w:val="none" w:sz="0" w:space="0" w:color="auto"/>
                <w:left w:val="none" w:sz="0" w:space="0" w:color="auto"/>
                <w:bottom w:val="none" w:sz="0" w:space="0" w:color="auto"/>
                <w:right w:val="none" w:sz="0" w:space="0" w:color="auto"/>
              </w:divBdr>
            </w:div>
          </w:divsChild>
        </w:div>
        <w:div w:id="179198138">
          <w:marLeft w:val="0"/>
          <w:marRight w:val="0"/>
          <w:marTop w:val="0"/>
          <w:marBottom w:val="0"/>
          <w:divBdr>
            <w:top w:val="none" w:sz="0" w:space="0" w:color="auto"/>
            <w:left w:val="none" w:sz="0" w:space="0" w:color="auto"/>
            <w:bottom w:val="none" w:sz="0" w:space="0" w:color="auto"/>
            <w:right w:val="none" w:sz="0" w:space="0" w:color="auto"/>
          </w:divBdr>
          <w:divsChild>
            <w:div w:id="182326610">
              <w:marLeft w:val="0"/>
              <w:marRight w:val="0"/>
              <w:marTop w:val="0"/>
              <w:marBottom w:val="0"/>
              <w:divBdr>
                <w:top w:val="none" w:sz="0" w:space="0" w:color="auto"/>
                <w:left w:val="none" w:sz="0" w:space="0" w:color="auto"/>
                <w:bottom w:val="none" w:sz="0" w:space="0" w:color="auto"/>
                <w:right w:val="none" w:sz="0" w:space="0" w:color="auto"/>
              </w:divBdr>
            </w:div>
            <w:div w:id="1469515676">
              <w:marLeft w:val="0"/>
              <w:marRight w:val="0"/>
              <w:marTop w:val="0"/>
              <w:marBottom w:val="0"/>
              <w:divBdr>
                <w:top w:val="none" w:sz="0" w:space="0" w:color="auto"/>
                <w:left w:val="none" w:sz="0" w:space="0" w:color="auto"/>
                <w:bottom w:val="none" w:sz="0" w:space="0" w:color="auto"/>
                <w:right w:val="none" w:sz="0" w:space="0" w:color="auto"/>
              </w:divBdr>
            </w:div>
            <w:div w:id="1532574965">
              <w:marLeft w:val="0"/>
              <w:marRight w:val="0"/>
              <w:marTop w:val="0"/>
              <w:marBottom w:val="0"/>
              <w:divBdr>
                <w:top w:val="none" w:sz="0" w:space="0" w:color="auto"/>
                <w:left w:val="none" w:sz="0" w:space="0" w:color="auto"/>
                <w:bottom w:val="none" w:sz="0" w:space="0" w:color="auto"/>
                <w:right w:val="none" w:sz="0" w:space="0" w:color="auto"/>
              </w:divBdr>
            </w:div>
            <w:div w:id="2133934473">
              <w:marLeft w:val="0"/>
              <w:marRight w:val="0"/>
              <w:marTop w:val="0"/>
              <w:marBottom w:val="0"/>
              <w:divBdr>
                <w:top w:val="none" w:sz="0" w:space="0" w:color="auto"/>
                <w:left w:val="none" w:sz="0" w:space="0" w:color="auto"/>
                <w:bottom w:val="none" w:sz="0" w:space="0" w:color="auto"/>
                <w:right w:val="none" w:sz="0" w:space="0" w:color="auto"/>
              </w:divBdr>
            </w:div>
          </w:divsChild>
        </w:div>
        <w:div w:id="197281212">
          <w:marLeft w:val="0"/>
          <w:marRight w:val="0"/>
          <w:marTop w:val="0"/>
          <w:marBottom w:val="0"/>
          <w:divBdr>
            <w:top w:val="none" w:sz="0" w:space="0" w:color="auto"/>
            <w:left w:val="none" w:sz="0" w:space="0" w:color="auto"/>
            <w:bottom w:val="none" w:sz="0" w:space="0" w:color="auto"/>
            <w:right w:val="none" w:sz="0" w:space="0" w:color="auto"/>
          </w:divBdr>
          <w:divsChild>
            <w:div w:id="209342813">
              <w:marLeft w:val="-75"/>
              <w:marRight w:val="0"/>
              <w:marTop w:val="30"/>
              <w:marBottom w:val="30"/>
              <w:divBdr>
                <w:top w:val="none" w:sz="0" w:space="0" w:color="auto"/>
                <w:left w:val="none" w:sz="0" w:space="0" w:color="auto"/>
                <w:bottom w:val="none" w:sz="0" w:space="0" w:color="auto"/>
                <w:right w:val="none" w:sz="0" w:space="0" w:color="auto"/>
              </w:divBdr>
              <w:divsChild>
                <w:div w:id="199515500">
                  <w:marLeft w:val="0"/>
                  <w:marRight w:val="0"/>
                  <w:marTop w:val="0"/>
                  <w:marBottom w:val="0"/>
                  <w:divBdr>
                    <w:top w:val="none" w:sz="0" w:space="0" w:color="auto"/>
                    <w:left w:val="none" w:sz="0" w:space="0" w:color="auto"/>
                    <w:bottom w:val="none" w:sz="0" w:space="0" w:color="auto"/>
                    <w:right w:val="none" w:sz="0" w:space="0" w:color="auto"/>
                  </w:divBdr>
                  <w:divsChild>
                    <w:div w:id="1300844743">
                      <w:marLeft w:val="0"/>
                      <w:marRight w:val="0"/>
                      <w:marTop w:val="0"/>
                      <w:marBottom w:val="0"/>
                      <w:divBdr>
                        <w:top w:val="none" w:sz="0" w:space="0" w:color="auto"/>
                        <w:left w:val="none" w:sz="0" w:space="0" w:color="auto"/>
                        <w:bottom w:val="none" w:sz="0" w:space="0" w:color="auto"/>
                        <w:right w:val="none" w:sz="0" w:space="0" w:color="auto"/>
                      </w:divBdr>
                    </w:div>
                  </w:divsChild>
                </w:div>
                <w:div w:id="1056398675">
                  <w:marLeft w:val="0"/>
                  <w:marRight w:val="0"/>
                  <w:marTop w:val="0"/>
                  <w:marBottom w:val="0"/>
                  <w:divBdr>
                    <w:top w:val="none" w:sz="0" w:space="0" w:color="auto"/>
                    <w:left w:val="none" w:sz="0" w:space="0" w:color="auto"/>
                    <w:bottom w:val="none" w:sz="0" w:space="0" w:color="auto"/>
                    <w:right w:val="none" w:sz="0" w:space="0" w:color="auto"/>
                  </w:divBdr>
                  <w:divsChild>
                    <w:div w:id="1598171414">
                      <w:marLeft w:val="0"/>
                      <w:marRight w:val="0"/>
                      <w:marTop w:val="0"/>
                      <w:marBottom w:val="0"/>
                      <w:divBdr>
                        <w:top w:val="none" w:sz="0" w:space="0" w:color="auto"/>
                        <w:left w:val="none" w:sz="0" w:space="0" w:color="auto"/>
                        <w:bottom w:val="none" w:sz="0" w:space="0" w:color="auto"/>
                        <w:right w:val="none" w:sz="0" w:space="0" w:color="auto"/>
                      </w:divBdr>
                    </w:div>
                  </w:divsChild>
                </w:div>
                <w:div w:id="1594391203">
                  <w:marLeft w:val="0"/>
                  <w:marRight w:val="0"/>
                  <w:marTop w:val="0"/>
                  <w:marBottom w:val="0"/>
                  <w:divBdr>
                    <w:top w:val="none" w:sz="0" w:space="0" w:color="auto"/>
                    <w:left w:val="none" w:sz="0" w:space="0" w:color="auto"/>
                    <w:bottom w:val="none" w:sz="0" w:space="0" w:color="auto"/>
                    <w:right w:val="none" w:sz="0" w:space="0" w:color="auto"/>
                  </w:divBdr>
                  <w:divsChild>
                    <w:div w:id="430665054">
                      <w:marLeft w:val="0"/>
                      <w:marRight w:val="0"/>
                      <w:marTop w:val="0"/>
                      <w:marBottom w:val="0"/>
                      <w:divBdr>
                        <w:top w:val="none" w:sz="0" w:space="0" w:color="auto"/>
                        <w:left w:val="none" w:sz="0" w:space="0" w:color="auto"/>
                        <w:bottom w:val="none" w:sz="0" w:space="0" w:color="auto"/>
                        <w:right w:val="none" w:sz="0" w:space="0" w:color="auto"/>
                      </w:divBdr>
                    </w:div>
                  </w:divsChild>
                </w:div>
                <w:div w:id="1674139225">
                  <w:marLeft w:val="0"/>
                  <w:marRight w:val="0"/>
                  <w:marTop w:val="0"/>
                  <w:marBottom w:val="0"/>
                  <w:divBdr>
                    <w:top w:val="none" w:sz="0" w:space="0" w:color="auto"/>
                    <w:left w:val="none" w:sz="0" w:space="0" w:color="auto"/>
                    <w:bottom w:val="none" w:sz="0" w:space="0" w:color="auto"/>
                    <w:right w:val="none" w:sz="0" w:space="0" w:color="auto"/>
                  </w:divBdr>
                  <w:divsChild>
                    <w:div w:id="840700558">
                      <w:marLeft w:val="0"/>
                      <w:marRight w:val="0"/>
                      <w:marTop w:val="0"/>
                      <w:marBottom w:val="0"/>
                      <w:divBdr>
                        <w:top w:val="none" w:sz="0" w:space="0" w:color="auto"/>
                        <w:left w:val="none" w:sz="0" w:space="0" w:color="auto"/>
                        <w:bottom w:val="none" w:sz="0" w:space="0" w:color="auto"/>
                        <w:right w:val="none" w:sz="0" w:space="0" w:color="auto"/>
                      </w:divBdr>
                    </w:div>
                  </w:divsChild>
                </w:div>
                <w:div w:id="1725790494">
                  <w:marLeft w:val="0"/>
                  <w:marRight w:val="0"/>
                  <w:marTop w:val="0"/>
                  <w:marBottom w:val="0"/>
                  <w:divBdr>
                    <w:top w:val="none" w:sz="0" w:space="0" w:color="auto"/>
                    <w:left w:val="none" w:sz="0" w:space="0" w:color="auto"/>
                    <w:bottom w:val="none" w:sz="0" w:space="0" w:color="auto"/>
                    <w:right w:val="none" w:sz="0" w:space="0" w:color="auto"/>
                  </w:divBdr>
                  <w:divsChild>
                    <w:div w:id="1843004078">
                      <w:marLeft w:val="0"/>
                      <w:marRight w:val="0"/>
                      <w:marTop w:val="0"/>
                      <w:marBottom w:val="0"/>
                      <w:divBdr>
                        <w:top w:val="none" w:sz="0" w:space="0" w:color="auto"/>
                        <w:left w:val="none" w:sz="0" w:space="0" w:color="auto"/>
                        <w:bottom w:val="none" w:sz="0" w:space="0" w:color="auto"/>
                        <w:right w:val="none" w:sz="0" w:space="0" w:color="auto"/>
                      </w:divBdr>
                    </w:div>
                  </w:divsChild>
                </w:div>
                <w:div w:id="2124811097">
                  <w:marLeft w:val="0"/>
                  <w:marRight w:val="0"/>
                  <w:marTop w:val="0"/>
                  <w:marBottom w:val="0"/>
                  <w:divBdr>
                    <w:top w:val="none" w:sz="0" w:space="0" w:color="auto"/>
                    <w:left w:val="none" w:sz="0" w:space="0" w:color="auto"/>
                    <w:bottom w:val="none" w:sz="0" w:space="0" w:color="auto"/>
                    <w:right w:val="none" w:sz="0" w:space="0" w:color="auto"/>
                  </w:divBdr>
                  <w:divsChild>
                    <w:div w:id="10626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44704">
          <w:marLeft w:val="0"/>
          <w:marRight w:val="0"/>
          <w:marTop w:val="0"/>
          <w:marBottom w:val="0"/>
          <w:divBdr>
            <w:top w:val="none" w:sz="0" w:space="0" w:color="auto"/>
            <w:left w:val="none" w:sz="0" w:space="0" w:color="auto"/>
            <w:bottom w:val="none" w:sz="0" w:space="0" w:color="auto"/>
            <w:right w:val="none" w:sz="0" w:space="0" w:color="auto"/>
          </w:divBdr>
        </w:div>
        <w:div w:id="484200685">
          <w:marLeft w:val="0"/>
          <w:marRight w:val="0"/>
          <w:marTop w:val="0"/>
          <w:marBottom w:val="0"/>
          <w:divBdr>
            <w:top w:val="none" w:sz="0" w:space="0" w:color="auto"/>
            <w:left w:val="none" w:sz="0" w:space="0" w:color="auto"/>
            <w:bottom w:val="none" w:sz="0" w:space="0" w:color="auto"/>
            <w:right w:val="none" w:sz="0" w:space="0" w:color="auto"/>
          </w:divBdr>
        </w:div>
        <w:div w:id="653799363">
          <w:marLeft w:val="0"/>
          <w:marRight w:val="0"/>
          <w:marTop w:val="0"/>
          <w:marBottom w:val="0"/>
          <w:divBdr>
            <w:top w:val="none" w:sz="0" w:space="0" w:color="auto"/>
            <w:left w:val="none" w:sz="0" w:space="0" w:color="auto"/>
            <w:bottom w:val="none" w:sz="0" w:space="0" w:color="auto"/>
            <w:right w:val="none" w:sz="0" w:space="0" w:color="auto"/>
          </w:divBdr>
        </w:div>
        <w:div w:id="857960865">
          <w:marLeft w:val="0"/>
          <w:marRight w:val="0"/>
          <w:marTop w:val="0"/>
          <w:marBottom w:val="0"/>
          <w:divBdr>
            <w:top w:val="none" w:sz="0" w:space="0" w:color="auto"/>
            <w:left w:val="none" w:sz="0" w:space="0" w:color="auto"/>
            <w:bottom w:val="none" w:sz="0" w:space="0" w:color="auto"/>
            <w:right w:val="none" w:sz="0" w:space="0" w:color="auto"/>
          </w:divBdr>
        </w:div>
        <w:div w:id="923877925">
          <w:marLeft w:val="0"/>
          <w:marRight w:val="0"/>
          <w:marTop w:val="0"/>
          <w:marBottom w:val="0"/>
          <w:divBdr>
            <w:top w:val="none" w:sz="0" w:space="0" w:color="auto"/>
            <w:left w:val="none" w:sz="0" w:space="0" w:color="auto"/>
            <w:bottom w:val="none" w:sz="0" w:space="0" w:color="auto"/>
            <w:right w:val="none" w:sz="0" w:space="0" w:color="auto"/>
          </w:divBdr>
        </w:div>
        <w:div w:id="1061291597">
          <w:marLeft w:val="0"/>
          <w:marRight w:val="0"/>
          <w:marTop w:val="0"/>
          <w:marBottom w:val="0"/>
          <w:divBdr>
            <w:top w:val="none" w:sz="0" w:space="0" w:color="auto"/>
            <w:left w:val="none" w:sz="0" w:space="0" w:color="auto"/>
            <w:bottom w:val="none" w:sz="0" w:space="0" w:color="auto"/>
            <w:right w:val="none" w:sz="0" w:space="0" w:color="auto"/>
          </w:divBdr>
        </w:div>
        <w:div w:id="1279146048">
          <w:marLeft w:val="0"/>
          <w:marRight w:val="0"/>
          <w:marTop w:val="0"/>
          <w:marBottom w:val="0"/>
          <w:divBdr>
            <w:top w:val="none" w:sz="0" w:space="0" w:color="auto"/>
            <w:left w:val="none" w:sz="0" w:space="0" w:color="auto"/>
            <w:bottom w:val="none" w:sz="0" w:space="0" w:color="auto"/>
            <w:right w:val="none" w:sz="0" w:space="0" w:color="auto"/>
          </w:divBdr>
        </w:div>
        <w:div w:id="1419524990">
          <w:marLeft w:val="0"/>
          <w:marRight w:val="0"/>
          <w:marTop w:val="0"/>
          <w:marBottom w:val="0"/>
          <w:divBdr>
            <w:top w:val="none" w:sz="0" w:space="0" w:color="auto"/>
            <w:left w:val="none" w:sz="0" w:space="0" w:color="auto"/>
            <w:bottom w:val="none" w:sz="0" w:space="0" w:color="auto"/>
            <w:right w:val="none" w:sz="0" w:space="0" w:color="auto"/>
          </w:divBdr>
        </w:div>
        <w:div w:id="1450320599">
          <w:marLeft w:val="0"/>
          <w:marRight w:val="0"/>
          <w:marTop w:val="0"/>
          <w:marBottom w:val="0"/>
          <w:divBdr>
            <w:top w:val="none" w:sz="0" w:space="0" w:color="auto"/>
            <w:left w:val="none" w:sz="0" w:space="0" w:color="auto"/>
            <w:bottom w:val="none" w:sz="0" w:space="0" w:color="auto"/>
            <w:right w:val="none" w:sz="0" w:space="0" w:color="auto"/>
          </w:divBdr>
        </w:div>
        <w:div w:id="1679186828">
          <w:marLeft w:val="0"/>
          <w:marRight w:val="0"/>
          <w:marTop w:val="0"/>
          <w:marBottom w:val="0"/>
          <w:divBdr>
            <w:top w:val="none" w:sz="0" w:space="0" w:color="auto"/>
            <w:left w:val="none" w:sz="0" w:space="0" w:color="auto"/>
            <w:bottom w:val="none" w:sz="0" w:space="0" w:color="auto"/>
            <w:right w:val="none" w:sz="0" w:space="0" w:color="auto"/>
          </w:divBdr>
        </w:div>
        <w:div w:id="1882865872">
          <w:marLeft w:val="0"/>
          <w:marRight w:val="0"/>
          <w:marTop w:val="0"/>
          <w:marBottom w:val="0"/>
          <w:divBdr>
            <w:top w:val="none" w:sz="0" w:space="0" w:color="auto"/>
            <w:left w:val="none" w:sz="0" w:space="0" w:color="auto"/>
            <w:bottom w:val="none" w:sz="0" w:space="0" w:color="auto"/>
            <w:right w:val="none" w:sz="0" w:space="0" w:color="auto"/>
          </w:divBdr>
        </w:div>
        <w:div w:id="2099329371">
          <w:marLeft w:val="0"/>
          <w:marRight w:val="0"/>
          <w:marTop w:val="0"/>
          <w:marBottom w:val="0"/>
          <w:divBdr>
            <w:top w:val="none" w:sz="0" w:space="0" w:color="auto"/>
            <w:left w:val="none" w:sz="0" w:space="0" w:color="auto"/>
            <w:bottom w:val="none" w:sz="0" w:space="0" w:color="auto"/>
            <w:right w:val="none" w:sz="0" w:space="0" w:color="auto"/>
          </w:divBdr>
        </w:div>
      </w:divsChild>
    </w:div>
    <w:div w:id="1103839667">
      <w:bodyDiv w:val="1"/>
      <w:marLeft w:val="0"/>
      <w:marRight w:val="0"/>
      <w:marTop w:val="0"/>
      <w:marBottom w:val="0"/>
      <w:divBdr>
        <w:top w:val="none" w:sz="0" w:space="0" w:color="auto"/>
        <w:left w:val="none" w:sz="0" w:space="0" w:color="auto"/>
        <w:bottom w:val="none" w:sz="0" w:space="0" w:color="auto"/>
        <w:right w:val="none" w:sz="0" w:space="0" w:color="auto"/>
      </w:divBdr>
      <w:divsChild>
        <w:div w:id="843782255">
          <w:marLeft w:val="0"/>
          <w:marRight w:val="0"/>
          <w:marTop w:val="0"/>
          <w:marBottom w:val="0"/>
          <w:divBdr>
            <w:top w:val="none" w:sz="0" w:space="0" w:color="auto"/>
            <w:left w:val="none" w:sz="0" w:space="0" w:color="auto"/>
            <w:bottom w:val="none" w:sz="0" w:space="0" w:color="auto"/>
            <w:right w:val="none" w:sz="0" w:space="0" w:color="auto"/>
          </w:divBdr>
          <w:divsChild>
            <w:div w:id="507184758">
              <w:marLeft w:val="0"/>
              <w:marRight w:val="0"/>
              <w:marTop w:val="0"/>
              <w:marBottom w:val="0"/>
              <w:divBdr>
                <w:top w:val="none" w:sz="0" w:space="0" w:color="auto"/>
                <w:left w:val="none" w:sz="0" w:space="0" w:color="auto"/>
                <w:bottom w:val="none" w:sz="0" w:space="0" w:color="auto"/>
                <w:right w:val="none" w:sz="0" w:space="0" w:color="auto"/>
              </w:divBdr>
            </w:div>
            <w:div w:id="1265579211">
              <w:marLeft w:val="0"/>
              <w:marRight w:val="0"/>
              <w:marTop w:val="0"/>
              <w:marBottom w:val="0"/>
              <w:divBdr>
                <w:top w:val="none" w:sz="0" w:space="0" w:color="auto"/>
                <w:left w:val="none" w:sz="0" w:space="0" w:color="auto"/>
                <w:bottom w:val="none" w:sz="0" w:space="0" w:color="auto"/>
                <w:right w:val="none" w:sz="0" w:space="0" w:color="auto"/>
              </w:divBdr>
            </w:div>
            <w:div w:id="1781561918">
              <w:marLeft w:val="0"/>
              <w:marRight w:val="0"/>
              <w:marTop w:val="0"/>
              <w:marBottom w:val="0"/>
              <w:divBdr>
                <w:top w:val="none" w:sz="0" w:space="0" w:color="auto"/>
                <w:left w:val="none" w:sz="0" w:space="0" w:color="auto"/>
                <w:bottom w:val="none" w:sz="0" w:space="0" w:color="auto"/>
                <w:right w:val="none" w:sz="0" w:space="0" w:color="auto"/>
              </w:divBdr>
            </w:div>
            <w:div w:id="2052875846">
              <w:marLeft w:val="0"/>
              <w:marRight w:val="0"/>
              <w:marTop w:val="0"/>
              <w:marBottom w:val="0"/>
              <w:divBdr>
                <w:top w:val="none" w:sz="0" w:space="0" w:color="auto"/>
                <w:left w:val="none" w:sz="0" w:space="0" w:color="auto"/>
                <w:bottom w:val="none" w:sz="0" w:space="0" w:color="auto"/>
                <w:right w:val="none" w:sz="0" w:space="0" w:color="auto"/>
              </w:divBdr>
            </w:div>
          </w:divsChild>
        </w:div>
        <w:div w:id="993920491">
          <w:marLeft w:val="0"/>
          <w:marRight w:val="0"/>
          <w:marTop w:val="0"/>
          <w:marBottom w:val="0"/>
          <w:divBdr>
            <w:top w:val="none" w:sz="0" w:space="0" w:color="auto"/>
            <w:left w:val="none" w:sz="0" w:space="0" w:color="auto"/>
            <w:bottom w:val="none" w:sz="0" w:space="0" w:color="auto"/>
            <w:right w:val="none" w:sz="0" w:space="0" w:color="auto"/>
          </w:divBdr>
        </w:div>
        <w:div w:id="1231380508">
          <w:marLeft w:val="0"/>
          <w:marRight w:val="0"/>
          <w:marTop w:val="0"/>
          <w:marBottom w:val="0"/>
          <w:divBdr>
            <w:top w:val="none" w:sz="0" w:space="0" w:color="auto"/>
            <w:left w:val="none" w:sz="0" w:space="0" w:color="auto"/>
            <w:bottom w:val="none" w:sz="0" w:space="0" w:color="auto"/>
            <w:right w:val="none" w:sz="0" w:space="0" w:color="auto"/>
          </w:divBdr>
          <w:divsChild>
            <w:div w:id="873345616">
              <w:marLeft w:val="0"/>
              <w:marRight w:val="0"/>
              <w:marTop w:val="0"/>
              <w:marBottom w:val="0"/>
              <w:divBdr>
                <w:top w:val="none" w:sz="0" w:space="0" w:color="auto"/>
                <w:left w:val="none" w:sz="0" w:space="0" w:color="auto"/>
                <w:bottom w:val="none" w:sz="0" w:space="0" w:color="auto"/>
                <w:right w:val="none" w:sz="0" w:space="0" w:color="auto"/>
              </w:divBdr>
            </w:div>
            <w:div w:id="876158712">
              <w:marLeft w:val="0"/>
              <w:marRight w:val="0"/>
              <w:marTop w:val="0"/>
              <w:marBottom w:val="0"/>
              <w:divBdr>
                <w:top w:val="none" w:sz="0" w:space="0" w:color="auto"/>
                <w:left w:val="none" w:sz="0" w:space="0" w:color="auto"/>
                <w:bottom w:val="none" w:sz="0" w:space="0" w:color="auto"/>
                <w:right w:val="none" w:sz="0" w:space="0" w:color="auto"/>
              </w:divBdr>
            </w:div>
            <w:div w:id="2041853430">
              <w:marLeft w:val="0"/>
              <w:marRight w:val="0"/>
              <w:marTop w:val="0"/>
              <w:marBottom w:val="0"/>
              <w:divBdr>
                <w:top w:val="none" w:sz="0" w:space="0" w:color="auto"/>
                <w:left w:val="none" w:sz="0" w:space="0" w:color="auto"/>
                <w:bottom w:val="none" w:sz="0" w:space="0" w:color="auto"/>
                <w:right w:val="none" w:sz="0" w:space="0" w:color="auto"/>
              </w:divBdr>
            </w:div>
          </w:divsChild>
        </w:div>
        <w:div w:id="1939361879">
          <w:marLeft w:val="0"/>
          <w:marRight w:val="0"/>
          <w:marTop w:val="0"/>
          <w:marBottom w:val="0"/>
          <w:divBdr>
            <w:top w:val="none" w:sz="0" w:space="0" w:color="auto"/>
            <w:left w:val="none" w:sz="0" w:space="0" w:color="auto"/>
            <w:bottom w:val="none" w:sz="0" w:space="0" w:color="auto"/>
            <w:right w:val="none" w:sz="0" w:space="0" w:color="auto"/>
          </w:divBdr>
        </w:div>
      </w:divsChild>
    </w:div>
    <w:div w:id="1213737273">
      <w:bodyDiv w:val="1"/>
      <w:marLeft w:val="0"/>
      <w:marRight w:val="0"/>
      <w:marTop w:val="0"/>
      <w:marBottom w:val="0"/>
      <w:divBdr>
        <w:top w:val="none" w:sz="0" w:space="0" w:color="auto"/>
        <w:left w:val="none" w:sz="0" w:space="0" w:color="auto"/>
        <w:bottom w:val="none" w:sz="0" w:space="0" w:color="auto"/>
        <w:right w:val="none" w:sz="0" w:space="0" w:color="auto"/>
      </w:divBdr>
      <w:divsChild>
        <w:div w:id="953245935">
          <w:marLeft w:val="0"/>
          <w:marRight w:val="0"/>
          <w:marTop w:val="0"/>
          <w:marBottom w:val="0"/>
          <w:divBdr>
            <w:top w:val="none" w:sz="0" w:space="0" w:color="auto"/>
            <w:left w:val="none" w:sz="0" w:space="0" w:color="auto"/>
            <w:bottom w:val="none" w:sz="0" w:space="0" w:color="auto"/>
            <w:right w:val="none" w:sz="0" w:space="0" w:color="auto"/>
          </w:divBdr>
        </w:div>
        <w:div w:id="2114668958">
          <w:marLeft w:val="0"/>
          <w:marRight w:val="0"/>
          <w:marTop w:val="0"/>
          <w:marBottom w:val="0"/>
          <w:divBdr>
            <w:top w:val="none" w:sz="0" w:space="0" w:color="auto"/>
            <w:left w:val="none" w:sz="0" w:space="0" w:color="auto"/>
            <w:bottom w:val="none" w:sz="0" w:space="0" w:color="auto"/>
            <w:right w:val="none" w:sz="0" w:space="0" w:color="auto"/>
          </w:divBdr>
        </w:div>
      </w:divsChild>
    </w:div>
    <w:div w:id="1221211255">
      <w:bodyDiv w:val="1"/>
      <w:marLeft w:val="0"/>
      <w:marRight w:val="0"/>
      <w:marTop w:val="0"/>
      <w:marBottom w:val="0"/>
      <w:divBdr>
        <w:top w:val="none" w:sz="0" w:space="0" w:color="auto"/>
        <w:left w:val="none" w:sz="0" w:space="0" w:color="auto"/>
        <w:bottom w:val="none" w:sz="0" w:space="0" w:color="auto"/>
        <w:right w:val="none" w:sz="0" w:space="0" w:color="auto"/>
      </w:divBdr>
      <w:divsChild>
        <w:div w:id="184826090">
          <w:marLeft w:val="0"/>
          <w:marRight w:val="0"/>
          <w:marTop w:val="0"/>
          <w:marBottom w:val="0"/>
          <w:divBdr>
            <w:top w:val="none" w:sz="0" w:space="0" w:color="auto"/>
            <w:left w:val="none" w:sz="0" w:space="0" w:color="auto"/>
            <w:bottom w:val="none" w:sz="0" w:space="0" w:color="auto"/>
            <w:right w:val="none" w:sz="0" w:space="0" w:color="auto"/>
          </w:divBdr>
        </w:div>
        <w:div w:id="364253304">
          <w:marLeft w:val="0"/>
          <w:marRight w:val="0"/>
          <w:marTop w:val="0"/>
          <w:marBottom w:val="0"/>
          <w:divBdr>
            <w:top w:val="none" w:sz="0" w:space="0" w:color="auto"/>
            <w:left w:val="none" w:sz="0" w:space="0" w:color="auto"/>
            <w:bottom w:val="none" w:sz="0" w:space="0" w:color="auto"/>
            <w:right w:val="none" w:sz="0" w:space="0" w:color="auto"/>
          </w:divBdr>
        </w:div>
        <w:div w:id="728848694">
          <w:marLeft w:val="0"/>
          <w:marRight w:val="0"/>
          <w:marTop w:val="0"/>
          <w:marBottom w:val="0"/>
          <w:divBdr>
            <w:top w:val="none" w:sz="0" w:space="0" w:color="auto"/>
            <w:left w:val="none" w:sz="0" w:space="0" w:color="auto"/>
            <w:bottom w:val="none" w:sz="0" w:space="0" w:color="auto"/>
            <w:right w:val="none" w:sz="0" w:space="0" w:color="auto"/>
          </w:divBdr>
        </w:div>
        <w:div w:id="803472891">
          <w:marLeft w:val="0"/>
          <w:marRight w:val="0"/>
          <w:marTop w:val="0"/>
          <w:marBottom w:val="0"/>
          <w:divBdr>
            <w:top w:val="none" w:sz="0" w:space="0" w:color="auto"/>
            <w:left w:val="none" w:sz="0" w:space="0" w:color="auto"/>
            <w:bottom w:val="none" w:sz="0" w:space="0" w:color="auto"/>
            <w:right w:val="none" w:sz="0" w:space="0" w:color="auto"/>
          </w:divBdr>
        </w:div>
        <w:div w:id="1330330869">
          <w:marLeft w:val="0"/>
          <w:marRight w:val="0"/>
          <w:marTop w:val="0"/>
          <w:marBottom w:val="0"/>
          <w:divBdr>
            <w:top w:val="none" w:sz="0" w:space="0" w:color="auto"/>
            <w:left w:val="none" w:sz="0" w:space="0" w:color="auto"/>
            <w:bottom w:val="none" w:sz="0" w:space="0" w:color="auto"/>
            <w:right w:val="none" w:sz="0" w:space="0" w:color="auto"/>
          </w:divBdr>
        </w:div>
        <w:div w:id="1798988929">
          <w:marLeft w:val="0"/>
          <w:marRight w:val="0"/>
          <w:marTop w:val="0"/>
          <w:marBottom w:val="0"/>
          <w:divBdr>
            <w:top w:val="none" w:sz="0" w:space="0" w:color="auto"/>
            <w:left w:val="none" w:sz="0" w:space="0" w:color="auto"/>
            <w:bottom w:val="none" w:sz="0" w:space="0" w:color="auto"/>
            <w:right w:val="none" w:sz="0" w:space="0" w:color="auto"/>
          </w:divBdr>
        </w:div>
        <w:div w:id="2051804175">
          <w:marLeft w:val="0"/>
          <w:marRight w:val="0"/>
          <w:marTop w:val="0"/>
          <w:marBottom w:val="0"/>
          <w:divBdr>
            <w:top w:val="none" w:sz="0" w:space="0" w:color="auto"/>
            <w:left w:val="none" w:sz="0" w:space="0" w:color="auto"/>
            <w:bottom w:val="none" w:sz="0" w:space="0" w:color="auto"/>
            <w:right w:val="none" w:sz="0" w:space="0" w:color="auto"/>
          </w:divBdr>
        </w:div>
      </w:divsChild>
    </w:div>
    <w:div w:id="1253121102">
      <w:bodyDiv w:val="1"/>
      <w:marLeft w:val="0"/>
      <w:marRight w:val="0"/>
      <w:marTop w:val="0"/>
      <w:marBottom w:val="0"/>
      <w:divBdr>
        <w:top w:val="none" w:sz="0" w:space="0" w:color="auto"/>
        <w:left w:val="none" w:sz="0" w:space="0" w:color="auto"/>
        <w:bottom w:val="none" w:sz="0" w:space="0" w:color="auto"/>
        <w:right w:val="none" w:sz="0" w:space="0" w:color="auto"/>
      </w:divBdr>
      <w:divsChild>
        <w:div w:id="58094715">
          <w:marLeft w:val="0"/>
          <w:marRight w:val="0"/>
          <w:marTop w:val="0"/>
          <w:marBottom w:val="0"/>
          <w:divBdr>
            <w:top w:val="none" w:sz="0" w:space="0" w:color="auto"/>
            <w:left w:val="none" w:sz="0" w:space="0" w:color="auto"/>
            <w:bottom w:val="none" w:sz="0" w:space="0" w:color="auto"/>
            <w:right w:val="none" w:sz="0" w:space="0" w:color="auto"/>
          </w:divBdr>
        </w:div>
        <w:div w:id="697438198">
          <w:marLeft w:val="0"/>
          <w:marRight w:val="0"/>
          <w:marTop w:val="0"/>
          <w:marBottom w:val="0"/>
          <w:divBdr>
            <w:top w:val="none" w:sz="0" w:space="0" w:color="auto"/>
            <w:left w:val="none" w:sz="0" w:space="0" w:color="auto"/>
            <w:bottom w:val="none" w:sz="0" w:space="0" w:color="auto"/>
            <w:right w:val="none" w:sz="0" w:space="0" w:color="auto"/>
          </w:divBdr>
        </w:div>
        <w:div w:id="953900109">
          <w:marLeft w:val="0"/>
          <w:marRight w:val="0"/>
          <w:marTop w:val="0"/>
          <w:marBottom w:val="0"/>
          <w:divBdr>
            <w:top w:val="none" w:sz="0" w:space="0" w:color="auto"/>
            <w:left w:val="none" w:sz="0" w:space="0" w:color="auto"/>
            <w:bottom w:val="none" w:sz="0" w:space="0" w:color="auto"/>
            <w:right w:val="none" w:sz="0" w:space="0" w:color="auto"/>
          </w:divBdr>
        </w:div>
        <w:div w:id="1383556637">
          <w:marLeft w:val="0"/>
          <w:marRight w:val="0"/>
          <w:marTop w:val="0"/>
          <w:marBottom w:val="0"/>
          <w:divBdr>
            <w:top w:val="none" w:sz="0" w:space="0" w:color="auto"/>
            <w:left w:val="none" w:sz="0" w:space="0" w:color="auto"/>
            <w:bottom w:val="none" w:sz="0" w:space="0" w:color="auto"/>
            <w:right w:val="none" w:sz="0" w:space="0" w:color="auto"/>
          </w:divBdr>
        </w:div>
        <w:div w:id="1429354181">
          <w:marLeft w:val="0"/>
          <w:marRight w:val="0"/>
          <w:marTop w:val="0"/>
          <w:marBottom w:val="0"/>
          <w:divBdr>
            <w:top w:val="none" w:sz="0" w:space="0" w:color="auto"/>
            <w:left w:val="none" w:sz="0" w:space="0" w:color="auto"/>
            <w:bottom w:val="none" w:sz="0" w:space="0" w:color="auto"/>
            <w:right w:val="none" w:sz="0" w:space="0" w:color="auto"/>
          </w:divBdr>
        </w:div>
      </w:divsChild>
    </w:div>
    <w:div w:id="1259287344">
      <w:bodyDiv w:val="1"/>
      <w:marLeft w:val="0"/>
      <w:marRight w:val="0"/>
      <w:marTop w:val="0"/>
      <w:marBottom w:val="0"/>
      <w:divBdr>
        <w:top w:val="none" w:sz="0" w:space="0" w:color="auto"/>
        <w:left w:val="none" w:sz="0" w:space="0" w:color="auto"/>
        <w:bottom w:val="none" w:sz="0" w:space="0" w:color="auto"/>
        <w:right w:val="none" w:sz="0" w:space="0" w:color="auto"/>
      </w:divBdr>
    </w:div>
    <w:div w:id="1260018446">
      <w:bodyDiv w:val="1"/>
      <w:marLeft w:val="0"/>
      <w:marRight w:val="0"/>
      <w:marTop w:val="0"/>
      <w:marBottom w:val="0"/>
      <w:divBdr>
        <w:top w:val="none" w:sz="0" w:space="0" w:color="auto"/>
        <w:left w:val="none" w:sz="0" w:space="0" w:color="auto"/>
        <w:bottom w:val="none" w:sz="0" w:space="0" w:color="auto"/>
        <w:right w:val="none" w:sz="0" w:space="0" w:color="auto"/>
      </w:divBdr>
      <w:divsChild>
        <w:div w:id="4789808">
          <w:marLeft w:val="0"/>
          <w:marRight w:val="0"/>
          <w:marTop w:val="0"/>
          <w:marBottom w:val="0"/>
          <w:divBdr>
            <w:top w:val="none" w:sz="0" w:space="0" w:color="auto"/>
            <w:left w:val="none" w:sz="0" w:space="0" w:color="auto"/>
            <w:bottom w:val="none" w:sz="0" w:space="0" w:color="auto"/>
            <w:right w:val="none" w:sz="0" w:space="0" w:color="auto"/>
          </w:divBdr>
        </w:div>
        <w:div w:id="289627591">
          <w:marLeft w:val="0"/>
          <w:marRight w:val="0"/>
          <w:marTop w:val="0"/>
          <w:marBottom w:val="0"/>
          <w:divBdr>
            <w:top w:val="none" w:sz="0" w:space="0" w:color="auto"/>
            <w:left w:val="none" w:sz="0" w:space="0" w:color="auto"/>
            <w:bottom w:val="none" w:sz="0" w:space="0" w:color="auto"/>
            <w:right w:val="none" w:sz="0" w:space="0" w:color="auto"/>
          </w:divBdr>
        </w:div>
        <w:div w:id="520165958">
          <w:marLeft w:val="0"/>
          <w:marRight w:val="0"/>
          <w:marTop w:val="0"/>
          <w:marBottom w:val="0"/>
          <w:divBdr>
            <w:top w:val="none" w:sz="0" w:space="0" w:color="auto"/>
            <w:left w:val="none" w:sz="0" w:space="0" w:color="auto"/>
            <w:bottom w:val="none" w:sz="0" w:space="0" w:color="auto"/>
            <w:right w:val="none" w:sz="0" w:space="0" w:color="auto"/>
          </w:divBdr>
        </w:div>
        <w:div w:id="1238708801">
          <w:marLeft w:val="0"/>
          <w:marRight w:val="0"/>
          <w:marTop w:val="0"/>
          <w:marBottom w:val="0"/>
          <w:divBdr>
            <w:top w:val="none" w:sz="0" w:space="0" w:color="auto"/>
            <w:left w:val="none" w:sz="0" w:space="0" w:color="auto"/>
            <w:bottom w:val="none" w:sz="0" w:space="0" w:color="auto"/>
            <w:right w:val="none" w:sz="0" w:space="0" w:color="auto"/>
          </w:divBdr>
        </w:div>
        <w:div w:id="1326976296">
          <w:marLeft w:val="0"/>
          <w:marRight w:val="0"/>
          <w:marTop w:val="0"/>
          <w:marBottom w:val="0"/>
          <w:divBdr>
            <w:top w:val="none" w:sz="0" w:space="0" w:color="auto"/>
            <w:left w:val="none" w:sz="0" w:space="0" w:color="auto"/>
            <w:bottom w:val="none" w:sz="0" w:space="0" w:color="auto"/>
            <w:right w:val="none" w:sz="0" w:space="0" w:color="auto"/>
          </w:divBdr>
        </w:div>
        <w:div w:id="1341154383">
          <w:marLeft w:val="0"/>
          <w:marRight w:val="0"/>
          <w:marTop w:val="0"/>
          <w:marBottom w:val="0"/>
          <w:divBdr>
            <w:top w:val="none" w:sz="0" w:space="0" w:color="auto"/>
            <w:left w:val="none" w:sz="0" w:space="0" w:color="auto"/>
            <w:bottom w:val="none" w:sz="0" w:space="0" w:color="auto"/>
            <w:right w:val="none" w:sz="0" w:space="0" w:color="auto"/>
          </w:divBdr>
        </w:div>
        <w:div w:id="1960139105">
          <w:marLeft w:val="0"/>
          <w:marRight w:val="0"/>
          <w:marTop w:val="0"/>
          <w:marBottom w:val="0"/>
          <w:divBdr>
            <w:top w:val="none" w:sz="0" w:space="0" w:color="auto"/>
            <w:left w:val="none" w:sz="0" w:space="0" w:color="auto"/>
            <w:bottom w:val="none" w:sz="0" w:space="0" w:color="auto"/>
            <w:right w:val="none" w:sz="0" w:space="0" w:color="auto"/>
          </w:divBdr>
        </w:div>
      </w:divsChild>
    </w:div>
    <w:div w:id="1271819980">
      <w:bodyDiv w:val="1"/>
      <w:marLeft w:val="0"/>
      <w:marRight w:val="0"/>
      <w:marTop w:val="0"/>
      <w:marBottom w:val="0"/>
      <w:divBdr>
        <w:top w:val="none" w:sz="0" w:space="0" w:color="auto"/>
        <w:left w:val="none" w:sz="0" w:space="0" w:color="auto"/>
        <w:bottom w:val="none" w:sz="0" w:space="0" w:color="auto"/>
        <w:right w:val="none" w:sz="0" w:space="0" w:color="auto"/>
      </w:divBdr>
      <w:divsChild>
        <w:div w:id="166677904">
          <w:marLeft w:val="0"/>
          <w:marRight w:val="0"/>
          <w:marTop w:val="0"/>
          <w:marBottom w:val="0"/>
          <w:divBdr>
            <w:top w:val="none" w:sz="0" w:space="0" w:color="auto"/>
            <w:left w:val="none" w:sz="0" w:space="0" w:color="auto"/>
            <w:bottom w:val="none" w:sz="0" w:space="0" w:color="auto"/>
            <w:right w:val="none" w:sz="0" w:space="0" w:color="auto"/>
          </w:divBdr>
        </w:div>
        <w:div w:id="189227170">
          <w:marLeft w:val="0"/>
          <w:marRight w:val="0"/>
          <w:marTop w:val="0"/>
          <w:marBottom w:val="0"/>
          <w:divBdr>
            <w:top w:val="none" w:sz="0" w:space="0" w:color="auto"/>
            <w:left w:val="none" w:sz="0" w:space="0" w:color="auto"/>
            <w:bottom w:val="none" w:sz="0" w:space="0" w:color="auto"/>
            <w:right w:val="none" w:sz="0" w:space="0" w:color="auto"/>
          </w:divBdr>
        </w:div>
        <w:div w:id="814567405">
          <w:marLeft w:val="0"/>
          <w:marRight w:val="0"/>
          <w:marTop w:val="0"/>
          <w:marBottom w:val="0"/>
          <w:divBdr>
            <w:top w:val="none" w:sz="0" w:space="0" w:color="auto"/>
            <w:left w:val="none" w:sz="0" w:space="0" w:color="auto"/>
            <w:bottom w:val="none" w:sz="0" w:space="0" w:color="auto"/>
            <w:right w:val="none" w:sz="0" w:space="0" w:color="auto"/>
          </w:divBdr>
        </w:div>
        <w:div w:id="934019465">
          <w:marLeft w:val="0"/>
          <w:marRight w:val="0"/>
          <w:marTop w:val="0"/>
          <w:marBottom w:val="0"/>
          <w:divBdr>
            <w:top w:val="none" w:sz="0" w:space="0" w:color="auto"/>
            <w:left w:val="none" w:sz="0" w:space="0" w:color="auto"/>
            <w:bottom w:val="none" w:sz="0" w:space="0" w:color="auto"/>
            <w:right w:val="none" w:sz="0" w:space="0" w:color="auto"/>
          </w:divBdr>
        </w:div>
        <w:div w:id="1313755139">
          <w:marLeft w:val="0"/>
          <w:marRight w:val="0"/>
          <w:marTop w:val="0"/>
          <w:marBottom w:val="0"/>
          <w:divBdr>
            <w:top w:val="none" w:sz="0" w:space="0" w:color="auto"/>
            <w:left w:val="none" w:sz="0" w:space="0" w:color="auto"/>
            <w:bottom w:val="none" w:sz="0" w:space="0" w:color="auto"/>
            <w:right w:val="none" w:sz="0" w:space="0" w:color="auto"/>
          </w:divBdr>
        </w:div>
        <w:div w:id="1470131421">
          <w:marLeft w:val="0"/>
          <w:marRight w:val="0"/>
          <w:marTop w:val="0"/>
          <w:marBottom w:val="0"/>
          <w:divBdr>
            <w:top w:val="none" w:sz="0" w:space="0" w:color="auto"/>
            <w:left w:val="none" w:sz="0" w:space="0" w:color="auto"/>
            <w:bottom w:val="none" w:sz="0" w:space="0" w:color="auto"/>
            <w:right w:val="none" w:sz="0" w:space="0" w:color="auto"/>
          </w:divBdr>
        </w:div>
        <w:div w:id="1595893759">
          <w:marLeft w:val="0"/>
          <w:marRight w:val="0"/>
          <w:marTop w:val="0"/>
          <w:marBottom w:val="0"/>
          <w:divBdr>
            <w:top w:val="none" w:sz="0" w:space="0" w:color="auto"/>
            <w:left w:val="none" w:sz="0" w:space="0" w:color="auto"/>
            <w:bottom w:val="none" w:sz="0" w:space="0" w:color="auto"/>
            <w:right w:val="none" w:sz="0" w:space="0" w:color="auto"/>
          </w:divBdr>
        </w:div>
      </w:divsChild>
    </w:div>
    <w:div w:id="1291593477">
      <w:bodyDiv w:val="1"/>
      <w:marLeft w:val="0"/>
      <w:marRight w:val="0"/>
      <w:marTop w:val="0"/>
      <w:marBottom w:val="0"/>
      <w:divBdr>
        <w:top w:val="none" w:sz="0" w:space="0" w:color="auto"/>
        <w:left w:val="none" w:sz="0" w:space="0" w:color="auto"/>
        <w:bottom w:val="none" w:sz="0" w:space="0" w:color="auto"/>
        <w:right w:val="none" w:sz="0" w:space="0" w:color="auto"/>
      </w:divBdr>
      <w:divsChild>
        <w:div w:id="1551841280">
          <w:marLeft w:val="0"/>
          <w:marRight w:val="0"/>
          <w:marTop w:val="0"/>
          <w:marBottom w:val="0"/>
          <w:divBdr>
            <w:top w:val="none" w:sz="0" w:space="0" w:color="auto"/>
            <w:left w:val="none" w:sz="0" w:space="0" w:color="auto"/>
            <w:bottom w:val="none" w:sz="0" w:space="0" w:color="auto"/>
            <w:right w:val="none" w:sz="0" w:space="0" w:color="auto"/>
          </w:divBdr>
          <w:divsChild>
            <w:div w:id="262422157">
              <w:marLeft w:val="0"/>
              <w:marRight w:val="0"/>
              <w:marTop w:val="0"/>
              <w:marBottom w:val="0"/>
              <w:divBdr>
                <w:top w:val="none" w:sz="0" w:space="0" w:color="auto"/>
                <w:left w:val="none" w:sz="0" w:space="0" w:color="auto"/>
                <w:bottom w:val="none" w:sz="0" w:space="0" w:color="auto"/>
                <w:right w:val="none" w:sz="0" w:space="0" w:color="auto"/>
              </w:divBdr>
            </w:div>
            <w:div w:id="428161244">
              <w:marLeft w:val="0"/>
              <w:marRight w:val="0"/>
              <w:marTop w:val="0"/>
              <w:marBottom w:val="0"/>
              <w:divBdr>
                <w:top w:val="none" w:sz="0" w:space="0" w:color="auto"/>
                <w:left w:val="none" w:sz="0" w:space="0" w:color="auto"/>
                <w:bottom w:val="none" w:sz="0" w:space="0" w:color="auto"/>
                <w:right w:val="none" w:sz="0" w:space="0" w:color="auto"/>
              </w:divBdr>
            </w:div>
            <w:div w:id="1156727586">
              <w:marLeft w:val="0"/>
              <w:marRight w:val="0"/>
              <w:marTop w:val="0"/>
              <w:marBottom w:val="0"/>
              <w:divBdr>
                <w:top w:val="none" w:sz="0" w:space="0" w:color="auto"/>
                <w:left w:val="none" w:sz="0" w:space="0" w:color="auto"/>
                <w:bottom w:val="none" w:sz="0" w:space="0" w:color="auto"/>
                <w:right w:val="none" w:sz="0" w:space="0" w:color="auto"/>
              </w:divBdr>
            </w:div>
          </w:divsChild>
        </w:div>
        <w:div w:id="1277446515">
          <w:marLeft w:val="0"/>
          <w:marRight w:val="0"/>
          <w:marTop w:val="0"/>
          <w:marBottom w:val="0"/>
          <w:divBdr>
            <w:top w:val="none" w:sz="0" w:space="0" w:color="auto"/>
            <w:left w:val="none" w:sz="0" w:space="0" w:color="auto"/>
            <w:bottom w:val="none" w:sz="0" w:space="0" w:color="auto"/>
            <w:right w:val="none" w:sz="0" w:space="0" w:color="auto"/>
          </w:divBdr>
          <w:divsChild>
            <w:div w:id="852693425">
              <w:marLeft w:val="0"/>
              <w:marRight w:val="0"/>
              <w:marTop w:val="0"/>
              <w:marBottom w:val="0"/>
              <w:divBdr>
                <w:top w:val="none" w:sz="0" w:space="0" w:color="auto"/>
                <w:left w:val="none" w:sz="0" w:space="0" w:color="auto"/>
                <w:bottom w:val="none" w:sz="0" w:space="0" w:color="auto"/>
                <w:right w:val="none" w:sz="0" w:space="0" w:color="auto"/>
              </w:divBdr>
            </w:div>
            <w:div w:id="1326474810">
              <w:marLeft w:val="0"/>
              <w:marRight w:val="0"/>
              <w:marTop w:val="0"/>
              <w:marBottom w:val="0"/>
              <w:divBdr>
                <w:top w:val="none" w:sz="0" w:space="0" w:color="auto"/>
                <w:left w:val="none" w:sz="0" w:space="0" w:color="auto"/>
                <w:bottom w:val="none" w:sz="0" w:space="0" w:color="auto"/>
                <w:right w:val="none" w:sz="0" w:space="0" w:color="auto"/>
              </w:divBdr>
            </w:div>
            <w:div w:id="1650791788">
              <w:marLeft w:val="0"/>
              <w:marRight w:val="0"/>
              <w:marTop w:val="0"/>
              <w:marBottom w:val="0"/>
              <w:divBdr>
                <w:top w:val="none" w:sz="0" w:space="0" w:color="auto"/>
                <w:left w:val="none" w:sz="0" w:space="0" w:color="auto"/>
                <w:bottom w:val="none" w:sz="0" w:space="0" w:color="auto"/>
                <w:right w:val="none" w:sz="0" w:space="0" w:color="auto"/>
              </w:divBdr>
            </w:div>
            <w:div w:id="175466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3839">
      <w:bodyDiv w:val="1"/>
      <w:marLeft w:val="0"/>
      <w:marRight w:val="0"/>
      <w:marTop w:val="0"/>
      <w:marBottom w:val="0"/>
      <w:divBdr>
        <w:top w:val="none" w:sz="0" w:space="0" w:color="auto"/>
        <w:left w:val="none" w:sz="0" w:space="0" w:color="auto"/>
        <w:bottom w:val="none" w:sz="0" w:space="0" w:color="auto"/>
        <w:right w:val="none" w:sz="0" w:space="0" w:color="auto"/>
      </w:divBdr>
      <w:divsChild>
        <w:div w:id="215163891">
          <w:marLeft w:val="0"/>
          <w:marRight w:val="0"/>
          <w:marTop w:val="0"/>
          <w:marBottom w:val="0"/>
          <w:divBdr>
            <w:top w:val="none" w:sz="0" w:space="0" w:color="auto"/>
            <w:left w:val="none" w:sz="0" w:space="0" w:color="auto"/>
            <w:bottom w:val="none" w:sz="0" w:space="0" w:color="auto"/>
            <w:right w:val="none" w:sz="0" w:space="0" w:color="auto"/>
          </w:divBdr>
        </w:div>
        <w:div w:id="273096057">
          <w:marLeft w:val="0"/>
          <w:marRight w:val="0"/>
          <w:marTop w:val="0"/>
          <w:marBottom w:val="0"/>
          <w:divBdr>
            <w:top w:val="none" w:sz="0" w:space="0" w:color="auto"/>
            <w:left w:val="none" w:sz="0" w:space="0" w:color="auto"/>
            <w:bottom w:val="none" w:sz="0" w:space="0" w:color="auto"/>
            <w:right w:val="none" w:sz="0" w:space="0" w:color="auto"/>
          </w:divBdr>
        </w:div>
        <w:div w:id="282856909">
          <w:marLeft w:val="0"/>
          <w:marRight w:val="0"/>
          <w:marTop w:val="0"/>
          <w:marBottom w:val="0"/>
          <w:divBdr>
            <w:top w:val="none" w:sz="0" w:space="0" w:color="auto"/>
            <w:left w:val="none" w:sz="0" w:space="0" w:color="auto"/>
            <w:bottom w:val="none" w:sz="0" w:space="0" w:color="auto"/>
            <w:right w:val="none" w:sz="0" w:space="0" w:color="auto"/>
          </w:divBdr>
        </w:div>
        <w:div w:id="676618787">
          <w:marLeft w:val="0"/>
          <w:marRight w:val="0"/>
          <w:marTop w:val="0"/>
          <w:marBottom w:val="0"/>
          <w:divBdr>
            <w:top w:val="none" w:sz="0" w:space="0" w:color="auto"/>
            <w:left w:val="none" w:sz="0" w:space="0" w:color="auto"/>
            <w:bottom w:val="none" w:sz="0" w:space="0" w:color="auto"/>
            <w:right w:val="none" w:sz="0" w:space="0" w:color="auto"/>
          </w:divBdr>
        </w:div>
        <w:div w:id="682635053">
          <w:marLeft w:val="0"/>
          <w:marRight w:val="0"/>
          <w:marTop w:val="0"/>
          <w:marBottom w:val="0"/>
          <w:divBdr>
            <w:top w:val="none" w:sz="0" w:space="0" w:color="auto"/>
            <w:left w:val="none" w:sz="0" w:space="0" w:color="auto"/>
            <w:bottom w:val="none" w:sz="0" w:space="0" w:color="auto"/>
            <w:right w:val="none" w:sz="0" w:space="0" w:color="auto"/>
          </w:divBdr>
        </w:div>
        <w:div w:id="948123116">
          <w:marLeft w:val="0"/>
          <w:marRight w:val="0"/>
          <w:marTop w:val="0"/>
          <w:marBottom w:val="0"/>
          <w:divBdr>
            <w:top w:val="none" w:sz="0" w:space="0" w:color="auto"/>
            <w:left w:val="none" w:sz="0" w:space="0" w:color="auto"/>
            <w:bottom w:val="none" w:sz="0" w:space="0" w:color="auto"/>
            <w:right w:val="none" w:sz="0" w:space="0" w:color="auto"/>
          </w:divBdr>
        </w:div>
        <w:div w:id="1462725875">
          <w:marLeft w:val="0"/>
          <w:marRight w:val="0"/>
          <w:marTop w:val="0"/>
          <w:marBottom w:val="0"/>
          <w:divBdr>
            <w:top w:val="none" w:sz="0" w:space="0" w:color="auto"/>
            <w:left w:val="none" w:sz="0" w:space="0" w:color="auto"/>
            <w:bottom w:val="none" w:sz="0" w:space="0" w:color="auto"/>
            <w:right w:val="none" w:sz="0" w:space="0" w:color="auto"/>
          </w:divBdr>
        </w:div>
        <w:div w:id="1935245057">
          <w:marLeft w:val="0"/>
          <w:marRight w:val="0"/>
          <w:marTop w:val="0"/>
          <w:marBottom w:val="0"/>
          <w:divBdr>
            <w:top w:val="none" w:sz="0" w:space="0" w:color="auto"/>
            <w:left w:val="none" w:sz="0" w:space="0" w:color="auto"/>
            <w:bottom w:val="none" w:sz="0" w:space="0" w:color="auto"/>
            <w:right w:val="none" w:sz="0" w:space="0" w:color="auto"/>
          </w:divBdr>
        </w:div>
      </w:divsChild>
    </w:div>
    <w:div w:id="1303849997">
      <w:bodyDiv w:val="1"/>
      <w:marLeft w:val="0"/>
      <w:marRight w:val="0"/>
      <w:marTop w:val="0"/>
      <w:marBottom w:val="0"/>
      <w:divBdr>
        <w:top w:val="none" w:sz="0" w:space="0" w:color="auto"/>
        <w:left w:val="none" w:sz="0" w:space="0" w:color="auto"/>
        <w:bottom w:val="none" w:sz="0" w:space="0" w:color="auto"/>
        <w:right w:val="none" w:sz="0" w:space="0" w:color="auto"/>
      </w:divBdr>
      <w:divsChild>
        <w:div w:id="486822156">
          <w:marLeft w:val="0"/>
          <w:marRight w:val="0"/>
          <w:marTop w:val="0"/>
          <w:marBottom w:val="0"/>
          <w:divBdr>
            <w:top w:val="none" w:sz="0" w:space="0" w:color="auto"/>
            <w:left w:val="none" w:sz="0" w:space="0" w:color="auto"/>
            <w:bottom w:val="none" w:sz="0" w:space="0" w:color="auto"/>
            <w:right w:val="none" w:sz="0" w:space="0" w:color="auto"/>
          </w:divBdr>
        </w:div>
        <w:div w:id="671295020">
          <w:marLeft w:val="0"/>
          <w:marRight w:val="0"/>
          <w:marTop w:val="0"/>
          <w:marBottom w:val="0"/>
          <w:divBdr>
            <w:top w:val="none" w:sz="0" w:space="0" w:color="auto"/>
            <w:left w:val="none" w:sz="0" w:space="0" w:color="auto"/>
            <w:bottom w:val="none" w:sz="0" w:space="0" w:color="auto"/>
            <w:right w:val="none" w:sz="0" w:space="0" w:color="auto"/>
          </w:divBdr>
        </w:div>
        <w:div w:id="1424298171">
          <w:marLeft w:val="0"/>
          <w:marRight w:val="0"/>
          <w:marTop w:val="0"/>
          <w:marBottom w:val="0"/>
          <w:divBdr>
            <w:top w:val="none" w:sz="0" w:space="0" w:color="auto"/>
            <w:left w:val="none" w:sz="0" w:space="0" w:color="auto"/>
            <w:bottom w:val="none" w:sz="0" w:space="0" w:color="auto"/>
            <w:right w:val="none" w:sz="0" w:space="0" w:color="auto"/>
          </w:divBdr>
        </w:div>
        <w:div w:id="1488278551">
          <w:marLeft w:val="0"/>
          <w:marRight w:val="0"/>
          <w:marTop w:val="0"/>
          <w:marBottom w:val="0"/>
          <w:divBdr>
            <w:top w:val="none" w:sz="0" w:space="0" w:color="auto"/>
            <w:left w:val="none" w:sz="0" w:space="0" w:color="auto"/>
            <w:bottom w:val="none" w:sz="0" w:space="0" w:color="auto"/>
            <w:right w:val="none" w:sz="0" w:space="0" w:color="auto"/>
          </w:divBdr>
        </w:div>
        <w:div w:id="1789659366">
          <w:marLeft w:val="0"/>
          <w:marRight w:val="0"/>
          <w:marTop w:val="0"/>
          <w:marBottom w:val="0"/>
          <w:divBdr>
            <w:top w:val="none" w:sz="0" w:space="0" w:color="auto"/>
            <w:left w:val="none" w:sz="0" w:space="0" w:color="auto"/>
            <w:bottom w:val="none" w:sz="0" w:space="0" w:color="auto"/>
            <w:right w:val="none" w:sz="0" w:space="0" w:color="auto"/>
          </w:divBdr>
        </w:div>
        <w:div w:id="1813478753">
          <w:marLeft w:val="0"/>
          <w:marRight w:val="0"/>
          <w:marTop w:val="0"/>
          <w:marBottom w:val="0"/>
          <w:divBdr>
            <w:top w:val="none" w:sz="0" w:space="0" w:color="auto"/>
            <w:left w:val="none" w:sz="0" w:space="0" w:color="auto"/>
            <w:bottom w:val="none" w:sz="0" w:space="0" w:color="auto"/>
            <w:right w:val="none" w:sz="0" w:space="0" w:color="auto"/>
          </w:divBdr>
        </w:div>
        <w:div w:id="2073383644">
          <w:marLeft w:val="0"/>
          <w:marRight w:val="0"/>
          <w:marTop w:val="0"/>
          <w:marBottom w:val="0"/>
          <w:divBdr>
            <w:top w:val="none" w:sz="0" w:space="0" w:color="auto"/>
            <w:left w:val="none" w:sz="0" w:space="0" w:color="auto"/>
            <w:bottom w:val="none" w:sz="0" w:space="0" w:color="auto"/>
            <w:right w:val="none" w:sz="0" w:space="0" w:color="auto"/>
          </w:divBdr>
        </w:div>
      </w:divsChild>
    </w:div>
    <w:div w:id="1324505987">
      <w:bodyDiv w:val="1"/>
      <w:marLeft w:val="0"/>
      <w:marRight w:val="0"/>
      <w:marTop w:val="0"/>
      <w:marBottom w:val="0"/>
      <w:divBdr>
        <w:top w:val="none" w:sz="0" w:space="0" w:color="auto"/>
        <w:left w:val="none" w:sz="0" w:space="0" w:color="auto"/>
        <w:bottom w:val="none" w:sz="0" w:space="0" w:color="auto"/>
        <w:right w:val="none" w:sz="0" w:space="0" w:color="auto"/>
      </w:divBdr>
      <w:divsChild>
        <w:div w:id="289476556">
          <w:marLeft w:val="0"/>
          <w:marRight w:val="0"/>
          <w:marTop w:val="0"/>
          <w:marBottom w:val="0"/>
          <w:divBdr>
            <w:top w:val="none" w:sz="0" w:space="0" w:color="auto"/>
            <w:left w:val="none" w:sz="0" w:space="0" w:color="auto"/>
            <w:bottom w:val="none" w:sz="0" w:space="0" w:color="auto"/>
            <w:right w:val="none" w:sz="0" w:space="0" w:color="auto"/>
          </w:divBdr>
          <w:divsChild>
            <w:div w:id="1000960908">
              <w:marLeft w:val="0"/>
              <w:marRight w:val="0"/>
              <w:marTop w:val="0"/>
              <w:marBottom w:val="0"/>
              <w:divBdr>
                <w:top w:val="none" w:sz="0" w:space="0" w:color="auto"/>
                <w:left w:val="none" w:sz="0" w:space="0" w:color="auto"/>
                <w:bottom w:val="none" w:sz="0" w:space="0" w:color="auto"/>
                <w:right w:val="none" w:sz="0" w:space="0" w:color="auto"/>
              </w:divBdr>
            </w:div>
            <w:div w:id="1286810791">
              <w:marLeft w:val="0"/>
              <w:marRight w:val="0"/>
              <w:marTop w:val="0"/>
              <w:marBottom w:val="0"/>
              <w:divBdr>
                <w:top w:val="none" w:sz="0" w:space="0" w:color="auto"/>
                <w:left w:val="none" w:sz="0" w:space="0" w:color="auto"/>
                <w:bottom w:val="none" w:sz="0" w:space="0" w:color="auto"/>
                <w:right w:val="none" w:sz="0" w:space="0" w:color="auto"/>
              </w:divBdr>
            </w:div>
            <w:div w:id="1720664417">
              <w:marLeft w:val="0"/>
              <w:marRight w:val="0"/>
              <w:marTop w:val="0"/>
              <w:marBottom w:val="0"/>
              <w:divBdr>
                <w:top w:val="none" w:sz="0" w:space="0" w:color="auto"/>
                <w:left w:val="none" w:sz="0" w:space="0" w:color="auto"/>
                <w:bottom w:val="none" w:sz="0" w:space="0" w:color="auto"/>
                <w:right w:val="none" w:sz="0" w:space="0" w:color="auto"/>
              </w:divBdr>
            </w:div>
            <w:div w:id="1922638049">
              <w:marLeft w:val="0"/>
              <w:marRight w:val="0"/>
              <w:marTop w:val="0"/>
              <w:marBottom w:val="0"/>
              <w:divBdr>
                <w:top w:val="none" w:sz="0" w:space="0" w:color="auto"/>
                <w:left w:val="none" w:sz="0" w:space="0" w:color="auto"/>
                <w:bottom w:val="none" w:sz="0" w:space="0" w:color="auto"/>
                <w:right w:val="none" w:sz="0" w:space="0" w:color="auto"/>
              </w:divBdr>
            </w:div>
          </w:divsChild>
        </w:div>
        <w:div w:id="416051737">
          <w:marLeft w:val="0"/>
          <w:marRight w:val="0"/>
          <w:marTop w:val="0"/>
          <w:marBottom w:val="0"/>
          <w:divBdr>
            <w:top w:val="none" w:sz="0" w:space="0" w:color="auto"/>
            <w:left w:val="none" w:sz="0" w:space="0" w:color="auto"/>
            <w:bottom w:val="none" w:sz="0" w:space="0" w:color="auto"/>
            <w:right w:val="none" w:sz="0" w:space="0" w:color="auto"/>
          </w:divBdr>
        </w:div>
        <w:div w:id="452601236">
          <w:marLeft w:val="0"/>
          <w:marRight w:val="0"/>
          <w:marTop w:val="0"/>
          <w:marBottom w:val="0"/>
          <w:divBdr>
            <w:top w:val="none" w:sz="0" w:space="0" w:color="auto"/>
            <w:left w:val="none" w:sz="0" w:space="0" w:color="auto"/>
            <w:bottom w:val="none" w:sz="0" w:space="0" w:color="auto"/>
            <w:right w:val="none" w:sz="0" w:space="0" w:color="auto"/>
          </w:divBdr>
        </w:div>
        <w:div w:id="1742171004">
          <w:marLeft w:val="0"/>
          <w:marRight w:val="0"/>
          <w:marTop w:val="0"/>
          <w:marBottom w:val="0"/>
          <w:divBdr>
            <w:top w:val="none" w:sz="0" w:space="0" w:color="auto"/>
            <w:left w:val="none" w:sz="0" w:space="0" w:color="auto"/>
            <w:bottom w:val="none" w:sz="0" w:space="0" w:color="auto"/>
            <w:right w:val="none" w:sz="0" w:space="0" w:color="auto"/>
          </w:divBdr>
        </w:div>
      </w:divsChild>
    </w:div>
    <w:div w:id="1336807500">
      <w:bodyDiv w:val="1"/>
      <w:marLeft w:val="0"/>
      <w:marRight w:val="0"/>
      <w:marTop w:val="0"/>
      <w:marBottom w:val="0"/>
      <w:divBdr>
        <w:top w:val="none" w:sz="0" w:space="0" w:color="auto"/>
        <w:left w:val="none" w:sz="0" w:space="0" w:color="auto"/>
        <w:bottom w:val="none" w:sz="0" w:space="0" w:color="auto"/>
        <w:right w:val="none" w:sz="0" w:space="0" w:color="auto"/>
      </w:divBdr>
      <w:divsChild>
        <w:div w:id="201408219">
          <w:marLeft w:val="0"/>
          <w:marRight w:val="0"/>
          <w:marTop w:val="0"/>
          <w:marBottom w:val="0"/>
          <w:divBdr>
            <w:top w:val="none" w:sz="0" w:space="0" w:color="auto"/>
            <w:left w:val="none" w:sz="0" w:space="0" w:color="auto"/>
            <w:bottom w:val="none" w:sz="0" w:space="0" w:color="auto"/>
            <w:right w:val="none" w:sz="0" w:space="0" w:color="auto"/>
          </w:divBdr>
        </w:div>
        <w:div w:id="232547552">
          <w:marLeft w:val="0"/>
          <w:marRight w:val="0"/>
          <w:marTop w:val="0"/>
          <w:marBottom w:val="0"/>
          <w:divBdr>
            <w:top w:val="none" w:sz="0" w:space="0" w:color="auto"/>
            <w:left w:val="none" w:sz="0" w:space="0" w:color="auto"/>
            <w:bottom w:val="none" w:sz="0" w:space="0" w:color="auto"/>
            <w:right w:val="none" w:sz="0" w:space="0" w:color="auto"/>
          </w:divBdr>
        </w:div>
        <w:div w:id="868491425">
          <w:marLeft w:val="0"/>
          <w:marRight w:val="0"/>
          <w:marTop w:val="0"/>
          <w:marBottom w:val="0"/>
          <w:divBdr>
            <w:top w:val="none" w:sz="0" w:space="0" w:color="auto"/>
            <w:left w:val="none" w:sz="0" w:space="0" w:color="auto"/>
            <w:bottom w:val="none" w:sz="0" w:space="0" w:color="auto"/>
            <w:right w:val="none" w:sz="0" w:space="0" w:color="auto"/>
          </w:divBdr>
        </w:div>
        <w:div w:id="873005145">
          <w:marLeft w:val="0"/>
          <w:marRight w:val="0"/>
          <w:marTop w:val="0"/>
          <w:marBottom w:val="0"/>
          <w:divBdr>
            <w:top w:val="none" w:sz="0" w:space="0" w:color="auto"/>
            <w:left w:val="none" w:sz="0" w:space="0" w:color="auto"/>
            <w:bottom w:val="none" w:sz="0" w:space="0" w:color="auto"/>
            <w:right w:val="none" w:sz="0" w:space="0" w:color="auto"/>
          </w:divBdr>
        </w:div>
        <w:div w:id="919216949">
          <w:marLeft w:val="0"/>
          <w:marRight w:val="0"/>
          <w:marTop w:val="0"/>
          <w:marBottom w:val="0"/>
          <w:divBdr>
            <w:top w:val="none" w:sz="0" w:space="0" w:color="auto"/>
            <w:left w:val="none" w:sz="0" w:space="0" w:color="auto"/>
            <w:bottom w:val="none" w:sz="0" w:space="0" w:color="auto"/>
            <w:right w:val="none" w:sz="0" w:space="0" w:color="auto"/>
          </w:divBdr>
        </w:div>
        <w:div w:id="995571749">
          <w:marLeft w:val="0"/>
          <w:marRight w:val="0"/>
          <w:marTop w:val="0"/>
          <w:marBottom w:val="0"/>
          <w:divBdr>
            <w:top w:val="none" w:sz="0" w:space="0" w:color="auto"/>
            <w:left w:val="none" w:sz="0" w:space="0" w:color="auto"/>
            <w:bottom w:val="none" w:sz="0" w:space="0" w:color="auto"/>
            <w:right w:val="none" w:sz="0" w:space="0" w:color="auto"/>
          </w:divBdr>
        </w:div>
        <w:div w:id="1522010788">
          <w:marLeft w:val="0"/>
          <w:marRight w:val="0"/>
          <w:marTop w:val="0"/>
          <w:marBottom w:val="0"/>
          <w:divBdr>
            <w:top w:val="none" w:sz="0" w:space="0" w:color="auto"/>
            <w:left w:val="none" w:sz="0" w:space="0" w:color="auto"/>
            <w:bottom w:val="none" w:sz="0" w:space="0" w:color="auto"/>
            <w:right w:val="none" w:sz="0" w:space="0" w:color="auto"/>
          </w:divBdr>
        </w:div>
        <w:div w:id="1603537592">
          <w:marLeft w:val="0"/>
          <w:marRight w:val="0"/>
          <w:marTop w:val="0"/>
          <w:marBottom w:val="0"/>
          <w:divBdr>
            <w:top w:val="none" w:sz="0" w:space="0" w:color="auto"/>
            <w:left w:val="none" w:sz="0" w:space="0" w:color="auto"/>
            <w:bottom w:val="none" w:sz="0" w:space="0" w:color="auto"/>
            <w:right w:val="none" w:sz="0" w:space="0" w:color="auto"/>
          </w:divBdr>
        </w:div>
        <w:div w:id="1605727555">
          <w:marLeft w:val="0"/>
          <w:marRight w:val="0"/>
          <w:marTop w:val="0"/>
          <w:marBottom w:val="0"/>
          <w:divBdr>
            <w:top w:val="none" w:sz="0" w:space="0" w:color="auto"/>
            <w:left w:val="none" w:sz="0" w:space="0" w:color="auto"/>
            <w:bottom w:val="none" w:sz="0" w:space="0" w:color="auto"/>
            <w:right w:val="none" w:sz="0" w:space="0" w:color="auto"/>
          </w:divBdr>
        </w:div>
        <w:div w:id="1658656361">
          <w:marLeft w:val="0"/>
          <w:marRight w:val="0"/>
          <w:marTop w:val="0"/>
          <w:marBottom w:val="0"/>
          <w:divBdr>
            <w:top w:val="none" w:sz="0" w:space="0" w:color="auto"/>
            <w:left w:val="none" w:sz="0" w:space="0" w:color="auto"/>
            <w:bottom w:val="none" w:sz="0" w:space="0" w:color="auto"/>
            <w:right w:val="none" w:sz="0" w:space="0" w:color="auto"/>
          </w:divBdr>
        </w:div>
        <w:div w:id="1662006058">
          <w:marLeft w:val="0"/>
          <w:marRight w:val="0"/>
          <w:marTop w:val="0"/>
          <w:marBottom w:val="0"/>
          <w:divBdr>
            <w:top w:val="none" w:sz="0" w:space="0" w:color="auto"/>
            <w:left w:val="none" w:sz="0" w:space="0" w:color="auto"/>
            <w:bottom w:val="none" w:sz="0" w:space="0" w:color="auto"/>
            <w:right w:val="none" w:sz="0" w:space="0" w:color="auto"/>
          </w:divBdr>
        </w:div>
        <w:div w:id="1847594819">
          <w:marLeft w:val="0"/>
          <w:marRight w:val="0"/>
          <w:marTop w:val="0"/>
          <w:marBottom w:val="0"/>
          <w:divBdr>
            <w:top w:val="none" w:sz="0" w:space="0" w:color="auto"/>
            <w:left w:val="none" w:sz="0" w:space="0" w:color="auto"/>
            <w:bottom w:val="none" w:sz="0" w:space="0" w:color="auto"/>
            <w:right w:val="none" w:sz="0" w:space="0" w:color="auto"/>
          </w:divBdr>
        </w:div>
        <w:div w:id="2012567347">
          <w:marLeft w:val="0"/>
          <w:marRight w:val="0"/>
          <w:marTop w:val="0"/>
          <w:marBottom w:val="0"/>
          <w:divBdr>
            <w:top w:val="none" w:sz="0" w:space="0" w:color="auto"/>
            <w:left w:val="none" w:sz="0" w:space="0" w:color="auto"/>
            <w:bottom w:val="none" w:sz="0" w:space="0" w:color="auto"/>
            <w:right w:val="none" w:sz="0" w:space="0" w:color="auto"/>
          </w:divBdr>
        </w:div>
        <w:div w:id="2131362487">
          <w:marLeft w:val="0"/>
          <w:marRight w:val="0"/>
          <w:marTop w:val="0"/>
          <w:marBottom w:val="0"/>
          <w:divBdr>
            <w:top w:val="none" w:sz="0" w:space="0" w:color="auto"/>
            <w:left w:val="none" w:sz="0" w:space="0" w:color="auto"/>
            <w:bottom w:val="none" w:sz="0" w:space="0" w:color="auto"/>
            <w:right w:val="none" w:sz="0" w:space="0" w:color="auto"/>
          </w:divBdr>
          <w:divsChild>
            <w:div w:id="115878431">
              <w:marLeft w:val="-75"/>
              <w:marRight w:val="0"/>
              <w:marTop w:val="30"/>
              <w:marBottom w:val="30"/>
              <w:divBdr>
                <w:top w:val="none" w:sz="0" w:space="0" w:color="auto"/>
                <w:left w:val="none" w:sz="0" w:space="0" w:color="auto"/>
                <w:bottom w:val="none" w:sz="0" w:space="0" w:color="auto"/>
                <w:right w:val="none" w:sz="0" w:space="0" w:color="auto"/>
              </w:divBdr>
              <w:divsChild>
                <w:div w:id="181550576">
                  <w:marLeft w:val="0"/>
                  <w:marRight w:val="0"/>
                  <w:marTop w:val="0"/>
                  <w:marBottom w:val="0"/>
                  <w:divBdr>
                    <w:top w:val="none" w:sz="0" w:space="0" w:color="auto"/>
                    <w:left w:val="none" w:sz="0" w:space="0" w:color="auto"/>
                    <w:bottom w:val="none" w:sz="0" w:space="0" w:color="auto"/>
                    <w:right w:val="none" w:sz="0" w:space="0" w:color="auto"/>
                  </w:divBdr>
                  <w:divsChild>
                    <w:div w:id="369383853">
                      <w:marLeft w:val="0"/>
                      <w:marRight w:val="0"/>
                      <w:marTop w:val="0"/>
                      <w:marBottom w:val="0"/>
                      <w:divBdr>
                        <w:top w:val="none" w:sz="0" w:space="0" w:color="auto"/>
                        <w:left w:val="none" w:sz="0" w:space="0" w:color="auto"/>
                        <w:bottom w:val="none" w:sz="0" w:space="0" w:color="auto"/>
                        <w:right w:val="none" w:sz="0" w:space="0" w:color="auto"/>
                      </w:divBdr>
                    </w:div>
                    <w:div w:id="1916668155">
                      <w:marLeft w:val="0"/>
                      <w:marRight w:val="0"/>
                      <w:marTop w:val="0"/>
                      <w:marBottom w:val="0"/>
                      <w:divBdr>
                        <w:top w:val="none" w:sz="0" w:space="0" w:color="auto"/>
                        <w:left w:val="none" w:sz="0" w:space="0" w:color="auto"/>
                        <w:bottom w:val="none" w:sz="0" w:space="0" w:color="auto"/>
                        <w:right w:val="none" w:sz="0" w:space="0" w:color="auto"/>
                      </w:divBdr>
                    </w:div>
                  </w:divsChild>
                </w:div>
                <w:div w:id="389422039">
                  <w:marLeft w:val="0"/>
                  <w:marRight w:val="0"/>
                  <w:marTop w:val="0"/>
                  <w:marBottom w:val="0"/>
                  <w:divBdr>
                    <w:top w:val="none" w:sz="0" w:space="0" w:color="auto"/>
                    <w:left w:val="none" w:sz="0" w:space="0" w:color="auto"/>
                    <w:bottom w:val="none" w:sz="0" w:space="0" w:color="auto"/>
                    <w:right w:val="none" w:sz="0" w:space="0" w:color="auto"/>
                  </w:divBdr>
                  <w:divsChild>
                    <w:div w:id="1078985235">
                      <w:marLeft w:val="0"/>
                      <w:marRight w:val="0"/>
                      <w:marTop w:val="0"/>
                      <w:marBottom w:val="0"/>
                      <w:divBdr>
                        <w:top w:val="none" w:sz="0" w:space="0" w:color="auto"/>
                        <w:left w:val="none" w:sz="0" w:space="0" w:color="auto"/>
                        <w:bottom w:val="none" w:sz="0" w:space="0" w:color="auto"/>
                        <w:right w:val="none" w:sz="0" w:space="0" w:color="auto"/>
                      </w:divBdr>
                    </w:div>
                  </w:divsChild>
                </w:div>
                <w:div w:id="1009216163">
                  <w:marLeft w:val="0"/>
                  <w:marRight w:val="0"/>
                  <w:marTop w:val="0"/>
                  <w:marBottom w:val="0"/>
                  <w:divBdr>
                    <w:top w:val="none" w:sz="0" w:space="0" w:color="auto"/>
                    <w:left w:val="none" w:sz="0" w:space="0" w:color="auto"/>
                    <w:bottom w:val="none" w:sz="0" w:space="0" w:color="auto"/>
                    <w:right w:val="none" w:sz="0" w:space="0" w:color="auto"/>
                  </w:divBdr>
                  <w:divsChild>
                    <w:div w:id="271396852">
                      <w:marLeft w:val="0"/>
                      <w:marRight w:val="0"/>
                      <w:marTop w:val="0"/>
                      <w:marBottom w:val="0"/>
                      <w:divBdr>
                        <w:top w:val="none" w:sz="0" w:space="0" w:color="auto"/>
                        <w:left w:val="none" w:sz="0" w:space="0" w:color="auto"/>
                        <w:bottom w:val="none" w:sz="0" w:space="0" w:color="auto"/>
                        <w:right w:val="none" w:sz="0" w:space="0" w:color="auto"/>
                      </w:divBdr>
                    </w:div>
                    <w:div w:id="952517494">
                      <w:marLeft w:val="0"/>
                      <w:marRight w:val="0"/>
                      <w:marTop w:val="0"/>
                      <w:marBottom w:val="0"/>
                      <w:divBdr>
                        <w:top w:val="none" w:sz="0" w:space="0" w:color="auto"/>
                        <w:left w:val="none" w:sz="0" w:space="0" w:color="auto"/>
                        <w:bottom w:val="none" w:sz="0" w:space="0" w:color="auto"/>
                        <w:right w:val="none" w:sz="0" w:space="0" w:color="auto"/>
                      </w:divBdr>
                    </w:div>
                  </w:divsChild>
                </w:div>
                <w:div w:id="1803890013">
                  <w:marLeft w:val="0"/>
                  <w:marRight w:val="0"/>
                  <w:marTop w:val="0"/>
                  <w:marBottom w:val="0"/>
                  <w:divBdr>
                    <w:top w:val="none" w:sz="0" w:space="0" w:color="auto"/>
                    <w:left w:val="none" w:sz="0" w:space="0" w:color="auto"/>
                    <w:bottom w:val="none" w:sz="0" w:space="0" w:color="auto"/>
                    <w:right w:val="none" w:sz="0" w:space="0" w:color="auto"/>
                  </w:divBdr>
                  <w:divsChild>
                    <w:div w:id="711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455200">
      <w:bodyDiv w:val="1"/>
      <w:marLeft w:val="0"/>
      <w:marRight w:val="0"/>
      <w:marTop w:val="0"/>
      <w:marBottom w:val="0"/>
      <w:divBdr>
        <w:top w:val="none" w:sz="0" w:space="0" w:color="auto"/>
        <w:left w:val="none" w:sz="0" w:space="0" w:color="auto"/>
        <w:bottom w:val="none" w:sz="0" w:space="0" w:color="auto"/>
        <w:right w:val="none" w:sz="0" w:space="0" w:color="auto"/>
      </w:divBdr>
      <w:divsChild>
        <w:div w:id="1926065892">
          <w:marLeft w:val="0"/>
          <w:marRight w:val="0"/>
          <w:marTop w:val="0"/>
          <w:marBottom w:val="0"/>
          <w:divBdr>
            <w:top w:val="none" w:sz="0" w:space="0" w:color="auto"/>
            <w:left w:val="none" w:sz="0" w:space="0" w:color="auto"/>
            <w:bottom w:val="none" w:sz="0" w:space="0" w:color="auto"/>
            <w:right w:val="none" w:sz="0" w:space="0" w:color="auto"/>
          </w:divBdr>
        </w:div>
        <w:div w:id="1439569672">
          <w:marLeft w:val="0"/>
          <w:marRight w:val="0"/>
          <w:marTop w:val="0"/>
          <w:marBottom w:val="0"/>
          <w:divBdr>
            <w:top w:val="none" w:sz="0" w:space="0" w:color="auto"/>
            <w:left w:val="none" w:sz="0" w:space="0" w:color="auto"/>
            <w:bottom w:val="none" w:sz="0" w:space="0" w:color="auto"/>
            <w:right w:val="none" w:sz="0" w:space="0" w:color="auto"/>
          </w:divBdr>
        </w:div>
        <w:div w:id="189228557">
          <w:marLeft w:val="0"/>
          <w:marRight w:val="0"/>
          <w:marTop w:val="0"/>
          <w:marBottom w:val="0"/>
          <w:divBdr>
            <w:top w:val="none" w:sz="0" w:space="0" w:color="auto"/>
            <w:left w:val="none" w:sz="0" w:space="0" w:color="auto"/>
            <w:bottom w:val="none" w:sz="0" w:space="0" w:color="auto"/>
            <w:right w:val="none" w:sz="0" w:space="0" w:color="auto"/>
          </w:divBdr>
        </w:div>
        <w:div w:id="975179477">
          <w:marLeft w:val="0"/>
          <w:marRight w:val="0"/>
          <w:marTop w:val="0"/>
          <w:marBottom w:val="0"/>
          <w:divBdr>
            <w:top w:val="none" w:sz="0" w:space="0" w:color="auto"/>
            <w:left w:val="none" w:sz="0" w:space="0" w:color="auto"/>
            <w:bottom w:val="none" w:sz="0" w:space="0" w:color="auto"/>
            <w:right w:val="none" w:sz="0" w:space="0" w:color="auto"/>
          </w:divBdr>
        </w:div>
        <w:div w:id="2146508957">
          <w:marLeft w:val="0"/>
          <w:marRight w:val="0"/>
          <w:marTop w:val="0"/>
          <w:marBottom w:val="0"/>
          <w:divBdr>
            <w:top w:val="none" w:sz="0" w:space="0" w:color="auto"/>
            <w:left w:val="none" w:sz="0" w:space="0" w:color="auto"/>
            <w:bottom w:val="none" w:sz="0" w:space="0" w:color="auto"/>
            <w:right w:val="none" w:sz="0" w:space="0" w:color="auto"/>
          </w:divBdr>
        </w:div>
        <w:div w:id="829980301">
          <w:marLeft w:val="0"/>
          <w:marRight w:val="0"/>
          <w:marTop w:val="0"/>
          <w:marBottom w:val="0"/>
          <w:divBdr>
            <w:top w:val="none" w:sz="0" w:space="0" w:color="auto"/>
            <w:left w:val="none" w:sz="0" w:space="0" w:color="auto"/>
            <w:bottom w:val="none" w:sz="0" w:space="0" w:color="auto"/>
            <w:right w:val="none" w:sz="0" w:space="0" w:color="auto"/>
          </w:divBdr>
        </w:div>
        <w:div w:id="544148575">
          <w:marLeft w:val="0"/>
          <w:marRight w:val="0"/>
          <w:marTop w:val="0"/>
          <w:marBottom w:val="0"/>
          <w:divBdr>
            <w:top w:val="none" w:sz="0" w:space="0" w:color="auto"/>
            <w:left w:val="none" w:sz="0" w:space="0" w:color="auto"/>
            <w:bottom w:val="none" w:sz="0" w:space="0" w:color="auto"/>
            <w:right w:val="none" w:sz="0" w:space="0" w:color="auto"/>
          </w:divBdr>
        </w:div>
        <w:div w:id="1851672977">
          <w:marLeft w:val="0"/>
          <w:marRight w:val="0"/>
          <w:marTop w:val="0"/>
          <w:marBottom w:val="0"/>
          <w:divBdr>
            <w:top w:val="none" w:sz="0" w:space="0" w:color="auto"/>
            <w:left w:val="none" w:sz="0" w:space="0" w:color="auto"/>
            <w:bottom w:val="none" w:sz="0" w:space="0" w:color="auto"/>
            <w:right w:val="none" w:sz="0" w:space="0" w:color="auto"/>
          </w:divBdr>
          <w:divsChild>
            <w:div w:id="761413163">
              <w:marLeft w:val="0"/>
              <w:marRight w:val="0"/>
              <w:marTop w:val="0"/>
              <w:marBottom w:val="0"/>
              <w:divBdr>
                <w:top w:val="none" w:sz="0" w:space="0" w:color="auto"/>
                <w:left w:val="none" w:sz="0" w:space="0" w:color="auto"/>
                <w:bottom w:val="none" w:sz="0" w:space="0" w:color="auto"/>
                <w:right w:val="none" w:sz="0" w:space="0" w:color="auto"/>
              </w:divBdr>
            </w:div>
            <w:div w:id="1966694276">
              <w:marLeft w:val="0"/>
              <w:marRight w:val="0"/>
              <w:marTop w:val="0"/>
              <w:marBottom w:val="0"/>
              <w:divBdr>
                <w:top w:val="none" w:sz="0" w:space="0" w:color="auto"/>
                <w:left w:val="none" w:sz="0" w:space="0" w:color="auto"/>
                <w:bottom w:val="none" w:sz="0" w:space="0" w:color="auto"/>
                <w:right w:val="none" w:sz="0" w:space="0" w:color="auto"/>
              </w:divBdr>
            </w:div>
            <w:div w:id="1803115391">
              <w:marLeft w:val="0"/>
              <w:marRight w:val="0"/>
              <w:marTop w:val="0"/>
              <w:marBottom w:val="0"/>
              <w:divBdr>
                <w:top w:val="none" w:sz="0" w:space="0" w:color="auto"/>
                <w:left w:val="none" w:sz="0" w:space="0" w:color="auto"/>
                <w:bottom w:val="none" w:sz="0" w:space="0" w:color="auto"/>
                <w:right w:val="none" w:sz="0" w:space="0" w:color="auto"/>
              </w:divBdr>
            </w:div>
            <w:div w:id="753890862">
              <w:marLeft w:val="0"/>
              <w:marRight w:val="0"/>
              <w:marTop w:val="0"/>
              <w:marBottom w:val="0"/>
              <w:divBdr>
                <w:top w:val="none" w:sz="0" w:space="0" w:color="auto"/>
                <w:left w:val="none" w:sz="0" w:space="0" w:color="auto"/>
                <w:bottom w:val="none" w:sz="0" w:space="0" w:color="auto"/>
                <w:right w:val="none" w:sz="0" w:space="0" w:color="auto"/>
              </w:divBdr>
            </w:div>
          </w:divsChild>
        </w:div>
        <w:div w:id="1271667524">
          <w:marLeft w:val="0"/>
          <w:marRight w:val="0"/>
          <w:marTop w:val="0"/>
          <w:marBottom w:val="0"/>
          <w:divBdr>
            <w:top w:val="none" w:sz="0" w:space="0" w:color="auto"/>
            <w:left w:val="none" w:sz="0" w:space="0" w:color="auto"/>
            <w:bottom w:val="none" w:sz="0" w:space="0" w:color="auto"/>
            <w:right w:val="none" w:sz="0" w:space="0" w:color="auto"/>
          </w:divBdr>
        </w:div>
        <w:div w:id="447352585">
          <w:marLeft w:val="0"/>
          <w:marRight w:val="0"/>
          <w:marTop w:val="0"/>
          <w:marBottom w:val="0"/>
          <w:divBdr>
            <w:top w:val="none" w:sz="0" w:space="0" w:color="auto"/>
            <w:left w:val="none" w:sz="0" w:space="0" w:color="auto"/>
            <w:bottom w:val="none" w:sz="0" w:space="0" w:color="auto"/>
            <w:right w:val="none" w:sz="0" w:space="0" w:color="auto"/>
          </w:divBdr>
        </w:div>
      </w:divsChild>
    </w:div>
    <w:div w:id="1374692855">
      <w:bodyDiv w:val="1"/>
      <w:marLeft w:val="0"/>
      <w:marRight w:val="0"/>
      <w:marTop w:val="0"/>
      <w:marBottom w:val="0"/>
      <w:divBdr>
        <w:top w:val="none" w:sz="0" w:space="0" w:color="auto"/>
        <w:left w:val="none" w:sz="0" w:space="0" w:color="auto"/>
        <w:bottom w:val="none" w:sz="0" w:space="0" w:color="auto"/>
        <w:right w:val="none" w:sz="0" w:space="0" w:color="auto"/>
      </w:divBdr>
    </w:div>
    <w:div w:id="1387796873">
      <w:bodyDiv w:val="1"/>
      <w:marLeft w:val="0"/>
      <w:marRight w:val="0"/>
      <w:marTop w:val="0"/>
      <w:marBottom w:val="0"/>
      <w:divBdr>
        <w:top w:val="none" w:sz="0" w:space="0" w:color="auto"/>
        <w:left w:val="none" w:sz="0" w:space="0" w:color="auto"/>
        <w:bottom w:val="none" w:sz="0" w:space="0" w:color="auto"/>
        <w:right w:val="none" w:sz="0" w:space="0" w:color="auto"/>
      </w:divBdr>
      <w:divsChild>
        <w:div w:id="255526244">
          <w:marLeft w:val="0"/>
          <w:marRight w:val="0"/>
          <w:marTop w:val="0"/>
          <w:marBottom w:val="0"/>
          <w:divBdr>
            <w:top w:val="none" w:sz="0" w:space="0" w:color="auto"/>
            <w:left w:val="none" w:sz="0" w:space="0" w:color="auto"/>
            <w:bottom w:val="none" w:sz="0" w:space="0" w:color="auto"/>
            <w:right w:val="none" w:sz="0" w:space="0" w:color="auto"/>
          </w:divBdr>
        </w:div>
        <w:div w:id="319771835">
          <w:marLeft w:val="0"/>
          <w:marRight w:val="0"/>
          <w:marTop w:val="0"/>
          <w:marBottom w:val="0"/>
          <w:divBdr>
            <w:top w:val="none" w:sz="0" w:space="0" w:color="auto"/>
            <w:left w:val="none" w:sz="0" w:space="0" w:color="auto"/>
            <w:bottom w:val="none" w:sz="0" w:space="0" w:color="auto"/>
            <w:right w:val="none" w:sz="0" w:space="0" w:color="auto"/>
          </w:divBdr>
        </w:div>
        <w:div w:id="528567350">
          <w:marLeft w:val="0"/>
          <w:marRight w:val="0"/>
          <w:marTop w:val="0"/>
          <w:marBottom w:val="0"/>
          <w:divBdr>
            <w:top w:val="none" w:sz="0" w:space="0" w:color="auto"/>
            <w:left w:val="none" w:sz="0" w:space="0" w:color="auto"/>
            <w:bottom w:val="none" w:sz="0" w:space="0" w:color="auto"/>
            <w:right w:val="none" w:sz="0" w:space="0" w:color="auto"/>
          </w:divBdr>
        </w:div>
        <w:div w:id="676730120">
          <w:marLeft w:val="0"/>
          <w:marRight w:val="0"/>
          <w:marTop w:val="0"/>
          <w:marBottom w:val="0"/>
          <w:divBdr>
            <w:top w:val="none" w:sz="0" w:space="0" w:color="auto"/>
            <w:left w:val="none" w:sz="0" w:space="0" w:color="auto"/>
            <w:bottom w:val="none" w:sz="0" w:space="0" w:color="auto"/>
            <w:right w:val="none" w:sz="0" w:space="0" w:color="auto"/>
          </w:divBdr>
        </w:div>
        <w:div w:id="986515163">
          <w:marLeft w:val="0"/>
          <w:marRight w:val="0"/>
          <w:marTop w:val="0"/>
          <w:marBottom w:val="0"/>
          <w:divBdr>
            <w:top w:val="none" w:sz="0" w:space="0" w:color="auto"/>
            <w:left w:val="none" w:sz="0" w:space="0" w:color="auto"/>
            <w:bottom w:val="none" w:sz="0" w:space="0" w:color="auto"/>
            <w:right w:val="none" w:sz="0" w:space="0" w:color="auto"/>
          </w:divBdr>
        </w:div>
        <w:div w:id="1349454653">
          <w:marLeft w:val="0"/>
          <w:marRight w:val="0"/>
          <w:marTop w:val="0"/>
          <w:marBottom w:val="0"/>
          <w:divBdr>
            <w:top w:val="none" w:sz="0" w:space="0" w:color="auto"/>
            <w:left w:val="none" w:sz="0" w:space="0" w:color="auto"/>
            <w:bottom w:val="none" w:sz="0" w:space="0" w:color="auto"/>
            <w:right w:val="none" w:sz="0" w:space="0" w:color="auto"/>
          </w:divBdr>
        </w:div>
        <w:div w:id="1401948025">
          <w:marLeft w:val="0"/>
          <w:marRight w:val="0"/>
          <w:marTop w:val="0"/>
          <w:marBottom w:val="0"/>
          <w:divBdr>
            <w:top w:val="none" w:sz="0" w:space="0" w:color="auto"/>
            <w:left w:val="none" w:sz="0" w:space="0" w:color="auto"/>
            <w:bottom w:val="none" w:sz="0" w:space="0" w:color="auto"/>
            <w:right w:val="none" w:sz="0" w:space="0" w:color="auto"/>
          </w:divBdr>
        </w:div>
        <w:div w:id="1591354694">
          <w:marLeft w:val="0"/>
          <w:marRight w:val="0"/>
          <w:marTop w:val="0"/>
          <w:marBottom w:val="0"/>
          <w:divBdr>
            <w:top w:val="none" w:sz="0" w:space="0" w:color="auto"/>
            <w:left w:val="none" w:sz="0" w:space="0" w:color="auto"/>
            <w:bottom w:val="none" w:sz="0" w:space="0" w:color="auto"/>
            <w:right w:val="none" w:sz="0" w:space="0" w:color="auto"/>
          </w:divBdr>
        </w:div>
        <w:div w:id="1876654541">
          <w:marLeft w:val="0"/>
          <w:marRight w:val="0"/>
          <w:marTop w:val="0"/>
          <w:marBottom w:val="0"/>
          <w:divBdr>
            <w:top w:val="none" w:sz="0" w:space="0" w:color="auto"/>
            <w:left w:val="none" w:sz="0" w:space="0" w:color="auto"/>
            <w:bottom w:val="none" w:sz="0" w:space="0" w:color="auto"/>
            <w:right w:val="none" w:sz="0" w:space="0" w:color="auto"/>
          </w:divBdr>
        </w:div>
      </w:divsChild>
    </w:div>
    <w:div w:id="1433280157">
      <w:bodyDiv w:val="1"/>
      <w:marLeft w:val="0"/>
      <w:marRight w:val="0"/>
      <w:marTop w:val="0"/>
      <w:marBottom w:val="0"/>
      <w:divBdr>
        <w:top w:val="none" w:sz="0" w:space="0" w:color="auto"/>
        <w:left w:val="none" w:sz="0" w:space="0" w:color="auto"/>
        <w:bottom w:val="none" w:sz="0" w:space="0" w:color="auto"/>
        <w:right w:val="none" w:sz="0" w:space="0" w:color="auto"/>
      </w:divBdr>
      <w:divsChild>
        <w:div w:id="45692222">
          <w:marLeft w:val="0"/>
          <w:marRight w:val="0"/>
          <w:marTop w:val="0"/>
          <w:marBottom w:val="0"/>
          <w:divBdr>
            <w:top w:val="none" w:sz="0" w:space="0" w:color="auto"/>
            <w:left w:val="none" w:sz="0" w:space="0" w:color="auto"/>
            <w:bottom w:val="none" w:sz="0" w:space="0" w:color="auto"/>
            <w:right w:val="none" w:sz="0" w:space="0" w:color="auto"/>
          </w:divBdr>
        </w:div>
        <w:div w:id="280957964">
          <w:marLeft w:val="0"/>
          <w:marRight w:val="0"/>
          <w:marTop w:val="0"/>
          <w:marBottom w:val="0"/>
          <w:divBdr>
            <w:top w:val="none" w:sz="0" w:space="0" w:color="auto"/>
            <w:left w:val="none" w:sz="0" w:space="0" w:color="auto"/>
            <w:bottom w:val="none" w:sz="0" w:space="0" w:color="auto"/>
            <w:right w:val="none" w:sz="0" w:space="0" w:color="auto"/>
          </w:divBdr>
        </w:div>
        <w:div w:id="291176861">
          <w:marLeft w:val="0"/>
          <w:marRight w:val="0"/>
          <w:marTop w:val="0"/>
          <w:marBottom w:val="0"/>
          <w:divBdr>
            <w:top w:val="none" w:sz="0" w:space="0" w:color="auto"/>
            <w:left w:val="none" w:sz="0" w:space="0" w:color="auto"/>
            <w:bottom w:val="none" w:sz="0" w:space="0" w:color="auto"/>
            <w:right w:val="none" w:sz="0" w:space="0" w:color="auto"/>
          </w:divBdr>
        </w:div>
        <w:div w:id="577446901">
          <w:marLeft w:val="0"/>
          <w:marRight w:val="0"/>
          <w:marTop w:val="0"/>
          <w:marBottom w:val="0"/>
          <w:divBdr>
            <w:top w:val="none" w:sz="0" w:space="0" w:color="auto"/>
            <w:left w:val="none" w:sz="0" w:space="0" w:color="auto"/>
            <w:bottom w:val="none" w:sz="0" w:space="0" w:color="auto"/>
            <w:right w:val="none" w:sz="0" w:space="0" w:color="auto"/>
          </w:divBdr>
        </w:div>
        <w:div w:id="1205557438">
          <w:marLeft w:val="0"/>
          <w:marRight w:val="0"/>
          <w:marTop w:val="0"/>
          <w:marBottom w:val="0"/>
          <w:divBdr>
            <w:top w:val="none" w:sz="0" w:space="0" w:color="auto"/>
            <w:left w:val="none" w:sz="0" w:space="0" w:color="auto"/>
            <w:bottom w:val="none" w:sz="0" w:space="0" w:color="auto"/>
            <w:right w:val="none" w:sz="0" w:space="0" w:color="auto"/>
          </w:divBdr>
        </w:div>
        <w:div w:id="1289625647">
          <w:marLeft w:val="0"/>
          <w:marRight w:val="0"/>
          <w:marTop w:val="0"/>
          <w:marBottom w:val="0"/>
          <w:divBdr>
            <w:top w:val="none" w:sz="0" w:space="0" w:color="auto"/>
            <w:left w:val="none" w:sz="0" w:space="0" w:color="auto"/>
            <w:bottom w:val="none" w:sz="0" w:space="0" w:color="auto"/>
            <w:right w:val="none" w:sz="0" w:space="0" w:color="auto"/>
          </w:divBdr>
        </w:div>
        <w:div w:id="1722905223">
          <w:marLeft w:val="0"/>
          <w:marRight w:val="0"/>
          <w:marTop w:val="0"/>
          <w:marBottom w:val="0"/>
          <w:divBdr>
            <w:top w:val="none" w:sz="0" w:space="0" w:color="auto"/>
            <w:left w:val="none" w:sz="0" w:space="0" w:color="auto"/>
            <w:bottom w:val="none" w:sz="0" w:space="0" w:color="auto"/>
            <w:right w:val="none" w:sz="0" w:space="0" w:color="auto"/>
          </w:divBdr>
        </w:div>
      </w:divsChild>
    </w:div>
    <w:div w:id="1439108355">
      <w:bodyDiv w:val="1"/>
      <w:marLeft w:val="0"/>
      <w:marRight w:val="0"/>
      <w:marTop w:val="0"/>
      <w:marBottom w:val="0"/>
      <w:divBdr>
        <w:top w:val="none" w:sz="0" w:space="0" w:color="auto"/>
        <w:left w:val="none" w:sz="0" w:space="0" w:color="auto"/>
        <w:bottom w:val="none" w:sz="0" w:space="0" w:color="auto"/>
        <w:right w:val="none" w:sz="0" w:space="0" w:color="auto"/>
      </w:divBdr>
      <w:divsChild>
        <w:div w:id="244658060">
          <w:marLeft w:val="0"/>
          <w:marRight w:val="0"/>
          <w:marTop w:val="0"/>
          <w:marBottom w:val="0"/>
          <w:divBdr>
            <w:top w:val="none" w:sz="0" w:space="0" w:color="auto"/>
            <w:left w:val="none" w:sz="0" w:space="0" w:color="auto"/>
            <w:bottom w:val="none" w:sz="0" w:space="0" w:color="auto"/>
            <w:right w:val="none" w:sz="0" w:space="0" w:color="auto"/>
          </w:divBdr>
        </w:div>
        <w:div w:id="359169350">
          <w:marLeft w:val="0"/>
          <w:marRight w:val="0"/>
          <w:marTop w:val="0"/>
          <w:marBottom w:val="0"/>
          <w:divBdr>
            <w:top w:val="none" w:sz="0" w:space="0" w:color="auto"/>
            <w:left w:val="none" w:sz="0" w:space="0" w:color="auto"/>
            <w:bottom w:val="none" w:sz="0" w:space="0" w:color="auto"/>
            <w:right w:val="none" w:sz="0" w:space="0" w:color="auto"/>
          </w:divBdr>
        </w:div>
        <w:div w:id="505362353">
          <w:marLeft w:val="0"/>
          <w:marRight w:val="0"/>
          <w:marTop w:val="0"/>
          <w:marBottom w:val="0"/>
          <w:divBdr>
            <w:top w:val="none" w:sz="0" w:space="0" w:color="auto"/>
            <w:left w:val="none" w:sz="0" w:space="0" w:color="auto"/>
            <w:bottom w:val="none" w:sz="0" w:space="0" w:color="auto"/>
            <w:right w:val="none" w:sz="0" w:space="0" w:color="auto"/>
          </w:divBdr>
        </w:div>
        <w:div w:id="575435083">
          <w:marLeft w:val="0"/>
          <w:marRight w:val="0"/>
          <w:marTop w:val="0"/>
          <w:marBottom w:val="0"/>
          <w:divBdr>
            <w:top w:val="none" w:sz="0" w:space="0" w:color="auto"/>
            <w:left w:val="none" w:sz="0" w:space="0" w:color="auto"/>
            <w:bottom w:val="none" w:sz="0" w:space="0" w:color="auto"/>
            <w:right w:val="none" w:sz="0" w:space="0" w:color="auto"/>
          </w:divBdr>
        </w:div>
        <w:div w:id="680274877">
          <w:marLeft w:val="0"/>
          <w:marRight w:val="0"/>
          <w:marTop w:val="0"/>
          <w:marBottom w:val="0"/>
          <w:divBdr>
            <w:top w:val="none" w:sz="0" w:space="0" w:color="auto"/>
            <w:left w:val="none" w:sz="0" w:space="0" w:color="auto"/>
            <w:bottom w:val="none" w:sz="0" w:space="0" w:color="auto"/>
            <w:right w:val="none" w:sz="0" w:space="0" w:color="auto"/>
          </w:divBdr>
        </w:div>
        <w:div w:id="725450590">
          <w:marLeft w:val="0"/>
          <w:marRight w:val="0"/>
          <w:marTop w:val="0"/>
          <w:marBottom w:val="0"/>
          <w:divBdr>
            <w:top w:val="none" w:sz="0" w:space="0" w:color="auto"/>
            <w:left w:val="none" w:sz="0" w:space="0" w:color="auto"/>
            <w:bottom w:val="none" w:sz="0" w:space="0" w:color="auto"/>
            <w:right w:val="none" w:sz="0" w:space="0" w:color="auto"/>
          </w:divBdr>
        </w:div>
        <w:div w:id="872571242">
          <w:marLeft w:val="0"/>
          <w:marRight w:val="0"/>
          <w:marTop w:val="0"/>
          <w:marBottom w:val="0"/>
          <w:divBdr>
            <w:top w:val="none" w:sz="0" w:space="0" w:color="auto"/>
            <w:left w:val="none" w:sz="0" w:space="0" w:color="auto"/>
            <w:bottom w:val="none" w:sz="0" w:space="0" w:color="auto"/>
            <w:right w:val="none" w:sz="0" w:space="0" w:color="auto"/>
          </w:divBdr>
          <w:divsChild>
            <w:div w:id="252670780">
              <w:marLeft w:val="0"/>
              <w:marRight w:val="0"/>
              <w:marTop w:val="0"/>
              <w:marBottom w:val="0"/>
              <w:divBdr>
                <w:top w:val="none" w:sz="0" w:space="0" w:color="auto"/>
                <w:left w:val="none" w:sz="0" w:space="0" w:color="auto"/>
                <w:bottom w:val="none" w:sz="0" w:space="0" w:color="auto"/>
                <w:right w:val="none" w:sz="0" w:space="0" w:color="auto"/>
              </w:divBdr>
            </w:div>
            <w:div w:id="802891124">
              <w:marLeft w:val="0"/>
              <w:marRight w:val="0"/>
              <w:marTop w:val="0"/>
              <w:marBottom w:val="0"/>
              <w:divBdr>
                <w:top w:val="none" w:sz="0" w:space="0" w:color="auto"/>
                <w:left w:val="none" w:sz="0" w:space="0" w:color="auto"/>
                <w:bottom w:val="none" w:sz="0" w:space="0" w:color="auto"/>
                <w:right w:val="none" w:sz="0" w:space="0" w:color="auto"/>
              </w:divBdr>
            </w:div>
            <w:div w:id="1080369062">
              <w:marLeft w:val="0"/>
              <w:marRight w:val="0"/>
              <w:marTop w:val="0"/>
              <w:marBottom w:val="0"/>
              <w:divBdr>
                <w:top w:val="none" w:sz="0" w:space="0" w:color="auto"/>
                <w:left w:val="none" w:sz="0" w:space="0" w:color="auto"/>
                <w:bottom w:val="none" w:sz="0" w:space="0" w:color="auto"/>
                <w:right w:val="none" w:sz="0" w:space="0" w:color="auto"/>
              </w:divBdr>
            </w:div>
            <w:div w:id="1625884657">
              <w:marLeft w:val="0"/>
              <w:marRight w:val="0"/>
              <w:marTop w:val="0"/>
              <w:marBottom w:val="0"/>
              <w:divBdr>
                <w:top w:val="none" w:sz="0" w:space="0" w:color="auto"/>
                <w:left w:val="none" w:sz="0" w:space="0" w:color="auto"/>
                <w:bottom w:val="none" w:sz="0" w:space="0" w:color="auto"/>
                <w:right w:val="none" w:sz="0" w:space="0" w:color="auto"/>
              </w:divBdr>
            </w:div>
            <w:div w:id="2069378043">
              <w:marLeft w:val="0"/>
              <w:marRight w:val="0"/>
              <w:marTop w:val="0"/>
              <w:marBottom w:val="0"/>
              <w:divBdr>
                <w:top w:val="none" w:sz="0" w:space="0" w:color="auto"/>
                <w:left w:val="none" w:sz="0" w:space="0" w:color="auto"/>
                <w:bottom w:val="none" w:sz="0" w:space="0" w:color="auto"/>
                <w:right w:val="none" w:sz="0" w:space="0" w:color="auto"/>
              </w:divBdr>
            </w:div>
          </w:divsChild>
        </w:div>
        <w:div w:id="1025908600">
          <w:marLeft w:val="0"/>
          <w:marRight w:val="0"/>
          <w:marTop w:val="0"/>
          <w:marBottom w:val="0"/>
          <w:divBdr>
            <w:top w:val="none" w:sz="0" w:space="0" w:color="auto"/>
            <w:left w:val="none" w:sz="0" w:space="0" w:color="auto"/>
            <w:bottom w:val="none" w:sz="0" w:space="0" w:color="auto"/>
            <w:right w:val="none" w:sz="0" w:space="0" w:color="auto"/>
          </w:divBdr>
        </w:div>
        <w:div w:id="1465660200">
          <w:marLeft w:val="0"/>
          <w:marRight w:val="0"/>
          <w:marTop w:val="0"/>
          <w:marBottom w:val="0"/>
          <w:divBdr>
            <w:top w:val="none" w:sz="0" w:space="0" w:color="auto"/>
            <w:left w:val="none" w:sz="0" w:space="0" w:color="auto"/>
            <w:bottom w:val="none" w:sz="0" w:space="0" w:color="auto"/>
            <w:right w:val="none" w:sz="0" w:space="0" w:color="auto"/>
          </w:divBdr>
        </w:div>
        <w:div w:id="1493645931">
          <w:marLeft w:val="0"/>
          <w:marRight w:val="0"/>
          <w:marTop w:val="0"/>
          <w:marBottom w:val="0"/>
          <w:divBdr>
            <w:top w:val="none" w:sz="0" w:space="0" w:color="auto"/>
            <w:left w:val="none" w:sz="0" w:space="0" w:color="auto"/>
            <w:bottom w:val="none" w:sz="0" w:space="0" w:color="auto"/>
            <w:right w:val="none" w:sz="0" w:space="0" w:color="auto"/>
          </w:divBdr>
          <w:divsChild>
            <w:div w:id="521238115">
              <w:marLeft w:val="0"/>
              <w:marRight w:val="0"/>
              <w:marTop w:val="0"/>
              <w:marBottom w:val="0"/>
              <w:divBdr>
                <w:top w:val="none" w:sz="0" w:space="0" w:color="auto"/>
                <w:left w:val="none" w:sz="0" w:space="0" w:color="auto"/>
                <w:bottom w:val="none" w:sz="0" w:space="0" w:color="auto"/>
                <w:right w:val="none" w:sz="0" w:space="0" w:color="auto"/>
              </w:divBdr>
            </w:div>
            <w:div w:id="806820869">
              <w:marLeft w:val="0"/>
              <w:marRight w:val="0"/>
              <w:marTop w:val="0"/>
              <w:marBottom w:val="0"/>
              <w:divBdr>
                <w:top w:val="none" w:sz="0" w:space="0" w:color="auto"/>
                <w:left w:val="none" w:sz="0" w:space="0" w:color="auto"/>
                <w:bottom w:val="none" w:sz="0" w:space="0" w:color="auto"/>
                <w:right w:val="none" w:sz="0" w:space="0" w:color="auto"/>
              </w:divBdr>
            </w:div>
            <w:div w:id="1223640788">
              <w:marLeft w:val="0"/>
              <w:marRight w:val="0"/>
              <w:marTop w:val="0"/>
              <w:marBottom w:val="0"/>
              <w:divBdr>
                <w:top w:val="none" w:sz="0" w:space="0" w:color="auto"/>
                <w:left w:val="none" w:sz="0" w:space="0" w:color="auto"/>
                <w:bottom w:val="none" w:sz="0" w:space="0" w:color="auto"/>
                <w:right w:val="none" w:sz="0" w:space="0" w:color="auto"/>
              </w:divBdr>
            </w:div>
            <w:div w:id="1483233891">
              <w:marLeft w:val="0"/>
              <w:marRight w:val="0"/>
              <w:marTop w:val="0"/>
              <w:marBottom w:val="0"/>
              <w:divBdr>
                <w:top w:val="none" w:sz="0" w:space="0" w:color="auto"/>
                <w:left w:val="none" w:sz="0" w:space="0" w:color="auto"/>
                <w:bottom w:val="none" w:sz="0" w:space="0" w:color="auto"/>
                <w:right w:val="none" w:sz="0" w:space="0" w:color="auto"/>
              </w:divBdr>
            </w:div>
            <w:div w:id="2072338087">
              <w:marLeft w:val="0"/>
              <w:marRight w:val="0"/>
              <w:marTop w:val="0"/>
              <w:marBottom w:val="0"/>
              <w:divBdr>
                <w:top w:val="none" w:sz="0" w:space="0" w:color="auto"/>
                <w:left w:val="none" w:sz="0" w:space="0" w:color="auto"/>
                <w:bottom w:val="none" w:sz="0" w:space="0" w:color="auto"/>
                <w:right w:val="none" w:sz="0" w:space="0" w:color="auto"/>
              </w:divBdr>
            </w:div>
          </w:divsChild>
        </w:div>
        <w:div w:id="1966277762">
          <w:marLeft w:val="0"/>
          <w:marRight w:val="0"/>
          <w:marTop w:val="0"/>
          <w:marBottom w:val="0"/>
          <w:divBdr>
            <w:top w:val="none" w:sz="0" w:space="0" w:color="auto"/>
            <w:left w:val="none" w:sz="0" w:space="0" w:color="auto"/>
            <w:bottom w:val="none" w:sz="0" w:space="0" w:color="auto"/>
            <w:right w:val="none" w:sz="0" w:space="0" w:color="auto"/>
          </w:divBdr>
        </w:div>
        <w:div w:id="2098017805">
          <w:marLeft w:val="0"/>
          <w:marRight w:val="0"/>
          <w:marTop w:val="0"/>
          <w:marBottom w:val="0"/>
          <w:divBdr>
            <w:top w:val="none" w:sz="0" w:space="0" w:color="auto"/>
            <w:left w:val="none" w:sz="0" w:space="0" w:color="auto"/>
            <w:bottom w:val="none" w:sz="0" w:space="0" w:color="auto"/>
            <w:right w:val="none" w:sz="0" w:space="0" w:color="auto"/>
          </w:divBdr>
        </w:div>
      </w:divsChild>
    </w:div>
    <w:div w:id="1449853306">
      <w:bodyDiv w:val="1"/>
      <w:marLeft w:val="0"/>
      <w:marRight w:val="0"/>
      <w:marTop w:val="0"/>
      <w:marBottom w:val="0"/>
      <w:divBdr>
        <w:top w:val="none" w:sz="0" w:space="0" w:color="auto"/>
        <w:left w:val="none" w:sz="0" w:space="0" w:color="auto"/>
        <w:bottom w:val="none" w:sz="0" w:space="0" w:color="auto"/>
        <w:right w:val="none" w:sz="0" w:space="0" w:color="auto"/>
      </w:divBdr>
      <w:divsChild>
        <w:div w:id="32779688">
          <w:marLeft w:val="0"/>
          <w:marRight w:val="0"/>
          <w:marTop w:val="0"/>
          <w:marBottom w:val="0"/>
          <w:divBdr>
            <w:top w:val="none" w:sz="0" w:space="0" w:color="auto"/>
            <w:left w:val="none" w:sz="0" w:space="0" w:color="auto"/>
            <w:bottom w:val="none" w:sz="0" w:space="0" w:color="auto"/>
            <w:right w:val="none" w:sz="0" w:space="0" w:color="auto"/>
          </w:divBdr>
        </w:div>
        <w:div w:id="463428343">
          <w:marLeft w:val="0"/>
          <w:marRight w:val="0"/>
          <w:marTop w:val="0"/>
          <w:marBottom w:val="0"/>
          <w:divBdr>
            <w:top w:val="none" w:sz="0" w:space="0" w:color="auto"/>
            <w:left w:val="none" w:sz="0" w:space="0" w:color="auto"/>
            <w:bottom w:val="none" w:sz="0" w:space="0" w:color="auto"/>
            <w:right w:val="none" w:sz="0" w:space="0" w:color="auto"/>
          </w:divBdr>
        </w:div>
        <w:div w:id="467288210">
          <w:marLeft w:val="0"/>
          <w:marRight w:val="0"/>
          <w:marTop w:val="0"/>
          <w:marBottom w:val="0"/>
          <w:divBdr>
            <w:top w:val="none" w:sz="0" w:space="0" w:color="auto"/>
            <w:left w:val="none" w:sz="0" w:space="0" w:color="auto"/>
            <w:bottom w:val="none" w:sz="0" w:space="0" w:color="auto"/>
            <w:right w:val="none" w:sz="0" w:space="0" w:color="auto"/>
          </w:divBdr>
        </w:div>
        <w:div w:id="509569318">
          <w:marLeft w:val="0"/>
          <w:marRight w:val="0"/>
          <w:marTop w:val="0"/>
          <w:marBottom w:val="0"/>
          <w:divBdr>
            <w:top w:val="none" w:sz="0" w:space="0" w:color="auto"/>
            <w:left w:val="none" w:sz="0" w:space="0" w:color="auto"/>
            <w:bottom w:val="none" w:sz="0" w:space="0" w:color="auto"/>
            <w:right w:val="none" w:sz="0" w:space="0" w:color="auto"/>
          </w:divBdr>
        </w:div>
        <w:div w:id="1240629194">
          <w:marLeft w:val="0"/>
          <w:marRight w:val="0"/>
          <w:marTop w:val="0"/>
          <w:marBottom w:val="0"/>
          <w:divBdr>
            <w:top w:val="none" w:sz="0" w:space="0" w:color="auto"/>
            <w:left w:val="none" w:sz="0" w:space="0" w:color="auto"/>
            <w:bottom w:val="none" w:sz="0" w:space="0" w:color="auto"/>
            <w:right w:val="none" w:sz="0" w:space="0" w:color="auto"/>
          </w:divBdr>
        </w:div>
        <w:div w:id="1396320465">
          <w:marLeft w:val="0"/>
          <w:marRight w:val="0"/>
          <w:marTop w:val="0"/>
          <w:marBottom w:val="0"/>
          <w:divBdr>
            <w:top w:val="none" w:sz="0" w:space="0" w:color="auto"/>
            <w:left w:val="none" w:sz="0" w:space="0" w:color="auto"/>
            <w:bottom w:val="none" w:sz="0" w:space="0" w:color="auto"/>
            <w:right w:val="none" w:sz="0" w:space="0" w:color="auto"/>
          </w:divBdr>
        </w:div>
        <w:div w:id="1543590409">
          <w:marLeft w:val="0"/>
          <w:marRight w:val="0"/>
          <w:marTop w:val="0"/>
          <w:marBottom w:val="0"/>
          <w:divBdr>
            <w:top w:val="none" w:sz="0" w:space="0" w:color="auto"/>
            <w:left w:val="none" w:sz="0" w:space="0" w:color="auto"/>
            <w:bottom w:val="none" w:sz="0" w:space="0" w:color="auto"/>
            <w:right w:val="none" w:sz="0" w:space="0" w:color="auto"/>
          </w:divBdr>
        </w:div>
        <w:div w:id="2087215748">
          <w:marLeft w:val="0"/>
          <w:marRight w:val="0"/>
          <w:marTop w:val="0"/>
          <w:marBottom w:val="0"/>
          <w:divBdr>
            <w:top w:val="none" w:sz="0" w:space="0" w:color="auto"/>
            <w:left w:val="none" w:sz="0" w:space="0" w:color="auto"/>
            <w:bottom w:val="none" w:sz="0" w:space="0" w:color="auto"/>
            <w:right w:val="none" w:sz="0" w:space="0" w:color="auto"/>
          </w:divBdr>
        </w:div>
      </w:divsChild>
    </w:div>
    <w:div w:id="1467967577">
      <w:bodyDiv w:val="1"/>
      <w:marLeft w:val="0"/>
      <w:marRight w:val="0"/>
      <w:marTop w:val="0"/>
      <w:marBottom w:val="0"/>
      <w:divBdr>
        <w:top w:val="none" w:sz="0" w:space="0" w:color="auto"/>
        <w:left w:val="none" w:sz="0" w:space="0" w:color="auto"/>
        <w:bottom w:val="none" w:sz="0" w:space="0" w:color="auto"/>
        <w:right w:val="none" w:sz="0" w:space="0" w:color="auto"/>
      </w:divBdr>
      <w:divsChild>
        <w:div w:id="110438552">
          <w:marLeft w:val="0"/>
          <w:marRight w:val="0"/>
          <w:marTop w:val="0"/>
          <w:marBottom w:val="0"/>
          <w:divBdr>
            <w:top w:val="none" w:sz="0" w:space="0" w:color="auto"/>
            <w:left w:val="none" w:sz="0" w:space="0" w:color="auto"/>
            <w:bottom w:val="none" w:sz="0" w:space="0" w:color="auto"/>
            <w:right w:val="none" w:sz="0" w:space="0" w:color="auto"/>
          </w:divBdr>
        </w:div>
        <w:div w:id="800147655">
          <w:marLeft w:val="0"/>
          <w:marRight w:val="0"/>
          <w:marTop w:val="0"/>
          <w:marBottom w:val="0"/>
          <w:divBdr>
            <w:top w:val="none" w:sz="0" w:space="0" w:color="auto"/>
            <w:left w:val="none" w:sz="0" w:space="0" w:color="auto"/>
            <w:bottom w:val="none" w:sz="0" w:space="0" w:color="auto"/>
            <w:right w:val="none" w:sz="0" w:space="0" w:color="auto"/>
          </w:divBdr>
        </w:div>
        <w:div w:id="1088190046">
          <w:marLeft w:val="0"/>
          <w:marRight w:val="0"/>
          <w:marTop w:val="0"/>
          <w:marBottom w:val="0"/>
          <w:divBdr>
            <w:top w:val="none" w:sz="0" w:space="0" w:color="auto"/>
            <w:left w:val="none" w:sz="0" w:space="0" w:color="auto"/>
            <w:bottom w:val="none" w:sz="0" w:space="0" w:color="auto"/>
            <w:right w:val="none" w:sz="0" w:space="0" w:color="auto"/>
          </w:divBdr>
        </w:div>
        <w:div w:id="1157841716">
          <w:marLeft w:val="0"/>
          <w:marRight w:val="0"/>
          <w:marTop w:val="0"/>
          <w:marBottom w:val="0"/>
          <w:divBdr>
            <w:top w:val="none" w:sz="0" w:space="0" w:color="auto"/>
            <w:left w:val="none" w:sz="0" w:space="0" w:color="auto"/>
            <w:bottom w:val="none" w:sz="0" w:space="0" w:color="auto"/>
            <w:right w:val="none" w:sz="0" w:space="0" w:color="auto"/>
          </w:divBdr>
        </w:div>
        <w:div w:id="2078090745">
          <w:marLeft w:val="0"/>
          <w:marRight w:val="0"/>
          <w:marTop w:val="0"/>
          <w:marBottom w:val="0"/>
          <w:divBdr>
            <w:top w:val="none" w:sz="0" w:space="0" w:color="auto"/>
            <w:left w:val="none" w:sz="0" w:space="0" w:color="auto"/>
            <w:bottom w:val="none" w:sz="0" w:space="0" w:color="auto"/>
            <w:right w:val="none" w:sz="0" w:space="0" w:color="auto"/>
          </w:divBdr>
        </w:div>
      </w:divsChild>
    </w:div>
    <w:div w:id="1487280356">
      <w:bodyDiv w:val="1"/>
      <w:marLeft w:val="0"/>
      <w:marRight w:val="0"/>
      <w:marTop w:val="0"/>
      <w:marBottom w:val="0"/>
      <w:divBdr>
        <w:top w:val="none" w:sz="0" w:space="0" w:color="auto"/>
        <w:left w:val="none" w:sz="0" w:space="0" w:color="auto"/>
        <w:bottom w:val="none" w:sz="0" w:space="0" w:color="auto"/>
        <w:right w:val="none" w:sz="0" w:space="0" w:color="auto"/>
      </w:divBdr>
      <w:divsChild>
        <w:div w:id="1754012823">
          <w:marLeft w:val="0"/>
          <w:marRight w:val="0"/>
          <w:marTop w:val="0"/>
          <w:marBottom w:val="0"/>
          <w:divBdr>
            <w:top w:val="none" w:sz="0" w:space="0" w:color="auto"/>
            <w:left w:val="none" w:sz="0" w:space="0" w:color="auto"/>
            <w:bottom w:val="none" w:sz="0" w:space="0" w:color="auto"/>
            <w:right w:val="none" w:sz="0" w:space="0" w:color="auto"/>
          </w:divBdr>
        </w:div>
      </w:divsChild>
    </w:div>
    <w:div w:id="1488325766">
      <w:bodyDiv w:val="1"/>
      <w:marLeft w:val="0"/>
      <w:marRight w:val="0"/>
      <w:marTop w:val="0"/>
      <w:marBottom w:val="0"/>
      <w:divBdr>
        <w:top w:val="none" w:sz="0" w:space="0" w:color="auto"/>
        <w:left w:val="none" w:sz="0" w:space="0" w:color="auto"/>
        <w:bottom w:val="none" w:sz="0" w:space="0" w:color="auto"/>
        <w:right w:val="none" w:sz="0" w:space="0" w:color="auto"/>
      </w:divBdr>
      <w:divsChild>
        <w:div w:id="6757973">
          <w:marLeft w:val="0"/>
          <w:marRight w:val="0"/>
          <w:marTop w:val="0"/>
          <w:marBottom w:val="0"/>
          <w:divBdr>
            <w:top w:val="none" w:sz="0" w:space="0" w:color="auto"/>
            <w:left w:val="none" w:sz="0" w:space="0" w:color="auto"/>
            <w:bottom w:val="none" w:sz="0" w:space="0" w:color="auto"/>
            <w:right w:val="none" w:sz="0" w:space="0" w:color="auto"/>
          </w:divBdr>
        </w:div>
        <w:div w:id="216203651">
          <w:marLeft w:val="0"/>
          <w:marRight w:val="0"/>
          <w:marTop w:val="0"/>
          <w:marBottom w:val="0"/>
          <w:divBdr>
            <w:top w:val="none" w:sz="0" w:space="0" w:color="auto"/>
            <w:left w:val="none" w:sz="0" w:space="0" w:color="auto"/>
            <w:bottom w:val="none" w:sz="0" w:space="0" w:color="auto"/>
            <w:right w:val="none" w:sz="0" w:space="0" w:color="auto"/>
          </w:divBdr>
        </w:div>
        <w:div w:id="751663271">
          <w:marLeft w:val="0"/>
          <w:marRight w:val="0"/>
          <w:marTop w:val="0"/>
          <w:marBottom w:val="0"/>
          <w:divBdr>
            <w:top w:val="none" w:sz="0" w:space="0" w:color="auto"/>
            <w:left w:val="none" w:sz="0" w:space="0" w:color="auto"/>
            <w:bottom w:val="none" w:sz="0" w:space="0" w:color="auto"/>
            <w:right w:val="none" w:sz="0" w:space="0" w:color="auto"/>
          </w:divBdr>
        </w:div>
        <w:div w:id="1522940212">
          <w:marLeft w:val="0"/>
          <w:marRight w:val="0"/>
          <w:marTop w:val="0"/>
          <w:marBottom w:val="0"/>
          <w:divBdr>
            <w:top w:val="none" w:sz="0" w:space="0" w:color="auto"/>
            <w:left w:val="none" w:sz="0" w:space="0" w:color="auto"/>
            <w:bottom w:val="none" w:sz="0" w:space="0" w:color="auto"/>
            <w:right w:val="none" w:sz="0" w:space="0" w:color="auto"/>
          </w:divBdr>
        </w:div>
        <w:div w:id="1997954084">
          <w:marLeft w:val="0"/>
          <w:marRight w:val="0"/>
          <w:marTop w:val="0"/>
          <w:marBottom w:val="0"/>
          <w:divBdr>
            <w:top w:val="none" w:sz="0" w:space="0" w:color="auto"/>
            <w:left w:val="none" w:sz="0" w:space="0" w:color="auto"/>
            <w:bottom w:val="none" w:sz="0" w:space="0" w:color="auto"/>
            <w:right w:val="none" w:sz="0" w:space="0" w:color="auto"/>
          </w:divBdr>
        </w:div>
      </w:divsChild>
    </w:div>
    <w:div w:id="1493794565">
      <w:bodyDiv w:val="1"/>
      <w:marLeft w:val="0"/>
      <w:marRight w:val="0"/>
      <w:marTop w:val="0"/>
      <w:marBottom w:val="0"/>
      <w:divBdr>
        <w:top w:val="none" w:sz="0" w:space="0" w:color="auto"/>
        <w:left w:val="none" w:sz="0" w:space="0" w:color="auto"/>
        <w:bottom w:val="none" w:sz="0" w:space="0" w:color="auto"/>
        <w:right w:val="none" w:sz="0" w:space="0" w:color="auto"/>
      </w:divBdr>
      <w:divsChild>
        <w:div w:id="255944994">
          <w:marLeft w:val="0"/>
          <w:marRight w:val="0"/>
          <w:marTop w:val="0"/>
          <w:marBottom w:val="0"/>
          <w:divBdr>
            <w:top w:val="none" w:sz="0" w:space="0" w:color="auto"/>
            <w:left w:val="none" w:sz="0" w:space="0" w:color="auto"/>
            <w:bottom w:val="none" w:sz="0" w:space="0" w:color="auto"/>
            <w:right w:val="none" w:sz="0" w:space="0" w:color="auto"/>
          </w:divBdr>
        </w:div>
        <w:div w:id="358700921">
          <w:marLeft w:val="0"/>
          <w:marRight w:val="0"/>
          <w:marTop w:val="0"/>
          <w:marBottom w:val="0"/>
          <w:divBdr>
            <w:top w:val="none" w:sz="0" w:space="0" w:color="auto"/>
            <w:left w:val="none" w:sz="0" w:space="0" w:color="auto"/>
            <w:bottom w:val="none" w:sz="0" w:space="0" w:color="auto"/>
            <w:right w:val="none" w:sz="0" w:space="0" w:color="auto"/>
          </w:divBdr>
        </w:div>
        <w:div w:id="648022476">
          <w:marLeft w:val="0"/>
          <w:marRight w:val="0"/>
          <w:marTop w:val="0"/>
          <w:marBottom w:val="0"/>
          <w:divBdr>
            <w:top w:val="none" w:sz="0" w:space="0" w:color="auto"/>
            <w:left w:val="none" w:sz="0" w:space="0" w:color="auto"/>
            <w:bottom w:val="none" w:sz="0" w:space="0" w:color="auto"/>
            <w:right w:val="none" w:sz="0" w:space="0" w:color="auto"/>
          </w:divBdr>
        </w:div>
        <w:div w:id="900602717">
          <w:marLeft w:val="0"/>
          <w:marRight w:val="0"/>
          <w:marTop w:val="0"/>
          <w:marBottom w:val="0"/>
          <w:divBdr>
            <w:top w:val="none" w:sz="0" w:space="0" w:color="auto"/>
            <w:left w:val="none" w:sz="0" w:space="0" w:color="auto"/>
            <w:bottom w:val="none" w:sz="0" w:space="0" w:color="auto"/>
            <w:right w:val="none" w:sz="0" w:space="0" w:color="auto"/>
          </w:divBdr>
        </w:div>
        <w:div w:id="1049915264">
          <w:marLeft w:val="0"/>
          <w:marRight w:val="0"/>
          <w:marTop w:val="0"/>
          <w:marBottom w:val="0"/>
          <w:divBdr>
            <w:top w:val="none" w:sz="0" w:space="0" w:color="auto"/>
            <w:left w:val="none" w:sz="0" w:space="0" w:color="auto"/>
            <w:bottom w:val="none" w:sz="0" w:space="0" w:color="auto"/>
            <w:right w:val="none" w:sz="0" w:space="0" w:color="auto"/>
          </w:divBdr>
        </w:div>
        <w:div w:id="1437749588">
          <w:marLeft w:val="0"/>
          <w:marRight w:val="0"/>
          <w:marTop w:val="0"/>
          <w:marBottom w:val="0"/>
          <w:divBdr>
            <w:top w:val="none" w:sz="0" w:space="0" w:color="auto"/>
            <w:left w:val="none" w:sz="0" w:space="0" w:color="auto"/>
            <w:bottom w:val="none" w:sz="0" w:space="0" w:color="auto"/>
            <w:right w:val="none" w:sz="0" w:space="0" w:color="auto"/>
          </w:divBdr>
        </w:div>
        <w:div w:id="1481573689">
          <w:marLeft w:val="0"/>
          <w:marRight w:val="0"/>
          <w:marTop w:val="0"/>
          <w:marBottom w:val="0"/>
          <w:divBdr>
            <w:top w:val="none" w:sz="0" w:space="0" w:color="auto"/>
            <w:left w:val="none" w:sz="0" w:space="0" w:color="auto"/>
            <w:bottom w:val="none" w:sz="0" w:space="0" w:color="auto"/>
            <w:right w:val="none" w:sz="0" w:space="0" w:color="auto"/>
          </w:divBdr>
        </w:div>
        <w:div w:id="1534532309">
          <w:marLeft w:val="0"/>
          <w:marRight w:val="0"/>
          <w:marTop w:val="0"/>
          <w:marBottom w:val="0"/>
          <w:divBdr>
            <w:top w:val="none" w:sz="0" w:space="0" w:color="auto"/>
            <w:left w:val="none" w:sz="0" w:space="0" w:color="auto"/>
            <w:bottom w:val="none" w:sz="0" w:space="0" w:color="auto"/>
            <w:right w:val="none" w:sz="0" w:space="0" w:color="auto"/>
          </w:divBdr>
        </w:div>
        <w:div w:id="1579636968">
          <w:marLeft w:val="0"/>
          <w:marRight w:val="0"/>
          <w:marTop w:val="0"/>
          <w:marBottom w:val="0"/>
          <w:divBdr>
            <w:top w:val="none" w:sz="0" w:space="0" w:color="auto"/>
            <w:left w:val="none" w:sz="0" w:space="0" w:color="auto"/>
            <w:bottom w:val="none" w:sz="0" w:space="0" w:color="auto"/>
            <w:right w:val="none" w:sz="0" w:space="0" w:color="auto"/>
          </w:divBdr>
        </w:div>
        <w:div w:id="1914897198">
          <w:marLeft w:val="0"/>
          <w:marRight w:val="0"/>
          <w:marTop w:val="0"/>
          <w:marBottom w:val="0"/>
          <w:divBdr>
            <w:top w:val="none" w:sz="0" w:space="0" w:color="auto"/>
            <w:left w:val="none" w:sz="0" w:space="0" w:color="auto"/>
            <w:bottom w:val="none" w:sz="0" w:space="0" w:color="auto"/>
            <w:right w:val="none" w:sz="0" w:space="0" w:color="auto"/>
          </w:divBdr>
        </w:div>
        <w:div w:id="2040399096">
          <w:marLeft w:val="0"/>
          <w:marRight w:val="0"/>
          <w:marTop w:val="0"/>
          <w:marBottom w:val="0"/>
          <w:divBdr>
            <w:top w:val="none" w:sz="0" w:space="0" w:color="auto"/>
            <w:left w:val="none" w:sz="0" w:space="0" w:color="auto"/>
            <w:bottom w:val="none" w:sz="0" w:space="0" w:color="auto"/>
            <w:right w:val="none" w:sz="0" w:space="0" w:color="auto"/>
          </w:divBdr>
        </w:div>
      </w:divsChild>
    </w:div>
    <w:div w:id="1495493030">
      <w:bodyDiv w:val="1"/>
      <w:marLeft w:val="0"/>
      <w:marRight w:val="0"/>
      <w:marTop w:val="0"/>
      <w:marBottom w:val="0"/>
      <w:divBdr>
        <w:top w:val="none" w:sz="0" w:space="0" w:color="auto"/>
        <w:left w:val="none" w:sz="0" w:space="0" w:color="auto"/>
        <w:bottom w:val="none" w:sz="0" w:space="0" w:color="auto"/>
        <w:right w:val="none" w:sz="0" w:space="0" w:color="auto"/>
      </w:divBdr>
      <w:divsChild>
        <w:div w:id="74940059">
          <w:marLeft w:val="0"/>
          <w:marRight w:val="0"/>
          <w:marTop w:val="0"/>
          <w:marBottom w:val="0"/>
          <w:divBdr>
            <w:top w:val="none" w:sz="0" w:space="0" w:color="auto"/>
            <w:left w:val="none" w:sz="0" w:space="0" w:color="auto"/>
            <w:bottom w:val="none" w:sz="0" w:space="0" w:color="auto"/>
            <w:right w:val="none" w:sz="0" w:space="0" w:color="auto"/>
          </w:divBdr>
        </w:div>
        <w:div w:id="860243608">
          <w:marLeft w:val="0"/>
          <w:marRight w:val="0"/>
          <w:marTop w:val="0"/>
          <w:marBottom w:val="0"/>
          <w:divBdr>
            <w:top w:val="none" w:sz="0" w:space="0" w:color="auto"/>
            <w:left w:val="none" w:sz="0" w:space="0" w:color="auto"/>
            <w:bottom w:val="none" w:sz="0" w:space="0" w:color="auto"/>
            <w:right w:val="none" w:sz="0" w:space="0" w:color="auto"/>
          </w:divBdr>
        </w:div>
        <w:div w:id="930822426">
          <w:marLeft w:val="0"/>
          <w:marRight w:val="0"/>
          <w:marTop w:val="0"/>
          <w:marBottom w:val="0"/>
          <w:divBdr>
            <w:top w:val="none" w:sz="0" w:space="0" w:color="auto"/>
            <w:left w:val="none" w:sz="0" w:space="0" w:color="auto"/>
            <w:bottom w:val="none" w:sz="0" w:space="0" w:color="auto"/>
            <w:right w:val="none" w:sz="0" w:space="0" w:color="auto"/>
          </w:divBdr>
        </w:div>
        <w:div w:id="1065832050">
          <w:marLeft w:val="0"/>
          <w:marRight w:val="0"/>
          <w:marTop w:val="0"/>
          <w:marBottom w:val="0"/>
          <w:divBdr>
            <w:top w:val="none" w:sz="0" w:space="0" w:color="auto"/>
            <w:left w:val="none" w:sz="0" w:space="0" w:color="auto"/>
            <w:bottom w:val="none" w:sz="0" w:space="0" w:color="auto"/>
            <w:right w:val="none" w:sz="0" w:space="0" w:color="auto"/>
          </w:divBdr>
        </w:div>
        <w:div w:id="1069614486">
          <w:marLeft w:val="0"/>
          <w:marRight w:val="0"/>
          <w:marTop w:val="0"/>
          <w:marBottom w:val="0"/>
          <w:divBdr>
            <w:top w:val="none" w:sz="0" w:space="0" w:color="auto"/>
            <w:left w:val="none" w:sz="0" w:space="0" w:color="auto"/>
            <w:bottom w:val="none" w:sz="0" w:space="0" w:color="auto"/>
            <w:right w:val="none" w:sz="0" w:space="0" w:color="auto"/>
          </w:divBdr>
        </w:div>
        <w:div w:id="1112818604">
          <w:marLeft w:val="0"/>
          <w:marRight w:val="0"/>
          <w:marTop w:val="0"/>
          <w:marBottom w:val="0"/>
          <w:divBdr>
            <w:top w:val="none" w:sz="0" w:space="0" w:color="auto"/>
            <w:left w:val="none" w:sz="0" w:space="0" w:color="auto"/>
            <w:bottom w:val="none" w:sz="0" w:space="0" w:color="auto"/>
            <w:right w:val="none" w:sz="0" w:space="0" w:color="auto"/>
          </w:divBdr>
        </w:div>
        <w:div w:id="1154494971">
          <w:marLeft w:val="0"/>
          <w:marRight w:val="0"/>
          <w:marTop w:val="0"/>
          <w:marBottom w:val="0"/>
          <w:divBdr>
            <w:top w:val="none" w:sz="0" w:space="0" w:color="auto"/>
            <w:left w:val="none" w:sz="0" w:space="0" w:color="auto"/>
            <w:bottom w:val="none" w:sz="0" w:space="0" w:color="auto"/>
            <w:right w:val="none" w:sz="0" w:space="0" w:color="auto"/>
          </w:divBdr>
        </w:div>
        <w:div w:id="1245646955">
          <w:marLeft w:val="0"/>
          <w:marRight w:val="0"/>
          <w:marTop w:val="0"/>
          <w:marBottom w:val="0"/>
          <w:divBdr>
            <w:top w:val="none" w:sz="0" w:space="0" w:color="auto"/>
            <w:left w:val="none" w:sz="0" w:space="0" w:color="auto"/>
            <w:bottom w:val="none" w:sz="0" w:space="0" w:color="auto"/>
            <w:right w:val="none" w:sz="0" w:space="0" w:color="auto"/>
          </w:divBdr>
        </w:div>
        <w:div w:id="1380789086">
          <w:marLeft w:val="0"/>
          <w:marRight w:val="0"/>
          <w:marTop w:val="0"/>
          <w:marBottom w:val="0"/>
          <w:divBdr>
            <w:top w:val="none" w:sz="0" w:space="0" w:color="auto"/>
            <w:left w:val="none" w:sz="0" w:space="0" w:color="auto"/>
            <w:bottom w:val="none" w:sz="0" w:space="0" w:color="auto"/>
            <w:right w:val="none" w:sz="0" w:space="0" w:color="auto"/>
          </w:divBdr>
        </w:div>
        <w:div w:id="1492208658">
          <w:marLeft w:val="0"/>
          <w:marRight w:val="0"/>
          <w:marTop w:val="0"/>
          <w:marBottom w:val="0"/>
          <w:divBdr>
            <w:top w:val="none" w:sz="0" w:space="0" w:color="auto"/>
            <w:left w:val="none" w:sz="0" w:space="0" w:color="auto"/>
            <w:bottom w:val="none" w:sz="0" w:space="0" w:color="auto"/>
            <w:right w:val="none" w:sz="0" w:space="0" w:color="auto"/>
          </w:divBdr>
        </w:div>
        <w:div w:id="1579511837">
          <w:marLeft w:val="0"/>
          <w:marRight w:val="0"/>
          <w:marTop w:val="0"/>
          <w:marBottom w:val="0"/>
          <w:divBdr>
            <w:top w:val="none" w:sz="0" w:space="0" w:color="auto"/>
            <w:left w:val="none" w:sz="0" w:space="0" w:color="auto"/>
            <w:bottom w:val="none" w:sz="0" w:space="0" w:color="auto"/>
            <w:right w:val="none" w:sz="0" w:space="0" w:color="auto"/>
          </w:divBdr>
        </w:div>
        <w:div w:id="1877159570">
          <w:marLeft w:val="0"/>
          <w:marRight w:val="0"/>
          <w:marTop w:val="0"/>
          <w:marBottom w:val="0"/>
          <w:divBdr>
            <w:top w:val="none" w:sz="0" w:space="0" w:color="auto"/>
            <w:left w:val="none" w:sz="0" w:space="0" w:color="auto"/>
            <w:bottom w:val="none" w:sz="0" w:space="0" w:color="auto"/>
            <w:right w:val="none" w:sz="0" w:space="0" w:color="auto"/>
          </w:divBdr>
        </w:div>
        <w:div w:id="2081058866">
          <w:marLeft w:val="0"/>
          <w:marRight w:val="0"/>
          <w:marTop w:val="0"/>
          <w:marBottom w:val="0"/>
          <w:divBdr>
            <w:top w:val="none" w:sz="0" w:space="0" w:color="auto"/>
            <w:left w:val="none" w:sz="0" w:space="0" w:color="auto"/>
            <w:bottom w:val="none" w:sz="0" w:space="0" w:color="auto"/>
            <w:right w:val="none" w:sz="0" w:space="0" w:color="auto"/>
          </w:divBdr>
        </w:div>
      </w:divsChild>
    </w:div>
    <w:div w:id="1546333366">
      <w:bodyDiv w:val="1"/>
      <w:marLeft w:val="0"/>
      <w:marRight w:val="0"/>
      <w:marTop w:val="0"/>
      <w:marBottom w:val="0"/>
      <w:divBdr>
        <w:top w:val="none" w:sz="0" w:space="0" w:color="auto"/>
        <w:left w:val="none" w:sz="0" w:space="0" w:color="auto"/>
        <w:bottom w:val="none" w:sz="0" w:space="0" w:color="auto"/>
        <w:right w:val="none" w:sz="0" w:space="0" w:color="auto"/>
      </w:divBdr>
      <w:divsChild>
        <w:div w:id="59255906">
          <w:marLeft w:val="0"/>
          <w:marRight w:val="0"/>
          <w:marTop w:val="0"/>
          <w:marBottom w:val="0"/>
          <w:divBdr>
            <w:top w:val="none" w:sz="0" w:space="0" w:color="auto"/>
            <w:left w:val="none" w:sz="0" w:space="0" w:color="auto"/>
            <w:bottom w:val="none" w:sz="0" w:space="0" w:color="auto"/>
            <w:right w:val="none" w:sz="0" w:space="0" w:color="auto"/>
          </w:divBdr>
        </w:div>
        <w:div w:id="80563313">
          <w:marLeft w:val="0"/>
          <w:marRight w:val="0"/>
          <w:marTop w:val="0"/>
          <w:marBottom w:val="0"/>
          <w:divBdr>
            <w:top w:val="none" w:sz="0" w:space="0" w:color="auto"/>
            <w:left w:val="none" w:sz="0" w:space="0" w:color="auto"/>
            <w:bottom w:val="none" w:sz="0" w:space="0" w:color="auto"/>
            <w:right w:val="none" w:sz="0" w:space="0" w:color="auto"/>
          </w:divBdr>
        </w:div>
        <w:div w:id="482624309">
          <w:marLeft w:val="0"/>
          <w:marRight w:val="0"/>
          <w:marTop w:val="0"/>
          <w:marBottom w:val="0"/>
          <w:divBdr>
            <w:top w:val="none" w:sz="0" w:space="0" w:color="auto"/>
            <w:left w:val="none" w:sz="0" w:space="0" w:color="auto"/>
            <w:bottom w:val="none" w:sz="0" w:space="0" w:color="auto"/>
            <w:right w:val="none" w:sz="0" w:space="0" w:color="auto"/>
          </w:divBdr>
        </w:div>
        <w:div w:id="663701691">
          <w:marLeft w:val="0"/>
          <w:marRight w:val="0"/>
          <w:marTop w:val="0"/>
          <w:marBottom w:val="0"/>
          <w:divBdr>
            <w:top w:val="none" w:sz="0" w:space="0" w:color="auto"/>
            <w:left w:val="none" w:sz="0" w:space="0" w:color="auto"/>
            <w:bottom w:val="none" w:sz="0" w:space="0" w:color="auto"/>
            <w:right w:val="none" w:sz="0" w:space="0" w:color="auto"/>
          </w:divBdr>
        </w:div>
        <w:div w:id="964965099">
          <w:marLeft w:val="0"/>
          <w:marRight w:val="0"/>
          <w:marTop w:val="0"/>
          <w:marBottom w:val="0"/>
          <w:divBdr>
            <w:top w:val="none" w:sz="0" w:space="0" w:color="auto"/>
            <w:left w:val="none" w:sz="0" w:space="0" w:color="auto"/>
            <w:bottom w:val="none" w:sz="0" w:space="0" w:color="auto"/>
            <w:right w:val="none" w:sz="0" w:space="0" w:color="auto"/>
          </w:divBdr>
        </w:div>
        <w:div w:id="1344212505">
          <w:marLeft w:val="0"/>
          <w:marRight w:val="0"/>
          <w:marTop w:val="0"/>
          <w:marBottom w:val="0"/>
          <w:divBdr>
            <w:top w:val="none" w:sz="0" w:space="0" w:color="auto"/>
            <w:left w:val="none" w:sz="0" w:space="0" w:color="auto"/>
            <w:bottom w:val="none" w:sz="0" w:space="0" w:color="auto"/>
            <w:right w:val="none" w:sz="0" w:space="0" w:color="auto"/>
          </w:divBdr>
        </w:div>
        <w:div w:id="1653094718">
          <w:marLeft w:val="0"/>
          <w:marRight w:val="0"/>
          <w:marTop w:val="0"/>
          <w:marBottom w:val="0"/>
          <w:divBdr>
            <w:top w:val="none" w:sz="0" w:space="0" w:color="auto"/>
            <w:left w:val="none" w:sz="0" w:space="0" w:color="auto"/>
            <w:bottom w:val="none" w:sz="0" w:space="0" w:color="auto"/>
            <w:right w:val="none" w:sz="0" w:space="0" w:color="auto"/>
          </w:divBdr>
        </w:div>
      </w:divsChild>
    </w:div>
    <w:div w:id="1560676528">
      <w:bodyDiv w:val="1"/>
      <w:marLeft w:val="0"/>
      <w:marRight w:val="0"/>
      <w:marTop w:val="0"/>
      <w:marBottom w:val="0"/>
      <w:divBdr>
        <w:top w:val="none" w:sz="0" w:space="0" w:color="auto"/>
        <w:left w:val="none" w:sz="0" w:space="0" w:color="auto"/>
        <w:bottom w:val="none" w:sz="0" w:space="0" w:color="auto"/>
        <w:right w:val="none" w:sz="0" w:space="0" w:color="auto"/>
      </w:divBdr>
      <w:divsChild>
        <w:div w:id="1135635557">
          <w:marLeft w:val="0"/>
          <w:marRight w:val="0"/>
          <w:marTop w:val="0"/>
          <w:marBottom w:val="0"/>
          <w:divBdr>
            <w:top w:val="none" w:sz="0" w:space="0" w:color="auto"/>
            <w:left w:val="none" w:sz="0" w:space="0" w:color="auto"/>
            <w:bottom w:val="none" w:sz="0" w:space="0" w:color="auto"/>
            <w:right w:val="none" w:sz="0" w:space="0" w:color="auto"/>
          </w:divBdr>
        </w:div>
        <w:div w:id="1738090915">
          <w:marLeft w:val="0"/>
          <w:marRight w:val="0"/>
          <w:marTop w:val="0"/>
          <w:marBottom w:val="0"/>
          <w:divBdr>
            <w:top w:val="none" w:sz="0" w:space="0" w:color="auto"/>
            <w:left w:val="none" w:sz="0" w:space="0" w:color="auto"/>
            <w:bottom w:val="none" w:sz="0" w:space="0" w:color="auto"/>
            <w:right w:val="none" w:sz="0" w:space="0" w:color="auto"/>
          </w:divBdr>
        </w:div>
        <w:div w:id="1947230258">
          <w:marLeft w:val="0"/>
          <w:marRight w:val="0"/>
          <w:marTop w:val="0"/>
          <w:marBottom w:val="0"/>
          <w:divBdr>
            <w:top w:val="none" w:sz="0" w:space="0" w:color="auto"/>
            <w:left w:val="none" w:sz="0" w:space="0" w:color="auto"/>
            <w:bottom w:val="none" w:sz="0" w:space="0" w:color="auto"/>
            <w:right w:val="none" w:sz="0" w:space="0" w:color="auto"/>
          </w:divBdr>
        </w:div>
        <w:div w:id="1948465088">
          <w:marLeft w:val="0"/>
          <w:marRight w:val="0"/>
          <w:marTop w:val="0"/>
          <w:marBottom w:val="0"/>
          <w:divBdr>
            <w:top w:val="none" w:sz="0" w:space="0" w:color="auto"/>
            <w:left w:val="none" w:sz="0" w:space="0" w:color="auto"/>
            <w:bottom w:val="none" w:sz="0" w:space="0" w:color="auto"/>
            <w:right w:val="none" w:sz="0" w:space="0" w:color="auto"/>
          </w:divBdr>
        </w:div>
        <w:div w:id="2008899289">
          <w:marLeft w:val="0"/>
          <w:marRight w:val="0"/>
          <w:marTop w:val="0"/>
          <w:marBottom w:val="0"/>
          <w:divBdr>
            <w:top w:val="none" w:sz="0" w:space="0" w:color="auto"/>
            <w:left w:val="none" w:sz="0" w:space="0" w:color="auto"/>
            <w:bottom w:val="none" w:sz="0" w:space="0" w:color="auto"/>
            <w:right w:val="none" w:sz="0" w:space="0" w:color="auto"/>
          </w:divBdr>
        </w:div>
      </w:divsChild>
    </w:div>
    <w:div w:id="1594585179">
      <w:bodyDiv w:val="1"/>
      <w:marLeft w:val="0"/>
      <w:marRight w:val="0"/>
      <w:marTop w:val="0"/>
      <w:marBottom w:val="0"/>
      <w:divBdr>
        <w:top w:val="none" w:sz="0" w:space="0" w:color="auto"/>
        <w:left w:val="none" w:sz="0" w:space="0" w:color="auto"/>
        <w:bottom w:val="none" w:sz="0" w:space="0" w:color="auto"/>
        <w:right w:val="none" w:sz="0" w:space="0" w:color="auto"/>
      </w:divBdr>
      <w:divsChild>
        <w:div w:id="425351063">
          <w:marLeft w:val="0"/>
          <w:marRight w:val="0"/>
          <w:marTop w:val="0"/>
          <w:marBottom w:val="0"/>
          <w:divBdr>
            <w:top w:val="none" w:sz="0" w:space="0" w:color="auto"/>
            <w:left w:val="none" w:sz="0" w:space="0" w:color="auto"/>
            <w:bottom w:val="none" w:sz="0" w:space="0" w:color="auto"/>
            <w:right w:val="none" w:sz="0" w:space="0" w:color="auto"/>
          </w:divBdr>
        </w:div>
        <w:div w:id="495076892">
          <w:marLeft w:val="0"/>
          <w:marRight w:val="0"/>
          <w:marTop w:val="0"/>
          <w:marBottom w:val="0"/>
          <w:divBdr>
            <w:top w:val="none" w:sz="0" w:space="0" w:color="auto"/>
            <w:left w:val="none" w:sz="0" w:space="0" w:color="auto"/>
            <w:bottom w:val="none" w:sz="0" w:space="0" w:color="auto"/>
            <w:right w:val="none" w:sz="0" w:space="0" w:color="auto"/>
          </w:divBdr>
        </w:div>
        <w:div w:id="1282035561">
          <w:marLeft w:val="0"/>
          <w:marRight w:val="0"/>
          <w:marTop w:val="0"/>
          <w:marBottom w:val="0"/>
          <w:divBdr>
            <w:top w:val="none" w:sz="0" w:space="0" w:color="auto"/>
            <w:left w:val="none" w:sz="0" w:space="0" w:color="auto"/>
            <w:bottom w:val="none" w:sz="0" w:space="0" w:color="auto"/>
            <w:right w:val="none" w:sz="0" w:space="0" w:color="auto"/>
          </w:divBdr>
        </w:div>
        <w:div w:id="1344241025">
          <w:marLeft w:val="0"/>
          <w:marRight w:val="0"/>
          <w:marTop w:val="0"/>
          <w:marBottom w:val="0"/>
          <w:divBdr>
            <w:top w:val="none" w:sz="0" w:space="0" w:color="auto"/>
            <w:left w:val="none" w:sz="0" w:space="0" w:color="auto"/>
            <w:bottom w:val="none" w:sz="0" w:space="0" w:color="auto"/>
            <w:right w:val="none" w:sz="0" w:space="0" w:color="auto"/>
          </w:divBdr>
        </w:div>
      </w:divsChild>
    </w:div>
    <w:div w:id="1597402966">
      <w:bodyDiv w:val="1"/>
      <w:marLeft w:val="0"/>
      <w:marRight w:val="0"/>
      <w:marTop w:val="0"/>
      <w:marBottom w:val="0"/>
      <w:divBdr>
        <w:top w:val="none" w:sz="0" w:space="0" w:color="auto"/>
        <w:left w:val="none" w:sz="0" w:space="0" w:color="auto"/>
        <w:bottom w:val="none" w:sz="0" w:space="0" w:color="auto"/>
        <w:right w:val="none" w:sz="0" w:space="0" w:color="auto"/>
      </w:divBdr>
      <w:divsChild>
        <w:div w:id="257907260">
          <w:marLeft w:val="0"/>
          <w:marRight w:val="0"/>
          <w:marTop w:val="0"/>
          <w:marBottom w:val="0"/>
          <w:divBdr>
            <w:top w:val="none" w:sz="0" w:space="0" w:color="auto"/>
            <w:left w:val="none" w:sz="0" w:space="0" w:color="auto"/>
            <w:bottom w:val="none" w:sz="0" w:space="0" w:color="auto"/>
            <w:right w:val="none" w:sz="0" w:space="0" w:color="auto"/>
          </w:divBdr>
        </w:div>
        <w:div w:id="323826886">
          <w:marLeft w:val="0"/>
          <w:marRight w:val="0"/>
          <w:marTop w:val="0"/>
          <w:marBottom w:val="0"/>
          <w:divBdr>
            <w:top w:val="none" w:sz="0" w:space="0" w:color="auto"/>
            <w:left w:val="none" w:sz="0" w:space="0" w:color="auto"/>
            <w:bottom w:val="none" w:sz="0" w:space="0" w:color="auto"/>
            <w:right w:val="none" w:sz="0" w:space="0" w:color="auto"/>
          </w:divBdr>
        </w:div>
        <w:div w:id="511800282">
          <w:marLeft w:val="0"/>
          <w:marRight w:val="0"/>
          <w:marTop w:val="0"/>
          <w:marBottom w:val="0"/>
          <w:divBdr>
            <w:top w:val="none" w:sz="0" w:space="0" w:color="auto"/>
            <w:left w:val="none" w:sz="0" w:space="0" w:color="auto"/>
            <w:bottom w:val="none" w:sz="0" w:space="0" w:color="auto"/>
            <w:right w:val="none" w:sz="0" w:space="0" w:color="auto"/>
          </w:divBdr>
          <w:divsChild>
            <w:div w:id="214633193">
              <w:marLeft w:val="0"/>
              <w:marRight w:val="0"/>
              <w:marTop w:val="0"/>
              <w:marBottom w:val="0"/>
              <w:divBdr>
                <w:top w:val="none" w:sz="0" w:space="0" w:color="auto"/>
                <w:left w:val="none" w:sz="0" w:space="0" w:color="auto"/>
                <w:bottom w:val="none" w:sz="0" w:space="0" w:color="auto"/>
                <w:right w:val="none" w:sz="0" w:space="0" w:color="auto"/>
              </w:divBdr>
            </w:div>
            <w:div w:id="471482948">
              <w:marLeft w:val="0"/>
              <w:marRight w:val="0"/>
              <w:marTop w:val="0"/>
              <w:marBottom w:val="0"/>
              <w:divBdr>
                <w:top w:val="none" w:sz="0" w:space="0" w:color="auto"/>
                <w:left w:val="none" w:sz="0" w:space="0" w:color="auto"/>
                <w:bottom w:val="none" w:sz="0" w:space="0" w:color="auto"/>
                <w:right w:val="none" w:sz="0" w:space="0" w:color="auto"/>
              </w:divBdr>
            </w:div>
            <w:div w:id="972056021">
              <w:marLeft w:val="0"/>
              <w:marRight w:val="0"/>
              <w:marTop w:val="0"/>
              <w:marBottom w:val="0"/>
              <w:divBdr>
                <w:top w:val="none" w:sz="0" w:space="0" w:color="auto"/>
                <w:left w:val="none" w:sz="0" w:space="0" w:color="auto"/>
                <w:bottom w:val="none" w:sz="0" w:space="0" w:color="auto"/>
                <w:right w:val="none" w:sz="0" w:space="0" w:color="auto"/>
              </w:divBdr>
            </w:div>
            <w:div w:id="1008600047">
              <w:marLeft w:val="0"/>
              <w:marRight w:val="0"/>
              <w:marTop w:val="0"/>
              <w:marBottom w:val="0"/>
              <w:divBdr>
                <w:top w:val="none" w:sz="0" w:space="0" w:color="auto"/>
                <w:left w:val="none" w:sz="0" w:space="0" w:color="auto"/>
                <w:bottom w:val="none" w:sz="0" w:space="0" w:color="auto"/>
                <w:right w:val="none" w:sz="0" w:space="0" w:color="auto"/>
              </w:divBdr>
            </w:div>
            <w:div w:id="1416172389">
              <w:marLeft w:val="0"/>
              <w:marRight w:val="0"/>
              <w:marTop w:val="0"/>
              <w:marBottom w:val="0"/>
              <w:divBdr>
                <w:top w:val="none" w:sz="0" w:space="0" w:color="auto"/>
                <w:left w:val="none" w:sz="0" w:space="0" w:color="auto"/>
                <w:bottom w:val="none" w:sz="0" w:space="0" w:color="auto"/>
                <w:right w:val="none" w:sz="0" w:space="0" w:color="auto"/>
              </w:divBdr>
            </w:div>
          </w:divsChild>
        </w:div>
        <w:div w:id="632100448">
          <w:marLeft w:val="0"/>
          <w:marRight w:val="0"/>
          <w:marTop w:val="0"/>
          <w:marBottom w:val="0"/>
          <w:divBdr>
            <w:top w:val="none" w:sz="0" w:space="0" w:color="auto"/>
            <w:left w:val="none" w:sz="0" w:space="0" w:color="auto"/>
            <w:bottom w:val="none" w:sz="0" w:space="0" w:color="auto"/>
            <w:right w:val="none" w:sz="0" w:space="0" w:color="auto"/>
          </w:divBdr>
        </w:div>
        <w:div w:id="1637182695">
          <w:marLeft w:val="0"/>
          <w:marRight w:val="0"/>
          <w:marTop w:val="0"/>
          <w:marBottom w:val="0"/>
          <w:divBdr>
            <w:top w:val="none" w:sz="0" w:space="0" w:color="auto"/>
            <w:left w:val="none" w:sz="0" w:space="0" w:color="auto"/>
            <w:bottom w:val="none" w:sz="0" w:space="0" w:color="auto"/>
            <w:right w:val="none" w:sz="0" w:space="0" w:color="auto"/>
          </w:divBdr>
        </w:div>
        <w:div w:id="1835760655">
          <w:marLeft w:val="0"/>
          <w:marRight w:val="0"/>
          <w:marTop w:val="0"/>
          <w:marBottom w:val="0"/>
          <w:divBdr>
            <w:top w:val="none" w:sz="0" w:space="0" w:color="auto"/>
            <w:left w:val="none" w:sz="0" w:space="0" w:color="auto"/>
            <w:bottom w:val="none" w:sz="0" w:space="0" w:color="auto"/>
            <w:right w:val="none" w:sz="0" w:space="0" w:color="auto"/>
          </w:divBdr>
        </w:div>
        <w:div w:id="2035954485">
          <w:marLeft w:val="0"/>
          <w:marRight w:val="0"/>
          <w:marTop w:val="0"/>
          <w:marBottom w:val="0"/>
          <w:divBdr>
            <w:top w:val="none" w:sz="0" w:space="0" w:color="auto"/>
            <w:left w:val="none" w:sz="0" w:space="0" w:color="auto"/>
            <w:bottom w:val="none" w:sz="0" w:space="0" w:color="auto"/>
            <w:right w:val="none" w:sz="0" w:space="0" w:color="auto"/>
          </w:divBdr>
        </w:div>
      </w:divsChild>
    </w:div>
    <w:div w:id="1614512047">
      <w:bodyDiv w:val="1"/>
      <w:marLeft w:val="0"/>
      <w:marRight w:val="0"/>
      <w:marTop w:val="0"/>
      <w:marBottom w:val="0"/>
      <w:divBdr>
        <w:top w:val="none" w:sz="0" w:space="0" w:color="auto"/>
        <w:left w:val="none" w:sz="0" w:space="0" w:color="auto"/>
        <w:bottom w:val="none" w:sz="0" w:space="0" w:color="auto"/>
        <w:right w:val="none" w:sz="0" w:space="0" w:color="auto"/>
      </w:divBdr>
      <w:divsChild>
        <w:div w:id="172575344">
          <w:marLeft w:val="0"/>
          <w:marRight w:val="0"/>
          <w:marTop w:val="0"/>
          <w:marBottom w:val="0"/>
          <w:divBdr>
            <w:top w:val="none" w:sz="0" w:space="0" w:color="auto"/>
            <w:left w:val="none" w:sz="0" w:space="0" w:color="auto"/>
            <w:bottom w:val="none" w:sz="0" w:space="0" w:color="auto"/>
            <w:right w:val="none" w:sz="0" w:space="0" w:color="auto"/>
          </w:divBdr>
        </w:div>
        <w:div w:id="195777603">
          <w:marLeft w:val="0"/>
          <w:marRight w:val="0"/>
          <w:marTop w:val="0"/>
          <w:marBottom w:val="0"/>
          <w:divBdr>
            <w:top w:val="none" w:sz="0" w:space="0" w:color="auto"/>
            <w:left w:val="none" w:sz="0" w:space="0" w:color="auto"/>
            <w:bottom w:val="none" w:sz="0" w:space="0" w:color="auto"/>
            <w:right w:val="none" w:sz="0" w:space="0" w:color="auto"/>
          </w:divBdr>
        </w:div>
        <w:div w:id="681903907">
          <w:marLeft w:val="0"/>
          <w:marRight w:val="0"/>
          <w:marTop w:val="0"/>
          <w:marBottom w:val="0"/>
          <w:divBdr>
            <w:top w:val="none" w:sz="0" w:space="0" w:color="auto"/>
            <w:left w:val="none" w:sz="0" w:space="0" w:color="auto"/>
            <w:bottom w:val="none" w:sz="0" w:space="0" w:color="auto"/>
            <w:right w:val="none" w:sz="0" w:space="0" w:color="auto"/>
          </w:divBdr>
        </w:div>
        <w:div w:id="1168639146">
          <w:marLeft w:val="0"/>
          <w:marRight w:val="0"/>
          <w:marTop w:val="0"/>
          <w:marBottom w:val="0"/>
          <w:divBdr>
            <w:top w:val="none" w:sz="0" w:space="0" w:color="auto"/>
            <w:left w:val="none" w:sz="0" w:space="0" w:color="auto"/>
            <w:bottom w:val="none" w:sz="0" w:space="0" w:color="auto"/>
            <w:right w:val="none" w:sz="0" w:space="0" w:color="auto"/>
          </w:divBdr>
        </w:div>
        <w:div w:id="1391075107">
          <w:marLeft w:val="0"/>
          <w:marRight w:val="0"/>
          <w:marTop w:val="0"/>
          <w:marBottom w:val="0"/>
          <w:divBdr>
            <w:top w:val="none" w:sz="0" w:space="0" w:color="auto"/>
            <w:left w:val="none" w:sz="0" w:space="0" w:color="auto"/>
            <w:bottom w:val="none" w:sz="0" w:space="0" w:color="auto"/>
            <w:right w:val="none" w:sz="0" w:space="0" w:color="auto"/>
          </w:divBdr>
        </w:div>
        <w:div w:id="1433090459">
          <w:marLeft w:val="0"/>
          <w:marRight w:val="0"/>
          <w:marTop w:val="0"/>
          <w:marBottom w:val="0"/>
          <w:divBdr>
            <w:top w:val="none" w:sz="0" w:space="0" w:color="auto"/>
            <w:left w:val="none" w:sz="0" w:space="0" w:color="auto"/>
            <w:bottom w:val="none" w:sz="0" w:space="0" w:color="auto"/>
            <w:right w:val="none" w:sz="0" w:space="0" w:color="auto"/>
          </w:divBdr>
        </w:div>
        <w:div w:id="2068648940">
          <w:marLeft w:val="0"/>
          <w:marRight w:val="0"/>
          <w:marTop w:val="0"/>
          <w:marBottom w:val="0"/>
          <w:divBdr>
            <w:top w:val="none" w:sz="0" w:space="0" w:color="auto"/>
            <w:left w:val="none" w:sz="0" w:space="0" w:color="auto"/>
            <w:bottom w:val="none" w:sz="0" w:space="0" w:color="auto"/>
            <w:right w:val="none" w:sz="0" w:space="0" w:color="auto"/>
          </w:divBdr>
        </w:div>
      </w:divsChild>
    </w:div>
    <w:div w:id="1689218002">
      <w:bodyDiv w:val="1"/>
      <w:marLeft w:val="0"/>
      <w:marRight w:val="0"/>
      <w:marTop w:val="0"/>
      <w:marBottom w:val="0"/>
      <w:divBdr>
        <w:top w:val="none" w:sz="0" w:space="0" w:color="auto"/>
        <w:left w:val="none" w:sz="0" w:space="0" w:color="auto"/>
        <w:bottom w:val="none" w:sz="0" w:space="0" w:color="auto"/>
        <w:right w:val="none" w:sz="0" w:space="0" w:color="auto"/>
      </w:divBdr>
      <w:divsChild>
        <w:div w:id="62486479">
          <w:marLeft w:val="0"/>
          <w:marRight w:val="0"/>
          <w:marTop w:val="0"/>
          <w:marBottom w:val="0"/>
          <w:divBdr>
            <w:top w:val="none" w:sz="0" w:space="0" w:color="auto"/>
            <w:left w:val="none" w:sz="0" w:space="0" w:color="auto"/>
            <w:bottom w:val="none" w:sz="0" w:space="0" w:color="auto"/>
            <w:right w:val="none" w:sz="0" w:space="0" w:color="auto"/>
          </w:divBdr>
        </w:div>
        <w:div w:id="90199870">
          <w:marLeft w:val="0"/>
          <w:marRight w:val="0"/>
          <w:marTop w:val="0"/>
          <w:marBottom w:val="0"/>
          <w:divBdr>
            <w:top w:val="none" w:sz="0" w:space="0" w:color="auto"/>
            <w:left w:val="none" w:sz="0" w:space="0" w:color="auto"/>
            <w:bottom w:val="none" w:sz="0" w:space="0" w:color="auto"/>
            <w:right w:val="none" w:sz="0" w:space="0" w:color="auto"/>
          </w:divBdr>
        </w:div>
        <w:div w:id="313263229">
          <w:marLeft w:val="0"/>
          <w:marRight w:val="0"/>
          <w:marTop w:val="0"/>
          <w:marBottom w:val="0"/>
          <w:divBdr>
            <w:top w:val="none" w:sz="0" w:space="0" w:color="auto"/>
            <w:left w:val="none" w:sz="0" w:space="0" w:color="auto"/>
            <w:bottom w:val="none" w:sz="0" w:space="0" w:color="auto"/>
            <w:right w:val="none" w:sz="0" w:space="0" w:color="auto"/>
          </w:divBdr>
        </w:div>
        <w:div w:id="754864703">
          <w:marLeft w:val="0"/>
          <w:marRight w:val="0"/>
          <w:marTop w:val="0"/>
          <w:marBottom w:val="0"/>
          <w:divBdr>
            <w:top w:val="none" w:sz="0" w:space="0" w:color="auto"/>
            <w:left w:val="none" w:sz="0" w:space="0" w:color="auto"/>
            <w:bottom w:val="none" w:sz="0" w:space="0" w:color="auto"/>
            <w:right w:val="none" w:sz="0" w:space="0" w:color="auto"/>
          </w:divBdr>
        </w:div>
        <w:div w:id="781924786">
          <w:marLeft w:val="0"/>
          <w:marRight w:val="0"/>
          <w:marTop w:val="0"/>
          <w:marBottom w:val="0"/>
          <w:divBdr>
            <w:top w:val="none" w:sz="0" w:space="0" w:color="auto"/>
            <w:left w:val="none" w:sz="0" w:space="0" w:color="auto"/>
            <w:bottom w:val="none" w:sz="0" w:space="0" w:color="auto"/>
            <w:right w:val="none" w:sz="0" w:space="0" w:color="auto"/>
          </w:divBdr>
        </w:div>
        <w:div w:id="792987768">
          <w:marLeft w:val="0"/>
          <w:marRight w:val="0"/>
          <w:marTop w:val="0"/>
          <w:marBottom w:val="0"/>
          <w:divBdr>
            <w:top w:val="none" w:sz="0" w:space="0" w:color="auto"/>
            <w:left w:val="none" w:sz="0" w:space="0" w:color="auto"/>
            <w:bottom w:val="none" w:sz="0" w:space="0" w:color="auto"/>
            <w:right w:val="none" w:sz="0" w:space="0" w:color="auto"/>
          </w:divBdr>
        </w:div>
        <w:div w:id="1184897772">
          <w:marLeft w:val="0"/>
          <w:marRight w:val="0"/>
          <w:marTop w:val="0"/>
          <w:marBottom w:val="0"/>
          <w:divBdr>
            <w:top w:val="none" w:sz="0" w:space="0" w:color="auto"/>
            <w:left w:val="none" w:sz="0" w:space="0" w:color="auto"/>
            <w:bottom w:val="none" w:sz="0" w:space="0" w:color="auto"/>
            <w:right w:val="none" w:sz="0" w:space="0" w:color="auto"/>
          </w:divBdr>
        </w:div>
        <w:div w:id="1436247083">
          <w:marLeft w:val="0"/>
          <w:marRight w:val="0"/>
          <w:marTop w:val="0"/>
          <w:marBottom w:val="0"/>
          <w:divBdr>
            <w:top w:val="none" w:sz="0" w:space="0" w:color="auto"/>
            <w:left w:val="none" w:sz="0" w:space="0" w:color="auto"/>
            <w:bottom w:val="none" w:sz="0" w:space="0" w:color="auto"/>
            <w:right w:val="none" w:sz="0" w:space="0" w:color="auto"/>
          </w:divBdr>
        </w:div>
        <w:div w:id="1544366068">
          <w:marLeft w:val="0"/>
          <w:marRight w:val="0"/>
          <w:marTop w:val="0"/>
          <w:marBottom w:val="0"/>
          <w:divBdr>
            <w:top w:val="none" w:sz="0" w:space="0" w:color="auto"/>
            <w:left w:val="none" w:sz="0" w:space="0" w:color="auto"/>
            <w:bottom w:val="none" w:sz="0" w:space="0" w:color="auto"/>
            <w:right w:val="none" w:sz="0" w:space="0" w:color="auto"/>
          </w:divBdr>
        </w:div>
        <w:div w:id="1551922941">
          <w:marLeft w:val="0"/>
          <w:marRight w:val="0"/>
          <w:marTop w:val="0"/>
          <w:marBottom w:val="0"/>
          <w:divBdr>
            <w:top w:val="none" w:sz="0" w:space="0" w:color="auto"/>
            <w:left w:val="none" w:sz="0" w:space="0" w:color="auto"/>
            <w:bottom w:val="none" w:sz="0" w:space="0" w:color="auto"/>
            <w:right w:val="none" w:sz="0" w:space="0" w:color="auto"/>
          </w:divBdr>
        </w:div>
        <w:div w:id="1688559177">
          <w:marLeft w:val="0"/>
          <w:marRight w:val="0"/>
          <w:marTop w:val="0"/>
          <w:marBottom w:val="0"/>
          <w:divBdr>
            <w:top w:val="none" w:sz="0" w:space="0" w:color="auto"/>
            <w:left w:val="none" w:sz="0" w:space="0" w:color="auto"/>
            <w:bottom w:val="none" w:sz="0" w:space="0" w:color="auto"/>
            <w:right w:val="none" w:sz="0" w:space="0" w:color="auto"/>
          </w:divBdr>
        </w:div>
        <w:div w:id="1729300509">
          <w:marLeft w:val="0"/>
          <w:marRight w:val="0"/>
          <w:marTop w:val="0"/>
          <w:marBottom w:val="0"/>
          <w:divBdr>
            <w:top w:val="none" w:sz="0" w:space="0" w:color="auto"/>
            <w:left w:val="none" w:sz="0" w:space="0" w:color="auto"/>
            <w:bottom w:val="none" w:sz="0" w:space="0" w:color="auto"/>
            <w:right w:val="none" w:sz="0" w:space="0" w:color="auto"/>
          </w:divBdr>
        </w:div>
        <w:div w:id="1815367888">
          <w:marLeft w:val="0"/>
          <w:marRight w:val="0"/>
          <w:marTop w:val="0"/>
          <w:marBottom w:val="0"/>
          <w:divBdr>
            <w:top w:val="none" w:sz="0" w:space="0" w:color="auto"/>
            <w:left w:val="none" w:sz="0" w:space="0" w:color="auto"/>
            <w:bottom w:val="none" w:sz="0" w:space="0" w:color="auto"/>
            <w:right w:val="none" w:sz="0" w:space="0" w:color="auto"/>
          </w:divBdr>
        </w:div>
        <w:div w:id="1912620735">
          <w:marLeft w:val="0"/>
          <w:marRight w:val="0"/>
          <w:marTop w:val="0"/>
          <w:marBottom w:val="0"/>
          <w:divBdr>
            <w:top w:val="none" w:sz="0" w:space="0" w:color="auto"/>
            <w:left w:val="none" w:sz="0" w:space="0" w:color="auto"/>
            <w:bottom w:val="none" w:sz="0" w:space="0" w:color="auto"/>
            <w:right w:val="none" w:sz="0" w:space="0" w:color="auto"/>
          </w:divBdr>
        </w:div>
        <w:div w:id="2140687184">
          <w:marLeft w:val="0"/>
          <w:marRight w:val="0"/>
          <w:marTop w:val="0"/>
          <w:marBottom w:val="0"/>
          <w:divBdr>
            <w:top w:val="none" w:sz="0" w:space="0" w:color="auto"/>
            <w:left w:val="none" w:sz="0" w:space="0" w:color="auto"/>
            <w:bottom w:val="none" w:sz="0" w:space="0" w:color="auto"/>
            <w:right w:val="none" w:sz="0" w:space="0" w:color="auto"/>
          </w:divBdr>
        </w:div>
      </w:divsChild>
    </w:div>
    <w:div w:id="1696687072">
      <w:bodyDiv w:val="1"/>
      <w:marLeft w:val="0"/>
      <w:marRight w:val="0"/>
      <w:marTop w:val="0"/>
      <w:marBottom w:val="0"/>
      <w:divBdr>
        <w:top w:val="none" w:sz="0" w:space="0" w:color="auto"/>
        <w:left w:val="none" w:sz="0" w:space="0" w:color="auto"/>
        <w:bottom w:val="none" w:sz="0" w:space="0" w:color="auto"/>
        <w:right w:val="none" w:sz="0" w:space="0" w:color="auto"/>
      </w:divBdr>
      <w:divsChild>
        <w:div w:id="29772492">
          <w:marLeft w:val="0"/>
          <w:marRight w:val="0"/>
          <w:marTop w:val="0"/>
          <w:marBottom w:val="0"/>
          <w:divBdr>
            <w:top w:val="none" w:sz="0" w:space="0" w:color="auto"/>
            <w:left w:val="none" w:sz="0" w:space="0" w:color="auto"/>
            <w:bottom w:val="none" w:sz="0" w:space="0" w:color="auto"/>
            <w:right w:val="none" w:sz="0" w:space="0" w:color="auto"/>
          </w:divBdr>
        </w:div>
        <w:div w:id="384139089">
          <w:marLeft w:val="0"/>
          <w:marRight w:val="0"/>
          <w:marTop w:val="0"/>
          <w:marBottom w:val="0"/>
          <w:divBdr>
            <w:top w:val="none" w:sz="0" w:space="0" w:color="auto"/>
            <w:left w:val="none" w:sz="0" w:space="0" w:color="auto"/>
            <w:bottom w:val="none" w:sz="0" w:space="0" w:color="auto"/>
            <w:right w:val="none" w:sz="0" w:space="0" w:color="auto"/>
          </w:divBdr>
        </w:div>
        <w:div w:id="476726998">
          <w:marLeft w:val="0"/>
          <w:marRight w:val="0"/>
          <w:marTop w:val="0"/>
          <w:marBottom w:val="0"/>
          <w:divBdr>
            <w:top w:val="none" w:sz="0" w:space="0" w:color="auto"/>
            <w:left w:val="none" w:sz="0" w:space="0" w:color="auto"/>
            <w:bottom w:val="none" w:sz="0" w:space="0" w:color="auto"/>
            <w:right w:val="none" w:sz="0" w:space="0" w:color="auto"/>
          </w:divBdr>
        </w:div>
        <w:div w:id="659232215">
          <w:marLeft w:val="0"/>
          <w:marRight w:val="0"/>
          <w:marTop w:val="0"/>
          <w:marBottom w:val="0"/>
          <w:divBdr>
            <w:top w:val="none" w:sz="0" w:space="0" w:color="auto"/>
            <w:left w:val="none" w:sz="0" w:space="0" w:color="auto"/>
            <w:bottom w:val="none" w:sz="0" w:space="0" w:color="auto"/>
            <w:right w:val="none" w:sz="0" w:space="0" w:color="auto"/>
          </w:divBdr>
        </w:div>
        <w:div w:id="683282946">
          <w:marLeft w:val="0"/>
          <w:marRight w:val="0"/>
          <w:marTop w:val="0"/>
          <w:marBottom w:val="0"/>
          <w:divBdr>
            <w:top w:val="none" w:sz="0" w:space="0" w:color="auto"/>
            <w:left w:val="none" w:sz="0" w:space="0" w:color="auto"/>
            <w:bottom w:val="none" w:sz="0" w:space="0" w:color="auto"/>
            <w:right w:val="none" w:sz="0" w:space="0" w:color="auto"/>
          </w:divBdr>
        </w:div>
        <w:div w:id="983657315">
          <w:marLeft w:val="0"/>
          <w:marRight w:val="0"/>
          <w:marTop w:val="0"/>
          <w:marBottom w:val="0"/>
          <w:divBdr>
            <w:top w:val="none" w:sz="0" w:space="0" w:color="auto"/>
            <w:left w:val="none" w:sz="0" w:space="0" w:color="auto"/>
            <w:bottom w:val="none" w:sz="0" w:space="0" w:color="auto"/>
            <w:right w:val="none" w:sz="0" w:space="0" w:color="auto"/>
          </w:divBdr>
        </w:div>
        <w:div w:id="1297445475">
          <w:marLeft w:val="0"/>
          <w:marRight w:val="0"/>
          <w:marTop w:val="0"/>
          <w:marBottom w:val="0"/>
          <w:divBdr>
            <w:top w:val="none" w:sz="0" w:space="0" w:color="auto"/>
            <w:left w:val="none" w:sz="0" w:space="0" w:color="auto"/>
            <w:bottom w:val="none" w:sz="0" w:space="0" w:color="auto"/>
            <w:right w:val="none" w:sz="0" w:space="0" w:color="auto"/>
          </w:divBdr>
        </w:div>
        <w:div w:id="1356225787">
          <w:marLeft w:val="0"/>
          <w:marRight w:val="0"/>
          <w:marTop w:val="0"/>
          <w:marBottom w:val="0"/>
          <w:divBdr>
            <w:top w:val="none" w:sz="0" w:space="0" w:color="auto"/>
            <w:left w:val="none" w:sz="0" w:space="0" w:color="auto"/>
            <w:bottom w:val="none" w:sz="0" w:space="0" w:color="auto"/>
            <w:right w:val="none" w:sz="0" w:space="0" w:color="auto"/>
          </w:divBdr>
        </w:div>
        <w:div w:id="1376390937">
          <w:marLeft w:val="0"/>
          <w:marRight w:val="0"/>
          <w:marTop w:val="0"/>
          <w:marBottom w:val="0"/>
          <w:divBdr>
            <w:top w:val="none" w:sz="0" w:space="0" w:color="auto"/>
            <w:left w:val="none" w:sz="0" w:space="0" w:color="auto"/>
            <w:bottom w:val="none" w:sz="0" w:space="0" w:color="auto"/>
            <w:right w:val="none" w:sz="0" w:space="0" w:color="auto"/>
          </w:divBdr>
        </w:div>
        <w:div w:id="1498231905">
          <w:marLeft w:val="0"/>
          <w:marRight w:val="0"/>
          <w:marTop w:val="0"/>
          <w:marBottom w:val="0"/>
          <w:divBdr>
            <w:top w:val="none" w:sz="0" w:space="0" w:color="auto"/>
            <w:left w:val="none" w:sz="0" w:space="0" w:color="auto"/>
            <w:bottom w:val="none" w:sz="0" w:space="0" w:color="auto"/>
            <w:right w:val="none" w:sz="0" w:space="0" w:color="auto"/>
          </w:divBdr>
        </w:div>
        <w:div w:id="1505171173">
          <w:marLeft w:val="0"/>
          <w:marRight w:val="0"/>
          <w:marTop w:val="0"/>
          <w:marBottom w:val="0"/>
          <w:divBdr>
            <w:top w:val="none" w:sz="0" w:space="0" w:color="auto"/>
            <w:left w:val="none" w:sz="0" w:space="0" w:color="auto"/>
            <w:bottom w:val="none" w:sz="0" w:space="0" w:color="auto"/>
            <w:right w:val="none" w:sz="0" w:space="0" w:color="auto"/>
          </w:divBdr>
        </w:div>
        <w:div w:id="1600525756">
          <w:marLeft w:val="0"/>
          <w:marRight w:val="0"/>
          <w:marTop w:val="0"/>
          <w:marBottom w:val="0"/>
          <w:divBdr>
            <w:top w:val="none" w:sz="0" w:space="0" w:color="auto"/>
            <w:left w:val="none" w:sz="0" w:space="0" w:color="auto"/>
            <w:bottom w:val="none" w:sz="0" w:space="0" w:color="auto"/>
            <w:right w:val="none" w:sz="0" w:space="0" w:color="auto"/>
          </w:divBdr>
        </w:div>
        <w:div w:id="1898466915">
          <w:marLeft w:val="0"/>
          <w:marRight w:val="0"/>
          <w:marTop w:val="0"/>
          <w:marBottom w:val="0"/>
          <w:divBdr>
            <w:top w:val="none" w:sz="0" w:space="0" w:color="auto"/>
            <w:left w:val="none" w:sz="0" w:space="0" w:color="auto"/>
            <w:bottom w:val="none" w:sz="0" w:space="0" w:color="auto"/>
            <w:right w:val="none" w:sz="0" w:space="0" w:color="auto"/>
          </w:divBdr>
        </w:div>
        <w:div w:id="2031836436">
          <w:marLeft w:val="0"/>
          <w:marRight w:val="0"/>
          <w:marTop w:val="0"/>
          <w:marBottom w:val="0"/>
          <w:divBdr>
            <w:top w:val="none" w:sz="0" w:space="0" w:color="auto"/>
            <w:left w:val="none" w:sz="0" w:space="0" w:color="auto"/>
            <w:bottom w:val="none" w:sz="0" w:space="0" w:color="auto"/>
            <w:right w:val="none" w:sz="0" w:space="0" w:color="auto"/>
          </w:divBdr>
        </w:div>
        <w:div w:id="2052224156">
          <w:marLeft w:val="0"/>
          <w:marRight w:val="0"/>
          <w:marTop w:val="0"/>
          <w:marBottom w:val="0"/>
          <w:divBdr>
            <w:top w:val="none" w:sz="0" w:space="0" w:color="auto"/>
            <w:left w:val="none" w:sz="0" w:space="0" w:color="auto"/>
            <w:bottom w:val="none" w:sz="0" w:space="0" w:color="auto"/>
            <w:right w:val="none" w:sz="0" w:space="0" w:color="auto"/>
          </w:divBdr>
        </w:div>
      </w:divsChild>
    </w:div>
    <w:div w:id="1700741207">
      <w:bodyDiv w:val="1"/>
      <w:marLeft w:val="0"/>
      <w:marRight w:val="0"/>
      <w:marTop w:val="0"/>
      <w:marBottom w:val="0"/>
      <w:divBdr>
        <w:top w:val="none" w:sz="0" w:space="0" w:color="auto"/>
        <w:left w:val="none" w:sz="0" w:space="0" w:color="auto"/>
        <w:bottom w:val="none" w:sz="0" w:space="0" w:color="auto"/>
        <w:right w:val="none" w:sz="0" w:space="0" w:color="auto"/>
      </w:divBdr>
      <w:divsChild>
        <w:div w:id="5517894">
          <w:marLeft w:val="0"/>
          <w:marRight w:val="0"/>
          <w:marTop w:val="0"/>
          <w:marBottom w:val="0"/>
          <w:divBdr>
            <w:top w:val="none" w:sz="0" w:space="0" w:color="auto"/>
            <w:left w:val="none" w:sz="0" w:space="0" w:color="auto"/>
            <w:bottom w:val="none" w:sz="0" w:space="0" w:color="auto"/>
            <w:right w:val="none" w:sz="0" w:space="0" w:color="auto"/>
          </w:divBdr>
        </w:div>
        <w:div w:id="14231028">
          <w:marLeft w:val="0"/>
          <w:marRight w:val="0"/>
          <w:marTop w:val="0"/>
          <w:marBottom w:val="0"/>
          <w:divBdr>
            <w:top w:val="none" w:sz="0" w:space="0" w:color="auto"/>
            <w:left w:val="none" w:sz="0" w:space="0" w:color="auto"/>
            <w:bottom w:val="none" w:sz="0" w:space="0" w:color="auto"/>
            <w:right w:val="none" w:sz="0" w:space="0" w:color="auto"/>
          </w:divBdr>
        </w:div>
        <w:div w:id="20519733">
          <w:marLeft w:val="0"/>
          <w:marRight w:val="0"/>
          <w:marTop w:val="0"/>
          <w:marBottom w:val="0"/>
          <w:divBdr>
            <w:top w:val="none" w:sz="0" w:space="0" w:color="auto"/>
            <w:left w:val="none" w:sz="0" w:space="0" w:color="auto"/>
            <w:bottom w:val="none" w:sz="0" w:space="0" w:color="auto"/>
            <w:right w:val="none" w:sz="0" w:space="0" w:color="auto"/>
          </w:divBdr>
        </w:div>
        <w:div w:id="360517392">
          <w:marLeft w:val="0"/>
          <w:marRight w:val="0"/>
          <w:marTop w:val="0"/>
          <w:marBottom w:val="0"/>
          <w:divBdr>
            <w:top w:val="none" w:sz="0" w:space="0" w:color="auto"/>
            <w:left w:val="none" w:sz="0" w:space="0" w:color="auto"/>
            <w:bottom w:val="none" w:sz="0" w:space="0" w:color="auto"/>
            <w:right w:val="none" w:sz="0" w:space="0" w:color="auto"/>
          </w:divBdr>
        </w:div>
        <w:div w:id="466237710">
          <w:marLeft w:val="0"/>
          <w:marRight w:val="0"/>
          <w:marTop w:val="0"/>
          <w:marBottom w:val="0"/>
          <w:divBdr>
            <w:top w:val="none" w:sz="0" w:space="0" w:color="auto"/>
            <w:left w:val="none" w:sz="0" w:space="0" w:color="auto"/>
            <w:bottom w:val="none" w:sz="0" w:space="0" w:color="auto"/>
            <w:right w:val="none" w:sz="0" w:space="0" w:color="auto"/>
          </w:divBdr>
          <w:divsChild>
            <w:div w:id="627778470">
              <w:marLeft w:val="-75"/>
              <w:marRight w:val="0"/>
              <w:marTop w:val="30"/>
              <w:marBottom w:val="30"/>
              <w:divBdr>
                <w:top w:val="none" w:sz="0" w:space="0" w:color="auto"/>
                <w:left w:val="none" w:sz="0" w:space="0" w:color="auto"/>
                <w:bottom w:val="none" w:sz="0" w:space="0" w:color="auto"/>
                <w:right w:val="none" w:sz="0" w:space="0" w:color="auto"/>
              </w:divBdr>
              <w:divsChild>
                <w:div w:id="766386684">
                  <w:marLeft w:val="0"/>
                  <w:marRight w:val="0"/>
                  <w:marTop w:val="0"/>
                  <w:marBottom w:val="0"/>
                  <w:divBdr>
                    <w:top w:val="none" w:sz="0" w:space="0" w:color="auto"/>
                    <w:left w:val="none" w:sz="0" w:space="0" w:color="auto"/>
                    <w:bottom w:val="none" w:sz="0" w:space="0" w:color="auto"/>
                    <w:right w:val="none" w:sz="0" w:space="0" w:color="auto"/>
                  </w:divBdr>
                  <w:divsChild>
                    <w:div w:id="1301034786">
                      <w:marLeft w:val="0"/>
                      <w:marRight w:val="0"/>
                      <w:marTop w:val="0"/>
                      <w:marBottom w:val="0"/>
                      <w:divBdr>
                        <w:top w:val="none" w:sz="0" w:space="0" w:color="auto"/>
                        <w:left w:val="none" w:sz="0" w:space="0" w:color="auto"/>
                        <w:bottom w:val="none" w:sz="0" w:space="0" w:color="auto"/>
                        <w:right w:val="none" w:sz="0" w:space="0" w:color="auto"/>
                      </w:divBdr>
                    </w:div>
                  </w:divsChild>
                </w:div>
                <w:div w:id="1139611599">
                  <w:marLeft w:val="0"/>
                  <w:marRight w:val="0"/>
                  <w:marTop w:val="0"/>
                  <w:marBottom w:val="0"/>
                  <w:divBdr>
                    <w:top w:val="none" w:sz="0" w:space="0" w:color="auto"/>
                    <w:left w:val="none" w:sz="0" w:space="0" w:color="auto"/>
                    <w:bottom w:val="none" w:sz="0" w:space="0" w:color="auto"/>
                    <w:right w:val="none" w:sz="0" w:space="0" w:color="auto"/>
                  </w:divBdr>
                  <w:divsChild>
                    <w:div w:id="333991333">
                      <w:marLeft w:val="0"/>
                      <w:marRight w:val="0"/>
                      <w:marTop w:val="0"/>
                      <w:marBottom w:val="0"/>
                      <w:divBdr>
                        <w:top w:val="none" w:sz="0" w:space="0" w:color="auto"/>
                        <w:left w:val="none" w:sz="0" w:space="0" w:color="auto"/>
                        <w:bottom w:val="none" w:sz="0" w:space="0" w:color="auto"/>
                        <w:right w:val="none" w:sz="0" w:space="0" w:color="auto"/>
                      </w:divBdr>
                    </w:div>
                    <w:div w:id="1195464751">
                      <w:marLeft w:val="0"/>
                      <w:marRight w:val="0"/>
                      <w:marTop w:val="0"/>
                      <w:marBottom w:val="0"/>
                      <w:divBdr>
                        <w:top w:val="none" w:sz="0" w:space="0" w:color="auto"/>
                        <w:left w:val="none" w:sz="0" w:space="0" w:color="auto"/>
                        <w:bottom w:val="none" w:sz="0" w:space="0" w:color="auto"/>
                        <w:right w:val="none" w:sz="0" w:space="0" w:color="auto"/>
                      </w:divBdr>
                    </w:div>
                  </w:divsChild>
                </w:div>
                <w:div w:id="1315717681">
                  <w:marLeft w:val="0"/>
                  <w:marRight w:val="0"/>
                  <w:marTop w:val="0"/>
                  <w:marBottom w:val="0"/>
                  <w:divBdr>
                    <w:top w:val="none" w:sz="0" w:space="0" w:color="auto"/>
                    <w:left w:val="none" w:sz="0" w:space="0" w:color="auto"/>
                    <w:bottom w:val="none" w:sz="0" w:space="0" w:color="auto"/>
                    <w:right w:val="none" w:sz="0" w:space="0" w:color="auto"/>
                  </w:divBdr>
                  <w:divsChild>
                    <w:div w:id="618993214">
                      <w:marLeft w:val="0"/>
                      <w:marRight w:val="0"/>
                      <w:marTop w:val="0"/>
                      <w:marBottom w:val="0"/>
                      <w:divBdr>
                        <w:top w:val="none" w:sz="0" w:space="0" w:color="auto"/>
                        <w:left w:val="none" w:sz="0" w:space="0" w:color="auto"/>
                        <w:bottom w:val="none" w:sz="0" w:space="0" w:color="auto"/>
                        <w:right w:val="none" w:sz="0" w:space="0" w:color="auto"/>
                      </w:divBdr>
                    </w:div>
                    <w:div w:id="2060278157">
                      <w:marLeft w:val="0"/>
                      <w:marRight w:val="0"/>
                      <w:marTop w:val="0"/>
                      <w:marBottom w:val="0"/>
                      <w:divBdr>
                        <w:top w:val="none" w:sz="0" w:space="0" w:color="auto"/>
                        <w:left w:val="none" w:sz="0" w:space="0" w:color="auto"/>
                        <w:bottom w:val="none" w:sz="0" w:space="0" w:color="auto"/>
                        <w:right w:val="none" w:sz="0" w:space="0" w:color="auto"/>
                      </w:divBdr>
                    </w:div>
                  </w:divsChild>
                </w:div>
                <w:div w:id="1554611349">
                  <w:marLeft w:val="0"/>
                  <w:marRight w:val="0"/>
                  <w:marTop w:val="0"/>
                  <w:marBottom w:val="0"/>
                  <w:divBdr>
                    <w:top w:val="none" w:sz="0" w:space="0" w:color="auto"/>
                    <w:left w:val="none" w:sz="0" w:space="0" w:color="auto"/>
                    <w:bottom w:val="none" w:sz="0" w:space="0" w:color="auto"/>
                    <w:right w:val="none" w:sz="0" w:space="0" w:color="auto"/>
                  </w:divBdr>
                  <w:divsChild>
                    <w:div w:id="1570075411">
                      <w:marLeft w:val="0"/>
                      <w:marRight w:val="0"/>
                      <w:marTop w:val="0"/>
                      <w:marBottom w:val="0"/>
                      <w:divBdr>
                        <w:top w:val="none" w:sz="0" w:space="0" w:color="auto"/>
                        <w:left w:val="none" w:sz="0" w:space="0" w:color="auto"/>
                        <w:bottom w:val="none" w:sz="0" w:space="0" w:color="auto"/>
                        <w:right w:val="none" w:sz="0" w:space="0" w:color="auto"/>
                      </w:divBdr>
                    </w:div>
                  </w:divsChild>
                </w:div>
                <w:div w:id="1697611154">
                  <w:marLeft w:val="0"/>
                  <w:marRight w:val="0"/>
                  <w:marTop w:val="0"/>
                  <w:marBottom w:val="0"/>
                  <w:divBdr>
                    <w:top w:val="none" w:sz="0" w:space="0" w:color="auto"/>
                    <w:left w:val="none" w:sz="0" w:space="0" w:color="auto"/>
                    <w:bottom w:val="none" w:sz="0" w:space="0" w:color="auto"/>
                    <w:right w:val="none" w:sz="0" w:space="0" w:color="auto"/>
                  </w:divBdr>
                  <w:divsChild>
                    <w:div w:id="1623343461">
                      <w:marLeft w:val="0"/>
                      <w:marRight w:val="0"/>
                      <w:marTop w:val="0"/>
                      <w:marBottom w:val="0"/>
                      <w:divBdr>
                        <w:top w:val="none" w:sz="0" w:space="0" w:color="auto"/>
                        <w:left w:val="none" w:sz="0" w:space="0" w:color="auto"/>
                        <w:bottom w:val="none" w:sz="0" w:space="0" w:color="auto"/>
                        <w:right w:val="none" w:sz="0" w:space="0" w:color="auto"/>
                      </w:divBdr>
                    </w:div>
                  </w:divsChild>
                </w:div>
                <w:div w:id="1878085502">
                  <w:marLeft w:val="0"/>
                  <w:marRight w:val="0"/>
                  <w:marTop w:val="0"/>
                  <w:marBottom w:val="0"/>
                  <w:divBdr>
                    <w:top w:val="none" w:sz="0" w:space="0" w:color="auto"/>
                    <w:left w:val="none" w:sz="0" w:space="0" w:color="auto"/>
                    <w:bottom w:val="none" w:sz="0" w:space="0" w:color="auto"/>
                    <w:right w:val="none" w:sz="0" w:space="0" w:color="auto"/>
                  </w:divBdr>
                  <w:divsChild>
                    <w:div w:id="56638488">
                      <w:marLeft w:val="0"/>
                      <w:marRight w:val="0"/>
                      <w:marTop w:val="0"/>
                      <w:marBottom w:val="0"/>
                      <w:divBdr>
                        <w:top w:val="none" w:sz="0" w:space="0" w:color="auto"/>
                        <w:left w:val="none" w:sz="0" w:space="0" w:color="auto"/>
                        <w:bottom w:val="none" w:sz="0" w:space="0" w:color="auto"/>
                        <w:right w:val="none" w:sz="0" w:space="0" w:color="auto"/>
                      </w:divBdr>
                    </w:div>
                  </w:divsChild>
                </w:div>
                <w:div w:id="1971788441">
                  <w:marLeft w:val="0"/>
                  <w:marRight w:val="0"/>
                  <w:marTop w:val="0"/>
                  <w:marBottom w:val="0"/>
                  <w:divBdr>
                    <w:top w:val="none" w:sz="0" w:space="0" w:color="auto"/>
                    <w:left w:val="none" w:sz="0" w:space="0" w:color="auto"/>
                    <w:bottom w:val="none" w:sz="0" w:space="0" w:color="auto"/>
                    <w:right w:val="none" w:sz="0" w:space="0" w:color="auto"/>
                  </w:divBdr>
                  <w:divsChild>
                    <w:div w:id="1723366265">
                      <w:marLeft w:val="0"/>
                      <w:marRight w:val="0"/>
                      <w:marTop w:val="0"/>
                      <w:marBottom w:val="0"/>
                      <w:divBdr>
                        <w:top w:val="none" w:sz="0" w:space="0" w:color="auto"/>
                        <w:left w:val="none" w:sz="0" w:space="0" w:color="auto"/>
                        <w:bottom w:val="none" w:sz="0" w:space="0" w:color="auto"/>
                        <w:right w:val="none" w:sz="0" w:space="0" w:color="auto"/>
                      </w:divBdr>
                    </w:div>
                  </w:divsChild>
                </w:div>
                <w:div w:id="2007049901">
                  <w:marLeft w:val="0"/>
                  <w:marRight w:val="0"/>
                  <w:marTop w:val="0"/>
                  <w:marBottom w:val="0"/>
                  <w:divBdr>
                    <w:top w:val="none" w:sz="0" w:space="0" w:color="auto"/>
                    <w:left w:val="none" w:sz="0" w:space="0" w:color="auto"/>
                    <w:bottom w:val="none" w:sz="0" w:space="0" w:color="auto"/>
                    <w:right w:val="none" w:sz="0" w:space="0" w:color="auto"/>
                  </w:divBdr>
                  <w:divsChild>
                    <w:div w:id="172664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9642">
          <w:marLeft w:val="0"/>
          <w:marRight w:val="0"/>
          <w:marTop w:val="0"/>
          <w:marBottom w:val="0"/>
          <w:divBdr>
            <w:top w:val="none" w:sz="0" w:space="0" w:color="auto"/>
            <w:left w:val="none" w:sz="0" w:space="0" w:color="auto"/>
            <w:bottom w:val="none" w:sz="0" w:space="0" w:color="auto"/>
            <w:right w:val="none" w:sz="0" w:space="0" w:color="auto"/>
          </w:divBdr>
        </w:div>
        <w:div w:id="1001350581">
          <w:marLeft w:val="0"/>
          <w:marRight w:val="0"/>
          <w:marTop w:val="0"/>
          <w:marBottom w:val="0"/>
          <w:divBdr>
            <w:top w:val="none" w:sz="0" w:space="0" w:color="auto"/>
            <w:left w:val="none" w:sz="0" w:space="0" w:color="auto"/>
            <w:bottom w:val="none" w:sz="0" w:space="0" w:color="auto"/>
            <w:right w:val="none" w:sz="0" w:space="0" w:color="auto"/>
          </w:divBdr>
        </w:div>
        <w:div w:id="1236041032">
          <w:marLeft w:val="0"/>
          <w:marRight w:val="0"/>
          <w:marTop w:val="0"/>
          <w:marBottom w:val="0"/>
          <w:divBdr>
            <w:top w:val="none" w:sz="0" w:space="0" w:color="auto"/>
            <w:left w:val="none" w:sz="0" w:space="0" w:color="auto"/>
            <w:bottom w:val="none" w:sz="0" w:space="0" w:color="auto"/>
            <w:right w:val="none" w:sz="0" w:space="0" w:color="auto"/>
          </w:divBdr>
        </w:div>
        <w:div w:id="1261068820">
          <w:marLeft w:val="0"/>
          <w:marRight w:val="0"/>
          <w:marTop w:val="0"/>
          <w:marBottom w:val="0"/>
          <w:divBdr>
            <w:top w:val="none" w:sz="0" w:space="0" w:color="auto"/>
            <w:left w:val="none" w:sz="0" w:space="0" w:color="auto"/>
            <w:bottom w:val="none" w:sz="0" w:space="0" w:color="auto"/>
            <w:right w:val="none" w:sz="0" w:space="0" w:color="auto"/>
          </w:divBdr>
        </w:div>
        <w:div w:id="1481188867">
          <w:marLeft w:val="0"/>
          <w:marRight w:val="0"/>
          <w:marTop w:val="0"/>
          <w:marBottom w:val="0"/>
          <w:divBdr>
            <w:top w:val="none" w:sz="0" w:space="0" w:color="auto"/>
            <w:left w:val="none" w:sz="0" w:space="0" w:color="auto"/>
            <w:bottom w:val="none" w:sz="0" w:space="0" w:color="auto"/>
            <w:right w:val="none" w:sz="0" w:space="0" w:color="auto"/>
          </w:divBdr>
        </w:div>
        <w:div w:id="1513493571">
          <w:marLeft w:val="0"/>
          <w:marRight w:val="0"/>
          <w:marTop w:val="0"/>
          <w:marBottom w:val="0"/>
          <w:divBdr>
            <w:top w:val="none" w:sz="0" w:space="0" w:color="auto"/>
            <w:left w:val="none" w:sz="0" w:space="0" w:color="auto"/>
            <w:bottom w:val="none" w:sz="0" w:space="0" w:color="auto"/>
            <w:right w:val="none" w:sz="0" w:space="0" w:color="auto"/>
          </w:divBdr>
        </w:div>
        <w:div w:id="1524512214">
          <w:marLeft w:val="0"/>
          <w:marRight w:val="0"/>
          <w:marTop w:val="0"/>
          <w:marBottom w:val="0"/>
          <w:divBdr>
            <w:top w:val="none" w:sz="0" w:space="0" w:color="auto"/>
            <w:left w:val="none" w:sz="0" w:space="0" w:color="auto"/>
            <w:bottom w:val="none" w:sz="0" w:space="0" w:color="auto"/>
            <w:right w:val="none" w:sz="0" w:space="0" w:color="auto"/>
          </w:divBdr>
          <w:divsChild>
            <w:div w:id="186140886">
              <w:marLeft w:val="0"/>
              <w:marRight w:val="0"/>
              <w:marTop w:val="0"/>
              <w:marBottom w:val="0"/>
              <w:divBdr>
                <w:top w:val="none" w:sz="0" w:space="0" w:color="auto"/>
                <w:left w:val="none" w:sz="0" w:space="0" w:color="auto"/>
                <w:bottom w:val="none" w:sz="0" w:space="0" w:color="auto"/>
                <w:right w:val="none" w:sz="0" w:space="0" w:color="auto"/>
              </w:divBdr>
            </w:div>
            <w:div w:id="668100824">
              <w:marLeft w:val="0"/>
              <w:marRight w:val="0"/>
              <w:marTop w:val="0"/>
              <w:marBottom w:val="0"/>
              <w:divBdr>
                <w:top w:val="none" w:sz="0" w:space="0" w:color="auto"/>
                <w:left w:val="none" w:sz="0" w:space="0" w:color="auto"/>
                <w:bottom w:val="none" w:sz="0" w:space="0" w:color="auto"/>
                <w:right w:val="none" w:sz="0" w:space="0" w:color="auto"/>
              </w:divBdr>
            </w:div>
            <w:div w:id="1271090890">
              <w:marLeft w:val="0"/>
              <w:marRight w:val="0"/>
              <w:marTop w:val="0"/>
              <w:marBottom w:val="0"/>
              <w:divBdr>
                <w:top w:val="none" w:sz="0" w:space="0" w:color="auto"/>
                <w:left w:val="none" w:sz="0" w:space="0" w:color="auto"/>
                <w:bottom w:val="none" w:sz="0" w:space="0" w:color="auto"/>
                <w:right w:val="none" w:sz="0" w:space="0" w:color="auto"/>
              </w:divBdr>
            </w:div>
            <w:div w:id="1436439987">
              <w:marLeft w:val="0"/>
              <w:marRight w:val="0"/>
              <w:marTop w:val="0"/>
              <w:marBottom w:val="0"/>
              <w:divBdr>
                <w:top w:val="none" w:sz="0" w:space="0" w:color="auto"/>
                <w:left w:val="none" w:sz="0" w:space="0" w:color="auto"/>
                <w:bottom w:val="none" w:sz="0" w:space="0" w:color="auto"/>
                <w:right w:val="none" w:sz="0" w:space="0" w:color="auto"/>
              </w:divBdr>
            </w:div>
          </w:divsChild>
        </w:div>
        <w:div w:id="1767067884">
          <w:marLeft w:val="0"/>
          <w:marRight w:val="0"/>
          <w:marTop w:val="0"/>
          <w:marBottom w:val="0"/>
          <w:divBdr>
            <w:top w:val="none" w:sz="0" w:space="0" w:color="auto"/>
            <w:left w:val="none" w:sz="0" w:space="0" w:color="auto"/>
            <w:bottom w:val="none" w:sz="0" w:space="0" w:color="auto"/>
            <w:right w:val="none" w:sz="0" w:space="0" w:color="auto"/>
          </w:divBdr>
        </w:div>
        <w:div w:id="1936476566">
          <w:marLeft w:val="0"/>
          <w:marRight w:val="0"/>
          <w:marTop w:val="0"/>
          <w:marBottom w:val="0"/>
          <w:divBdr>
            <w:top w:val="none" w:sz="0" w:space="0" w:color="auto"/>
            <w:left w:val="none" w:sz="0" w:space="0" w:color="auto"/>
            <w:bottom w:val="none" w:sz="0" w:space="0" w:color="auto"/>
            <w:right w:val="none" w:sz="0" w:space="0" w:color="auto"/>
          </w:divBdr>
        </w:div>
      </w:divsChild>
    </w:div>
    <w:div w:id="1724018645">
      <w:bodyDiv w:val="1"/>
      <w:marLeft w:val="0"/>
      <w:marRight w:val="0"/>
      <w:marTop w:val="0"/>
      <w:marBottom w:val="0"/>
      <w:divBdr>
        <w:top w:val="none" w:sz="0" w:space="0" w:color="auto"/>
        <w:left w:val="none" w:sz="0" w:space="0" w:color="auto"/>
        <w:bottom w:val="none" w:sz="0" w:space="0" w:color="auto"/>
        <w:right w:val="none" w:sz="0" w:space="0" w:color="auto"/>
      </w:divBdr>
      <w:divsChild>
        <w:div w:id="133332267">
          <w:marLeft w:val="0"/>
          <w:marRight w:val="0"/>
          <w:marTop w:val="0"/>
          <w:marBottom w:val="0"/>
          <w:divBdr>
            <w:top w:val="none" w:sz="0" w:space="0" w:color="auto"/>
            <w:left w:val="none" w:sz="0" w:space="0" w:color="auto"/>
            <w:bottom w:val="none" w:sz="0" w:space="0" w:color="auto"/>
            <w:right w:val="none" w:sz="0" w:space="0" w:color="auto"/>
          </w:divBdr>
        </w:div>
        <w:div w:id="316764700">
          <w:marLeft w:val="0"/>
          <w:marRight w:val="0"/>
          <w:marTop w:val="0"/>
          <w:marBottom w:val="0"/>
          <w:divBdr>
            <w:top w:val="none" w:sz="0" w:space="0" w:color="auto"/>
            <w:left w:val="none" w:sz="0" w:space="0" w:color="auto"/>
            <w:bottom w:val="none" w:sz="0" w:space="0" w:color="auto"/>
            <w:right w:val="none" w:sz="0" w:space="0" w:color="auto"/>
          </w:divBdr>
        </w:div>
        <w:div w:id="1094858258">
          <w:marLeft w:val="0"/>
          <w:marRight w:val="0"/>
          <w:marTop w:val="0"/>
          <w:marBottom w:val="0"/>
          <w:divBdr>
            <w:top w:val="none" w:sz="0" w:space="0" w:color="auto"/>
            <w:left w:val="none" w:sz="0" w:space="0" w:color="auto"/>
            <w:bottom w:val="none" w:sz="0" w:space="0" w:color="auto"/>
            <w:right w:val="none" w:sz="0" w:space="0" w:color="auto"/>
          </w:divBdr>
        </w:div>
        <w:div w:id="1481770724">
          <w:marLeft w:val="0"/>
          <w:marRight w:val="0"/>
          <w:marTop w:val="0"/>
          <w:marBottom w:val="0"/>
          <w:divBdr>
            <w:top w:val="none" w:sz="0" w:space="0" w:color="auto"/>
            <w:left w:val="none" w:sz="0" w:space="0" w:color="auto"/>
            <w:bottom w:val="none" w:sz="0" w:space="0" w:color="auto"/>
            <w:right w:val="none" w:sz="0" w:space="0" w:color="auto"/>
          </w:divBdr>
        </w:div>
        <w:div w:id="1559122989">
          <w:marLeft w:val="0"/>
          <w:marRight w:val="0"/>
          <w:marTop w:val="0"/>
          <w:marBottom w:val="0"/>
          <w:divBdr>
            <w:top w:val="none" w:sz="0" w:space="0" w:color="auto"/>
            <w:left w:val="none" w:sz="0" w:space="0" w:color="auto"/>
            <w:bottom w:val="none" w:sz="0" w:space="0" w:color="auto"/>
            <w:right w:val="none" w:sz="0" w:space="0" w:color="auto"/>
          </w:divBdr>
        </w:div>
        <w:div w:id="1795245063">
          <w:marLeft w:val="0"/>
          <w:marRight w:val="0"/>
          <w:marTop w:val="0"/>
          <w:marBottom w:val="0"/>
          <w:divBdr>
            <w:top w:val="none" w:sz="0" w:space="0" w:color="auto"/>
            <w:left w:val="none" w:sz="0" w:space="0" w:color="auto"/>
            <w:bottom w:val="none" w:sz="0" w:space="0" w:color="auto"/>
            <w:right w:val="none" w:sz="0" w:space="0" w:color="auto"/>
          </w:divBdr>
        </w:div>
        <w:div w:id="1896968803">
          <w:marLeft w:val="0"/>
          <w:marRight w:val="0"/>
          <w:marTop w:val="0"/>
          <w:marBottom w:val="0"/>
          <w:divBdr>
            <w:top w:val="none" w:sz="0" w:space="0" w:color="auto"/>
            <w:left w:val="none" w:sz="0" w:space="0" w:color="auto"/>
            <w:bottom w:val="none" w:sz="0" w:space="0" w:color="auto"/>
            <w:right w:val="none" w:sz="0" w:space="0" w:color="auto"/>
          </w:divBdr>
        </w:div>
      </w:divsChild>
    </w:div>
    <w:div w:id="1741707414">
      <w:bodyDiv w:val="1"/>
      <w:marLeft w:val="0"/>
      <w:marRight w:val="0"/>
      <w:marTop w:val="0"/>
      <w:marBottom w:val="0"/>
      <w:divBdr>
        <w:top w:val="none" w:sz="0" w:space="0" w:color="auto"/>
        <w:left w:val="none" w:sz="0" w:space="0" w:color="auto"/>
        <w:bottom w:val="none" w:sz="0" w:space="0" w:color="auto"/>
        <w:right w:val="none" w:sz="0" w:space="0" w:color="auto"/>
      </w:divBdr>
      <w:divsChild>
        <w:div w:id="323708199">
          <w:marLeft w:val="0"/>
          <w:marRight w:val="0"/>
          <w:marTop w:val="0"/>
          <w:marBottom w:val="0"/>
          <w:divBdr>
            <w:top w:val="none" w:sz="0" w:space="0" w:color="auto"/>
            <w:left w:val="none" w:sz="0" w:space="0" w:color="auto"/>
            <w:bottom w:val="none" w:sz="0" w:space="0" w:color="auto"/>
            <w:right w:val="none" w:sz="0" w:space="0" w:color="auto"/>
          </w:divBdr>
        </w:div>
        <w:div w:id="408621649">
          <w:marLeft w:val="0"/>
          <w:marRight w:val="0"/>
          <w:marTop w:val="0"/>
          <w:marBottom w:val="0"/>
          <w:divBdr>
            <w:top w:val="none" w:sz="0" w:space="0" w:color="auto"/>
            <w:left w:val="none" w:sz="0" w:space="0" w:color="auto"/>
            <w:bottom w:val="none" w:sz="0" w:space="0" w:color="auto"/>
            <w:right w:val="none" w:sz="0" w:space="0" w:color="auto"/>
          </w:divBdr>
        </w:div>
        <w:div w:id="1061173213">
          <w:marLeft w:val="0"/>
          <w:marRight w:val="0"/>
          <w:marTop w:val="0"/>
          <w:marBottom w:val="0"/>
          <w:divBdr>
            <w:top w:val="none" w:sz="0" w:space="0" w:color="auto"/>
            <w:left w:val="none" w:sz="0" w:space="0" w:color="auto"/>
            <w:bottom w:val="none" w:sz="0" w:space="0" w:color="auto"/>
            <w:right w:val="none" w:sz="0" w:space="0" w:color="auto"/>
          </w:divBdr>
        </w:div>
        <w:div w:id="1148476810">
          <w:marLeft w:val="0"/>
          <w:marRight w:val="0"/>
          <w:marTop w:val="0"/>
          <w:marBottom w:val="0"/>
          <w:divBdr>
            <w:top w:val="none" w:sz="0" w:space="0" w:color="auto"/>
            <w:left w:val="none" w:sz="0" w:space="0" w:color="auto"/>
            <w:bottom w:val="none" w:sz="0" w:space="0" w:color="auto"/>
            <w:right w:val="none" w:sz="0" w:space="0" w:color="auto"/>
          </w:divBdr>
        </w:div>
        <w:div w:id="1229540253">
          <w:marLeft w:val="0"/>
          <w:marRight w:val="0"/>
          <w:marTop w:val="0"/>
          <w:marBottom w:val="0"/>
          <w:divBdr>
            <w:top w:val="none" w:sz="0" w:space="0" w:color="auto"/>
            <w:left w:val="none" w:sz="0" w:space="0" w:color="auto"/>
            <w:bottom w:val="none" w:sz="0" w:space="0" w:color="auto"/>
            <w:right w:val="none" w:sz="0" w:space="0" w:color="auto"/>
          </w:divBdr>
        </w:div>
      </w:divsChild>
    </w:div>
    <w:div w:id="1744336297">
      <w:bodyDiv w:val="1"/>
      <w:marLeft w:val="0"/>
      <w:marRight w:val="0"/>
      <w:marTop w:val="0"/>
      <w:marBottom w:val="0"/>
      <w:divBdr>
        <w:top w:val="none" w:sz="0" w:space="0" w:color="auto"/>
        <w:left w:val="none" w:sz="0" w:space="0" w:color="auto"/>
        <w:bottom w:val="none" w:sz="0" w:space="0" w:color="auto"/>
        <w:right w:val="none" w:sz="0" w:space="0" w:color="auto"/>
      </w:divBdr>
      <w:divsChild>
        <w:div w:id="45035179">
          <w:marLeft w:val="0"/>
          <w:marRight w:val="0"/>
          <w:marTop w:val="0"/>
          <w:marBottom w:val="0"/>
          <w:divBdr>
            <w:top w:val="none" w:sz="0" w:space="0" w:color="auto"/>
            <w:left w:val="none" w:sz="0" w:space="0" w:color="auto"/>
            <w:bottom w:val="none" w:sz="0" w:space="0" w:color="auto"/>
            <w:right w:val="none" w:sz="0" w:space="0" w:color="auto"/>
          </w:divBdr>
        </w:div>
        <w:div w:id="872884590">
          <w:marLeft w:val="0"/>
          <w:marRight w:val="0"/>
          <w:marTop w:val="0"/>
          <w:marBottom w:val="0"/>
          <w:divBdr>
            <w:top w:val="none" w:sz="0" w:space="0" w:color="auto"/>
            <w:left w:val="none" w:sz="0" w:space="0" w:color="auto"/>
            <w:bottom w:val="none" w:sz="0" w:space="0" w:color="auto"/>
            <w:right w:val="none" w:sz="0" w:space="0" w:color="auto"/>
          </w:divBdr>
        </w:div>
        <w:div w:id="939875312">
          <w:marLeft w:val="0"/>
          <w:marRight w:val="0"/>
          <w:marTop w:val="0"/>
          <w:marBottom w:val="0"/>
          <w:divBdr>
            <w:top w:val="none" w:sz="0" w:space="0" w:color="auto"/>
            <w:left w:val="none" w:sz="0" w:space="0" w:color="auto"/>
            <w:bottom w:val="none" w:sz="0" w:space="0" w:color="auto"/>
            <w:right w:val="none" w:sz="0" w:space="0" w:color="auto"/>
          </w:divBdr>
        </w:div>
        <w:div w:id="943801353">
          <w:marLeft w:val="0"/>
          <w:marRight w:val="0"/>
          <w:marTop w:val="0"/>
          <w:marBottom w:val="0"/>
          <w:divBdr>
            <w:top w:val="none" w:sz="0" w:space="0" w:color="auto"/>
            <w:left w:val="none" w:sz="0" w:space="0" w:color="auto"/>
            <w:bottom w:val="none" w:sz="0" w:space="0" w:color="auto"/>
            <w:right w:val="none" w:sz="0" w:space="0" w:color="auto"/>
          </w:divBdr>
        </w:div>
        <w:div w:id="1172834650">
          <w:marLeft w:val="0"/>
          <w:marRight w:val="0"/>
          <w:marTop w:val="0"/>
          <w:marBottom w:val="0"/>
          <w:divBdr>
            <w:top w:val="none" w:sz="0" w:space="0" w:color="auto"/>
            <w:left w:val="none" w:sz="0" w:space="0" w:color="auto"/>
            <w:bottom w:val="none" w:sz="0" w:space="0" w:color="auto"/>
            <w:right w:val="none" w:sz="0" w:space="0" w:color="auto"/>
          </w:divBdr>
        </w:div>
        <w:div w:id="1203514933">
          <w:marLeft w:val="0"/>
          <w:marRight w:val="0"/>
          <w:marTop w:val="0"/>
          <w:marBottom w:val="0"/>
          <w:divBdr>
            <w:top w:val="none" w:sz="0" w:space="0" w:color="auto"/>
            <w:left w:val="none" w:sz="0" w:space="0" w:color="auto"/>
            <w:bottom w:val="none" w:sz="0" w:space="0" w:color="auto"/>
            <w:right w:val="none" w:sz="0" w:space="0" w:color="auto"/>
          </w:divBdr>
        </w:div>
        <w:div w:id="1391609804">
          <w:marLeft w:val="0"/>
          <w:marRight w:val="0"/>
          <w:marTop w:val="0"/>
          <w:marBottom w:val="0"/>
          <w:divBdr>
            <w:top w:val="none" w:sz="0" w:space="0" w:color="auto"/>
            <w:left w:val="none" w:sz="0" w:space="0" w:color="auto"/>
            <w:bottom w:val="none" w:sz="0" w:space="0" w:color="auto"/>
            <w:right w:val="none" w:sz="0" w:space="0" w:color="auto"/>
          </w:divBdr>
        </w:div>
        <w:div w:id="1581064931">
          <w:marLeft w:val="0"/>
          <w:marRight w:val="0"/>
          <w:marTop w:val="0"/>
          <w:marBottom w:val="0"/>
          <w:divBdr>
            <w:top w:val="none" w:sz="0" w:space="0" w:color="auto"/>
            <w:left w:val="none" w:sz="0" w:space="0" w:color="auto"/>
            <w:bottom w:val="none" w:sz="0" w:space="0" w:color="auto"/>
            <w:right w:val="none" w:sz="0" w:space="0" w:color="auto"/>
          </w:divBdr>
        </w:div>
        <w:div w:id="1747875548">
          <w:marLeft w:val="0"/>
          <w:marRight w:val="0"/>
          <w:marTop w:val="0"/>
          <w:marBottom w:val="0"/>
          <w:divBdr>
            <w:top w:val="none" w:sz="0" w:space="0" w:color="auto"/>
            <w:left w:val="none" w:sz="0" w:space="0" w:color="auto"/>
            <w:bottom w:val="none" w:sz="0" w:space="0" w:color="auto"/>
            <w:right w:val="none" w:sz="0" w:space="0" w:color="auto"/>
          </w:divBdr>
        </w:div>
        <w:div w:id="2095009842">
          <w:marLeft w:val="0"/>
          <w:marRight w:val="0"/>
          <w:marTop w:val="0"/>
          <w:marBottom w:val="0"/>
          <w:divBdr>
            <w:top w:val="none" w:sz="0" w:space="0" w:color="auto"/>
            <w:left w:val="none" w:sz="0" w:space="0" w:color="auto"/>
            <w:bottom w:val="none" w:sz="0" w:space="0" w:color="auto"/>
            <w:right w:val="none" w:sz="0" w:space="0" w:color="auto"/>
          </w:divBdr>
        </w:div>
        <w:div w:id="2134784333">
          <w:marLeft w:val="0"/>
          <w:marRight w:val="0"/>
          <w:marTop w:val="0"/>
          <w:marBottom w:val="0"/>
          <w:divBdr>
            <w:top w:val="none" w:sz="0" w:space="0" w:color="auto"/>
            <w:left w:val="none" w:sz="0" w:space="0" w:color="auto"/>
            <w:bottom w:val="none" w:sz="0" w:space="0" w:color="auto"/>
            <w:right w:val="none" w:sz="0" w:space="0" w:color="auto"/>
          </w:divBdr>
        </w:div>
      </w:divsChild>
    </w:div>
    <w:div w:id="1766270838">
      <w:bodyDiv w:val="1"/>
      <w:marLeft w:val="0"/>
      <w:marRight w:val="0"/>
      <w:marTop w:val="0"/>
      <w:marBottom w:val="0"/>
      <w:divBdr>
        <w:top w:val="none" w:sz="0" w:space="0" w:color="auto"/>
        <w:left w:val="none" w:sz="0" w:space="0" w:color="auto"/>
        <w:bottom w:val="none" w:sz="0" w:space="0" w:color="auto"/>
        <w:right w:val="none" w:sz="0" w:space="0" w:color="auto"/>
      </w:divBdr>
      <w:divsChild>
        <w:div w:id="63138973">
          <w:marLeft w:val="0"/>
          <w:marRight w:val="0"/>
          <w:marTop w:val="0"/>
          <w:marBottom w:val="0"/>
          <w:divBdr>
            <w:top w:val="none" w:sz="0" w:space="0" w:color="auto"/>
            <w:left w:val="none" w:sz="0" w:space="0" w:color="auto"/>
            <w:bottom w:val="none" w:sz="0" w:space="0" w:color="auto"/>
            <w:right w:val="none" w:sz="0" w:space="0" w:color="auto"/>
          </w:divBdr>
        </w:div>
        <w:div w:id="433939026">
          <w:marLeft w:val="0"/>
          <w:marRight w:val="0"/>
          <w:marTop w:val="0"/>
          <w:marBottom w:val="0"/>
          <w:divBdr>
            <w:top w:val="none" w:sz="0" w:space="0" w:color="auto"/>
            <w:left w:val="none" w:sz="0" w:space="0" w:color="auto"/>
            <w:bottom w:val="none" w:sz="0" w:space="0" w:color="auto"/>
            <w:right w:val="none" w:sz="0" w:space="0" w:color="auto"/>
          </w:divBdr>
        </w:div>
        <w:div w:id="475533737">
          <w:marLeft w:val="0"/>
          <w:marRight w:val="0"/>
          <w:marTop w:val="0"/>
          <w:marBottom w:val="0"/>
          <w:divBdr>
            <w:top w:val="none" w:sz="0" w:space="0" w:color="auto"/>
            <w:left w:val="none" w:sz="0" w:space="0" w:color="auto"/>
            <w:bottom w:val="none" w:sz="0" w:space="0" w:color="auto"/>
            <w:right w:val="none" w:sz="0" w:space="0" w:color="auto"/>
          </w:divBdr>
        </w:div>
        <w:div w:id="1095588900">
          <w:marLeft w:val="0"/>
          <w:marRight w:val="0"/>
          <w:marTop w:val="0"/>
          <w:marBottom w:val="0"/>
          <w:divBdr>
            <w:top w:val="none" w:sz="0" w:space="0" w:color="auto"/>
            <w:left w:val="none" w:sz="0" w:space="0" w:color="auto"/>
            <w:bottom w:val="none" w:sz="0" w:space="0" w:color="auto"/>
            <w:right w:val="none" w:sz="0" w:space="0" w:color="auto"/>
          </w:divBdr>
        </w:div>
        <w:div w:id="1336028812">
          <w:marLeft w:val="0"/>
          <w:marRight w:val="0"/>
          <w:marTop w:val="0"/>
          <w:marBottom w:val="0"/>
          <w:divBdr>
            <w:top w:val="none" w:sz="0" w:space="0" w:color="auto"/>
            <w:left w:val="none" w:sz="0" w:space="0" w:color="auto"/>
            <w:bottom w:val="none" w:sz="0" w:space="0" w:color="auto"/>
            <w:right w:val="none" w:sz="0" w:space="0" w:color="auto"/>
          </w:divBdr>
        </w:div>
        <w:div w:id="1828589253">
          <w:marLeft w:val="0"/>
          <w:marRight w:val="0"/>
          <w:marTop w:val="0"/>
          <w:marBottom w:val="0"/>
          <w:divBdr>
            <w:top w:val="none" w:sz="0" w:space="0" w:color="auto"/>
            <w:left w:val="none" w:sz="0" w:space="0" w:color="auto"/>
            <w:bottom w:val="none" w:sz="0" w:space="0" w:color="auto"/>
            <w:right w:val="none" w:sz="0" w:space="0" w:color="auto"/>
          </w:divBdr>
        </w:div>
        <w:div w:id="2122721275">
          <w:marLeft w:val="0"/>
          <w:marRight w:val="0"/>
          <w:marTop w:val="0"/>
          <w:marBottom w:val="0"/>
          <w:divBdr>
            <w:top w:val="none" w:sz="0" w:space="0" w:color="auto"/>
            <w:left w:val="none" w:sz="0" w:space="0" w:color="auto"/>
            <w:bottom w:val="none" w:sz="0" w:space="0" w:color="auto"/>
            <w:right w:val="none" w:sz="0" w:space="0" w:color="auto"/>
          </w:divBdr>
        </w:div>
      </w:divsChild>
    </w:div>
    <w:div w:id="1782450485">
      <w:bodyDiv w:val="1"/>
      <w:marLeft w:val="0"/>
      <w:marRight w:val="0"/>
      <w:marTop w:val="0"/>
      <w:marBottom w:val="0"/>
      <w:divBdr>
        <w:top w:val="none" w:sz="0" w:space="0" w:color="auto"/>
        <w:left w:val="none" w:sz="0" w:space="0" w:color="auto"/>
        <w:bottom w:val="none" w:sz="0" w:space="0" w:color="auto"/>
        <w:right w:val="none" w:sz="0" w:space="0" w:color="auto"/>
      </w:divBdr>
      <w:divsChild>
        <w:div w:id="23139318">
          <w:marLeft w:val="0"/>
          <w:marRight w:val="0"/>
          <w:marTop w:val="0"/>
          <w:marBottom w:val="0"/>
          <w:divBdr>
            <w:top w:val="none" w:sz="0" w:space="0" w:color="auto"/>
            <w:left w:val="none" w:sz="0" w:space="0" w:color="auto"/>
            <w:bottom w:val="none" w:sz="0" w:space="0" w:color="auto"/>
            <w:right w:val="none" w:sz="0" w:space="0" w:color="auto"/>
          </w:divBdr>
        </w:div>
        <w:div w:id="312949436">
          <w:marLeft w:val="0"/>
          <w:marRight w:val="0"/>
          <w:marTop w:val="0"/>
          <w:marBottom w:val="0"/>
          <w:divBdr>
            <w:top w:val="none" w:sz="0" w:space="0" w:color="auto"/>
            <w:left w:val="none" w:sz="0" w:space="0" w:color="auto"/>
            <w:bottom w:val="none" w:sz="0" w:space="0" w:color="auto"/>
            <w:right w:val="none" w:sz="0" w:space="0" w:color="auto"/>
          </w:divBdr>
          <w:divsChild>
            <w:div w:id="314066987">
              <w:marLeft w:val="0"/>
              <w:marRight w:val="0"/>
              <w:marTop w:val="0"/>
              <w:marBottom w:val="0"/>
              <w:divBdr>
                <w:top w:val="none" w:sz="0" w:space="0" w:color="auto"/>
                <w:left w:val="none" w:sz="0" w:space="0" w:color="auto"/>
                <w:bottom w:val="none" w:sz="0" w:space="0" w:color="auto"/>
                <w:right w:val="none" w:sz="0" w:space="0" w:color="auto"/>
              </w:divBdr>
            </w:div>
            <w:div w:id="737290343">
              <w:marLeft w:val="0"/>
              <w:marRight w:val="0"/>
              <w:marTop w:val="0"/>
              <w:marBottom w:val="0"/>
              <w:divBdr>
                <w:top w:val="none" w:sz="0" w:space="0" w:color="auto"/>
                <w:left w:val="none" w:sz="0" w:space="0" w:color="auto"/>
                <w:bottom w:val="none" w:sz="0" w:space="0" w:color="auto"/>
                <w:right w:val="none" w:sz="0" w:space="0" w:color="auto"/>
              </w:divBdr>
            </w:div>
            <w:div w:id="970817506">
              <w:marLeft w:val="0"/>
              <w:marRight w:val="0"/>
              <w:marTop w:val="0"/>
              <w:marBottom w:val="0"/>
              <w:divBdr>
                <w:top w:val="none" w:sz="0" w:space="0" w:color="auto"/>
                <w:left w:val="none" w:sz="0" w:space="0" w:color="auto"/>
                <w:bottom w:val="none" w:sz="0" w:space="0" w:color="auto"/>
                <w:right w:val="none" w:sz="0" w:space="0" w:color="auto"/>
              </w:divBdr>
            </w:div>
            <w:div w:id="1005790302">
              <w:marLeft w:val="0"/>
              <w:marRight w:val="0"/>
              <w:marTop w:val="0"/>
              <w:marBottom w:val="0"/>
              <w:divBdr>
                <w:top w:val="none" w:sz="0" w:space="0" w:color="auto"/>
                <w:left w:val="none" w:sz="0" w:space="0" w:color="auto"/>
                <w:bottom w:val="none" w:sz="0" w:space="0" w:color="auto"/>
                <w:right w:val="none" w:sz="0" w:space="0" w:color="auto"/>
              </w:divBdr>
            </w:div>
          </w:divsChild>
        </w:div>
        <w:div w:id="935215566">
          <w:marLeft w:val="0"/>
          <w:marRight w:val="0"/>
          <w:marTop w:val="0"/>
          <w:marBottom w:val="0"/>
          <w:divBdr>
            <w:top w:val="none" w:sz="0" w:space="0" w:color="auto"/>
            <w:left w:val="none" w:sz="0" w:space="0" w:color="auto"/>
            <w:bottom w:val="none" w:sz="0" w:space="0" w:color="auto"/>
            <w:right w:val="none" w:sz="0" w:space="0" w:color="auto"/>
          </w:divBdr>
        </w:div>
        <w:div w:id="968902974">
          <w:marLeft w:val="0"/>
          <w:marRight w:val="0"/>
          <w:marTop w:val="0"/>
          <w:marBottom w:val="0"/>
          <w:divBdr>
            <w:top w:val="none" w:sz="0" w:space="0" w:color="auto"/>
            <w:left w:val="none" w:sz="0" w:space="0" w:color="auto"/>
            <w:bottom w:val="none" w:sz="0" w:space="0" w:color="auto"/>
            <w:right w:val="none" w:sz="0" w:space="0" w:color="auto"/>
          </w:divBdr>
        </w:div>
        <w:div w:id="1234583414">
          <w:marLeft w:val="0"/>
          <w:marRight w:val="0"/>
          <w:marTop w:val="0"/>
          <w:marBottom w:val="0"/>
          <w:divBdr>
            <w:top w:val="none" w:sz="0" w:space="0" w:color="auto"/>
            <w:left w:val="none" w:sz="0" w:space="0" w:color="auto"/>
            <w:bottom w:val="none" w:sz="0" w:space="0" w:color="auto"/>
            <w:right w:val="none" w:sz="0" w:space="0" w:color="auto"/>
          </w:divBdr>
        </w:div>
        <w:div w:id="1450123879">
          <w:marLeft w:val="0"/>
          <w:marRight w:val="0"/>
          <w:marTop w:val="0"/>
          <w:marBottom w:val="0"/>
          <w:divBdr>
            <w:top w:val="none" w:sz="0" w:space="0" w:color="auto"/>
            <w:left w:val="none" w:sz="0" w:space="0" w:color="auto"/>
            <w:bottom w:val="none" w:sz="0" w:space="0" w:color="auto"/>
            <w:right w:val="none" w:sz="0" w:space="0" w:color="auto"/>
          </w:divBdr>
        </w:div>
        <w:div w:id="1779637980">
          <w:marLeft w:val="0"/>
          <w:marRight w:val="0"/>
          <w:marTop w:val="0"/>
          <w:marBottom w:val="0"/>
          <w:divBdr>
            <w:top w:val="none" w:sz="0" w:space="0" w:color="auto"/>
            <w:left w:val="none" w:sz="0" w:space="0" w:color="auto"/>
            <w:bottom w:val="none" w:sz="0" w:space="0" w:color="auto"/>
            <w:right w:val="none" w:sz="0" w:space="0" w:color="auto"/>
          </w:divBdr>
        </w:div>
        <w:div w:id="2128307499">
          <w:marLeft w:val="0"/>
          <w:marRight w:val="0"/>
          <w:marTop w:val="0"/>
          <w:marBottom w:val="0"/>
          <w:divBdr>
            <w:top w:val="none" w:sz="0" w:space="0" w:color="auto"/>
            <w:left w:val="none" w:sz="0" w:space="0" w:color="auto"/>
            <w:bottom w:val="none" w:sz="0" w:space="0" w:color="auto"/>
            <w:right w:val="none" w:sz="0" w:space="0" w:color="auto"/>
          </w:divBdr>
        </w:div>
      </w:divsChild>
    </w:div>
    <w:div w:id="1791048446">
      <w:bodyDiv w:val="1"/>
      <w:marLeft w:val="0"/>
      <w:marRight w:val="0"/>
      <w:marTop w:val="0"/>
      <w:marBottom w:val="0"/>
      <w:divBdr>
        <w:top w:val="none" w:sz="0" w:space="0" w:color="auto"/>
        <w:left w:val="none" w:sz="0" w:space="0" w:color="auto"/>
        <w:bottom w:val="none" w:sz="0" w:space="0" w:color="auto"/>
        <w:right w:val="none" w:sz="0" w:space="0" w:color="auto"/>
      </w:divBdr>
      <w:divsChild>
        <w:div w:id="123549205">
          <w:marLeft w:val="0"/>
          <w:marRight w:val="0"/>
          <w:marTop w:val="0"/>
          <w:marBottom w:val="0"/>
          <w:divBdr>
            <w:top w:val="none" w:sz="0" w:space="0" w:color="auto"/>
            <w:left w:val="none" w:sz="0" w:space="0" w:color="auto"/>
            <w:bottom w:val="none" w:sz="0" w:space="0" w:color="auto"/>
            <w:right w:val="none" w:sz="0" w:space="0" w:color="auto"/>
          </w:divBdr>
        </w:div>
        <w:div w:id="180553376">
          <w:marLeft w:val="0"/>
          <w:marRight w:val="0"/>
          <w:marTop w:val="0"/>
          <w:marBottom w:val="0"/>
          <w:divBdr>
            <w:top w:val="none" w:sz="0" w:space="0" w:color="auto"/>
            <w:left w:val="none" w:sz="0" w:space="0" w:color="auto"/>
            <w:bottom w:val="none" w:sz="0" w:space="0" w:color="auto"/>
            <w:right w:val="none" w:sz="0" w:space="0" w:color="auto"/>
          </w:divBdr>
        </w:div>
        <w:div w:id="271280111">
          <w:marLeft w:val="0"/>
          <w:marRight w:val="0"/>
          <w:marTop w:val="0"/>
          <w:marBottom w:val="0"/>
          <w:divBdr>
            <w:top w:val="none" w:sz="0" w:space="0" w:color="auto"/>
            <w:left w:val="none" w:sz="0" w:space="0" w:color="auto"/>
            <w:bottom w:val="none" w:sz="0" w:space="0" w:color="auto"/>
            <w:right w:val="none" w:sz="0" w:space="0" w:color="auto"/>
          </w:divBdr>
        </w:div>
        <w:div w:id="599262732">
          <w:marLeft w:val="0"/>
          <w:marRight w:val="0"/>
          <w:marTop w:val="0"/>
          <w:marBottom w:val="0"/>
          <w:divBdr>
            <w:top w:val="none" w:sz="0" w:space="0" w:color="auto"/>
            <w:left w:val="none" w:sz="0" w:space="0" w:color="auto"/>
            <w:bottom w:val="none" w:sz="0" w:space="0" w:color="auto"/>
            <w:right w:val="none" w:sz="0" w:space="0" w:color="auto"/>
          </w:divBdr>
        </w:div>
        <w:div w:id="783184797">
          <w:marLeft w:val="0"/>
          <w:marRight w:val="0"/>
          <w:marTop w:val="0"/>
          <w:marBottom w:val="0"/>
          <w:divBdr>
            <w:top w:val="none" w:sz="0" w:space="0" w:color="auto"/>
            <w:left w:val="none" w:sz="0" w:space="0" w:color="auto"/>
            <w:bottom w:val="none" w:sz="0" w:space="0" w:color="auto"/>
            <w:right w:val="none" w:sz="0" w:space="0" w:color="auto"/>
          </w:divBdr>
        </w:div>
        <w:div w:id="1390571599">
          <w:marLeft w:val="0"/>
          <w:marRight w:val="0"/>
          <w:marTop w:val="0"/>
          <w:marBottom w:val="0"/>
          <w:divBdr>
            <w:top w:val="none" w:sz="0" w:space="0" w:color="auto"/>
            <w:left w:val="none" w:sz="0" w:space="0" w:color="auto"/>
            <w:bottom w:val="none" w:sz="0" w:space="0" w:color="auto"/>
            <w:right w:val="none" w:sz="0" w:space="0" w:color="auto"/>
          </w:divBdr>
        </w:div>
        <w:div w:id="1983191562">
          <w:marLeft w:val="0"/>
          <w:marRight w:val="0"/>
          <w:marTop w:val="0"/>
          <w:marBottom w:val="0"/>
          <w:divBdr>
            <w:top w:val="none" w:sz="0" w:space="0" w:color="auto"/>
            <w:left w:val="none" w:sz="0" w:space="0" w:color="auto"/>
            <w:bottom w:val="none" w:sz="0" w:space="0" w:color="auto"/>
            <w:right w:val="none" w:sz="0" w:space="0" w:color="auto"/>
          </w:divBdr>
        </w:div>
      </w:divsChild>
    </w:div>
    <w:div w:id="1793742469">
      <w:bodyDiv w:val="1"/>
      <w:marLeft w:val="0"/>
      <w:marRight w:val="0"/>
      <w:marTop w:val="0"/>
      <w:marBottom w:val="0"/>
      <w:divBdr>
        <w:top w:val="none" w:sz="0" w:space="0" w:color="auto"/>
        <w:left w:val="none" w:sz="0" w:space="0" w:color="auto"/>
        <w:bottom w:val="none" w:sz="0" w:space="0" w:color="auto"/>
        <w:right w:val="none" w:sz="0" w:space="0" w:color="auto"/>
      </w:divBdr>
      <w:divsChild>
        <w:div w:id="851647122">
          <w:marLeft w:val="0"/>
          <w:marRight w:val="0"/>
          <w:marTop w:val="0"/>
          <w:marBottom w:val="0"/>
          <w:divBdr>
            <w:top w:val="none" w:sz="0" w:space="0" w:color="auto"/>
            <w:left w:val="none" w:sz="0" w:space="0" w:color="auto"/>
            <w:bottom w:val="none" w:sz="0" w:space="0" w:color="auto"/>
            <w:right w:val="none" w:sz="0" w:space="0" w:color="auto"/>
          </w:divBdr>
        </w:div>
        <w:div w:id="1220477754">
          <w:marLeft w:val="0"/>
          <w:marRight w:val="0"/>
          <w:marTop w:val="0"/>
          <w:marBottom w:val="0"/>
          <w:divBdr>
            <w:top w:val="none" w:sz="0" w:space="0" w:color="auto"/>
            <w:left w:val="none" w:sz="0" w:space="0" w:color="auto"/>
            <w:bottom w:val="none" w:sz="0" w:space="0" w:color="auto"/>
            <w:right w:val="none" w:sz="0" w:space="0" w:color="auto"/>
          </w:divBdr>
        </w:div>
        <w:div w:id="1339505764">
          <w:marLeft w:val="0"/>
          <w:marRight w:val="0"/>
          <w:marTop w:val="0"/>
          <w:marBottom w:val="0"/>
          <w:divBdr>
            <w:top w:val="none" w:sz="0" w:space="0" w:color="auto"/>
            <w:left w:val="none" w:sz="0" w:space="0" w:color="auto"/>
            <w:bottom w:val="none" w:sz="0" w:space="0" w:color="auto"/>
            <w:right w:val="none" w:sz="0" w:space="0" w:color="auto"/>
          </w:divBdr>
        </w:div>
        <w:div w:id="1618490397">
          <w:marLeft w:val="0"/>
          <w:marRight w:val="0"/>
          <w:marTop w:val="0"/>
          <w:marBottom w:val="0"/>
          <w:divBdr>
            <w:top w:val="none" w:sz="0" w:space="0" w:color="auto"/>
            <w:left w:val="none" w:sz="0" w:space="0" w:color="auto"/>
            <w:bottom w:val="none" w:sz="0" w:space="0" w:color="auto"/>
            <w:right w:val="none" w:sz="0" w:space="0" w:color="auto"/>
          </w:divBdr>
        </w:div>
        <w:div w:id="1969579551">
          <w:marLeft w:val="0"/>
          <w:marRight w:val="0"/>
          <w:marTop w:val="0"/>
          <w:marBottom w:val="0"/>
          <w:divBdr>
            <w:top w:val="none" w:sz="0" w:space="0" w:color="auto"/>
            <w:left w:val="none" w:sz="0" w:space="0" w:color="auto"/>
            <w:bottom w:val="none" w:sz="0" w:space="0" w:color="auto"/>
            <w:right w:val="none" w:sz="0" w:space="0" w:color="auto"/>
          </w:divBdr>
        </w:div>
      </w:divsChild>
    </w:div>
    <w:div w:id="1800417619">
      <w:bodyDiv w:val="1"/>
      <w:marLeft w:val="0"/>
      <w:marRight w:val="0"/>
      <w:marTop w:val="0"/>
      <w:marBottom w:val="0"/>
      <w:divBdr>
        <w:top w:val="none" w:sz="0" w:space="0" w:color="auto"/>
        <w:left w:val="none" w:sz="0" w:space="0" w:color="auto"/>
        <w:bottom w:val="none" w:sz="0" w:space="0" w:color="auto"/>
        <w:right w:val="none" w:sz="0" w:space="0" w:color="auto"/>
      </w:divBdr>
      <w:divsChild>
        <w:div w:id="555242388">
          <w:marLeft w:val="0"/>
          <w:marRight w:val="0"/>
          <w:marTop w:val="0"/>
          <w:marBottom w:val="0"/>
          <w:divBdr>
            <w:top w:val="none" w:sz="0" w:space="0" w:color="auto"/>
            <w:left w:val="none" w:sz="0" w:space="0" w:color="auto"/>
            <w:bottom w:val="none" w:sz="0" w:space="0" w:color="auto"/>
            <w:right w:val="none" w:sz="0" w:space="0" w:color="auto"/>
          </w:divBdr>
          <w:divsChild>
            <w:div w:id="106194797">
              <w:marLeft w:val="0"/>
              <w:marRight w:val="0"/>
              <w:marTop w:val="0"/>
              <w:marBottom w:val="0"/>
              <w:divBdr>
                <w:top w:val="none" w:sz="0" w:space="0" w:color="auto"/>
                <w:left w:val="none" w:sz="0" w:space="0" w:color="auto"/>
                <w:bottom w:val="none" w:sz="0" w:space="0" w:color="auto"/>
                <w:right w:val="none" w:sz="0" w:space="0" w:color="auto"/>
              </w:divBdr>
            </w:div>
            <w:div w:id="764837532">
              <w:marLeft w:val="0"/>
              <w:marRight w:val="0"/>
              <w:marTop w:val="0"/>
              <w:marBottom w:val="0"/>
              <w:divBdr>
                <w:top w:val="none" w:sz="0" w:space="0" w:color="auto"/>
                <w:left w:val="none" w:sz="0" w:space="0" w:color="auto"/>
                <w:bottom w:val="none" w:sz="0" w:space="0" w:color="auto"/>
                <w:right w:val="none" w:sz="0" w:space="0" w:color="auto"/>
              </w:divBdr>
            </w:div>
            <w:div w:id="1550261644">
              <w:marLeft w:val="0"/>
              <w:marRight w:val="0"/>
              <w:marTop w:val="0"/>
              <w:marBottom w:val="0"/>
              <w:divBdr>
                <w:top w:val="none" w:sz="0" w:space="0" w:color="auto"/>
                <w:left w:val="none" w:sz="0" w:space="0" w:color="auto"/>
                <w:bottom w:val="none" w:sz="0" w:space="0" w:color="auto"/>
                <w:right w:val="none" w:sz="0" w:space="0" w:color="auto"/>
              </w:divBdr>
            </w:div>
            <w:div w:id="1671251515">
              <w:marLeft w:val="0"/>
              <w:marRight w:val="0"/>
              <w:marTop w:val="0"/>
              <w:marBottom w:val="0"/>
              <w:divBdr>
                <w:top w:val="none" w:sz="0" w:space="0" w:color="auto"/>
                <w:left w:val="none" w:sz="0" w:space="0" w:color="auto"/>
                <w:bottom w:val="none" w:sz="0" w:space="0" w:color="auto"/>
                <w:right w:val="none" w:sz="0" w:space="0" w:color="auto"/>
              </w:divBdr>
            </w:div>
            <w:div w:id="1714235321">
              <w:marLeft w:val="0"/>
              <w:marRight w:val="0"/>
              <w:marTop w:val="0"/>
              <w:marBottom w:val="0"/>
              <w:divBdr>
                <w:top w:val="none" w:sz="0" w:space="0" w:color="auto"/>
                <w:left w:val="none" w:sz="0" w:space="0" w:color="auto"/>
                <w:bottom w:val="none" w:sz="0" w:space="0" w:color="auto"/>
                <w:right w:val="none" w:sz="0" w:space="0" w:color="auto"/>
              </w:divBdr>
            </w:div>
          </w:divsChild>
        </w:div>
        <w:div w:id="1255939637">
          <w:marLeft w:val="0"/>
          <w:marRight w:val="0"/>
          <w:marTop w:val="0"/>
          <w:marBottom w:val="0"/>
          <w:divBdr>
            <w:top w:val="none" w:sz="0" w:space="0" w:color="auto"/>
            <w:left w:val="none" w:sz="0" w:space="0" w:color="auto"/>
            <w:bottom w:val="none" w:sz="0" w:space="0" w:color="auto"/>
            <w:right w:val="none" w:sz="0" w:space="0" w:color="auto"/>
          </w:divBdr>
        </w:div>
        <w:div w:id="1610895681">
          <w:marLeft w:val="0"/>
          <w:marRight w:val="0"/>
          <w:marTop w:val="0"/>
          <w:marBottom w:val="0"/>
          <w:divBdr>
            <w:top w:val="none" w:sz="0" w:space="0" w:color="auto"/>
            <w:left w:val="none" w:sz="0" w:space="0" w:color="auto"/>
            <w:bottom w:val="none" w:sz="0" w:space="0" w:color="auto"/>
            <w:right w:val="none" w:sz="0" w:space="0" w:color="auto"/>
          </w:divBdr>
        </w:div>
        <w:div w:id="1934120675">
          <w:marLeft w:val="0"/>
          <w:marRight w:val="0"/>
          <w:marTop w:val="0"/>
          <w:marBottom w:val="0"/>
          <w:divBdr>
            <w:top w:val="none" w:sz="0" w:space="0" w:color="auto"/>
            <w:left w:val="none" w:sz="0" w:space="0" w:color="auto"/>
            <w:bottom w:val="none" w:sz="0" w:space="0" w:color="auto"/>
            <w:right w:val="none" w:sz="0" w:space="0" w:color="auto"/>
          </w:divBdr>
        </w:div>
      </w:divsChild>
    </w:div>
    <w:div w:id="1801147661">
      <w:bodyDiv w:val="1"/>
      <w:marLeft w:val="0"/>
      <w:marRight w:val="0"/>
      <w:marTop w:val="0"/>
      <w:marBottom w:val="0"/>
      <w:divBdr>
        <w:top w:val="none" w:sz="0" w:space="0" w:color="auto"/>
        <w:left w:val="none" w:sz="0" w:space="0" w:color="auto"/>
        <w:bottom w:val="none" w:sz="0" w:space="0" w:color="auto"/>
        <w:right w:val="none" w:sz="0" w:space="0" w:color="auto"/>
      </w:divBdr>
      <w:divsChild>
        <w:div w:id="223756865">
          <w:marLeft w:val="0"/>
          <w:marRight w:val="0"/>
          <w:marTop w:val="0"/>
          <w:marBottom w:val="0"/>
          <w:divBdr>
            <w:top w:val="none" w:sz="0" w:space="0" w:color="auto"/>
            <w:left w:val="none" w:sz="0" w:space="0" w:color="auto"/>
            <w:bottom w:val="none" w:sz="0" w:space="0" w:color="auto"/>
            <w:right w:val="none" w:sz="0" w:space="0" w:color="auto"/>
          </w:divBdr>
        </w:div>
        <w:div w:id="427820409">
          <w:marLeft w:val="0"/>
          <w:marRight w:val="0"/>
          <w:marTop w:val="0"/>
          <w:marBottom w:val="0"/>
          <w:divBdr>
            <w:top w:val="none" w:sz="0" w:space="0" w:color="auto"/>
            <w:left w:val="none" w:sz="0" w:space="0" w:color="auto"/>
            <w:bottom w:val="none" w:sz="0" w:space="0" w:color="auto"/>
            <w:right w:val="none" w:sz="0" w:space="0" w:color="auto"/>
          </w:divBdr>
        </w:div>
        <w:div w:id="1516455036">
          <w:marLeft w:val="0"/>
          <w:marRight w:val="0"/>
          <w:marTop w:val="0"/>
          <w:marBottom w:val="0"/>
          <w:divBdr>
            <w:top w:val="none" w:sz="0" w:space="0" w:color="auto"/>
            <w:left w:val="none" w:sz="0" w:space="0" w:color="auto"/>
            <w:bottom w:val="none" w:sz="0" w:space="0" w:color="auto"/>
            <w:right w:val="none" w:sz="0" w:space="0" w:color="auto"/>
          </w:divBdr>
        </w:div>
      </w:divsChild>
    </w:div>
    <w:div w:id="1822887442">
      <w:bodyDiv w:val="1"/>
      <w:marLeft w:val="0"/>
      <w:marRight w:val="0"/>
      <w:marTop w:val="0"/>
      <w:marBottom w:val="0"/>
      <w:divBdr>
        <w:top w:val="none" w:sz="0" w:space="0" w:color="auto"/>
        <w:left w:val="none" w:sz="0" w:space="0" w:color="auto"/>
        <w:bottom w:val="none" w:sz="0" w:space="0" w:color="auto"/>
        <w:right w:val="none" w:sz="0" w:space="0" w:color="auto"/>
      </w:divBdr>
      <w:divsChild>
        <w:div w:id="60249149">
          <w:marLeft w:val="0"/>
          <w:marRight w:val="0"/>
          <w:marTop w:val="0"/>
          <w:marBottom w:val="0"/>
          <w:divBdr>
            <w:top w:val="none" w:sz="0" w:space="0" w:color="auto"/>
            <w:left w:val="none" w:sz="0" w:space="0" w:color="auto"/>
            <w:bottom w:val="none" w:sz="0" w:space="0" w:color="auto"/>
            <w:right w:val="none" w:sz="0" w:space="0" w:color="auto"/>
          </w:divBdr>
        </w:div>
        <w:div w:id="218591407">
          <w:marLeft w:val="0"/>
          <w:marRight w:val="0"/>
          <w:marTop w:val="0"/>
          <w:marBottom w:val="0"/>
          <w:divBdr>
            <w:top w:val="none" w:sz="0" w:space="0" w:color="auto"/>
            <w:left w:val="none" w:sz="0" w:space="0" w:color="auto"/>
            <w:bottom w:val="none" w:sz="0" w:space="0" w:color="auto"/>
            <w:right w:val="none" w:sz="0" w:space="0" w:color="auto"/>
          </w:divBdr>
        </w:div>
        <w:div w:id="374700466">
          <w:marLeft w:val="0"/>
          <w:marRight w:val="0"/>
          <w:marTop w:val="0"/>
          <w:marBottom w:val="0"/>
          <w:divBdr>
            <w:top w:val="none" w:sz="0" w:space="0" w:color="auto"/>
            <w:left w:val="none" w:sz="0" w:space="0" w:color="auto"/>
            <w:bottom w:val="none" w:sz="0" w:space="0" w:color="auto"/>
            <w:right w:val="none" w:sz="0" w:space="0" w:color="auto"/>
          </w:divBdr>
        </w:div>
        <w:div w:id="838889133">
          <w:marLeft w:val="0"/>
          <w:marRight w:val="0"/>
          <w:marTop w:val="0"/>
          <w:marBottom w:val="0"/>
          <w:divBdr>
            <w:top w:val="none" w:sz="0" w:space="0" w:color="auto"/>
            <w:left w:val="none" w:sz="0" w:space="0" w:color="auto"/>
            <w:bottom w:val="none" w:sz="0" w:space="0" w:color="auto"/>
            <w:right w:val="none" w:sz="0" w:space="0" w:color="auto"/>
          </w:divBdr>
        </w:div>
        <w:div w:id="1331369868">
          <w:marLeft w:val="0"/>
          <w:marRight w:val="0"/>
          <w:marTop w:val="0"/>
          <w:marBottom w:val="0"/>
          <w:divBdr>
            <w:top w:val="none" w:sz="0" w:space="0" w:color="auto"/>
            <w:left w:val="none" w:sz="0" w:space="0" w:color="auto"/>
            <w:bottom w:val="none" w:sz="0" w:space="0" w:color="auto"/>
            <w:right w:val="none" w:sz="0" w:space="0" w:color="auto"/>
          </w:divBdr>
        </w:div>
        <w:div w:id="1438989316">
          <w:marLeft w:val="0"/>
          <w:marRight w:val="0"/>
          <w:marTop w:val="0"/>
          <w:marBottom w:val="0"/>
          <w:divBdr>
            <w:top w:val="none" w:sz="0" w:space="0" w:color="auto"/>
            <w:left w:val="none" w:sz="0" w:space="0" w:color="auto"/>
            <w:bottom w:val="none" w:sz="0" w:space="0" w:color="auto"/>
            <w:right w:val="none" w:sz="0" w:space="0" w:color="auto"/>
          </w:divBdr>
        </w:div>
        <w:div w:id="2128499505">
          <w:marLeft w:val="0"/>
          <w:marRight w:val="0"/>
          <w:marTop w:val="0"/>
          <w:marBottom w:val="0"/>
          <w:divBdr>
            <w:top w:val="none" w:sz="0" w:space="0" w:color="auto"/>
            <w:left w:val="none" w:sz="0" w:space="0" w:color="auto"/>
            <w:bottom w:val="none" w:sz="0" w:space="0" w:color="auto"/>
            <w:right w:val="none" w:sz="0" w:space="0" w:color="auto"/>
          </w:divBdr>
        </w:div>
      </w:divsChild>
    </w:div>
    <w:div w:id="1874464573">
      <w:bodyDiv w:val="1"/>
      <w:marLeft w:val="0"/>
      <w:marRight w:val="0"/>
      <w:marTop w:val="0"/>
      <w:marBottom w:val="0"/>
      <w:divBdr>
        <w:top w:val="none" w:sz="0" w:space="0" w:color="auto"/>
        <w:left w:val="none" w:sz="0" w:space="0" w:color="auto"/>
        <w:bottom w:val="none" w:sz="0" w:space="0" w:color="auto"/>
        <w:right w:val="none" w:sz="0" w:space="0" w:color="auto"/>
      </w:divBdr>
      <w:divsChild>
        <w:div w:id="1442263900">
          <w:marLeft w:val="0"/>
          <w:marRight w:val="0"/>
          <w:marTop w:val="0"/>
          <w:marBottom w:val="0"/>
          <w:divBdr>
            <w:top w:val="none" w:sz="0" w:space="0" w:color="auto"/>
            <w:left w:val="none" w:sz="0" w:space="0" w:color="auto"/>
            <w:bottom w:val="none" w:sz="0" w:space="0" w:color="auto"/>
            <w:right w:val="none" w:sz="0" w:space="0" w:color="auto"/>
          </w:divBdr>
          <w:divsChild>
            <w:div w:id="286158135">
              <w:marLeft w:val="0"/>
              <w:marRight w:val="0"/>
              <w:marTop w:val="0"/>
              <w:marBottom w:val="0"/>
              <w:divBdr>
                <w:top w:val="none" w:sz="0" w:space="0" w:color="auto"/>
                <w:left w:val="none" w:sz="0" w:space="0" w:color="auto"/>
                <w:bottom w:val="none" w:sz="0" w:space="0" w:color="auto"/>
                <w:right w:val="none" w:sz="0" w:space="0" w:color="auto"/>
              </w:divBdr>
            </w:div>
            <w:div w:id="1305433450">
              <w:marLeft w:val="0"/>
              <w:marRight w:val="0"/>
              <w:marTop w:val="0"/>
              <w:marBottom w:val="0"/>
              <w:divBdr>
                <w:top w:val="none" w:sz="0" w:space="0" w:color="auto"/>
                <w:left w:val="none" w:sz="0" w:space="0" w:color="auto"/>
                <w:bottom w:val="none" w:sz="0" w:space="0" w:color="auto"/>
                <w:right w:val="none" w:sz="0" w:space="0" w:color="auto"/>
              </w:divBdr>
            </w:div>
            <w:div w:id="1587421490">
              <w:marLeft w:val="0"/>
              <w:marRight w:val="0"/>
              <w:marTop w:val="0"/>
              <w:marBottom w:val="0"/>
              <w:divBdr>
                <w:top w:val="none" w:sz="0" w:space="0" w:color="auto"/>
                <w:left w:val="none" w:sz="0" w:space="0" w:color="auto"/>
                <w:bottom w:val="none" w:sz="0" w:space="0" w:color="auto"/>
                <w:right w:val="none" w:sz="0" w:space="0" w:color="auto"/>
              </w:divBdr>
            </w:div>
          </w:divsChild>
        </w:div>
        <w:div w:id="1656379367">
          <w:marLeft w:val="0"/>
          <w:marRight w:val="0"/>
          <w:marTop w:val="0"/>
          <w:marBottom w:val="0"/>
          <w:divBdr>
            <w:top w:val="none" w:sz="0" w:space="0" w:color="auto"/>
            <w:left w:val="none" w:sz="0" w:space="0" w:color="auto"/>
            <w:bottom w:val="none" w:sz="0" w:space="0" w:color="auto"/>
            <w:right w:val="none" w:sz="0" w:space="0" w:color="auto"/>
          </w:divBdr>
          <w:divsChild>
            <w:div w:id="102770592">
              <w:marLeft w:val="0"/>
              <w:marRight w:val="0"/>
              <w:marTop w:val="0"/>
              <w:marBottom w:val="0"/>
              <w:divBdr>
                <w:top w:val="none" w:sz="0" w:space="0" w:color="auto"/>
                <w:left w:val="none" w:sz="0" w:space="0" w:color="auto"/>
                <w:bottom w:val="none" w:sz="0" w:space="0" w:color="auto"/>
                <w:right w:val="none" w:sz="0" w:space="0" w:color="auto"/>
              </w:divBdr>
            </w:div>
            <w:div w:id="1630622385">
              <w:marLeft w:val="0"/>
              <w:marRight w:val="0"/>
              <w:marTop w:val="0"/>
              <w:marBottom w:val="0"/>
              <w:divBdr>
                <w:top w:val="none" w:sz="0" w:space="0" w:color="auto"/>
                <w:left w:val="none" w:sz="0" w:space="0" w:color="auto"/>
                <w:bottom w:val="none" w:sz="0" w:space="0" w:color="auto"/>
                <w:right w:val="none" w:sz="0" w:space="0" w:color="auto"/>
              </w:divBdr>
            </w:div>
            <w:div w:id="1714189213">
              <w:marLeft w:val="0"/>
              <w:marRight w:val="0"/>
              <w:marTop w:val="0"/>
              <w:marBottom w:val="0"/>
              <w:divBdr>
                <w:top w:val="none" w:sz="0" w:space="0" w:color="auto"/>
                <w:left w:val="none" w:sz="0" w:space="0" w:color="auto"/>
                <w:bottom w:val="none" w:sz="0" w:space="0" w:color="auto"/>
                <w:right w:val="none" w:sz="0" w:space="0" w:color="auto"/>
              </w:divBdr>
            </w:div>
            <w:div w:id="2006005732">
              <w:marLeft w:val="0"/>
              <w:marRight w:val="0"/>
              <w:marTop w:val="0"/>
              <w:marBottom w:val="0"/>
              <w:divBdr>
                <w:top w:val="none" w:sz="0" w:space="0" w:color="auto"/>
                <w:left w:val="none" w:sz="0" w:space="0" w:color="auto"/>
                <w:bottom w:val="none" w:sz="0" w:space="0" w:color="auto"/>
                <w:right w:val="none" w:sz="0" w:space="0" w:color="auto"/>
              </w:divBdr>
            </w:div>
            <w:div w:id="2128545845">
              <w:marLeft w:val="0"/>
              <w:marRight w:val="0"/>
              <w:marTop w:val="0"/>
              <w:marBottom w:val="0"/>
              <w:divBdr>
                <w:top w:val="none" w:sz="0" w:space="0" w:color="auto"/>
                <w:left w:val="none" w:sz="0" w:space="0" w:color="auto"/>
                <w:bottom w:val="none" w:sz="0" w:space="0" w:color="auto"/>
                <w:right w:val="none" w:sz="0" w:space="0" w:color="auto"/>
              </w:divBdr>
            </w:div>
          </w:divsChild>
        </w:div>
        <w:div w:id="1660421657">
          <w:marLeft w:val="0"/>
          <w:marRight w:val="0"/>
          <w:marTop w:val="0"/>
          <w:marBottom w:val="0"/>
          <w:divBdr>
            <w:top w:val="none" w:sz="0" w:space="0" w:color="auto"/>
            <w:left w:val="none" w:sz="0" w:space="0" w:color="auto"/>
            <w:bottom w:val="none" w:sz="0" w:space="0" w:color="auto"/>
            <w:right w:val="none" w:sz="0" w:space="0" w:color="auto"/>
          </w:divBdr>
          <w:divsChild>
            <w:div w:id="1213884480">
              <w:marLeft w:val="0"/>
              <w:marRight w:val="0"/>
              <w:marTop w:val="0"/>
              <w:marBottom w:val="0"/>
              <w:divBdr>
                <w:top w:val="none" w:sz="0" w:space="0" w:color="auto"/>
                <w:left w:val="none" w:sz="0" w:space="0" w:color="auto"/>
                <w:bottom w:val="none" w:sz="0" w:space="0" w:color="auto"/>
                <w:right w:val="none" w:sz="0" w:space="0" w:color="auto"/>
              </w:divBdr>
            </w:div>
            <w:div w:id="1816294493">
              <w:marLeft w:val="0"/>
              <w:marRight w:val="0"/>
              <w:marTop w:val="0"/>
              <w:marBottom w:val="0"/>
              <w:divBdr>
                <w:top w:val="none" w:sz="0" w:space="0" w:color="auto"/>
                <w:left w:val="none" w:sz="0" w:space="0" w:color="auto"/>
                <w:bottom w:val="none" w:sz="0" w:space="0" w:color="auto"/>
                <w:right w:val="none" w:sz="0" w:space="0" w:color="auto"/>
              </w:divBdr>
            </w:div>
            <w:div w:id="19484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0390">
      <w:bodyDiv w:val="1"/>
      <w:marLeft w:val="0"/>
      <w:marRight w:val="0"/>
      <w:marTop w:val="0"/>
      <w:marBottom w:val="0"/>
      <w:divBdr>
        <w:top w:val="none" w:sz="0" w:space="0" w:color="auto"/>
        <w:left w:val="none" w:sz="0" w:space="0" w:color="auto"/>
        <w:bottom w:val="none" w:sz="0" w:space="0" w:color="auto"/>
        <w:right w:val="none" w:sz="0" w:space="0" w:color="auto"/>
      </w:divBdr>
      <w:divsChild>
        <w:div w:id="809976268">
          <w:marLeft w:val="0"/>
          <w:marRight w:val="0"/>
          <w:marTop w:val="0"/>
          <w:marBottom w:val="0"/>
          <w:divBdr>
            <w:top w:val="none" w:sz="0" w:space="0" w:color="auto"/>
            <w:left w:val="none" w:sz="0" w:space="0" w:color="auto"/>
            <w:bottom w:val="none" w:sz="0" w:space="0" w:color="auto"/>
            <w:right w:val="none" w:sz="0" w:space="0" w:color="auto"/>
          </w:divBdr>
        </w:div>
        <w:div w:id="1358385486">
          <w:marLeft w:val="0"/>
          <w:marRight w:val="0"/>
          <w:marTop w:val="0"/>
          <w:marBottom w:val="0"/>
          <w:divBdr>
            <w:top w:val="none" w:sz="0" w:space="0" w:color="auto"/>
            <w:left w:val="none" w:sz="0" w:space="0" w:color="auto"/>
            <w:bottom w:val="none" w:sz="0" w:space="0" w:color="auto"/>
            <w:right w:val="none" w:sz="0" w:space="0" w:color="auto"/>
          </w:divBdr>
        </w:div>
        <w:div w:id="1487164182">
          <w:marLeft w:val="0"/>
          <w:marRight w:val="0"/>
          <w:marTop w:val="0"/>
          <w:marBottom w:val="0"/>
          <w:divBdr>
            <w:top w:val="none" w:sz="0" w:space="0" w:color="auto"/>
            <w:left w:val="none" w:sz="0" w:space="0" w:color="auto"/>
            <w:bottom w:val="none" w:sz="0" w:space="0" w:color="auto"/>
            <w:right w:val="none" w:sz="0" w:space="0" w:color="auto"/>
          </w:divBdr>
        </w:div>
        <w:div w:id="1958873872">
          <w:marLeft w:val="0"/>
          <w:marRight w:val="0"/>
          <w:marTop w:val="0"/>
          <w:marBottom w:val="0"/>
          <w:divBdr>
            <w:top w:val="none" w:sz="0" w:space="0" w:color="auto"/>
            <w:left w:val="none" w:sz="0" w:space="0" w:color="auto"/>
            <w:bottom w:val="none" w:sz="0" w:space="0" w:color="auto"/>
            <w:right w:val="none" w:sz="0" w:space="0" w:color="auto"/>
          </w:divBdr>
        </w:div>
      </w:divsChild>
    </w:div>
    <w:div w:id="1942489513">
      <w:bodyDiv w:val="1"/>
      <w:marLeft w:val="0"/>
      <w:marRight w:val="0"/>
      <w:marTop w:val="0"/>
      <w:marBottom w:val="0"/>
      <w:divBdr>
        <w:top w:val="none" w:sz="0" w:space="0" w:color="auto"/>
        <w:left w:val="none" w:sz="0" w:space="0" w:color="auto"/>
        <w:bottom w:val="none" w:sz="0" w:space="0" w:color="auto"/>
        <w:right w:val="none" w:sz="0" w:space="0" w:color="auto"/>
      </w:divBdr>
      <w:divsChild>
        <w:div w:id="87778115">
          <w:marLeft w:val="0"/>
          <w:marRight w:val="0"/>
          <w:marTop w:val="0"/>
          <w:marBottom w:val="0"/>
          <w:divBdr>
            <w:top w:val="none" w:sz="0" w:space="0" w:color="auto"/>
            <w:left w:val="none" w:sz="0" w:space="0" w:color="auto"/>
            <w:bottom w:val="none" w:sz="0" w:space="0" w:color="auto"/>
            <w:right w:val="none" w:sz="0" w:space="0" w:color="auto"/>
          </w:divBdr>
        </w:div>
        <w:div w:id="654647114">
          <w:marLeft w:val="0"/>
          <w:marRight w:val="0"/>
          <w:marTop w:val="0"/>
          <w:marBottom w:val="0"/>
          <w:divBdr>
            <w:top w:val="none" w:sz="0" w:space="0" w:color="auto"/>
            <w:left w:val="none" w:sz="0" w:space="0" w:color="auto"/>
            <w:bottom w:val="none" w:sz="0" w:space="0" w:color="auto"/>
            <w:right w:val="none" w:sz="0" w:space="0" w:color="auto"/>
          </w:divBdr>
        </w:div>
        <w:div w:id="667749830">
          <w:marLeft w:val="0"/>
          <w:marRight w:val="0"/>
          <w:marTop w:val="0"/>
          <w:marBottom w:val="0"/>
          <w:divBdr>
            <w:top w:val="none" w:sz="0" w:space="0" w:color="auto"/>
            <w:left w:val="none" w:sz="0" w:space="0" w:color="auto"/>
            <w:bottom w:val="none" w:sz="0" w:space="0" w:color="auto"/>
            <w:right w:val="none" w:sz="0" w:space="0" w:color="auto"/>
          </w:divBdr>
        </w:div>
        <w:div w:id="881286991">
          <w:marLeft w:val="0"/>
          <w:marRight w:val="0"/>
          <w:marTop w:val="0"/>
          <w:marBottom w:val="0"/>
          <w:divBdr>
            <w:top w:val="none" w:sz="0" w:space="0" w:color="auto"/>
            <w:left w:val="none" w:sz="0" w:space="0" w:color="auto"/>
            <w:bottom w:val="none" w:sz="0" w:space="0" w:color="auto"/>
            <w:right w:val="none" w:sz="0" w:space="0" w:color="auto"/>
          </w:divBdr>
        </w:div>
        <w:div w:id="2005009516">
          <w:marLeft w:val="0"/>
          <w:marRight w:val="0"/>
          <w:marTop w:val="0"/>
          <w:marBottom w:val="0"/>
          <w:divBdr>
            <w:top w:val="none" w:sz="0" w:space="0" w:color="auto"/>
            <w:left w:val="none" w:sz="0" w:space="0" w:color="auto"/>
            <w:bottom w:val="none" w:sz="0" w:space="0" w:color="auto"/>
            <w:right w:val="none" w:sz="0" w:space="0" w:color="auto"/>
          </w:divBdr>
        </w:div>
        <w:div w:id="2065256060">
          <w:marLeft w:val="0"/>
          <w:marRight w:val="0"/>
          <w:marTop w:val="0"/>
          <w:marBottom w:val="0"/>
          <w:divBdr>
            <w:top w:val="none" w:sz="0" w:space="0" w:color="auto"/>
            <w:left w:val="none" w:sz="0" w:space="0" w:color="auto"/>
            <w:bottom w:val="none" w:sz="0" w:space="0" w:color="auto"/>
            <w:right w:val="none" w:sz="0" w:space="0" w:color="auto"/>
          </w:divBdr>
        </w:div>
        <w:div w:id="2086954419">
          <w:marLeft w:val="0"/>
          <w:marRight w:val="0"/>
          <w:marTop w:val="0"/>
          <w:marBottom w:val="0"/>
          <w:divBdr>
            <w:top w:val="none" w:sz="0" w:space="0" w:color="auto"/>
            <w:left w:val="none" w:sz="0" w:space="0" w:color="auto"/>
            <w:bottom w:val="none" w:sz="0" w:space="0" w:color="auto"/>
            <w:right w:val="none" w:sz="0" w:space="0" w:color="auto"/>
          </w:divBdr>
        </w:div>
      </w:divsChild>
    </w:div>
    <w:div w:id="1944418717">
      <w:bodyDiv w:val="1"/>
      <w:marLeft w:val="0"/>
      <w:marRight w:val="0"/>
      <w:marTop w:val="0"/>
      <w:marBottom w:val="0"/>
      <w:divBdr>
        <w:top w:val="none" w:sz="0" w:space="0" w:color="auto"/>
        <w:left w:val="none" w:sz="0" w:space="0" w:color="auto"/>
        <w:bottom w:val="none" w:sz="0" w:space="0" w:color="auto"/>
        <w:right w:val="none" w:sz="0" w:space="0" w:color="auto"/>
      </w:divBdr>
      <w:divsChild>
        <w:div w:id="162743117">
          <w:marLeft w:val="0"/>
          <w:marRight w:val="0"/>
          <w:marTop w:val="0"/>
          <w:marBottom w:val="0"/>
          <w:divBdr>
            <w:top w:val="none" w:sz="0" w:space="0" w:color="auto"/>
            <w:left w:val="none" w:sz="0" w:space="0" w:color="auto"/>
            <w:bottom w:val="none" w:sz="0" w:space="0" w:color="auto"/>
            <w:right w:val="none" w:sz="0" w:space="0" w:color="auto"/>
          </w:divBdr>
        </w:div>
        <w:div w:id="902641793">
          <w:marLeft w:val="0"/>
          <w:marRight w:val="0"/>
          <w:marTop w:val="0"/>
          <w:marBottom w:val="0"/>
          <w:divBdr>
            <w:top w:val="none" w:sz="0" w:space="0" w:color="auto"/>
            <w:left w:val="none" w:sz="0" w:space="0" w:color="auto"/>
            <w:bottom w:val="none" w:sz="0" w:space="0" w:color="auto"/>
            <w:right w:val="none" w:sz="0" w:space="0" w:color="auto"/>
          </w:divBdr>
        </w:div>
        <w:div w:id="1190870244">
          <w:marLeft w:val="0"/>
          <w:marRight w:val="0"/>
          <w:marTop w:val="0"/>
          <w:marBottom w:val="0"/>
          <w:divBdr>
            <w:top w:val="none" w:sz="0" w:space="0" w:color="auto"/>
            <w:left w:val="none" w:sz="0" w:space="0" w:color="auto"/>
            <w:bottom w:val="none" w:sz="0" w:space="0" w:color="auto"/>
            <w:right w:val="none" w:sz="0" w:space="0" w:color="auto"/>
          </w:divBdr>
        </w:div>
        <w:div w:id="1268974067">
          <w:marLeft w:val="0"/>
          <w:marRight w:val="0"/>
          <w:marTop w:val="0"/>
          <w:marBottom w:val="0"/>
          <w:divBdr>
            <w:top w:val="none" w:sz="0" w:space="0" w:color="auto"/>
            <w:left w:val="none" w:sz="0" w:space="0" w:color="auto"/>
            <w:bottom w:val="none" w:sz="0" w:space="0" w:color="auto"/>
            <w:right w:val="none" w:sz="0" w:space="0" w:color="auto"/>
          </w:divBdr>
        </w:div>
        <w:div w:id="1288509154">
          <w:marLeft w:val="0"/>
          <w:marRight w:val="0"/>
          <w:marTop w:val="0"/>
          <w:marBottom w:val="0"/>
          <w:divBdr>
            <w:top w:val="none" w:sz="0" w:space="0" w:color="auto"/>
            <w:left w:val="none" w:sz="0" w:space="0" w:color="auto"/>
            <w:bottom w:val="none" w:sz="0" w:space="0" w:color="auto"/>
            <w:right w:val="none" w:sz="0" w:space="0" w:color="auto"/>
          </w:divBdr>
        </w:div>
        <w:div w:id="1422331581">
          <w:marLeft w:val="0"/>
          <w:marRight w:val="0"/>
          <w:marTop w:val="0"/>
          <w:marBottom w:val="0"/>
          <w:divBdr>
            <w:top w:val="none" w:sz="0" w:space="0" w:color="auto"/>
            <w:left w:val="none" w:sz="0" w:space="0" w:color="auto"/>
            <w:bottom w:val="none" w:sz="0" w:space="0" w:color="auto"/>
            <w:right w:val="none" w:sz="0" w:space="0" w:color="auto"/>
          </w:divBdr>
        </w:div>
        <w:div w:id="1711608885">
          <w:marLeft w:val="0"/>
          <w:marRight w:val="0"/>
          <w:marTop w:val="0"/>
          <w:marBottom w:val="0"/>
          <w:divBdr>
            <w:top w:val="none" w:sz="0" w:space="0" w:color="auto"/>
            <w:left w:val="none" w:sz="0" w:space="0" w:color="auto"/>
            <w:bottom w:val="none" w:sz="0" w:space="0" w:color="auto"/>
            <w:right w:val="none" w:sz="0" w:space="0" w:color="auto"/>
          </w:divBdr>
        </w:div>
        <w:div w:id="2075662602">
          <w:marLeft w:val="0"/>
          <w:marRight w:val="0"/>
          <w:marTop w:val="0"/>
          <w:marBottom w:val="0"/>
          <w:divBdr>
            <w:top w:val="none" w:sz="0" w:space="0" w:color="auto"/>
            <w:left w:val="none" w:sz="0" w:space="0" w:color="auto"/>
            <w:bottom w:val="none" w:sz="0" w:space="0" w:color="auto"/>
            <w:right w:val="none" w:sz="0" w:space="0" w:color="auto"/>
          </w:divBdr>
        </w:div>
      </w:divsChild>
    </w:div>
    <w:div w:id="1982341000">
      <w:bodyDiv w:val="1"/>
      <w:marLeft w:val="0"/>
      <w:marRight w:val="0"/>
      <w:marTop w:val="0"/>
      <w:marBottom w:val="0"/>
      <w:divBdr>
        <w:top w:val="none" w:sz="0" w:space="0" w:color="auto"/>
        <w:left w:val="none" w:sz="0" w:space="0" w:color="auto"/>
        <w:bottom w:val="none" w:sz="0" w:space="0" w:color="auto"/>
        <w:right w:val="none" w:sz="0" w:space="0" w:color="auto"/>
      </w:divBdr>
      <w:divsChild>
        <w:div w:id="864370241">
          <w:marLeft w:val="0"/>
          <w:marRight w:val="0"/>
          <w:marTop w:val="0"/>
          <w:marBottom w:val="0"/>
          <w:divBdr>
            <w:top w:val="none" w:sz="0" w:space="0" w:color="auto"/>
            <w:left w:val="none" w:sz="0" w:space="0" w:color="auto"/>
            <w:bottom w:val="none" w:sz="0" w:space="0" w:color="auto"/>
            <w:right w:val="none" w:sz="0" w:space="0" w:color="auto"/>
          </w:divBdr>
        </w:div>
        <w:div w:id="1507744661">
          <w:marLeft w:val="0"/>
          <w:marRight w:val="0"/>
          <w:marTop w:val="0"/>
          <w:marBottom w:val="0"/>
          <w:divBdr>
            <w:top w:val="none" w:sz="0" w:space="0" w:color="auto"/>
            <w:left w:val="none" w:sz="0" w:space="0" w:color="auto"/>
            <w:bottom w:val="none" w:sz="0" w:space="0" w:color="auto"/>
            <w:right w:val="none" w:sz="0" w:space="0" w:color="auto"/>
          </w:divBdr>
        </w:div>
        <w:div w:id="1574049335">
          <w:marLeft w:val="0"/>
          <w:marRight w:val="0"/>
          <w:marTop w:val="0"/>
          <w:marBottom w:val="0"/>
          <w:divBdr>
            <w:top w:val="none" w:sz="0" w:space="0" w:color="auto"/>
            <w:left w:val="none" w:sz="0" w:space="0" w:color="auto"/>
            <w:bottom w:val="none" w:sz="0" w:space="0" w:color="auto"/>
            <w:right w:val="none" w:sz="0" w:space="0" w:color="auto"/>
          </w:divBdr>
        </w:div>
        <w:div w:id="1927613319">
          <w:marLeft w:val="0"/>
          <w:marRight w:val="0"/>
          <w:marTop w:val="0"/>
          <w:marBottom w:val="0"/>
          <w:divBdr>
            <w:top w:val="none" w:sz="0" w:space="0" w:color="auto"/>
            <w:left w:val="none" w:sz="0" w:space="0" w:color="auto"/>
            <w:bottom w:val="none" w:sz="0" w:space="0" w:color="auto"/>
            <w:right w:val="none" w:sz="0" w:space="0" w:color="auto"/>
          </w:divBdr>
        </w:div>
        <w:div w:id="2137331283">
          <w:marLeft w:val="0"/>
          <w:marRight w:val="0"/>
          <w:marTop w:val="0"/>
          <w:marBottom w:val="0"/>
          <w:divBdr>
            <w:top w:val="none" w:sz="0" w:space="0" w:color="auto"/>
            <w:left w:val="none" w:sz="0" w:space="0" w:color="auto"/>
            <w:bottom w:val="none" w:sz="0" w:space="0" w:color="auto"/>
            <w:right w:val="none" w:sz="0" w:space="0" w:color="auto"/>
          </w:divBdr>
        </w:div>
      </w:divsChild>
    </w:div>
    <w:div w:id="1984893848">
      <w:bodyDiv w:val="1"/>
      <w:marLeft w:val="0"/>
      <w:marRight w:val="0"/>
      <w:marTop w:val="0"/>
      <w:marBottom w:val="0"/>
      <w:divBdr>
        <w:top w:val="none" w:sz="0" w:space="0" w:color="auto"/>
        <w:left w:val="none" w:sz="0" w:space="0" w:color="auto"/>
        <w:bottom w:val="none" w:sz="0" w:space="0" w:color="auto"/>
        <w:right w:val="none" w:sz="0" w:space="0" w:color="auto"/>
      </w:divBdr>
      <w:divsChild>
        <w:div w:id="279995086">
          <w:marLeft w:val="0"/>
          <w:marRight w:val="0"/>
          <w:marTop w:val="0"/>
          <w:marBottom w:val="0"/>
          <w:divBdr>
            <w:top w:val="none" w:sz="0" w:space="0" w:color="auto"/>
            <w:left w:val="none" w:sz="0" w:space="0" w:color="auto"/>
            <w:bottom w:val="none" w:sz="0" w:space="0" w:color="auto"/>
            <w:right w:val="none" w:sz="0" w:space="0" w:color="auto"/>
          </w:divBdr>
        </w:div>
        <w:div w:id="348918698">
          <w:marLeft w:val="0"/>
          <w:marRight w:val="0"/>
          <w:marTop w:val="0"/>
          <w:marBottom w:val="0"/>
          <w:divBdr>
            <w:top w:val="none" w:sz="0" w:space="0" w:color="auto"/>
            <w:left w:val="none" w:sz="0" w:space="0" w:color="auto"/>
            <w:bottom w:val="none" w:sz="0" w:space="0" w:color="auto"/>
            <w:right w:val="none" w:sz="0" w:space="0" w:color="auto"/>
          </w:divBdr>
          <w:divsChild>
            <w:div w:id="68236674">
              <w:marLeft w:val="0"/>
              <w:marRight w:val="0"/>
              <w:marTop w:val="0"/>
              <w:marBottom w:val="0"/>
              <w:divBdr>
                <w:top w:val="none" w:sz="0" w:space="0" w:color="auto"/>
                <w:left w:val="none" w:sz="0" w:space="0" w:color="auto"/>
                <w:bottom w:val="none" w:sz="0" w:space="0" w:color="auto"/>
                <w:right w:val="none" w:sz="0" w:space="0" w:color="auto"/>
              </w:divBdr>
            </w:div>
            <w:div w:id="68892374">
              <w:marLeft w:val="0"/>
              <w:marRight w:val="0"/>
              <w:marTop w:val="0"/>
              <w:marBottom w:val="0"/>
              <w:divBdr>
                <w:top w:val="none" w:sz="0" w:space="0" w:color="auto"/>
                <w:left w:val="none" w:sz="0" w:space="0" w:color="auto"/>
                <w:bottom w:val="none" w:sz="0" w:space="0" w:color="auto"/>
                <w:right w:val="none" w:sz="0" w:space="0" w:color="auto"/>
              </w:divBdr>
            </w:div>
            <w:div w:id="644092157">
              <w:marLeft w:val="0"/>
              <w:marRight w:val="0"/>
              <w:marTop w:val="0"/>
              <w:marBottom w:val="0"/>
              <w:divBdr>
                <w:top w:val="none" w:sz="0" w:space="0" w:color="auto"/>
                <w:left w:val="none" w:sz="0" w:space="0" w:color="auto"/>
                <w:bottom w:val="none" w:sz="0" w:space="0" w:color="auto"/>
                <w:right w:val="none" w:sz="0" w:space="0" w:color="auto"/>
              </w:divBdr>
            </w:div>
            <w:div w:id="944506440">
              <w:marLeft w:val="0"/>
              <w:marRight w:val="0"/>
              <w:marTop w:val="0"/>
              <w:marBottom w:val="0"/>
              <w:divBdr>
                <w:top w:val="none" w:sz="0" w:space="0" w:color="auto"/>
                <w:left w:val="none" w:sz="0" w:space="0" w:color="auto"/>
                <w:bottom w:val="none" w:sz="0" w:space="0" w:color="auto"/>
                <w:right w:val="none" w:sz="0" w:space="0" w:color="auto"/>
              </w:divBdr>
            </w:div>
            <w:div w:id="1011758721">
              <w:marLeft w:val="0"/>
              <w:marRight w:val="0"/>
              <w:marTop w:val="0"/>
              <w:marBottom w:val="0"/>
              <w:divBdr>
                <w:top w:val="none" w:sz="0" w:space="0" w:color="auto"/>
                <w:left w:val="none" w:sz="0" w:space="0" w:color="auto"/>
                <w:bottom w:val="none" w:sz="0" w:space="0" w:color="auto"/>
                <w:right w:val="none" w:sz="0" w:space="0" w:color="auto"/>
              </w:divBdr>
            </w:div>
            <w:div w:id="1416395124">
              <w:marLeft w:val="0"/>
              <w:marRight w:val="0"/>
              <w:marTop w:val="0"/>
              <w:marBottom w:val="0"/>
              <w:divBdr>
                <w:top w:val="none" w:sz="0" w:space="0" w:color="auto"/>
                <w:left w:val="none" w:sz="0" w:space="0" w:color="auto"/>
                <w:bottom w:val="none" w:sz="0" w:space="0" w:color="auto"/>
                <w:right w:val="none" w:sz="0" w:space="0" w:color="auto"/>
              </w:divBdr>
            </w:div>
            <w:div w:id="1904900453">
              <w:marLeft w:val="0"/>
              <w:marRight w:val="0"/>
              <w:marTop w:val="0"/>
              <w:marBottom w:val="0"/>
              <w:divBdr>
                <w:top w:val="none" w:sz="0" w:space="0" w:color="auto"/>
                <w:left w:val="none" w:sz="0" w:space="0" w:color="auto"/>
                <w:bottom w:val="none" w:sz="0" w:space="0" w:color="auto"/>
                <w:right w:val="none" w:sz="0" w:space="0" w:color="auto"/>
              </w:divBdr>
            </w:div>
          </w:divsChild>
        </w:div>
        <w:div w:id="1342198133">
          <w:marLeft w:val="0"/>
          <w:marRight w:val="0"/>
          <w:marTop w:val="0"/>
          <w:marBottom w:val="0"/>
          <w:divBdr>
            <w:top w:val="none" w:sz="0" w:space="0" w:color="auto"/>
            <w:left w:val="none" w:sz="0" w:space="0" w:color="auto"/>
            <w:bottom w:val="none" w:sz="0" w:space="0" w:color="auto"/>
            <w:right w:val="none" w:sz="0" w:space="0" w:color="auto"/>
          </w:divBdr>
        </w:div>
      </w:divsChild>
    </w:div>
    <w:div w:id="2010448857">
      <w:bodyDiv w:val="1"/>
      <w:marLeft w:val="0"/>
      <w:marRight w:val="0"/>
      <w:marTop w:val="0"/>
      <w:marBottom w:val="0"/>
      <w:divBdr>
        <w:top w:val="none" w:sz="0" w:space="0" w:color="auto"/>
        <w:left w:val="none" w:sz="0" w:space="0" w:color="auto"/>
        <w:bottom w:val="none" w:sz="0" w:space="0" w:color="auto"/>
        <w:right w:val="none" w:sz="0" w:space="0" w:color="auto"/>
      </w:divBdr>
      <w:divsChild>
        <w:div w:id="153185373">
          <w:marLeft w:val="0"/>
          <w:marRight w:val="0"/>
          <w:marTop w:val="0"/>
          <w:marBottom w:val="0"/>
          <w:divBdr>
            <w:top w:val="none" w:sz="0" w:space="0" w:color="auto"/>
            <w:left w:val="none" w:sz="0" w:space="0" w:color="auto"/>
            <w:bottom w:val="none" w:sz="0" w:space="0" w:color="auto"/>
            <w:right w:val="none" w:sz="0" w:space="0" w:color="auto"/>
          </w:divBdr>
        </w:div>
        <w:div w:id="346251761">
          <w:marLeft w:val="0"/>
          <w:marRight w:val="0"/>
          <w:marTop w:val="0"/>
          <w:marBottom w:val="0"/>
          <w:divBdr>
            <w:top w:val="none" w:sz="0" w:space="0" w:color="auto"/>
            <w:left w:val="none" w:sz="0" w:space="0" w:color="auto"/>
            <w:bottom w:val="none" w:sz="0" w:space="0" w:color="auto"/>
            <w:right w:val="none" w:sz="0" w:space="0" w:color="auto"/>
          </w:divBdr>
        </w:div>
        <w:div w:id="814564302">
          <w:marLeft w:val="0"/>
          <w:marRight w:val="0"/>
          <w:marTop w:val="0"/>
          <w:marBottom w:val="0"/>
          <w:divBdr>
            <w:top w:val="none" w:sz="0" w:space="0" w:color="auto"/>
            <w:left w:val="none" w:sz="0" w:space="0" w:color="auto"/>
            <w:bottom w:val="none" w:sz="0" w:space="0" w:color="auto"/>
            <w:right w:val="none" w:sz="0" w:space="0" w:color="auto"/>
          </w:divBdr>
        </w:div>
        <w:div w:id="893586918">
          <w:marLeft w:val="0"/>
          <w:marRight w:val="0"/>
          <w:marTop w:val="0"/>
          <w:marBottom w:val="0"/>
          <w:divBdr>
            <w:top w:val="none" w:sz="0" w:space="0" w:color="auto"/>
            <w:left w:val="none" w:sz="0" w:space="0" w:color="auto"/>
            <w:bottom w:val="none" w:sz="0" w:space="0" w:color="auto"/>
            <w:right w:val="none" w:sz="0" w:space="0" w:color="auto"/>
          </w:divBdr>
        </w:div>
        <w:div w:id="1307248850">
          <w:marLeft w:val="0"/>
          <w:marRight w:val="0"/>
          <w:marTop w:val="0"/>
          <w:marBottom w:val="0"/>
          <w:divBdr>
            <w:top w:val="none" w:sz="0" w:space="0" w:color="auto"/>
            <w:left w:val="none" w:sz="0" w:space="0" w:color="auto"/>
            <w:bottom w:val="none" w:sz="0" w:space="0" w:color="auto"/>
            <w:right w:val="none" w:sz="0" w:space="0" w:color="auto"/>
          </w:divBdr>
        </w:div>
        <w:div w:id="1383360536">
          <w:marLeft w:val="0"/>
          <w:marRight w:val="0"/>
          <w:marTop w:val="0"/>
          <w:marBottom w:val="0"/>
          <w:divBdr>
            <w:top w:val="none" w:sz="0" w:space="0" w:color="auto"/>
            <w:left w:val="none" w:sz="0" w:space="0" w:color="auto"/>
            <w:bottom w:val="none" w:sz="0" w:space="0" w:color="auto"/>
            <w:right w:val="none" w:sz="0" w:space="0" w:color="auto"/>
          </w:divBdr>
        </w:div>
        <w:div w:id="1735855522">
          <w:marLeft w:val="0"/>
          <w:marRight w:val="0"/>
          <w:marTop w:val="0"/>
          <w:marBottom w:val="0"/>
          <w:divBdr>
            <w:top w:val="none" w:sz="0" w:space="0" w:color="auto"/>
            <w:left w:val="none" w:sz="0" w:space="0" w:color="auto"/>
            <w:bottom w:val="none" w:sz="0" w:space="0" w:color="auto"/>
            <w:right w:val="none" w:sz="0" w:space="0" w:color="auto"/>
          </w:divBdr>
        </w:div>
      </w:divsChild>
    </w:div>
    <w:div w:id="2027631249">
      <w:bodyDiv w:val="1"/>
      <w:marLeft w:val="0"/>
      <w:marRight w:val="0"/>
      <w:marTop w:val="0"/>
      <w:marBottom w:val="0"/>
      <w:divBdr>
        <w:top w:val="none" w:sz="0" w:space="0" w:color="auto"/>
        <w:left w:val="none" w:sz="0" w:space="0" w:color="auto"/>
        <w:bottom w:val="none" w:sz="0" w:space="0" w:color="auto"/>
        <w:right w:val="none" w:sz="0" w:space="0" w:color="auto"/>
      </w:divBdr>
      <w:divsChild>
        <w:div w:id="302345113">
          <w:marLeft w:val="0"/>
          <w:marRight w:val="0"/>
          <w:marTop w:val="0"/>
          <w:marBottom w:val="0"/>
          <w:divBdr>
            <w:top w:val="none" w:sz="0" w:space="0" w:color="auto"/>
            <w:left w:val="none" w:sz="0" w:space="0" w:color="auto"/>
            <w:bottom w:val="none" w:sz="0" w:space="0" w:color="auto"/>
            <w:right w:val="none" w:sz="0" w:space="0" w:color="auto"/>
          </w:divBdr>
        </w:div>
        <w:div w:id="599990357">
          <w:marLeft w:val="0"/>
          <w:marRight w:val="0"/>
          <w:marTop w:val="0"/>
          <w:marBottom w:val="0"/>
          <w:divBdr>
            <w:top w:val="none" w:sz="0" w:space="0" w:color="auto"/>
            <w:left w:val="none" w:sz="0" w:space="0" w:color="auto"/>
            <w:bottom w:val="none" w:sz="0" w:space="0" w:color="auto"/>
            <w:right w:val="none" w:sz="0" w:space="0" w:color="auto"/>
          </w:divBdr>
        </w:div>
        <w:div w:id="847255851">
          <w:marLeft w:val="0"/>
          <w:marRight w:val="0"/>
          <w:marTop w:val="0"/>
          <w:marBottom w:val="0"/>
          <w:divBdr>
            <w:top w:val="none" w:sz="0" w:space="0" w:color="auto"/>
            <w:left w:val="none" w:sz="0" w:space="0" w:color="auto"/>
            <w:bottom w:val="none" w:sz="0" w:space="0" w:color="auto"/>
            <w:right w:val="none" w:sz="0" w:space="0" w:color="auto"/>
          </w:divBdr>
        </w:div>
        <w:div w:id="956448075">
          <w:marLeft w:val="0"/>
          <w:marRight w:val="0"/>
          <w:marTop w:val="0"/>
          <w:marBottom w:val="0"/>
          <w:divBdr>
            <w:top w:val="none" w:sz="0" w:space="0" w:color="auto"/>
            <w:left w:val="none" w:sz="0" w:space="0" w:color="auto"/>
            <w:bottom w:val="none" w:sz="0" w:space="0" w:color="auto"/>
            <w:right w:val="none" w:sz="0" w:space="0" w:color="auto"/>
          </w:divBdr>
        </w:div>
        <w:div w:id="1845198631">
          <w:marLeft w:val="0"/>
          <w:marRight w:val="0"/>
          <w:marTop w:val="0"/>
          <w:marBottom w:val="0"/>
          <w:divBdr>
            <w:top w:val="none" w:sz="0" w:space="0" w:color="auto"/>
            <w:left w:val="none" w:sz="0" w:space="0" w:color="auto"/>
            <w:bottom w:val="none" w:sz="0" w:space="0" w:color="auto"/>
            <w:right w:val="none" w:sz="0" w:space="0" w:color="auto"/>
          </w:divBdr>
        </w:div>
      </w:divsChild>
    </w:div>
    <w:div w:id="2032607738">
      <w:bodyDiv w:val="1"/>
      <w:marLeft w:val="0"/>
      <w:marRight w:val="0"/>
      <w:marTop w:val="0"/>
      <w:marBottom w:val="0"/>
      <w:divBdr>
        <w:top w:val="none" w:sz="0" w:space="0" w:color="auto"/>
        <w:left w:val="none" w:sz="0" w:space="0" w:color="auto"/>
        <w:bottom w:val="none" w:sz="0" w:space="0" w:color="auto"/>
        <w:right w:val="none" w:sz="0" w:space="0" w:color="auto"/>
      </w:divBdr>
      <w:divsChild>
        <w:div w:id="592399984">
          <w:marLeft w:val="0"/>
          <w:marRight w:val="0"/>
          <w:marTop w:val="0"/>
          <w:marBottom w:val="0"/>
          <w:divBdr>
            <w:top w:val="none" w:sz="0" w:space="0" w:color="auto"/>
            <w:left w:val="none" w:sz="0" w:space="0" w:color="auto"/>
            <w:bottom w:val="none" w:sz="0" w:space="0" w:color="auto"/>
            <w:right w:val="none" w:sz="0" w:space="0" w:color="auto"/>
          </w:divBdr>
        </w:div>
        <w:div w:id="1299264273">
          <w:marLeft w:val="0"/>
          <w:marRight w:val="0"/>
          <w:marTop w:val="0"/>
          <w:marBottom w:val="0"/>
          <w:divBdr>
            <w:top w:val="none" w:sz="0" w:space="0" w:color="auto"/>
            <w:left w:val="none" w:sz="0" w:space="0" w:color="auto"/>
            <w:bottom w:val="none" w:sz="0" w:space="0" w:color="auto"/>
            <w:right w:val="none" w:sz="0" w:space="0" w:color="auto"/>
          </w:divBdr>
        </w:div>
        <w:div w:id="1338119192">
          <w:marLeft w:val="0"/>
          <w:marRight w:val="0"/>
          <w:marTop w:val="0"/>
          <w:marBottom w:val="0"/>
          <w:divBdr>
            <w:top w:val="none" w:sz="0" w:space="0" w:color="auto"/>
            <w:left w:val="none" w:sz="0" w:space="0" w:color="auto"/>
            <w:bottom w:val="none" w:sz="0" w:space="0" w:color="auto"/>
            <w:right w:val="none" w:sz="0" w:space="0" w:color="auto"/>
          </w:divBdr>
        </w:div>
        <w:div w:id="2022512154">
          <w:marLeft w:val="0"/>
          <w:marRight w:val="0"/>
          <w:marTop w:val="0"/>
          <w:marBottom w:val="0"/>
          <w:divBdr>
            <w:top w:val="none" w:sz="0" w:space="0" w:color="auto"/>
            <w:left w:val="none" w:sz="0" w:space="0" w:color="auto"/>
            <w:bottom w:val="none" w:sz="0" w:space="0" w:color="auto"/>
            <w:right w:val="none" w:sz="0" w:space="0" w:color="auto"/>
          </w:divBdr>
        </w:div>
        <w:div w:id="2078357754">
          <w:marLeft w:val="0"/>
          <w:marRight w:val="0"/>
          <w:marTop w:val="0"/>
          <w:marBottom w:val="0"/>
          <w:divBdr>
            <w:top w:val="none" w:sz="0" w:space="0" w:color="auto"/>
            <w:left w:val="none" w:sz="0" w:space="0" w:color="auto"/>
            <w:bottom w:val="none" w:sz="0" w:space="0" w:color="auto"/>
            <w:right w:val="none" w:sz="0" w:space="0" w:color="auto"/>
          </w:divBdr>
        </w:div>
      </w:divsChild>
    </w:div>
    <w:div w:id="2066681005">
      <w:bodyDiv w:val="1"/>
      <w:marLeft w:val="0"/>
      <w:marRight w:val="0"/>
      <w:marTop w:val="0"/>
      <w:marBottom w:val="0"/>
      <w:divBdr>
        <w:top w:val="none" w:sz="0" w:space="0" w:color="auto"/>
        <w:left w:val="none" w:sz="0" w:space="0" w:color="auto"/>
        <w:bottom w:val="none" w:sz="0" w:space="0" w:color="auto"/>
        <w:right w:val="none" w:sz="0" w:space="0" w:color="auto"/>
      </w:divBdr>
      <w:divsChild>
        <w:div w:id="353111834">
          <w:marLeft w:val="0"/>
          <w:marRight w:val="0"/>
          <w:marTop w:val="0"/>
          <w:marBottom w:val="0"/>
          <w:divBdr>
            <w:top w:val="none" w:sz="0" w:space="0" w:color="auto"/>
            <w:left w:val="none" w:sz="0" w:space="0" w:color="auto"/>
            <w:bottom w:val="none" w:sz="0" w:space="0" w:color="auto"/>
            <w:right w:val="none" w:sz="0" w:space="0" w:color="auto"/>
          </w:divBdr>
        </w:div>
        <w:div w:id="684669047">
          <w:marLeft w:val="0"/>
          <w:marRight w:val="0"/>
          <w:marTop w:val="0"/>
          <w:marBottom w:val="0"/>
          <w:divBdr>
            <w:top w:val="none" w:sz="0" w:space="0" w:color="auto"/>
            <w:left w:val="none" w:sz="0" w:space="0" w:color="auto"/>
            <w:bottom w:val="none" w:sz="0" w:space="0" w:color="auto"/>
            <w:right w:val="none" w:sz="0" w:space="0" w:color="auto"/>
          </w:divBdr>
        </w:div>
        <w:div w:id="834615240">
          <w:marLeft w:val="0"/>
          <w:marRight w:val="0"/>
          <w:marTop w:val="0"/>
          <w:marBottom w:val="0"/>
          <w:divBdr>
            <w:top w:val="none" w:sz="0" w:space="0" w:color="auto"/>
            <w:left w:val="none" w:sz="0" w:space="0" w:color="auto"/>
            <w:bottom w:val="none" w:sz="0" w:space="0" w:color="auto"/>
            <w:right w:val="none" w:sz="0" w:space="0" w:color="auto"/>
          </w:divBdr>
        </w:div>
        <w:div w:id="887108816">
          <w:marLeft w:val="0"/>
          <w:marRight w:val="0"/>
          <w:marTop w:val="0"/>
          <w:marBottom w:val="0"/>
          <w:divBdr>
            <w:top w:val="none" w:sz="0" w:space="0" w:color="auto"/>
            <w:left w:val="none" w:sz="0" w:space="0" w:color="auto"/>
            <w:bottom w:val="none" w:sz="0" w:space="0" w:color="auto"/>
            <w:right w:val="none" w:sz="0" w:space="0" w:color="auto"/>
          </w:divBdr>
        </w:div>
        <w:div w:id="1001084803">
          <w:marLeft w:val="0"/>
          <w:marRight w:val="0"/>
          <w:marTop w:val="0"/>
          <w:marBottom w:val="0"/>
          <w:divBdr>
            <w:top w:val="none" w:sz="0" w:space="0" w:color="auto"/>
            <w:left w:val="none" w:sz="0" w:space="0" w:color="auto"/>
            <w:bottom w:val="none" w:sz="0" w:space="0" w:color="auto"/>
            <w:right w:val="none" w:sz="0" w:space="0" w:color="auto"/>
          </w:divBdr>
        </w:div>
        <w:div w:id="1054278544">
          <w:marLeft w:val="0"/>
          <w:marRight w:val="0"/>
          <w:marTop w:val="0"/>
          <w:marBottom w:val="0"/>
          <w:divBdr>
            <w:top w:val="none" w:sz="0" w:space="0" w:color="auto"/>
            <w:left w:val="none" w:sz="0" w:space="0" w:color="auto"/>
            <w:bottom w:val="none" w:sz="0" w:space="0" w:color="auto"/>
            <w:right w:val="none" w:sz="0" w:space="0" w:color="auto"/>
          </w:divBdr>
        </w:div>
        <w:div w:id="1079526428">
          <w:marLeft w:val="0"/>
          <w:marRight w:val="0"/>
          <w:marTop w:val="0"/>
          <w:marBottom w:val="0"/>
          <w:divBdr>
            <w:top w:val="none" w:sz="0" w:space="0" w:color="auto"/>
            <w:left w:val="none" w:sz="0" w:space="0" w:color="auto"/>
            <w:bottom w:val="none" w:sz="0" w:space="0" w:color="auto"/>
            <w:right w:val="none" w:sz="0" w:space="0" w:color="auto"/>
          </w:divBdr>
        </w:div>
        <w:div w:id="1496602942">
          <w:marLeft w:val="0"/>
          <w:marRight w:val="0"/>
          <w:marTop w:val="0"/>
          <w:marBottom w:val="0"/>
          <w:divBdr>
            <w:top w:val="none" w:sz="0" w:space="0" w:color="auto"/>
            <w:left w:val="none" w:sz="0" w:space="0" w:color="auto"/>
            <w:bottom w:val="none" w:sz="0" w:space="0" w:color="auto"/>
            <w:right w:val="none" w:sz="0" w:space="0" w:color="auto"/>
          </w:divBdr>
        </w:div>
        <w:div w:id="1863981249">
          <w:marLeft w:val="0"/>
          <w:marRight w:val="0"/>
          <w:marTop w:val="0"/>
          <w:marBottom w:val="0"/>
          <w:divBdr>
            <w:top w:val="none" w:sz="0" w:space="0" w:color="auto"/>
            <w:left w:val="none" w:sz="0" w:space="0" w:color="auto"/>
            <w:bottom w:val="none" w:sz="0" w:space="0" w:color="auto"/>
            <w:right w:val="none" w:sz="0" w:space="0" w:color="auto"/>
          </w:divBdr>
        </w:div>
      </w:divsChild>
    </w:div>
    <w:div w:id="2066828682">
      <w:bodyDiv w:val="1"/>
      <w:marLeft w:val="0"/>
      <w:marRight w:val="0"/>
      <w:marTop w:val="0"/>
      <w:marBottom w:val="0"/>
      <w:divBdr>
        <w:top w:val="none" w:sz="0" w:space="0" w:color="auto"/>
        <w:left w:val="none" w:sz="0" w:space="0" w:color="auto"/>
        <w:bottom w:val="none" w:sz="0" w:space="0" w:color="auto"/>
        <w:right w:val="none" w:sz="0" w:space="0" w:color="auto"/>
      </w:divBdr>
      <w:divsChild>
        <w:div w:id="187718908">
          <w:marLeft w:val="0"/>
          <w:marRight w:val="0"/>
          <w:marTop w:val="0"/>
          <w:marBottom w:val="0"/>
          <w:divBdr>
            <w:top w:val="none" w:sz="0" w:space="0" w:color="auto"/>
            <w:left w:val="none" w:sz="0" w:space="0" w:color="auto"/>
            <w:bottom w:val="none" w:sz="0" w:space="0" w:color="auto"/>
            <w:right w:val="none" w:sz="0" w:space="0" w:color="auto"/>
          </w:divBdr>
        </w:div>
        <w:div w:id="741222625">
          <w:marLeft w:val="0"/>
          <w:marRight w:val="0"/>
          <w:marTop w:val="0"/>
          <w:marBottom w:val="0"/>
          <w:divBdr>
            <w:top w:val="none" w:sz="0" w:space="0" w:color="auto"/>
            <w:left w:val="none" w:sz="0" w:space="0" w:color="auto"/>
            <w:bottom w:val="none" w:sz="0" w:space="0" w:color="auto"/>
            <w:right w:val="none" w:sz="0" w:space="0" w:color="auto"/>
          </w:divBdr>
        </w:div>
        <w:div w:id="754940144">
          <w:marLeft w:val="0"/>
          <w:marRight w:val="0"/>
          <w:marTop w:val="0"/>
          <w:marBottom w:val="0"/>
          <w:divBdr>
            <w:top w:val="none" w:sz="0" w:space="0" w:color="auto"/>
            <w:left w:val="none" w:sz="0" w:space="0" w:color="auto"/>
            <w:bottom w:val="none" w:sz="0" w:space="0" w:color="auto"/>
            <w:right w:val="none" w:sz="0" w:space="0" w:color="auto"/>
          </w:divBdr>
        </w:div>
        <w:div w:id="1045712621">
          <w:marLeft w:val="0"/>
          <w:marRight w:val="0"/>
          <w:marTop w:val="0"/>
          <w:marBottom w:val="0"/>
          <w:divBdr>
            <w:top w:val="none" w:sz="0" w:space="0" w:color="auto"/>
            <w:left w:val="none" w:sz="0" w:space="0" w:color="auto"/>
            <w:bottom w:val="none" w:sz="0" w:space="0" w:color="auto"/>
            <w:right w:val="none" w:sz="0" w:space="0" w:color="auto"/>
          </w:divBdr>
        </w:div>
        <w:div w:id="1212616393">
          <w:marLeft w:val="0"/>
          <w:marRight w:val="0"/>
          <w:marTop w:val="0"/>
          <w:marBottom w:val="0"/>
          <w:divBdr>
            <w:top w:val="none" w:sz="0" w:space="0" w:color="auto"/>
            <w:left w:val="none" w:sz="0" w:space="0" w:color="auto"/>
            <w:bottom w:val="none" w:sz="0" w:space="0" w:color="auto"/>
            <w:right w:val="none" w:sz="0" w:space="0" w:color="auto"/>
          </w:divBdr>
        </w:div>
        <w:div w:id="1547402560">
          <w:marLeft w:val="0"/>
          <w:marRight w:val="0"/>
          <w:marTop w:val="0"/>
          <w:marBottom w:val="0"/>
          <w:divBdr>
            <w:top w:val="none" w:sz="0" w:space="0" w:color="auto"/>
            <w:left w:val="none" w:sz="0" w:space="0" w:color="auto"/>
            <w:bottom w:val="none" w:sz="0" w:space="0" w:color="auto"/>
            <w:right w:val="none" w:sz="0" w:space="0" w:color="auto"/>
          </w:divBdr>
        </w:div>
        <w:div w:id="1612006326">
          <w:marLeft w:val="0"/>
          <w:marRight w:val="0"/>
          <w:marTop w:val="0"/>
          <w:marBottom w:val="0"/>
          <w:divBdr>
            <w:top w:val="none" w:sz="0" w:space="0" w:color="auto"/>
            <w:left w:val="none" w:sz="0" w:space="0" w:color="auto"/>
            <w:bottom w:val="none" w:sz="0" w:space="0" w:color="auto"/>
            <w:right w:val="none" w:sz="0" w:space="0" w:color="auto"/>
          </w:divBdr>
        </w:div>
      </w:divsChild>
    </w:div>
    <w:div w:id="2083091857">
      <w:bodyDiv w:val="1"/>
      <w:marLeft w:val="0"/>
      <w:marRight w:val="0"/>
      <w:marTop w:val="0"/>
      <w:marBottom w:val="0"/>
      <w:divBdr>
        <w:top w:val="none" w:sz="0" w:space="0" w:color="auto"/>
        <w:left w:val="none" w:sz="0" w:space="0" w:color="auto"/>
        <w:bottom w:val="none" w:sz="0" w:space="0" w:color="auto"/>
        <w:right w:val="none" w:sz="0" w:space="0" w:color="auto"/>
      </w:divBdr>
    </w:div>
    <w:div w:id="2107145594">
      <w:bodyDiv w:val="1"/>
      <w:marLeft w:val="0"/>
      <w:marRight w:val="0"/>
      <w:marTop w:val="0"/>
      <w:marBottom w:val="0"/>
      <w:divBdr>
        <w:top w:val="none" w:sz="0" w:space="0" w:color="auto"/>
        <w:left w:val="none" w:sz="0" w:space="0" w:color="auto"/>
        <w:bottom w:val="none" w:sz="0" w:space="0" w:color="auto"/>
        <w:right w:val="none" w:sz="0" w:space="0" w:color="auto"/>
      </w:divBdr>
      <w:divsChild>
        <w:div w:id="737214877">
          <w:marLeft w:val="0"/>
          <w:marRight w:val="0"/>
          <w:marTop w:val="0"/>
          <w:marBottom w:val="0"/>
          <w:divBdr>
            <w:top w:val="none" w:sz="0" w:space="0" w:color="auto"/>
            <w:left w:val="none" w:sz="0" w:space="0" w:color="auto"/>
            <w:bottom w:val="none" w:sz="0" w:space="0" w:color="auto"/>
            <w:right w:val="none" w:sz="0" w:space="0" w:color="auto"/>
          </w:divBdr>
        </w:div>
        <w:div w:id="1511407470">
          <w:marLeft w:val="0"/>
          <w:marRight w:val="0"/>
          <w:marTop w:val="0"/>
          <w:marBottom w:val="0"/>
          <w:divBdr>
            <w:top w:val="none" w:sz="0" w:space="0" w:color="auto"/>
            <w:left w:val="none" w:sz="0" w:space="0" w:color="auto"/>
            <w:bottom w:val="none" w:sz="0" w:space="0" w:color="auto"/>
            <w:right w:val="none" w:sz="0" w:space="0" w:color="auto"/>
          </w:divBdr>
        </w:div>
        <w:div w:id="2030833856">
          <w:marLeft w:val="0"/>
          <w:marRight w:val="0"/>
          <w:marTop w:val="0"/>
          <w:marBottom w:val="0"/>
          <w:divBdr>
            <w:top w:val="none" w:sz="0" w:space="0" w:color="auto"/>
            <w:left w:val="none" w:sz="0" w:space="0" w:color="auto"/>
            <w:bottom w:val="none" w:sz="0" w:space="0" w:color="auto"/>
            <w:right w:val="none" w:sz="0" w:space="0" w:color="auto"/>
          </w:divBdr>
        </w:div>
        <w:div w:id="2042586388">
          <w:marLeft w:val="0"/>
          <w:marRight w:val="0"/>
          <w:marTop w:val="0"/>
          <w:marBottom w:val="0"/>
          <w:divBdr>
            <w:top w:val="none" w:sz="0" w:space="0" w:color="auto"/>
            <w:left w:val="none" w:sz="0" w:space="0" w:color="auto"/>
            <w:bottom w:val="none" w:sz="0" w:space="0" w:color="auto"/>
            <w:right w:val="none" w:sz="0" w:space="0" w:color="auto"/>
          </w:divBdr>
        </w:div>
        <w:div w:id="2141880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ca.ga.gov/safe-affordable-housing/rental-housing-development/housing-tax-credit-program-lihtc/application" TargetMode="External"/><Relationship Id="rId21" Type="http://schemas.openxmlformats.org/officeDocument/2006/relationships/hyperlink" Target="https://www.dca.ga.gov/safe-affordable-housing/rental-housing-development/housing-tax-credit-program-lihtc/qualified-0-0" TargetMode="External"/><Relationship Id="rId42" Type="http://schemas.openxmlformats.org/officeDocument/2006/relationships/hyperlink" Target="https://www.dca.ga.gov/safe-affordable-housing/rental-housing-development/housing-tax-credit-program-lihtc/application" TargetMode="External"/><Relationship Id="rId47" Type="http://schemas.openxmlformats.org/officeDocument/2006/relationships/hyperlink" Target="https://www.dca.ga.gov/safe-affordable-housing/rental-housing-development/housing-tax-credit-program-lihtc/qualified-0/2021" TargetMode="External"/><Relationship Id="rId63" Type="http://schemas.openxmlformats.org/officeDocument/2006/relationships/hyperlink" Target="https://www.dca.ga.gov/safe-affordable-housing/rental-housing-development/housing-tax-credit-program-lihtc/qualified-0/2021" TargetMode="External"/><Relationship Id="rId68" Type="http://schemas.openxmlformats.org/officeDocument/2006/relationships/hyperlink" Target="https://www.dca.ga.gov/node/7818" TargetMode="External"/><Relationship Id="rId16" Type="http://schemas.openxmlformats.org/officeDocument/2006/relationships/hyperlink" Target="https://www.dca.ga.gov/safe-affordable-housing/rental-housing-development/compliance-monitoring/utility-allowances" TargetMode="External"/><Relationship Id="rId11" Type="http://schemas.openxmlformats.org/officeDocument/2006/relationships/endnotes" Target="endnotes.xml"/><Relationship Id="rId24" Type="http://schemas.openxmlformats.org/officeDocument/2006/relationships/hyperlink" Target="https://www.dca.ga.gov/node/7805" TargetMode="External"/><Relationship Id="rId32" Type="http://schemas.openxmlformats.org/officeDocument/2006/relationships/hyperlink" Target="https://www.dca.ga.gov/safe-affordable-housing/rental-housing-development/housing-tax-credit-program-lihtc/qualified-0-0" TargetMode="External"/><Relationship Id="rId37" Type="http://schemas.openxmlformats.org/officeDocument/2006/relationships/hyperlink" Target="https://www.fcs.uga.edu/fhce/gich-resources-for-alumni-communities" TargetMode="External"/><Relationship Id="rId40" Type="http://schemas.openxmlformats.org/officeDocument/2006/relationships/hyperlink" Target="https://www.dca.ga.gov/safe-affordable-housing/rental-housing-development/housing-tax-credit-program-lihtc/qualified-0-0" TargetMode="External"/><Relationship Id="rId45" Type="http://schemas.openxmlformats.org/officeDocument/2006/relationships/hyperlink" Target="https://www.dca.ga.gov/safe-affordable-housing/rental-housing-development/housing-tax-credit-program-lihtc/qualified-0-0" TargetMode="External"/><Relationship Id="rId53" Type="http://schemas.openxmlformats.org/officeDocument/2006/relationships/hyperlink" Target="https://www.dca.ga.gov/safe-affordable-housing/rental-housing-development/housing-tax-credit-program-lihtc/qualified-0/2022" TargetMode="External"/><Relationship Id="rId58" Type="http://schemas.openxmlformats.org/officeDocument/2006/relationships/hyperlink" Target="https://www.dca.ga.gov/node/7804" TargetMode="External"/><Relationship Id="rId66" Type="http://schemas.openxmlformats.org/officeDocument/2006/relationships/hyperlink" Target="https://www.dca.ga.gov/node/7818" TargetMode="External"/><Relationship Id="rId74" Type="http://schemas.openxmlformats.org/officeDocument/2006/relationships/hyperlink" Target="https://www.dca.ga.gov/safe-affordable-housing/rental-housing-development/housing-tax-credit-program-lihtc/application"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dca.ga.gov/safe-affordable-housing/rental-housing-development/compliance-monitoring" TargetMode="External"/><Relationship Id="rId19" Type="http://schemas.openxmlformats.org/officeDocument/2006/relationships/hyperlink" Target="https://www.dca.ga.gov/node/7948" TargetMode="External"/><Relationship Id="rId14" Type="http://schemas.openxmlformats.org/officeDocument/2006/relationships/hyperlink" Target="mailto:hfdround@dca.ga.gov" TargetMode="External"/><Relationship Id="rId22" Type="http://schemas.openxmlformats.org/officeDocument/2006/relationships/hyperlink" Target="https://www.dca.ga.gov/safe-affordable-housing/rental-housing-development/housing-tax-credit-program-lihtc/qualified-0/2022" TargetMode="External"/><Relationship Id="rId27" Type="http://schemas.openxmlformats.org/officeDocument/2006/relationships/hyperlink" Target="https://www.dca.ga.gov/safe-affordable-housing/rental-housing-development/housing-tax-credit-program-lihtc/qualified-0-0" TargetMode="External"/><Relationship Id="rId30" Type="http://schemas.openxmlformats.org/officeDocument/2006/relationships/hyperlink" Target="https://www.dca.ga.gov/safe-affordable-housing/rental-housing-development/housing-tax-credit-program-lihtc/qualified-0-0" TargetMode="External"/><Relationship Id="rId35" Type="http://schemas.openxmlformats.org/officeDocument/2006/relationships/image" Target="media/image3.png"/><Relationship Id="rId43" Type="http://schemas.openxmlformats.org/officeDocument/2006/relationships/hyperlink" Target="https://www.gadoe.org/CCRPI/Pages/default.aspx" TargetMode="External"/><Relationship Id="rId48" Type="http://schemas.openxmlformats.org/officeDocument/2006/relationships/hyperlink" Target="https://www.dca.ga.gov/safe-affordable-housing/rental-housing-development/housing-tax-credit-program-lihtc/qualified-0/2021" TargetMode="External"/><Relationship Id="rId56" Type="http://schemas.openxmlformats.org/officeDocument/2006/relationships/hyperlink" Target="https://www.dca.ga.gov/safe-affordable-housing/rental-housing-development/compliance-monitoring" TargetMode="External"/><Relationship Id="rId64" Type="http://schemas.openxmlformats.org/officeDocument/2006/relationships/hyperlink" Target="https://www.dca.ga.gov/node/7804" TargetMode="External"/><Relationship Id="rId69" Type="http://schemas.openxmlformats.org/officeDocument/2006/relationships/hyperlink" Target="https://www.dca.ga.gov/node/7818" TargetMode="External"/><Relationship Id="rId77"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dca.ga.gov/safe-affordable-housing/rental-housing-development/housing-tax-credit-program-lihtc/application" TargetMode="External"/><Relationship Id="rId72" Type="http://schemas.openxmlformats.org/officeDocument/2006/relationships/hyperlink" Target="https://www.dca.ga.gov/safe-affordable-housing/rental-housing-development/housing-tax-credit-program-lihtc/qualified-0/2022"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yperlink" Target="https://consumer.georgia.gov/consumer-topics/health-care-professionals" TargetMode="External"/><Relationship Id="rId25" Type="http://schemas.openxmlformats.org/officeDocument/2006/relationships/hyperlink" Target="https://www.dca.ga.gov/safe-affordable-housing/rental-housing-development/housing-tax-credit-program-lihtc/qualified-0-0" TargetMode="External"/><Relationship Id="rId33" Type="http://schemas.openxmlformats.org/officeDocument/2006/relationships/hyperlink" Target="https://georgia-dca.maps.arcgis.com/apps/View/index.html?appid=f40de6a6f3ca455988ccb28f25c8a80e" TargetMode="External"/><Relationship Id="rId38" Type="http://schemas.openxmlformats.org/officeDocument/2006/relationships/hyperlink" Target="https://www.dca.ga.gov/safe-affordable-housing/rental-housing-development/housing-tax-credit-program-lihtc/qualified-0-0" TargetMode="External"/><Relationship Id="rId46" Type="http://schemas.openxmlformats.org/officeDocument/2006/relationships/hyperlink" Target="https://www.dca.ga.gov/safe-affordable-housing/rental-housing-development/housing-tax-credit-program-lihtc/application" TargetMode="External"/><Relationship Id="rId59" Type="http://schemas.openxmlformats.org/officeDocument/2006/relationships/hyperlink" Target="https://www.dca.ga.gov/node/7804" TargetMode="External"/><Relationship Id="rId67" Type="http://schemas.openxmlformats.org/officeDocument/2006/relationships/hyperlink" Target="https://www.dca.ga.gov/safe-affordable-housing/rental-housing-development/housing-tax-credit-program-lihtc/application" TargetMode="External"/><Relationship Id="rId20" Type="http://schemas.openxmlformats.org/officeDocument/2006/relationships/hyperlink" Target="https://dcaqap.formstack.com/forms/2022_taxcredit_questions" TargetMode="External"/><Relationship Id="rId41" Type="http://schemas.openxmlformats.org/officeDocument/2006/relationships/hyperlink" Target="https://www.dca.ga.gov/safe-affordable-housing/rental-housing-development/housing-tax-credit-program-lihtc/qualified-0-0" TargetMode="External"/><Relationship Id="rId54" Type="http://schemas.openxmlformats.org/officeDocument/2006/relationships/hyperlink" Target="https://www.dca.ga.gov/node/7804" TargetMode="External"/><Relationship Id="rId62" Type="http://schemas.openxmlformats.org/officeDocument/2006/relationships/hyperlink" Target="https://www.dca.ga.gov/node/7804" TargetMode="External"/><Relationship Id="rId70" Type="http://schemas.openxmlformats.org/officeDocument/2006/relationships/hyperlink" Target="https://www.dca.ga.gov/safe-affordable-housing/rental-housing-development/housing-tax-credit-program-lihtc/application" TargetMode="External"/><Relationship Id="rId75" Type="http://schemas.openxmlformats.org/officeDocument/2006/relationships/hyperlink" Target="https://www.dca.ga.gov/safe-affordable-housing/rental-housing-development/housing-tax-credit-program-lihtc/application"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hfdround@dca.ga.gov" TargetMode="External"/><Relationship Id="rId23" Type="http://schemas.openxmlformats.org/officeDocument/2006/relationships/hyperlink" Target="https://www.dca.ga.gov/safe-affordable-housing/rental-housing-development/compliance-monitoring/utility-allowances" TargetMode="External"/><Relationship Id="rId28" Type="http://schemas.openxmlformats.org/officeDocument/2006/relationships/hyperlink" Target="https://www.dca.ga.gov/safe-affordable-housing/rental-housing-development/housing-tax-credit-program-lihtc/qualified-0-0" TargetMode="External"/><Relationship Id="rId36" Type="http://schemas.openxmlformats.org/officeDocument/2006/relationships/image" Target="media/image4.png"/><Relationship Id="rId49" Type="http://schemas.openxmlformats.org/officeDocument/2006/relationships/hyperlink" Target="https://www.dca.ga.gov/node/4709" TargetMode="External"/><Relationship Id="rId57" Type="http://schemas.openxmlformats.org/officeDocument/2006/relationships/hyperlink" Target="https://www.dca.ga.gov/safe-affordable-housing/rental-housing-development/compliance-monitoring" TargetMode="External"/><Relationship Id="rId10" Type="http://schemas.openxmlformats.org/officeDocument/2006/relationships/footnotes" Target="footnotes.xml"/><Relationship Id="rId31" Type="http://schemas.openxmlformats.org/officeDocument/2006/relationships/hyperlink" Target="https://www.dca.ga.gov/safe-affordable-housing/rental-housing-development/housing-tax-credit-program-lihtc/qualified-0-0" TargetMode="External"/><Relationship Id="rId44" Type="http://schemas.openxmlformats.org/officeDocument/2006/relationships/hyperlink" Target="https://www.gadoe.org/CCRPI/Pages/-Archived-CCRPI-Data-Files.aspx?" TargetMode="External"/><Relationship Id="rId52" Type="http://schemas.openxmlformats.org/officeDocument/2006/relationships/hyperlink" Target="https://www.dca.ga.gov/safe-affordable-housing/rental-housing-development/housing-tax-credit-program-lihtc/application" TargetMode="External"/><Relationship Id="rId60" Type="http://schemas.openxmlformats.org/officeDocument/2006/relationships/hyperlink" Target="https://www.dca.ga.gov/safe-affordable-housing/rental-housing-development/compliance-monitoring" TargetMode="External"/><Relationship Id="rId65" Type="http://schemas.openxmlformats.org/officeDocument/2006/relationships/hyperlink" Target="https://www.dca.ga.gov/node/7818" TargetMode="External"/><Relationship Id="rId73" Type="http://schemas.openxmlformats.org/officeDocument/2006/relationships/hyperlink" Target="https://www.dca.ga.gov/safe-affordable-housing/rental-housing-development/housing-tax-credit-program-lihtc" TargetMode="External"/><Relationship Id="rId78"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dca.ga.gov/safe-affordable-housing/rental-housing-development/housing-tax-credit-program-lihtc/qualified-0/2022" TargetMode="External"/><Relationship Id="rId18" Type="http://schemas.openxmlformats.org/officeDocument/2006/relationships/hyperlink" Target="https://coresonline.org/certified-organizations?state=All&amp;model=All" TargetMode="External"/><Relationship Id="rId39" Type="http://schemas.openxmlformats.org/officeDocument/2006/relationships/hyperlink" Target="https://www.youtube.com/watch?v=VozXGGf8Ueg&amp;t=503s" TargetMode="External"/><Relationship Id="rId34" Type="http://schemas.openxmlformats.org/officeDocument/2006/relationships/image" Target="media/image2.png"/><Relationship Id="rId50" Type="http://schemas.openxmlformats.org/officeDocument/2006/relationships/hyperlink" Target="https://www.dca.ga.gov/safe-affordable-housing/rental-housing-development/housing-tax-credit-program-lihtc/qualified-0-1" TargetMode="External"/><Relationship Id="rId55" Type="http://schemas.openxmlformats.org/officeDocument/2006/relationships/hyperlink" Target="mailto:hfdround@dca.ga.gov" TargetMode="External"/><Relationship Id="rId76" Type="http://schemas.openxmlformats.org/officeDocument/2006/relationships/header" Target="header1.xml"/><Relationship Id="rId7" Type="http://schemas.openxmlformats.org/officeDocument/2006/relationships/styles" Target="styles.xml"/><Relationship Id="rId71" Type="http://schemas.openxmlformats.org/officeDocument/2006/relationships/hyperlink" Target="https://www.dca.ga.gov/node/7804" TargetMode="External"/><Relationship Id="rId2" Type="http://schemas.openxmlformats.org/officeDocument/2006/relationships/customXml" Target="../customXml/item2.xml"/><Relationship Id="rId29" Type="http://schemas.openxmlformats.org/officeDocument/2006/relationships/hyperlink" Target="https://www.dca.ga.gov/safe-affordable-housing/rental-housing-development/housing-tax-credit-program-lihtc/qualified-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431100d4-4470-42c1-96bc-46686c1829ae">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BC28513F06E9409310364D80ACD8FD" ma:contentTypeVersion="4" ma:contentTypeDescription="Create a new document." ma:contentTypeScope="" ma:versionID="83d0b16190b57fa7dc96064b8d8a5359">
  <xsd:schema xmlns:xsd="http://www.w3.org/2001/XMLSchema" xmlns:xs="http://www.w3.org/2001/XMLSchema" xmlns:p="http://schemas.microsoft.com/office/2006/metadata/properties" xmlns:ns2="0b389fdf-c1cd-4589-91b6-850ba51ff85c" xmlns:ns3="431100d4-4470-42c1-96bc-46686c1829ae" targetNamespace="http://schemas.microsoft.com/office/2006/metadata/properties" ma:root="true" ma:fieldsID="eff21368e3679a86a8c1b431e04b0acf" ns2:_="" ns3:_="">
    <xsd:import namespace="0b389fdf-c1cd-4589-91b6-850ba51ff85c"/>
    <xsd:import namespace="431100d4-4470-42c1-96bc-46686c1829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89fdf-c1cd-4589-91b6-850ba51ff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1100d4-4470-42c1-96bc-46686c1829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2BC28513F06E9409310364D80ACD8FD" ma:contentTypeVersion="6" ma:contentTypeDescription="Create a new document." ma:contentTypeScope="" ma:versionID="ae0e050481ac1421d4f3fab99e1b59c0">
  <xsd:schema xmlns:xsd="http://www.w3.org/2001/XMLSchema" xmlns:xs="http://www.w3.org/2001/XMLSchema" xmlns:p="http://schemas.microsoft.com/office/2006/metadata/properties" xmlns:ns2="0b389fdf-c1cd-4589-91b6-850ba51ff85c" xmlns:ns3="431100d4-4470-42c1-96bc-46686c1829ae" targetNamespace="http://schemas.microsoft.com/office/2006/metadata/properties" ma:root="true" ma:fieldsID="de0fd987dc613b5d370f5f94535d9e2f" ns2:_="" ns3:_="">
    <xsd:import namespace="0b389fdf-c1cd-4589-91b6-850ba51ff85c"/>
    <xsd:import namespace="431100d4-4470-42c1-96bc-46686c1829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89fdf-c1cd-4589-91b6-850ba51ff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1100d4-4470-42c1-96bc-46686c1829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8830A2-3A51-48E6-8C47-BC7C7E17F3D6}">
  <ds:schemaRefs>
    <ds:schemaRef ds:uri="http://schemas.openxmlformats.org/officeDocument/2006/bibliography"/>
  </ds:schemaRefs>
</ds:datastoreItem>
</file>

<file path=customXml/itemProps2.xml><?xml version="1.0" encoding="utf-8"?>
<ds:datastoreItem xmlns:ds="http://schemas.openxmlformats.org/officeDocument/2006/customXml" ds:itemID="{36CA9A69-CD3B-44FD-A2A0-AD4169BB2B1F}">
  <ds:schemaRefs>
    <ds:schemaRef ds:uri="http://purl.org/dc/dcmitype/"/>
    <ds:schemaRef ds:uri="0b389fdf-c1cd-4589-91b6-850ba51ff85c"/>
    <ds:schemaRef ds:uri="http://schemas.microsoft.com/office/infopath/2007/PartnerControls"/>
    <ds:schemaRef ds:uri="http://purl.org/dc/elements/1.1/"/>
    <ds:schemaRef ds:uri="http://schemas.microsoft.com/office/2006/documentManagement/types"/>
    <ds:schemaRef ds:uri="http://purl.org/dc/terms/"/>
    <ds:schemaRef ds:uri="http://schemas.microsoft.com/office/2006/metadata/properties"/>
    <ds:schemaRef ds:uri="http://www.w3.org/XML/1998/namespace"/>
    <ds:schemaRef ds:uri="http://schemas.openxmlformats.org/package/2006/metadata/core-properties"/>
    <ds:schemaRef ds:uri="431100d4-4470-42c1-96bc-46686c1829ae"/>
  </ds:schemaRefs>
</ds:datastoreItem>
</file>

<file path=customXml/itemProps3.xml><?xml version="1.0" encoding="utf-8"?>
<ds:datastoreItem xmlns:ds="http://schemas.openxmlformats.org/officeDocument/2006/customXml" ds:itemID="{83982970-157C-4B94-8177-F956F3613B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89fdf-c1cd-4589-91b6-850ba51ff85c"/>
    <ds:schemaRef ds:uri="431100d4-4470-42c1-96bc-46686c182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CB819E-9CCA-4FCD-90F4-6C873F64136A}">
  <ds:schemaRefs>
    <ds:schemaRef ds:uri="http://schemas.microsoft.com/sharepoint/v3/contenttype/forms"/>
  </ds:schemaRefs>
</ds:datastoreItem>
</file>

<file path=customXml/itemProps5.xml><?xml version="1.0" encoding="utf-8"?>
<ds:datastoreItem xmlns:ds="http://schemas.openxmlformats.org/officeDocument/2006/customXml" ds:itemID="{BB2DBEFE-31C7-4EE9-9265-9E44134A4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89fdf-c1cd-4589-91b6-850ba51ff85c"/>
    <ds:schemaRef ds:uri="431100d4-4470-42c1-96bc-46686c182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21698</Words>
  <Characters>123680</Characters>
  <Application>Microsoft Office Word</Application>
  <DocSecurity>0</DocSecurity>
  <Lines>1030</Lines>
  <Paragraphs>290</Paragraphs>
  <ScaleCrop>false</ScaleCrop>
  <Company/>
  <LinksUpToDate>false</LinksUpToDate>
  <CharactersWithSpaces>145088</CharactersWithSpaces>
  <SharedDoc>false</SharedDoc>
  <HLinks>
    <vt:vector size="360" baseType="variant">
      <vt:variant>
        <vt:i4>7340131</vt:i4>
      </vt:variant>
      <vt:variant>
        <vt:i4>177</vt:i4>
      </vt:variant>
      <vt:variant>
        <vt:i4>0</vt:i4>
      </vt:variant>
      <vt:variant>
        <vt:i4>5</vt:i4>
      </vt:variant>
      <vt:variant>
        <vt:lpwstr>https://www.dca.ga.gov/safe-affordable-housing/rental-housing-development/housing-tax-credit-program-lihtc/application</vt:lpwstr>
      </vt:variant>
      <vt:variant>
        <vt:lpwstr/>
      </vt:variant>
      <vt:variant>
        <vt:i4>7340131</vt:i4>
      </vt:variant>
      <vt:variant>
        <vt:i4>174</vt:i4>
      </vt:variant>
      <vt:variant>
        <vt:i4>0</vt:i4>
      </vt:variant>
      <vt:variant>
        <vt:i4>5</vt:i4>
      </vt:variant>
      <vt:variant>
        <vt:lpwstr>https://www.dca.ga.gov/safe-affordable-housing/rental-housing-development/housing-tax-credit-program-lihtc/application</vt:lpwstr>
      </vt:variant>
      <vt:variant>
        <vt:lpwstr/>
      </vt:variant>
      <vt:variant>
        <vt:i4>7209000</vt:i4>
      </vt:variant>
      <vt:variant>
        <vt:i4>171</vt:i4>
      </vt:variant>
      <vt:variant>
        <vt:i4>0</vt:i4>
      </vt:variant>
      <vt:variant>
        <vt:i4>5</vt:i4>
      </vt:variant>
      <vt:variant>
        <vt:lpwstr>https://www.dca.ga.gov/safe-affordable-housing/rental-housing-development/housing-tax-credit-program-lihtc</vt:lpwstr>
      </vt:variant>
      <vt:variant>
        <vt:lpwstr/>
      </vt:variant>
      <vt:variant>
        <vt:i4>2752559</vt:i4>
      </vt:variant>
      <vt:variant>
        <vt:i4>168</vt:i4>
      </vt:variant>
      <vt:variant>
        <vt:i4>0</vt:i4>
      </vt:variant>
      <vt:variant>
        <vt:i4>5</vt:i4>
      </vt:variant>
      <vt:variant>
        <vt:lpwstr>https://www.dca.ga.gov/safe-affordable-housing/rental-housing-development/housing-tax-credit-program-lihtc/qualified-0/2022</vt:lpwstr>
      </vt:variant>
      <vt:variant>
        <vt:lpwstr/>
      </vt:variant>
      <vt:variant>
        <vt:i4>6029377</vt:i4>
      </vt:variant>
      <vt:variant>
        <vt:i4>165</vt:i4>
      </vt:variant>
      <vt:variant>
        <vt:i4>0</vt:i4>
      </vt:variant>
      <vt:variant>
        <vt:i4>5</vt:i4>
      </vt:variant>
      <vt:variant>
        <vt:lpwstr>https://www.dca.ga.gov/node/7804</vt:lpwstr>
      </vt:variant>
      <vt:variant>
        <vt:lpwstr/>
      </vt:variant>
      <vt:variant>
        <vt:i4>7340131</vt:i4>
      </vt:variant>
      <vt:variant>
        <vt:i4>162</vt:i4>
      </vt:variant>
      <vt:variant>
        <vt:i4>0</vt:i4>
      </vt:variant>
      <vt:variant>
        <vt:i4>5</vt:i4>
      </vt:variant>
      <vt:variant>
        <vt:lpwstr>https://www.dca.ga.gov/safe-affordable-housing/rental-housing-development/housing-tax-credit-program-lihtc/application</vt:lpwstr>
      </vt:variant>
      <vt:variant>
        <vt:lpwstr/>
      </vt:variant>
      <vt:variant>
        <vt:i4>5242944</vt:i4>
      </vt:variant>
      <vt:variant>
        <vt:i4>159</vt:i4>
      </vt:variant>
      <vt:variant>
        <vt:i4>0</vt:i4>
      </vt:variant>
      <vt:variant>
        <vt:i4>5</vt:i4>
      </vt:variant>
      <vt:variant>
        <vt:lpwstr>https://www.dca.ga.gov/node/7818</vt:lpwstr>
      </vt:variant>
      <vt:variant>
        <vt:lpwstr/>
      </vt:variant>
      <vt:variant>
        <vt:i4>5242944</vt:i4>
      </vt:variant>
      <vt:variant>
        <vt:i4>156</vt:i4>
      </vt:variant>
      <vt:variant>
        <vt:i4>0</vt:i4>
      </vt:variant>
      <vt:variant>
        <vt:i4>5</vt:i4>
      </vt:variant>
      <vt:variant>
        <vt:lpwstr>https://www.dca.ga.gov/node/7818</vt:lpwstr>
      </vt:variant>
      <vt:variant>
        <vt:lpwstr/>
      </vt:variant>
      <vt:variant>
        <vt:i4>7340131</vt:i4>
      </vt:variant>
      <vt:variant>
        <vt:i4>153</vt:i4>
      </vt:variant>
      <vt:variant>
        <vt:i4>0</vt:i4>
      </vt:variant>
      <vt:variant>
        <vt:i4>5</vt:i4>
      </vt:variant>
      <vt:variant>
        <vt:lpwstr>https://www.dca.ga.gov/safe-affordable-housing/rental-housing-development/housing-tax-credit-program-lihtc/application</vt:lpwstr>
      </vt:variant>
      <vt:variant>
        <vt:lpwstr/>
      </vt:variant>
      <vt:variant>
        <vt:i4>5242944</vt:i4>
      </vt:variant>
      <vt:variant>
        <vt:i4>150</vt:i4>
      </vt:variant>
      <vt:variant>
        <vt:i4>0</vt:i4>
      </vt:variant>
      <vt:variant>
        <vt:i4>5</vt:i4>
      </vt:variant>
      <vt:variant>
        <vt:lpwstr>https://www.dca.ga.gov/node/7818</vt:lpwstr>
      </vt:variant>
      <vt:variant>
        <vt:lpwstr/>
      </vt:variant>
      <vt:variant>
        <vt:i4>5242944</vt:i4>
      </vt:variant>
      <vt:variant>
        <vt:i4>147</vt:i4>
      </vt:variant>
      <vt:variant>
        <vt:i4>0</vt:i4>
      </vt:variant>
      <vt:variant>
        <vt:i4>5</vt:i4>
      </vt:variant>
      <vt:variant>
        <vt:lpwstr>https://www.dca.ga.gov/node/7818</vt:lpwstr>
      </vt:variant>
      <vt:variant>
        <vt:lpwstr/>
      </vt:variant>
      <vt:variant>
        <vt:i4>6029377</vt:i4>
      </vt:variant>
      <vt:variant>
        <vt:i4>144</vt:i4>
      </vt:variant>
      <vt:variant>
        <vt:i4>0</vt:i4>
      </vt:variant>
      <vt:variant>
        <vt:i4>5</vt:i4>
      </vt:variant>
      <vt:variant>
        <vt:lpwstr>https://www.dca.ga.gov/node/7804</vt:lpwstr>
      </vt:variant>
      <vt:variant>
        <vt:lpwstr/>
      </vt:variant>
      <vt:variant>
        <vt:i4>2752559</vt:i4>
      </vt:variant>
      <vt:variant>
        <vt:i4>141</vt:i4>
      </vt:variant>
      <vt:variant>
        <vt:i4>0</vt:i4>
      </vt:variant>
      <vt:variant>
        <vt:i4>5</vt:i4>
      </vt:variant>
      <vt:variant>
        <vt:lpwstr>https://www.dca.ga.gov/safe-affordable-housing/rental-housing-development/housing-tax-credit-program-lihtc/qualified-0/2021</vt:lpwstr>
      </vt:variant>
      <vt:variant>
        <vt:lpwstr/>
      </vt:variant>
      <vt:variant>
        <vt:i4>6029377</vt:i4>
      </vt:variant>
      <vt:variant>
        <vt:i4>138</vt:i4>
      </vt:variant>
      <vt:variant>
        <vt:i4>0</vt:i4>
      </vt:variant>
      <vt:variant>
        <vt:i4>5</vt:i4>
      </vt:variant>
      <vt:variant>
        <vt:lpwstr>https://www.dca.ga.gov/node/7804</vt:lpwstr>
      </vt:variant>
      <vt:variant>
        <vt:lpwstr/>
      </vt:variant>
      <vt:variant>
        <vt:i4>7209084</vt:i4>
      </vt:variant>
      <vt:variant>
        <vt:i4>135</vt:i4>
      </vt:variant>
      <vt:variant>
        <vt:i4>0</vt:i4>
      </vt:variant>
      <vt:variant>
        <vt:i4>5</vt:i4>
      </vt:variant>
      <vt:variant>
        <vt:lpwstr>https://www.dca.ga.gov/safe-affordable-housing/rental-housing-development/compliance-monitoring</vt:lpwstr>
      </vt:variant>
      <vt:variant>
        <vt:lpwstr/>
      </vt:variant>
      <vt:variant>
        <vt:i4>7209084</vt:i4>
      </vt:variant>
      <vt:variant>
        <vt:i4>132</vt:i4>
      </vt:variant>
      <vt:variant>
        <vt:i4>0</vt:i4>
      </vt:variant>
      <vt:variant>
        <vt:i4>5</vt:i4>
      </vt:variant>
      <vt:variant>
        <vt:lpwstr>https://www.dca.ga.gov/safe-affordable-housing/rental-housing-development/compliance-monitoring</vt:lpwstr>
      </vt:variant>
      <vt:variant>
        <vt:lpwstr/>
      </vt:variant>
      <vt:variant>
        <vt:i4>6029377</vt:i4>
      </vt:variant>
      <vt:variant>
        <vt:i4>129</vt:i4>
      </vt:variant>
      <vt:variant>
        <vt:i4>0</vt:i4>
      </vt:variant>
      <vt:variant>
        <vt:i4>5</vt:i4>
      </vt:variant>
      <vt:variant>
        <vt:lpwstr>https://www.dca.ga.gov/node/7804</vt:lpwstr>
      </vt:variant>
      <vt:variant>
        <vt:lpwstr/>
      </vt:variant>
      <vt:variant>
        <vt:i4>6029377</vt:i4>
      </vt:variant>
      <vt:variant>
        <vt:i4>126</vt:i4>
      </vt:variant>
      <vt:variant>
        <vt:i4>0</vt:i4>
      </vt:variant>
      <vt:variant>
        <vt:i4>5</vt:i4>
      </vt:variant>
      <vt:variant>
        <vt:lpwstr>https://www.dca.ga.gov/node/7804</vt:lpwstr>
      </vt:variant>
      <vt:variant>
        <vt:lpwstr/>
      </vt:variant>
      <vt:variant>
        <vt:i4>7209084</vt:i4>
      </vt:variant>
      <vt:variant>
        <vt:i4>123</vt:i4>
      </vt:variant>
      <vt:variant>
        <vt:i4>0</vt:i4>
      </vt:variant>
      <vt:variant>
        <vt:i4>5</vt:i4>
      </vt:variant>
      <vt:variant>
        <vt:lpwstr>https://www.dca.ga.gov/safe-affordable-housing/rental-housing-development/compliance-monitoring</vt:lpwstr>
      </vt:variant>
      <vt:variant>
        <vt:lpwstr/>
      </vt:variant>
      <vt:variant>
        <vt:i4>7209084</vt:i4>
      </vt:variant>
      <vt:variant>
        <vt:i4>120</vt:i4>
      </vt:variant>
      <vt:variant>
        <vt:i4>0</vt:i4>
      </vt:variant>
      <vt:variant>
        <vt:i4>5</vt:i4>
      </vt:variant>
      <vt:variant>
        <vt:lpwstr>https://www.dca.ga.gov/safe-affordable-housing/rental-housing-development/compliance-monitoring</vt:lpwstr>
      </vt:variant>
      <vt:variant>
        <vt:lpwstr/>
      </vt:variant>
      <vt:variant>
        <vt:i4>1179756</vt:i4>
      </vt:variant>
      <vt:variant>
        <vt:i4>117</vt:i4>
      </vt:variant>
      <vt:variant>
        <vt:i4>0</vt:i4>
      </vt:variant>
      <vt:variant>
        <vt:i4>5</vt:i4>
      </vt:variant>
      <vt:variant>
        <vt:lpwstr>mailto:hfdround@dca.ga.gov</vt:lpwstr>
      </vt:variant>
      <vt:variant>
        <vt:lpwstr/>
      </vt:variant>
      <vt:variant>
        <vt:i4>6029377</vt:i4>
      </vt:variant>
      <vt:variant>
        <vt:i4>114</vt:i4>
      </vt:variant>
      <vt:variant>
        <vt:i4>0</vt:i4>
      </vt:variant>
      <vt:variant>
        <vt:i4>5</vt:i4>
      </vt:variant>
      <vt:variant>
        <vt:lpwstr>https://www.dca.ga.gov/node/7804</vt:lpwstr>
      </vt:variant>
      <vt:variant>
        <vt:lpwstr/>
      </vt:variant>
      <vt:variant>
        <vt:i4>2752559</vt:i4>
      </vt:variant>
      <vt:variant>
        <vt:i4>111</vt:i4>
      </vt:variant>
      <vt:variant>
        <vt:i4>0</vt:i4>
      </vt:variant>
      <vt:variant>
        <vt:i4>5</vt:i4>
      </vt:variant>
      <vt:variant>
        <vt:lpwstr>https://www.dca.ga.gov/safe-affordable-housing/rental-housing-development/housing-tax-credit-program-lihtc/qualified-0/2022</vt:lpwstr>
      </vt:variant>
      <vt:variant>
        <vt:lpwstr/>
      </vt:variant>
      <vt:variant>
        <vt:i4>7340131</vt:i4>
      </vt:variant>
      <vt:variant>
        <vt:i4>108</vt:i4>
      </vt:variant>
      <vt:variant>
        <vt:i4>0</vt:i4>
      </vt:variant>
      <vt:variant>
        <vt:i4>5</vt:i4>
      </vt:variant>
      <vt:variant>
        <vt:lpwstr>https://www.dca.ga.gov/safe-affordable-housing/rental-housing-development/housing-tax-credit-program-lihtc/application</vt:lpwstr>
      </vt:variant>
      <vt:variant>
        <vt:lpwstr/>
      </vt:variant>
      <vt:variant>
        <vt:i4>7340131</vt:i4>
      </vt:variant>
      <vt:variant>
        <vt:i4>105</vt:i4>
      </vt:variant>
      <vt:variant>
        <vt:i4>0</vt:i4>
      </vt:variant>
      <vt:variant>
        <vt:i4>5</vt:i4>
      </vt:variant>
      <vt:variant>
        <vt:lpwstr>https://www.dca.ga.gov/safe-affordable-housing/rental-housing-development/housing-tax-credit-program-lihtc/application</vt:lpwstr>
      </vt:variant>
      <vt:variant>
        <vt:lpwstr/>
      </vt:variant>
      <vt:variant>
        <vt:i4>1769501</vt:i4>
      </vt:variant>
      <vt:variant>
        <vt:i4>102</vt:i4>
      </vt:variant>
      <vt:variant>
        <vt:i4>0</vt:i4>
      </vt:variant>
      <vt:variant>
        <vt:i4>5</vt:i4>
      </vt:variant>
      <vt:variant>
        <vt:lpwstr>https://www.dca.ga.gov/safe-affordable-housing/rental-housing-development/housing-tax-credit-program-lihtc/qualified-0-1</vt:lpwstr>
      </vt:variant>
      <vt:variant>
        <vt:lpwstr/>
      </vt:variant>
      <vt:variant>
        <vt:i4>6160450</vt:i4>
      </vt:variant>
      <vt:variant>
        <vt:i4>99</vt:i4>
      </vt:variant>
      <vt:variant>
        <vt:i4>0</vt:i4>
      </vt:variant>
      <vt:variant>
        <vt:i4>5</vt:i4>
      </vt:variant>
      <vt:variant>
        <vt:lpwstr>https://www.dca.ga.gov/node/4709</vt:lpwstr>
      </vt:variant>
      <vt:variant>
        <vt:lpwstr/>
      </vt:variant>
      <vt:variant>
        <vt:i4>2752559</vt:i4>
      </vt:variant>
      <vt:variant>
        <vt:i4>96</vt:i4>
      </vt:variant>
      <vt:variant>
        <vt:i4>0</vt:i4>
      </vt:variant>
      <vt:variant>
        <vt:i4>5</vt:i4>
      </vt:variant>
      <vt:variant>
        <vt:lpwstr>https://www.dca.ga.gov/safe-affordable-housing/rental-housing-development/housing-tax-credit-program-lihtc/qualified-0/2021</vt:lpwstr>
      </vt:variant>
      <vt:variant>
        <vt:lpwstr/>
      </vt:variant>
      <vt:variant>
        <vt:i4>2752559</vt:i4>
      </vt:variant>
      <vt:variant>
        <vt:i4>93</vt:i4>
      </vt:variant>
      <vt:variant>
        <vt:i4>0</vt:i4>
      </vt:variant>
      <vt:variant>
        <vt:i4>5</vt:i4>
      </vt:variant>
      <vt:variant>
        <vt:lpwstr>https://www.dca.ga.gov/safe-affordable-housing/rental-housing-development/housing-tax-credit-program-lihtc/qualified-0/2021</vt:lpwstr>
      </vt:variant>
      <vt:variant>
        <vt:lpwstr/>
      </vt:variant>
      <vt:variant>
        <vt:i4>7340131</vt:i4>
      </vt:variant>
      <vt:variant>
        <vt:i4>90</vt:i4>
      </vt:variant>
      <vt:variant>
        <vt:i4>0</vt:i4>
      </vt:variant>
      <vt:variant>
        <vt:i4>5</vt:i4>
      </vt:variant>
      <vt:variant>
        <vt:lpwstr>https://www.dca.ga.gov/safe-affordable-housing/rental-housing-development/housing-tax-credit-program-lihtc/application</vt:lpwstr>
      </vt:variant>
      <vt:variant>
        <vt:lpwstr/>
      </vt:variant>
      <vt:variant>
        <vt:i4>1703965</vt:i4>
      </vt:variant>
      <vt:variant>
        <vt:i4>87</vt:i4>
      </vt:variant>
      <vt:variant>
        <vt:i4>0</vt:i4>
      </vt:variant>
      <vt:variant>
        <vt:i4>5</vt:i4>
      </vt:variant>
      <vt:variant>
        <vt:lpwstr>https://www.dca.ga.gov/safe-affordable-housing/rental-housing-development/housing-tax-credit-program-lihtc/qualified-0-0</vt:lpwstr>
      </vt:variant>
      <vt:variant>
        <vt:lpwstr/>
      </vt:variant>
      <vt:variant>
        <vt:i4>6815867</vt:i4>
      </vt:variant>
      <vt:variant>
        <vt:i4>84</vt:i4>
      </vt:variant>
      <vt:variant>
        <vt:i4>0</vt:i4>
      </vt:variant>
      <vt:variant>
        <vt:i4>5</vt:i4>
      </vt:variant>
      <vt:variant>
        <vt:lpwstr>https://www.gadoe.org/CCRPI/Pages/-Archived-CCRPI-Data-Files.aspx?</vt:lpwstr>
      </vt:variant>
      <vt:variant>
        <vt:lpwstr/>
      </vt:variant>
      <vt:variant>
        <vt:i4>7274528</vt:i4>
      </vt:variant>
      <vt:variant>
        <vt:i4>81</vt:i4>
      </vt:variant>
      <vt:variant>
        <vt:i4>0</vt:i4>
      </vt:variant>
      <vt:variant>
        <vt:i4>5</vt:i4>
      </vt:variant>
      <vt:variant>
        <vt:lpwstr>https://www.gadoe.org/CCRPI/Pages/default.aspx</vt:lpwstr>
      </vt:variant>
      <vt:variant>
        <vt:lpwstr/>
      </vt:variant>
      <vt:variant>
        <vt:i4>7340131</vt:i4>
      </vt:variant>
      <vt:variant>
        <vt:i4>78</vt:i4>
      </vt:variant>
      <vt:variant>
        <vt:i4>0</vt:i4>
      </vt:variant>
      <vt:variant>
        <vt:i4>5</vt:i4>
      </vt:variant>
      <vt:variant>
        <vt:lpwstr>https://www.dca.ga.gov/safe-affordable-housing/rental-housing-development/housing-tax-credit-program-lihtc/application</vt:lpwstr>
      </vt:variant>
      <vt:variant>
        <vt:lpwstr/>
      </vt:variant>
      <vt:variant>
        <vt:i4>1703965</vt:i4>
      </vt:variant>
      <vt:variant>
        <vt:i4>75</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72</vt:i4>
      </vt:variant>
      <vt:variant>
        <vt:i4>0</vt:i4>
      </vt:variant>
      <vt:variant>
        <vt:i4>5</vt:i4>
      </vt:variant>
      <vt:variant>
        <vt:lpwstr>https://www.dca.ga.gov/safe-affordable-housing/rental-housing-development/housing-tax-credit-program-lihtc/qualified-0-0</vt:lpwstr>
      </vt:variant>
      <vt:variant>
        <vt:lpwstr/>
      </vt:variant>
      <vt:variant>
        <vt:i4>2752546</vt:i4>
      </vt:variant>
      <vt:variant>
        <vt:i4>69</vt:i4>
      </vt:variant>
      <vt:variant>
        <vt:i4>0</vt:i4>
      </vt:variant>
      <vt:variant>
        <vt:i4>5</vt:i4>
      </vt:variant>
      <vt:variant>
        <vt:lpwstr>https://www.youtube.com/watch?v=VozXGGf8Ueg&amp;t=503s</vt:lpwstr>
      </vt:variant>
      <vt:variant>
        <vt:lpwstr/>
      </vt:variant>
      <vt:variant>
        <vt:i4>1703965</vt:i4>
      </vt:variant>
      <vt:variant>
        <vt:i4>66</vt:i4>
      </vt:variant>
      <vt:variant>
        <vt:i4>0</vt:i4>
      </vt:variant>
      <vt:variant>
        <vt:i4>5</vt:i4>
      </vt:variant>
      <vt:variant>
        <vt:lpwstr>https://www.dca.ga.gov/safe-affordable-housing/rental-housing-development/housing-tax-credit-program-lihtc/qualified-0-0</vt:lpwstr>
      </vt:variant>
      <vt:variant>
        <vt:lpwstr/>
      </vt:variant>
      <vt:variant>
        <vt:i4>3211296</vt:i4>
      </vt:variant>
      <vt:variant>
        <vt:i4>63</vt:i4>
      </vt:variant>
      <vt:variant>
        <vt:i4>0</vt:i4>
      </vt:variant>
      <vt:variant>
        <vt:i4>5</vt:i4>
      </vt:variant>
      <vt:variant>
        <vt:lpwstr>https://www.fcs.uga.edu/fhce/gich-resources-for-alumni-communities</vt:lpwstr>
      </vt:variant>
      <vt:variant>
        <vt:lpwstr/>
      </vt:variant>
      <vt:variant>
        <vt:i4>3670127</vt:i4>
      </vt:variant>
      <vt:variant>
        <vt:i4>60</vt:i4>
      </vt:variant>
      <vt:variant>
        <vt:i4>0</vt:i4>
      </vt:variant>
      <vt:variant>
        <vt:i4>5</vt:i4>
      </vt:variant>
      <vt:variant>
        <vt:lpwstr>https://georgia-dca.maps.arcgis.com/apps/View/index.html?appid=f40de6a6f3ca455988ccb28f25c8a80e</vt:lpwstr>
      </vt:variant>
      <vt:variant>
        <vt:lpwstr/>
      </vt:variant>
      <vt:variant>
        <vt:i4>1703965</vt:i4>
      </vt:variant>
      <vt:variant>
        <vt:i4>57</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54</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51</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48</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45</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42</vt:i4>
      </vt:variant>
      <vt:variant>
        <vt:i4>0</vt:i4>
      </vt:variant>
      <vt:variant>
        <vt:i4>5</vt:i4>
      </vt:variant>
      <vt:variant>
        <vt:lpwstr>https://www.dca.ga.gov/safe-affordable-housing/rental-housing-development/housing-tax-credit-program-lihtc/qualified-0-0</vt:lpwstr>
      </vt:variant>
      <vt:variant>
        <vt:lpwstr/>
      </vt:variant>
      <vt:variant>
        <vt:i4>7340131</vt:i4>
      </vt:variant>
      <vt:variant>
        <vt:i4>39</vt:i4>
      </vt:variant>
      <vt:variant>
        <vt:i4>0</vt:i4>
      </vt:variant>
      <vt:variant>
        <vt:i4>5</vt:i4>
      </vt:variant>
      <vt:variant>
        <vt:lpwstr>https://www.dca.ga.gov/safe-affordable-housing/rental-housing-development/housing-tax-credit-program-lihtc/application</vt:lpwstr>
      </vt:variant>
      <vt:variant>
        <vt:lpwstr/>
      </vt:variant>
      <vt:variant>
        <vt:i4>1703965</vt:i4>
      </vt:variant>
      <vt:variant>
        <vt:i4>36</vt:i4>
      </vt:variant>
      <vt:variant>
        <vt:i4>0</vt:i4>
      </vt:variant>
      <vt:variant>
        <vt:i4>5</vt:i4>
      </vt:variant>
      <vt:variant>
        <vt:lpwstr>https://www.dca.ga.gov/safe-affordable-housing/rental-housing-development/housing-tax-credit-program-lihtc/qualified-0-0</vt:lpwstr>
      </vt:variant>
      <vt:variant>
        <vt:lpwstr/>
      </vt:variant>
      <vt:variant>
        <vt:i4>6094913</vt:i4>
      </vt:variant>
      <vt:variant>
        <vt:i4>33</vt:i4>
      </vt:variant>
      <vt:variant>
        <vt:i4>0</vt:i4>
      </vt:variant>
      <vt:variant>
        <vt:i4>5</vt:i4>
      </vt:variant>
      <vt:variant>
        <vt:lpwstr>https://www.dca.ga.gov/node/7805</vt:lpwstr>
      </vt:variant>
      <vt:variant>
        <vt:lpwstr/>
      </vt:variant>
      <vt:variant>
        <vt:i4>7471206</vt:i4>
      </vt:variant>
      <vt:variant>
        <vt:i4>30</vt:i4>
      </vt:variant>
      <vt:variant>
        <vt:i4>0</vt:i4>
      </vt:variant>
      <vt:variant>
        <vt:i4>5</vt:i4>
      </vt:variant>
      <vt:variant>
        <vt:lpwstr>https://www.dca.ga.gov/safe-affordable-housing/rental-housing-development/compliance-monitoring/utility-allowances</vt:lpwstr>
      </vt:variant>
      <vt:variant>
        <vt:lpwstr/>
      </vt:variant>
      <vt:variant>
        <vt:i4>2752559</vt:i4>
      </vt:variant>
      <vt:variant>
        <vt:i4>27</vt:i4>
      </vt:variant>
      <vt:variant>
        <vt:i4>0</vt:i4>
      </vt:variant>
      <vt:variant>
        <vt:i4>5</vt:i4>
      </vt:variant>
      <vt:variant>
        <vt:lpwstr>https://www.dca.ga.gov/safe-affordable-housing/rental-housing-development/housing-tax-credit-program-lihtc/qualified-0/2022</vt:lpwstr>
      </vt:variant>
      <vt:variant>
        <vt:lpwstr/>
      </vt:variant>
      <vt:variant>
        <vt:i4>1703965</vt:i4>
      </vt:variant>
      <vt:variant>
        <vt:i4>24</vt:i4>
      </vt:variant>
      <vt:variant>
        <vt:i4>0</vt:i4>
      </vt:variant>
      <vt:variant>
        <vt:i4>5</vt:i4>
      </vt:variant>
      <vt:variant>
        <vt:lpwstr>https://www.dca.ga.gov/safe-affordable-housing/rental-housing-development/housing-tax-credit-program-lihtc/qualified-0-0</vt:lpwstr>
      </vt:variant>
      <vt:variant>
        <vt:lpwstr/>
      </vt:variant>
      <vt:variant>
        <vt:i4>7864383</vt:i4>
      </vt:variant>
      <vt:variant>
        <vt:i4>21</vt:i4>
      </vt:variant>
      <vt:variant>
        <vt:i4>0</vt:i4>
      </vt:variant>
      <vt:variant>
        <vt:i4>5</vt:i4>
      </vt:variant>
      <vt:variant>
        <vt:lpwstr>https://dcaqap.formstack.com/forms/2022_taxcredit_questions</vt:lpwstr>
      </vt:variant>
      <vt:variant>
        <vt:lpwstr/>
      </vt:variant>
      <vt:variant>
        <vt:i4>5308485</vt:i4>
      </vt:variant>
      <vt:variant>
        <vt:i4>18</vt:i4>
      </vt:variant>
      <vt:variant>
        <vt:i4>0</vt:i4>
      </vt:variant>
      <vt:variant>
        <vt:i4>5</vt:i4>
      </vt:variant>
      <vt:variant>
        <vt:lpwstr>https://www.dca.ga.gov/node/7948</vt:lpwstr>
      </vt:variant>
      <vt:variant>
        <vt:lpwstr/>
      </vt:variant>
      <vt:variant>
        <vt:i4>3473463</vt:i4>
      </vt:variant>
      <vt:variant>
        <vt:i4>15</vt:i4>
      </vt:variant>
      <vt:variant>
        <vt:i4>0</vt:i4>
      </vt:variant>
      <vt:variant>
        <vt:i4>5</vt:i4>
      </vt:variant>
      <vt:variant>
        <vt:lpwstr>https://coresonline.org/certified-organizations?state=All&amp;model=All</vt:lpwstr>
      </vt:variant>
      <vt:variant>
        <vt:lpwstr/>
      </vt:variant>
      <vt:variant>
        <vt:i4>6815865</vt:i4>
      </vt:variant>
      <vt:variant>
        <vt:i4>12</vt:i4>
      </vt:variant>
      <vt:variant>
        <vt:i4>0</vt:i4>
      </vt:variant>
      <vt:variant>
        <vt:i4>5</vt:i4>
      </vt:variant>
      <vt:variant>
        <vt:lpwstr>https://consumer.georgia.gov/consumer-topics/health-care-professionals</vt:lpwstr>
      </vt:variant>
      <vt:variant>
        <vt:lpwstr/>
      </vt:variant>
      <vt:variant>
        <vt:i4>7471206</vt:i4>
      </vt:variant>
      <vt:variant>
        <vt:i4>9</vt:i4>
      </vt:variant>
      <vt:variant>
        <vt:i4>0</vt:i4>
      </vt:variant>
      <vt:variant>
        <vt:i4>5</vt:i4>
      </vt:variant>
      <vt:variant>
        <vt:lpwstr>https://www.dca.ga.gov/safe-affordable-housing/rental-housing-development/compliance-monitoring/utility-allowances</vt:lpwstr>
      </vt:variant>
      <vt:variant>
        <vt:lpwstr/>
      </vt:variant>
      <vt:variant>
        <vt:i4>1179756</vt:i4>
      </vt:variant>
      <vt:variant>
        <vt:i4>6</vt:i4>
      </vt:variant>
      <vt:variant>
        <vt:i4>0</vt:i4>
      </vt:variant>
      <vt:variant>
        <vt:i4>5</vt:i4>
      </vt:variant>
      <vt:variant>
        <vt:lpwstr>mailto:hfdround@dca.ga.gov</vt:lpwstr>
      </vt:variant>
      <vt:variant>
        <vt:lpwstr/>
      </vt:variant>
      <vt:variant>
        <vt:i4>1179756</vt:i4>
      </vt:variant>
      <vt:variant>
        <vt:i4>3</vt:i4>
      </vt:variant>
      <vt:variant>
        <vt:i4>0</vt:i4>
      </vt:variant>
      <vt:variant>
        <vt:i4>5</vt:i4>
      </vt:variant>
      <vt:variant>
        <vt:lpwstr>mailto:hfdround@dca.ga.gov</vt:lpwstr>
      </vt:variant>
      <vt:variant>
        <vt:lpwstr/>
      </vt:variant>
      <vt:variant>
        <vt:i4>2752559</vt:i4>
      </vt:variant>
      <vt:variant>
        <vt:i4>0</vt:i4>
      </vt:variant>
      <vt:variant>
        <vt:i4>0</vt:i4>
      </vt:variant>
      <vt:variant>
        <vt:i4>5</vt:i4>
      </vt:variant>
      <vt:variant>
        <vt:lpwstr>https://www.dca.ga.gov/safe-affordable-housing/rental-housing-development/housing-tax-credit-program-lihtc/qualified-0/2022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Popper</dc:creator>
  <cp:keywords/>
  <dc:description/>
  <cp:lastModifiedBy>Jack Popper</cp:lastModifiedBy>
  <cp:revision>2</cp:revision>
  <dcterms:created xsi:type="dcterms:W3CDTF">2022-05-19T16:08:00Z</dcterms:created>
  <dcterms:modified xsi:type="dcterms:W3CDTF">2022-05-19T16:08:00Z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0x010100F2BC28513F06E9409310364D80ACD8FD</vt:lpwstr>
  </property>
  <property fmtid="{D5CDD505-2E9C-101B-9397-08002B2CF9AE}" pid="3" name="Order">
    <vt:r8>1034800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