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1DE8A41" w:rsidR="002A7CD2" w:rsidRPr="00A938F4" w:rsidRDefault="00AE3836" w:rsidP="000078D6">
      <w:pPr>
        <w:spacing w:after="0"/>
        <w:jc w:val="center"/>
        <w:rPr>
          <w:rFonts w:ascii="Times New Roman" w:hAnsi="Times New Roman" w:cs="Times New Roman"/>
        </w:rPr>
      </w:pPr>
      <w:r w:rsidRPr="00A938F4">
        <w:rPr>
          <w:rFonts w:ascii="Times New Roman" w:hAnsi="Times New Roman" w:cs="Times New Roman"/>
        </w:rPr>
        <w:softHyphen/>
      </w:r>
      <w:r w:rsidR="00441946" w:rsidRPr="00A938F4">
        <w:rPr>
          <w:rFonts w:ascii="Times New Roman" w:hAnsi="Times New Roman" w:cs="Times New Roman"/>
          <w:noProof/>
        </w:rPr>
        <w:drawing>
          <wp:inline distT="0" distB="0" distL="0" distR="0" wp14:anchorId="1353F54E" wp14:editId="11839CD7">
            <wp:extent cx="3850110" cy="1374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9724" cy="1410004"/>
                    </a:xfrm>
                    <a:prstGeom prst="rect">
                      <a:avLst/>
                    </a:prstGeom>
                    <a:noFill/>
                    <a:ln>
                      <a:noFill/>
                    </a:ln>
                  </pic:spPr>
                </pic:pic>
              </a:graphicData>
            </a:graphic>
          </wp:inline>
        </w:drawing>
      </w:r>
    </w:p>
    <w:p w14:paraId="617F9DA5" w14:textId="3158A147" w:rsidR="00616EA5" w:rsidRPr="00A938F4" w:rsidRDefault="00277840" w:rsidP="00F70795">
      <w:pPr>
        <w:spacing w:after="0"/>
        <w:jc w:val="center"/>
        <w:rPr>
          <w:rFonts w:ascii="Times New Roman" w:hAnsi="Times New Roman" w:cs="Times New Roman"/>
          <w:b/>
          <w:sz w:val="32"/>
          <w:szCs w:val="32"/>
        </w:rPr>
      </w:pPr>
      <w:r w:rsidRPr="00A938F4">
        <w:rPr>
          <w:rFonts w:ascii="Times New Roman" w:hAnsi="Times New Roman" w:cs="Times New Roman"/>
          <w:b/>
          <w:sz w:val="32"/>
          <w:szCs w:val="32"/>
        </w:rPr>
        <w:t>202</w:t>
      </w:r>
      <w:r w:rsidR="00741177" w:rsidRPr="00A938F4">
        <w:rPr>
          <w:rFonts w:ascii="Times New Roman" w:hAnsi="Times New Roman" w:cs="Times New Roman"/>
          <w:b/>
          <w:sz w:val="32"/>
          <w:szCs w:val="32"/>
        </w:rPr>
        <w:t>2</w:t>
      </w:r>
      <w:r w:rsidRPr="00A938F4">
        <w:rPr>
          <w:rFonts w:ascii="Times New Roman" w:hAnsi="Times New Roman" w:cs="Times New Roman"/>
          <w:b/>
          <w:sz w:val="32"/>
          <w:szCs w:val="32"/>
        </w:rPr>
        <w:t xml:space="preserve"> </w:t>
      </w:r>
      <w:r w:rsidR="008C0345" w:rsidRPr="00A938F4">
        <w:rPr>
          <w:rFonts w:ascii="Times New Roman" w:hAnsi="Times New Roman" w:cs="Times New Roman"/>
          <w:b/>
          <w:sz w:val="32"/>
          <w:szCs w:val="32"/>
        </w:rPr>
        <w:t xml:space="preserve">Housing Tax Credit </w:t>
      </w:r>
      <w:r w:rsidR="00F5717C">
        <w:rPr>
          <w:rFonts w:ascii="Times New Roman" w:hAnsi="Times New Roman" w:cs="Times New Roman"/>
          <w:b/>
          <w:sz w:val="32"/>
          <w:szCs w:val="32"/>
        </w:rPr>
        <w:t xml:space="preserve">Program </w:t>
      </w:r>
    </w:p>
    <w:p w14:paraId="2BB5916B" w14:textId="42A8FD8D" w:rsidR="00226B34" w:rsidRPr="00A938F4" w:rsidRDefault="00226B34" w:rsidP="00616EA5">
      <w:pPr>
        <w:pBdr>
          <w:bottom w:val="single" w:sz="6" w:space="1" w:color="auto"/>
        </w:pBdr>
        <w:spacing w:after="0"/>
        <w:jc w:val="center"/>
        <w:rPr>
          <w:rFonts w:ascii="Times New Roman" w:hAnsi="Times New Roman" w:cs="Times New Roman"/>
          <w:b/>
          <w:sz w:val="32"/>
          <w:szCs w:val="32"/>
        </w:rPr>
      </w:pPr>
      <w:r w:rsidRPr="00A938F4">
        <w:rPr>
          <w:rFonts w:ascii="Times New Roman" w:hAnsi="Times New Roman" w:cs="Times New Roman"/>
          <w:b/>
          <w:sz w:val="32"/>
          <w:szCs w:val="32"/>
        </w:rPr>
        <w:t>Questions and Answers</w:t>
      </w:r>
      <w:r w:rsidR="00D93FAE" w:rsidRPr="00A938F4">
        <w:rPr>
          <w:rFonts w:ascii="Times New Roman" w:hAnsi="Times New Roman" w:cs="Times New Roman"/>
          <w:b/>
          <w:sz w:val="32"/>
          <w:szCs w:val="32"/>
        </w:rPr>
        <w:t xml:space="preserve"> </w:t>
      </w:r>
    </w:p>
    <w:p w14:paraId="0407AE8F" w14:textId="4D500D0E" w:rsidR="007C0246" w:rsidRDefault="009A3438" w:rsidP="006D7569">
      <w:pPr>
        <w:spacing w:after="0"/>
        <w:rPr>
          <w:rFonts w:ascii="Times New Roman" w:hAnsi="Times New Roman" w:cs="Times New Roman"/>
          <w:noProof/>
        </w:rPr>
      </w:pPr>
      <w:r w:rsidRPr="00A938F4">
        <w:rPr>
          <w:rFonts w:ascii="Times New Roman" w:hAnsi="Times New Roman" w:cs="Times New Roman"/>
          <w:color w:val="A6A6A6" w:themeColor="background1" w:themeShade="A6"/>
        </w:rPr>
        <w:t>Published</w:t>
      </w:r>
      <w:r w:rsidR="00741177" w:rsidRPr="00A938F4">
        <w:rPr>
          <w:rFonts w:ascii="Times New Roman" w:hAnsi="Times New Roman" w:cs="Times New Roman"/>
          <w:color w:val="A6A6A6" w:themeColor="background1" w:themeShade="A6"/>
        </w:rPr>
        <w:t xml:space="preserve"> </w:t>
      </w:r>
      <w:r w:rsidR="0048024C" w:rsidRPr="000C19AE">
        <w:rPr>
          <w:rFonts w:ascii="Times New Roman" w:hAnsi="Times New Roman" w:cs="Times New Roman"/>
          <w:color w:val="A6A6A6" w:themeColor="background1" w:themeShade="A6"/>
        </w:rPr>
        <w:t>February 25</w:t>
      </w:r>
      <w:r w:rsidR="007C0246" w:rsidRPr="00A938F4">
        <w:rPr>
          <w:rFonts w:ascii="Times New Roman" w:hAnsi="Times New Roman" w:cs="Times New Roman"/>
          <w:color w:val="A6A6A6" w:themeColor="background1" w:themeShade="A6"/>
        </w:rPr>
        <w:t>, 202</w:t>
      </w:r>
      <w:r w:rsidR="00E91E6E" w:rsidRPr="00A938F4">
        <w:rPr>
          <w:rFonts w:ascii="Times New Roman" w:hAnsi="Times New Roman" w:cs="Times New Roman"/>
          <w:color w:val="A6A6A6" w:themeColor="background1" w:themeShade="A6"/>
        </w:rPr>
        <w:t>2</w:t>
      </w:r>
      <w:r w:rsidR="007C0246" w:rsidRPr="00A938F4">
        <w:rPr>
          <w:rFonts w:ascii="Times New Roman" w:hAnsi="Times New Roman" w:cs="Times New Roman"/>
          <w:noProof/>
        </w:rPr>
        <w:t xml:space="preserve"> </w:t>
      </w:r>
    </w:p>
    <w:p w14:paraId="30CF66E2" w14:textId="09C9AAD1" w:rsidR="00CE5ADE" w:rsidRPr="00CD388A" w:rsidRDefault="009C799D" w:rsidP="006D7569">
      <w:pPr>
        <w:spacing w:after="0"/>
        <w:rPr>
          <w:rFonts w:ascii="Times New Roman" w:hAnsi="Times New Roman" w:cs="Times New Roman"/>
          <w:noProof/>
          <w:color w:val="A6A6A6" w:themeColor="background1" w:themeShade="A6"/>
        </w:rPr>
      </w:pPr>
      <w:r w:rsidRPr="00CD388A">
        <w:rPr>
          <w:rFonts w:ascii="Times New Roman" w:hAnsi="Times New Roman" w:cs="Times New Roman"/>
          <w:noProof/>
          <w:color w:val="A6A6A6" w:themeColor="background1" w:themeShade="A6"/>
        </w:rPr>
        <w:t xml:space="preserve">Updated </w:t>
      </w:r>
      <w:r w:rsidR="005E680F">
        <w:rPr>
          <w:rFonts w:ascii="Times New Roman" w:hAnsi="Times New Roman" w:cs="Times New Roman"/>
          <w:noProof/>
          <w:color w:val="A6A6A6" w:themeColor="background1" w:themeShade="A6"/>
        </w:rPr>
        <w:t xml:space="preserve">May </w:t>
      </w:r>
      <w:r w:rsidR="001B2A0B">
        <w:rPr>
          <w:rFonts w:ascii="Times New Roman" w:hAnsi="Times New Roman" w:cs="Times New Roman"/>
          <w:noProof/>
          <w:color w:val="A6A6A6" w:themeColor="background1" w:themeShade="A6"/>
        </w:rPr>
        <w:t>11</w:t>
      </w:r>
      <w:r w:rsidR="0080150C">
        <w:rPr>
          <w:rFonts w:ascii="Times New Roman" w:hAnsi="Times New Roman" w:cs="Times New Roman"/>
          <w:noProof/>
          <w:color w:val="A6A6A6" w:themeColor="background1" w:themeShade="A6"/>
        </w:rPr>
        <w:t xml:space="preserve">, 2022 </w:t>
      </w:r>
    </w:p>
    <w:p w14:paraId="3BAA02D4" w14:textId="7E6F77E5" w:rsidR="00E90677" w:rsidRPr="00A938F4" w:rsidRDefault="00EF4055" w:rsidP="00C80CAC">
      <w:pPr>
        <w:rPr>
          <w:rFonts w:ascii="Times New Roman" w:hAnsi="Times New Roman" w:cs="Times New Roman"/>
        </w:rPr>
      </w:pPr>
      <w:r w:rsidRPr="00A938F4">
        <w:rPr>
          <w:rFonts w:ascii="Times New Roman" w:hAnsi="Times New Roman" w:cs="Times New Roman"/>
        </w:rPr>
        <w:t xml:space="preserve"> </w:t>
      </w:r>
      <w:r w:rsidR="003E3AE5" w:rsidRPr="00A938F4">
        <w:rPr>
          <w:rFonts w:ascii="Times New Roman" w:hAnsi="Times New Roman" w:cs="Times New Roman"/>
        </w:rPr>
        <w:t xml:space="preserve"> </w:t>
      </w:r>
    </w:p>
    <w:p w14:paraId="0CFBFD79" w14:textId="27FE0838" w:rsidR="005A42ED" w:rsidRPr="00A938F4" w:rsidRDefault="000F162F" w:rsidP="00C80CAC">
      <w:pPr>
        <w:rPr>
          <w:rFonts w:ascii="Times New Roman" w:hAnsi="Times New Roman" w:cs="Times New Roman"/>
        </w:rPr>
      </w:pPr>
      <w:r w:rsidRPr="00A938F4">
        <w:rPr>
          <w:rFonts w:ascii="Times New Roman" w:hAnsi="Times New Roman" w:cs="Times New Roman"/>
        </w:rPr>
        <w:t xml:space="preserve">The pages that follow </w:t>
      </w:r>
      <w:proofErr w:type="gramStart"/>
      <w:r w:rsidR="00C80CAC" w:rsidRPr="00A938F4">
        <w:rPr>
          <w:rFonts w:ascii="Times New Roman" w:hAnsi="Times New Roman" w:cs="Times New Roman"/>
        </w:rPr>
        <w:t>are</w:t>
      </w:r>
      <w:proofErr w:type="gramEnd"/>
      <w:r w:rsidR="00C80CAC" w:rsidRPr="00A938F4">
        <w:rPr>
          <w:rFonts w:ascii="Times New Roman" w:hAnsi="Times New Roman" w:cs="Times New Roman"/>
        </w:rPr>
        <w:t xml:space="preserve"> </w:t>
      </w:r>
      <w:r w:rsidR="009F2161" w:rsidRPr="00A938F4">
        <w:rPr>
          <w:rFonts w:ascii="Times New Roman" w:hAnsi="Times New Roman" w:cs="Times New Roman"/>
        </w:rPr>
        <w:t xml:space="preserve">DCA </w:t>
      </w:r>
      <w:r w:rsidR="00C80CAC" w:rsidRPr="00A938F4">
        <w:rPr>
          <w:rFonts w:ascii="Times New Roman" w:hAnsi="Times New Roman" w:cs="Times New Roman"/>
        </w:rPr>
        <w:t xml:space="preserve">responses to questions pertaining to </w:t>
      </w:r>
      <w:r w:rsidR="000657A6">
        <w:rPr>
          <w:rFonts w:ascii="Times New Roman" w:hAnsi="Times New Roman" w:cs="Times New Roman"/>
        </w:rPr>
        <w:t xml:space="preserve">the </w:t>
      </w:r>
      <w:r w:rsidR="00F01542" w:rsidRPr="00A938F4">
        <w:rPr>
          <w:rFonts w:ascii="Times New Roman" w:hAnsi="Times New Roman" w:cs="Times New Roman"/>
        </w:rPr>
        <w:t>Housing Tax Credit</w:t>
      </w:r>
      <w:r w:rsidR="00E94F24">
        <w:rPr>
          <w:rFonts w:ascii="Times New Roman" w:hAnsi="Times New Roman" w:cs="Times New Roman"/>
        </w:rPr>
        <w:t xml:space="preserve"> program</w:t>
      </w:r>
      <w:r w:rsidR="00F01542" w:rsidRPr="00A938F4">
        <w:rPr>
          <w:rFonts w:ascii="Times New Roman" w:hAnsi="Times New Roman" w:cs="Times New Roman"/>
        </w:rPr>
        <w:t>.</w:t>
      </w:r>
      <w:r w:rsidR="00402C8E" w:rsidRPr="00A938F4">
        <w:rPr>
          <w:rFonts w:ascii="Times New Roman" w:hAnsi="Times New Roman" w:cs="Times New Roman"/>
        </w:rPr>
        <w:t xml:space="preserve"> </w:t>
      </w:r>
    </w:p>
    <w:p w14:paraId="3FE01ED7" w14:textId="0885E8B7" w:rsidR="005A266F" w:rsidRPr="00A938F4" w:rsidRDefault="005A266F" w:rsidP="005A266F">
      <w:pPr>
        <w:pStyle w:val="Heading1"/>
        <w:rPr>
          <w:rFonts w:cs="Times New Roman"/>
        </w:rPr>
      </w:pPr>
      <w:r w:rsidRPr="00A938F4">
        <w:rPr>
          <w:rFonts w:cs="Times New Roman"/>
        </w:rPr>
        <w:t>Part I: Overview</w:t>
      </w:r>
    </w:p>
    <w:p w14:paraId="2F289F9B" w14:textId="386378C6" w:rsidR="006704F3" w:rsidRPr="00A938F4" w:rsidRDefault="006704F3" w:rsidP="006704F3">
      <w:pPr>
        <w:pStyle w:val="Heading2"/>
        <w:rPr>
          <w:rFonts w:cs="Times New Roman"/>
        </w:rPr>
      </w:pPr>
      <w:r w:rsidRPr="00A938F4">
        <w:rPr>
          <w:rFonts w:cs="Times New Roman"/>
        </w:rPr>
        <w:t>Submit</w:t>
      </w:r>
      <w:r w:rsidR="00CD1C00" w:rsidRPr="00A938F4">
        <w:rPr>
          <w:rFonts w:cs="Times New Roman"/>
        </w:rPr>
        <w:t>ting</w:t>
      </w:r>
      <w:r w:rsidRPr="00A938F4">
        <w:rPr>
          <w:rFonts w:cs="Times New Roman"/>
        </w:rPr>
        <w:t xml:space="preserve"> Questions</w:t>
      </w:r>
    </w:p>
    <w:p w14:paraId="5B270D2B" w14:textId="01A7251F" w:rsidR="004C6455" w:rsidRPr="00A938F4" w:rsidRDefault="00865369" w:rsidP="00C80CAC">
      <w:pPr>
        <w:rPr>
          <w:rFonts w:ascii="Times New Roman" w:hAnsi="Times New Roman" w:cs="Times New Roman"/>
        </w:rPr>
      </w:pPr>
      <w:r w:rsidRPr="00A938F4">
        <w:rPr>
          <w:rFonts w:ascii="Times New Roman" w:hAnsi="Times New Roman" w:cs="Times New Roman"/>
        </w:rPr>
        <w:t>Q</w:t>
      </w:r>
      <w:r w:rsidR="00C80CAC" w:rsidRPr="00A938F4">
        <w:rPr>
          <w:rFonts w:ascii="Times New Roman" w:hAnsi="Times New Roman" w:cs="Times New Roman"/>
        </w:rPr>
        <w:t xml:space="preserve">uestions must be submitted through the online </w:t>
      </w:r>
      <w:r w:rsidR="003F2D75" w:rsidRPr="00FE47C0">
        <w:rPr>
          <w:rFonts w:ascii="Times New Roman" w:hAnsi="Times New Roman" w:cs="Times New Roman"/>
        </w:rPr>
        <w:t>2022</w:t>
      </w:r>
      <w:r w:rsidR="00C67543" w:rsidRPr="00FE47C0">
        <w:rPr>
          <w:rFonts w:ascii="Times New Roman" w:hAnsi="Times New Roman" w:cs="Times New Roman"/>
        </w:rPr>
        <w:t xml:space="preserve"> </w:t>
      </w:r>
      <w:r w:rsidR="001344B0" w:rsidRPr="00A938F4">
        <w:rPr>
          <w:rFonts w:ascii="Times New Roman" w:hAnsi="Times New Roman" w:cs="Times New Roman"/>
        </w:rPr>
        <w:t>Housing Tax Credit</w:t>
      </w:r>
      <w:r w:rsidR="00A56DE6" w:rsidRPr="00A938F4">
        <w:rPr>
          <w:rFonts w:ascii="Times New Roman" w:hAnsi="Times New Roman" w:cs="Times New Roman"/>
        </w:rPr>
        <w:t xml:space="preserve"> </w:t>
      </w:r>
      <w:r w:rsidR="00A93549">
        <w:rPr>
          <w:rFonts w:ascii="Times New Roman" w:hAnsi="Times New Roman" w:cs="Times New Roman"/>
        </w:rPr>
        <w:t xml:space="preserve">program </w:t>
      </w:r>
      <w:r w:rsidR="00C80CAC" w:rsidRPr="00A938F4">
        <w:rPr>
          <w:rFonts w:ascii="Times New Roman" w:hAnsi="Times New Roman" w:cs="Times New Roman"/>
        </w:rPr>
        <w:t xml:space="preserve">Q&amp;A </w:t>
      </w:r>
      <w:r w:rsidR="004B66C7">
        <w:rPr>
          <w:rFonts w:ascii="Times New Roman" w:hAnsi="Times New Roman" w:cs="Times New Roman"/>
        </w:rPr>
        <w:t xml:space="preserve">survey </w:t>
      </w:r>
      <w:r w:rsidR="00C80CAC" w:rsidRPr="00A938F4">
        <w:rPr>
          <w:rFonts w:ascii="Times New Roman" w:hAnsi="Times New Roman" w:cs="Times New Roman"/>
        </w:rPr>
        <w:t xml:space="preserve">hosted on the </w:t>
      </w:r>
      <w:r w:rsidR="00140B5A">
        <w:rPr>
          <w:rFonts w:ascii="Times New Roman" w:hAnsi="Times New Roman" w:cs="Times New Roman"/>
        </w:rPr>
        <w:t>“</w:t>
      </w:r>
      <w:r w:rsidR="00C80CAC" w:rsidRPr="00A938F4">
        <w:rPr>
          <w:rFonts w:ascii="Times New Roman" w:hAnsi="Times New Roman" w:cs="Times New Roman"/>
        </w:rPr>
        <w:t>202</w:t>
      </w:r>
      <w:r w:rsidR="0046638A" w:rsidRPr="00A938F4">
        <w:rPr>
          <w:rFonts w:ascii="Times New Roman" w:hAnsi="Times New Roman" w:cs="Times New Roman"/>
        </w:rPr>
        <w:t>2</w:t>
      </w:r>
      <w:r w:rsidR="00C80CAC" w:rsidRPr="00A938F4">
        <w:rPr>
          <w:rFonts w:ascii="Times New Roman" w:hAnsi="Times New Roman" w:cs="Times New Roman"/>
        </w:rPr>
        <w:t xml:space="preserve"> QAP and Related Documents</w:t>
      </w:r>
      <w:r w:rsidR="00140B5A">
        <w:rPr>
          <w:rFonts w:ascii="Times New Roman" w:hAnsi="Times New Roman" w:cs="Times New Roman"/>
        </w:rPr>
        <w:t>”</w:t>
      </w:r>
      <w:r w:rsidR="00C80CAC" w:rsidRPr="00A938F4">
        <w:rPr>
          <w:rFonts w:ascii="Times New Roman" w:hAnsi="Times New Roman" w:cs="Times New Roman"/>
        </w:rPr>
        <w:t xml:space="preserve"> webpage </w:t>
      </w:r>
      <w:r w:rsidR="004D60EA">
        <w:rPr>
          <w:rFonts w:ascii="Times New Roman" w:hAnsi="Times New Roman" w:cs="Times New Roman"/>
        </w:rPr>
        <w:t xml:space="preserve">of the DCA website </w:t>
      </w:r>
      <w:r w:rsidR="00C80CAC" w:rsidRPr="00A938F4">
        <w:rPr>
          <w:rFonts w:ascii="Times New Roman" w:hAnsi="Times New Roman" w:cs="Times New Roman"/>
        </w:rPr>
        <w:t>(</w:t>
      </w:r>
      <w:hyperlink r:id="rId12" w:history="1">
        <w:r w:rsidR="00C80CAC" w:rsidRPr="00A938F4">
          <w:rPr>
            <w:rStyle w:val="Hyperlink"/>
            <w:rFonts w:ascii="Times New Roman" w:hAnsi="Times New Roman" w:cs="Times New Roman"/>
          </w:rPr>
          <w:t>click here</w:t>
        </w:r>
      </w:hyperlink>
      <w:r w:rsidR="00C80CAC" w:rsidRPr="00A938F4">
        <w:rPr>
          <w:rFonts w:ascii="Times New Roman" w:hAnsi="Times New Roman" w:cs="Times New Roman"/>
        </w:rPr>
        <w:t xml:space="preserve">). </w:t>
      </w:r>
    </w:p>
    <w:p w14:paraId="2E528202" w14:textId="23FCA9B0" w:rsidR="004C6455" w:rsidRPr="00A938F4" w:rsidRDefault="003F1CA0"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Having </w:t>
      </w:r>
      <w:r w:rsidR="004E7E05" w:rsidRPr="00A938F4">
        <w:rPr>
          <w:rFonts w:ascii="Times New Roman" w:hAnsi="Times New Roman" w:cs="Times New Roman"/>
          <w:b/>
          <w:bCs/>
        </w:rPr>
        <w:t xml:space="preserve">issues using the </w:t>
      </w:r>
      <w:r w:rsidRPr="00A938F4">
        <w:rPr>
          <w:rFonts w:ascii="Times New Roman" w:hAnsi="Times New Roman" w:cs="Times New Roman"/>
          <w:b/>
          <w:bCs/>
        </w:rPr>
        <w:t xml:space="preserve">online </w:t>
      </w:r>
      <w:r w:rsidR="004E7E05" w:rsidRPr="00A938F4">
        <w:rPr>
          <w:rFonts w:ascii="Times New Roman" w:hAnsi="Times New Roman" w:cs="Times New Roman"/>
          <w:b/>
          <w:bCs/>
        </w:rPr>
        <w:t>survey?</w:t>
      </w:r>
      <w:r w:rsidR="004E7E05" w:rsidRPr="00A938F4">
        <w:rPr>
          <w:rFonts w:ascii="Times New Roman" w:hAnsi="Times New Roman" w:cs="Times New Roman"/>
        </w:rPr>
        <w:t xml:space="preserve"> P</w:t>
      </w:r>
      <w:r w:rsidR="00CD140E" w:rsidRPr="00A938F4">
        <w:rPr>
          <w:rFonts w:ascii="Times New Roman" w:hAnsi="Times New Roman" w:cs="Times New Roman"/>
        </w:rPr>
        <w:t xml:space="preserve">lease email </w:t>
      </w:r>
      <w:hyperlink r:id="rId13" w:history="1">
        <w:r w:rsidR="00CD140E" w:rsidRPr="00A938F4">
          <w:rPr>
            <w:rStyle w:val="Hyperlink"/>
            <w:rFonts w:ascii="Times New Roman" w:hAnsi="Times New Roman" w:cs="Times New Roman"/>
          </w:rPr>
          <w:t>hfdround@dca.ga.gov</w:t>
        </w:r>
      </w:hyperlink>
      <w:r w:rsidR="00CD140E" w:rsidRPr="00A938F4">
        <w:rPr>
          <w:rFonts w:ascii="Times New Roman" w:hAnsi="Times New Roman" w:cs="Times New Roman"/>
        </w:rPr>
        <w:t xml:space="preserve">. </w:t>
      </w:r>
    </w:p>
    <w:p w14:paraId="28DE8BF9" w14:textId="718DC267" w:rsidR="00B75985" w:rsidRPr="00A938F4" w:rsidRDefault="009E0E40"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Concerned </w:t>
      </w:r>
      <w:r w:rsidR="00935E6E" w:rsidRPr="00A938F4">
        <w:rPr>
          <w:rFonts w:ascii="Times New Roman" w:hAnsi="Times New Roman" w:cs="Times New Roman"/>
          <w:b/>
          <w:bCs/>
        </w:rPr>
        <w:t xml:space="preserve">about the timing of DCA’s response? </w:t>
      </w:r>
    </w:p>
    <w:p w14:paraId="102A8AA8" w14:textId="3C56A5DA" w:rsidR="00943A93" w:rsidRPr="001A1D47" w:rsidRDefault="009E51D1" w:rsidP="001A1D47">
      <w:pPr>
        <w:pStyle w:val="ListParagraph"/>
        <w:numPr>
          <w:ilvl w:val="1"/>
          <w:numId w:val="2"/>
        </w:numPr>
        <w:rPr>
          <w:rFonts w:ascii="Times New Roman" w:hAnsi="Times New Roman" w:cs="Times New Roman"/>
        </w:rPr>
      </w:pPr>
      <w:r>
        <w:rPr>
          <w:rFonts w:ascii="Times New Roman" w:hAnsi="Times New Roman" w:cs="Times New Roman"/>
        </w:rPr>
        <w:t xml:space="preserve">At this time, </w:t>
      </w:r>
      <w:r w:rsidR="00F20E15">
        <w:rPr>
          <w:rFonts w:ascii="Times New Roman" w:hAnsi="Times New Roman" w:cs="Times New Roman"/>
        </w:rPr>
        <w:t>DCA is prioritizing questions pertaining to the Pre-Application deadline</w:t>
      </w:r>
      <w:r w:rsidR="004E6D40">
        <w:rPr>
          <w:rFonts w:ascii="Times New Roman" w:hAnsi="Times New Roman" w:cs="Times New Roman"/>
        </w:rPr>
        <w:t xml:space="preserve"> and </w:t>
      </w:r>
      <w:r w:rsidR="006F0805">
        <w:rPr>
          <w:rFonts w:ascii="Times New Roman" w:hAnsi="Times New Roman" w:cs="Times New Roman"/>
        </w:rPr>
        <w:t>site selection</w:t>
      </w:r>
      <w:r w:rsidR="00F20E15">
        <w:rPr>
          <w:rFonts w:ascii="Times New Roman" w:hAnsi="Times New Roman" w:cs="Times New Roman"/>
        </w:rPr>
        <w:t xml:space="preserve">. </w:t>
      </w:r>
      <w:r w:rsidR="00EF5AD0">
        <w:rPr>
          <w:rFonts w:ascii="Times New Roman" w:hAnsi="Times New Roman" w:cs="Times New Roman"/>
        </w:rPr>
        <w:t xml:space="preserve">For all other questions, please expect </w:t>
      </w:r>
      <w:r w:rsidR="00E06292">
        <w:rPr>
          <w:rFonts w:ascii="Times New Roman" w:hAnsi="Times New Roman" w:cs="Times New Roman"/>
        </w:rPr>
        <w:t xml:space="preserve">at least </w:t>
      </w:r>
      <w:r w:rsidR="003A4865">
        <w:rPr>
          <w:rFonts w:ascii="Times New Roman" w:hAnsi="Times New Roman" w:cs="Times New Roman"/>
        </w:rPr>
        <w:t xml:space="preserve">two </w:t>
      </w:r>
      <w:r w:rsidR="00CD1FAF">
        <w:rPr>
          <w:rFonts w:ascii="Times New Roman" w:hAnsi="Times New Roman" w:cs="Times New Roman"/>
        </w:rPr>
        <w:t xml:space="preserve">weeks </w:t>
      </w:r>
      <w:r w:rsidR="003A6B47">
        <w:rPr>
          <w:rFonts w:ascii="Times New Roman" w:hAnsi="Times New Roman" w:cs="Times New Roman"/>
        </w:rPr>
        <w:t xml:space="preserve">to see a posted response. </w:t>
      </w:r>
    </w:p>
    <w:p w14:paraId="0E30F057" w14:textId="2AB91C0B" w:rsidR="00ED26AE" w:rsidRPr="00A938F4" w:rsidRDefault="00CA4A26" w:rsidP="00486905">
      <w:pPr>
        <w:pStyle w:val="ListParagraph"/>
        <w:numPr>
          <w:ilvl w:val="1"/>
          <w:numId w:val="2"/>
        </w:numPr>
        <w:rPr>
          <w:rFonts w:ascii="Times New Roman" w:hAnsi="Times New Roman" w:cs="Times New Roman"/>
        </w:rPr>
      </w:pPr>
      <w:r w:rsidRPr="00A938F4">
        <w:rPr>
          <w:rFonts w:ascii="Times New Roman" w:hAnsi="Times New Roman" w:cs="Times New Roman"/>
        </w:rPr>
        <w:t xml:space="preserve">If you have concerns related to response timing, please email </w:t>
      </w:r>
      <w:hyperlink r:id="rId14" w:history="1">
        <w:r w:rsidR="00305E3C" w:rsidRPr="00A938F4">
          <w:rPr>
            <w:rStyle w:val="Hyperlink"/>
            <w:rFonts w:ascii="Times New Roman" w:hAnsi="Times New Roman" w:cs="Times New Roman"/>
          </w:rPr>
          <w:t>hfdround@dca.ga.gov</w:t>
        </w:r>
      </w:hyperlink>
      <w:r w:rsidR="00305E3C" w:rsidRPr="00A938F4">
        <w:rPr>
          <w:rFonts w:ascii="Times New Roman" w:hAnsi="Times New Roman" w:cs="Times New Roman"/>
        </w:rPr>
        <w:t xml:space="preserve"> </w:t>
      </w:r>
    </w:p>
    <w:p w14:paraId="483D250E" w14:textId="53501754" w:rsidR="0026322C" w:rsidRPr="00A938F4" w:rsidRDefault="00ED26AE"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Have a project-specific question?</w:t>
      </w:r>
      <w:r w:rsidRPr="00A938F4">
        <w:rPr>
          <w:rFonts w:ascii="Times New Roman" w:hAnsi="Times New Roman" w:cs="Times New Roman"/>
        </w:rPr>
        <w:t xml:space="preserve"> </w:t>
      </w:r>
      <w:r w:rsidR="00037557" w:rsidRPr="00A938F4">
        <w:rPr>
          <w:rFonts w:ascii="Times New Roman" w:hAnsi="Times New Roman" w:cs="Times New Roman"/>
        </w:rPr>
        <w:t xml:space="preserve">There is no separate option for “project-specific” questions. </w:t>
      </w:r>
      <w:r w:rsidR="008F7D71" w:rsidRPr="00A938F4">
        <w:rPr>
          <w:rFonts w:ascii="Times New Roman" w:hAnsi="Times New Roman" w:cs="Times New Roman"/>
        </w:rPr>
        <w:t>Currently</w:t>
      </w:r>
      <w:r w:rsidR="002E6451" w:rsidRPr="00A938F4">
        <w:rPr>
          <w:rFonts w:ascii="Times New Roman" w:hAnsi="Times New Roman" w:cs="Times New Roman"/>
        </w:rPr>
        <w:t>,</w:t>
      </w:r>
      <w:r w:rsidR="00A42788" w:rsidRPr="00A938F4">
        <w:rPr>
          <w:rFonts w:ascii="Times New Roman" w:hAnsi="Times New Roman" w:cs="Times New Roman"/>
        </w:rPr>
        <w:t xml:space="preserve"> </w:t>
      </w:r>
      <w:r w:rsidR="003F73AF" w:rsidRPr="00A938F4">
        <w:rPr>
          <w:rFonts w:ascii="Times New Roman" w:hAnsi="Times New Roman" w:cs="Times New Roman"/>
        </w:rPr>
        <w:t xml:space="preserve">all questions </w:t>
      </w:r>
      <w:r w:rsidR="00281571" w:rsidRPr="00A938F4">
        <w:rPr>
          <w:rFonts w:ascii="Times New Roman" w:hAnsi="Times New Roman" w:cs="Times New Roman"/>
        </w:rPr>
        <w:t>go through the same</w:t>
      </w:r>
      <w:r w:rsidR="00A879AB" w:rsidRPr="00A938F4">
        <w:rPr>
          <w:rFonts w:ascii="Times New Roman" w:hAnsi="Times New Roman" w:cs="Times New Roman"/>
        </w:rPr>
        <w:t xml:space="preserve"> approval and publication process. </w:t>
      </w:r>
      <w:r w:rsidR="005B2371" w:rsidRPr="00A938F4">
        <w:rPr>
          <w:rFonts w:ascii="Times New Roman" w:hAnsi="Times New Roman" w:cs="Times New Roman"/>
        </w:rPr>
        <w:t xml:space="preserve"> </w:t>
      </w:r>
      <w:r w:rsidR="002E6451" w:rsidRPr="00A938F4">
        <w:rPr>
          <w:rFonts w:ascii="Times New Roman" w:hAnsi="Times New Roman" w:cs="Times New Roman"/>
        </w:rPr>
        <w:t xml:space="preserve"> </w:t>
      </w:r>
    </w:p>
    <w:p w14:paraId="429BCD4E" w14:textId="5994FD4E" w:rsidR="00320169" w:rsidRPr="00A938F4" w:rsidRDefault="00320169"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Want to </w:t>
      </w:r>
      <w:r w:rsidR="00D80A78" w:rsidRPr="00A938F4">
        <w:rPr>
          <w:rFonts w:ascii="Times New Roman" w:hAnsi="Times New Roman" w:cs="Times New Roman"/>
          <w:b/>
          <w:bCs/>
        </w:rPr>
        <w:t xml:space="preserve">add context to </w:t>
      </w:r>
      <w:r w:rsidRPr="00A938F4">
        <w:rPr>
          <w:rFonts w:ascii="Times New Roman" w:hAnsi="Times New Roman" w:cs="Times New Roman"/>
          <w:b/>
          <w:bCs/>
        </w:rPr>
        <w:t xml:space="preserve">a </w:t>
      </w:r>
      <w:proofErr w:type="gramStart"/>
      <w:r w:rsidRPr="00A938F4">
        <w:rPr>
          <w:rFonts w:ascii="Times New Roman" w:hAnsi="Times New Roman" w:cs="Times New Roman"/>
          <w:b/>
          <w:bCs/>
        </w:rPr>
        <w:t>previously</w:t>
      </w:r>
      <w:r w:rsidR="00243C0C" w:rsidRPr="00A938F4">
        <w:rPr>
          <w:rFonts w:ascii="Times New Roman" w:hAnsi="Times New Roman" w:cs="Times New Roman"/>
          <w:b/>
          <w:bCs/>
        </w:rPr>
        <w:t>-</w:t>
      </w:r>
      <w:r w:rsidRPr="00A938F4">
        <w:rPr>
          <w:rFonts w:ascii="Times New Roman" w:hAnsi="Times New Roman" w:cs="Times New Roman"/>
          <w:b/>
          <w:bCs/>
        </w:rPr>
        <w:t>submitted</w:t>
      </w:r>
      <w:proofErr w:type="gramEnd"/>
      <w:r w:rsidRPr="00A938F4">
        <w:rPr>
          <w:rFonts w:ascii="Times New Roman" w:hAnsi="Times New Roman" w:cs="Times New Roman"/>
          <w:b/>
          <w:bCs/>
        </w:rPr>
        <w:t xml:space="preserve"> question? </w:t>
      </w:r>
      <w:r w:rsidR="00EA4A6E" w:rsidRPr="00A938F4">
        <w:rPr>
          <w:rFonts w:ascii="Times New Roman" w:hAnsi="Times New Roman" w:cs="Times New Roman"/>
        </w:rPr>
        <w:t xml:space="preserve">DCA updates </w:t>
      </w:r>
      <w:r w:rsidR="00526338" w:rsidRPr="00A938F4">
        <w:rPr>
          <w:rFonts w:ascii="Times New Roman" w:hAnsi="Times New Roman" w:cs="Times New Roman"/>
        </w:rPr>
        <w:t>the Q&amp;A postings based on what has been submitted through the online survey. To ensure your comment is considered, please</w:t>
      </w:r>
      <w:r w:rsidR="00EA4A6E" w:rsidRPr="00A938F4">
        <w:rPr>
          <w:rFonts w:ascii="Times New Roman" w:hAnsi="Times New Roman" w:cs="Times New Roman"/>
        </w:rPr>
        <w:t xml:space="preserve"> </w:t>
      </w:r>
      <w:r w:rsidR="00756E57" w:rsidRPr="00A938F4">
        <w:rPr>
          <w:rFonts w:ascii="Times New Roman" w:hAnsi="Times New Roman" w:cs="Times New Roman"/>
        </w:rPr>
        <w:t xml:space="preserve">do not email individual DCA staff. Instead, please submit your additional context through the online survey </w:t>
      </w:r>
      <w:r w:rsidR="00CC47B6" w:rsidRPr="00A938F4">
        <w:rPr>
          <w:rFonts w:ascii="Times New Roman" w:hAnsi="Times New Roman" w:cs="Times New Roman"/>
        </w:rPr>
        <w:t xml:space="preserve">and reference the </w:t>
      </w:r>
      <w:proofErr w:type="gramStart"/>
      <w:r w:rsidR="00CC47B6" w:rsidRPr="00A938F4">
        <w:rPr>
          <w:rFonts w:ascii="Times New Roman" w:hAnsi="Times New Roman" w:cs="Times New Roman"/>
        </w:rPr>
        <w:t>previously-submitted</w:t>
      </w:r>
      <w:proofErr w:type="gramEnd"/>
      <w:r w:rsidR="00CC47B6" w:rsidRPr="00A938F4">
        <w:rPr>
          <w:rFonts w:ascii="Times New Roman" w:hAnsi="Times New Roman" w:cs="Times New Roman"/>
        </w:rPr>
        <w:t xml:space="preserve"> question.</w:t>
      </w:r>
      <w:r w:rsidR="00447698" w:rsidRPr="00A938F4">
        <w:rPr>
          <w:rFonts w:ascii="Times New Roman" w:hAnsi="Times New Roman" w:cs="Times New Roman"/>
        </w:rPr>
        <w:t xml:space="preserve"> </w:t>
      </w:r>
      <w:r w:rsidRPr="00A938F4">
        <w:rPr>
          <w:rFonts w:ascii="Times New Roman" w:hAnsi="Times New Roman" w:cs="Times New Roman"/>
        </w:rPr>
        <w:t xml:space="preserve"> </w:t>
      </w:r>
    </w:p>
    <w:p w14:paraId="568508D4" w14:textId="16C441B5" w:rsidR="004C6455" w:rsidRPr="00A938F4" w:rsidRDefault="004C6455" w:rsidP="00ED26AE">
      <w:pPr>
        <w:rPr>
          <w:rFonts w:ascii="Times New Roman" w:hAnsi="Times New Roman" w:cs="Times New Roman"/>
        </w:rPr>
      </w:pPr>
    </w:p>
    <w:p w14:paraId="16987001" w14:textId="35B544C5" w:rsidR="003658C9" w:rsidRPr="00A938F4" w:rsidRDefault="0029286B" w:rsidP="0029286B">
      <w:pPr>
        <w:pStyle w:val="Heading2"/>
        <w:rPr>
          <w:rFonts w:cs="Times New Roman"/>
        </w:rPr>
      </w:pPr>
      <w:r w:rsidRPr="00A938F4">
        <w:rPr>
          <w:rFonts w:cs="Times New Roman"/>
        </w:rPr>
        <w:lastRenderedPageBreak/>
        <w:t>Deadline to Submit Questions</w:t>
      </w:r>
    </w:p>
    <w:p w14:paraId="52B2F71A" w14:textId="497B4C86" w:rsidR="00131FA9" w:rsidRDefault="00591E07" w:rsidP="00C80CAC">
      <w:pPr>
        <w:rPr>
          <w:rFonts w:ascii="Times New Roman" w:hAnsi="Times New Roman" w:cs="Times New Roman"/>
        </w:rPr>
      </w:pPr>
      <w:r w:rsidRPr="00A938F4">
        <w:rPr>
          <w:rFonts w:ascii="Times New Roman" w:hAnsi="Times New Roman" w:cs="Times New Roman"/>
        </w:rPr>
        <w:t xml:space="preserve">The deadline to submit questions is </w:t>
      </w:r>
      <w:r w:rsidR="00131FA9">
        <w:rPr>
          <w:rFonts w:ascii="Times New Roman" w:hAnsi="Times New Roman" w:cs="Times New Roman"/>
        </w:rPr>
        <w:t>the later of the following</w:t>
      </w:r>
      <w:r w:rsidR="005231E4">
        <w:rPr>
          <w:rFonts w:ascii="Times New Roman" w:hAnsi="Times New Roman" w:cs="Times New Roman"/>
        </w:rPr>
        <w:t xml:space="preserve"> two</w:t>
      </w:r>
      <w:r w:rsidR="00F61AA8">
        <w:rPr>
          <w:rFonts w:ascii="Times New Roman" w:hAnsi="Times New Roman" w:cs="Times New Roman"/>
        </w:rPr>
        <w:t xml:space="preserve"> dates:</w:t>
      </w:r>
      <w:r w:rsidR="00131FA9">
        <w:rPr>
          <w:rFonts w:ascii="Times New Roman" w:hAnsi="Times New Roman" w:cs="Times New Roman"/>
        </w:rPr>
        <w:t xml:space="preserve"> </w:t>
      </w:r>
    </w:p>
    <w:p w14:paraId="3525455B" w14:textId="401F2DC1" w:rsidR="00131FA9" w:rsidRDefault="00591E07" w:rsidP="00F32AC6">
      <w:pPr>
        <w:pStyle w:val="ListParagraph"/>
        <w:numPr>
          <w:ilvl w:val="0"/>
          <w:numId w:val="6"/>
        </w:numPr>
        <w:rPr>
          <w:rFonts w:ascii="Times New Roman" w:hAnsi="Times New Roman" w:cs="Times New Roman"/>
        </w:rPr>
      </w:pPr>
      <w:r w:rsidRPr="00FC6303">
        <w:rPr>
          <w:rFonts w:ascii="Times New Roman" w:hAnsi="Times New Roman" w:cs="Times New Roman"/>
        </w:rPr>
        <w:t>Monday, April 2</w:t>
      </w:r>
      <w:r w:rsidR="00754CC8" w:rsidRPr="00FC6303">
        <w:rPr>
          <w:rFonts w:ascii="Times New Roman" w:hAnsi="Times New Roman" w:cs="Times New Roman"/>
        </w:rPr>
        <w:t>5</w:t>
      </w:r>
      <w:r w:rsidRPr="00FC6303">
        <w:rPr>
          <w:rFonts w:ascii="Times New Roman" w:hAnsi="Times New Roman" w:cs="Times New Roman"/>
        </w:rPr>
        <w:t>, 2</w:t>
      </w:r>
      <w:r w:rsidRPr="00131FA9">
        <w:rPr>
          <w:rFonts w:ascii="Times New Roman" w:hAnsi="Times New Roman" w:cs="Times New Roman"/>
        </w:rPr>
        <w:t>02</w:t>
      </w:r>
      <w:r w:rsidR="00E91E6E" w:rsidRPr="00131FA9">
        <w:rPr>
          <w:rFonts w:ascii="Times New Roman" w:hAnsi="Times New Roman" w:cs="Times New Roman"/>
        </w:rPr>
        <w:t>2</w:t>
      </w:r>
      <w:r w:rsidR="0094425C" w:rsidRPr="00131FA9">
        <w:rPr>
          <w:rFonts w:ascii="Times New Roman" w:hAnsi="Times New Roman" w:cs="Times New Roman"/>
        </w:rPr>
        <w:t xml:space="preserve"> </w:t>
      </w:r>
    </w:p>
    <w:p w14:paraId="062F8E27" w14:textId="664DF35D" w:rsidR="00D46D92" w:rsidRDefault="0046399A" w:rsidP="00F32AC6">
      <w:pPr>
        <w:pStyle w:val="ListParagraph"/>
        <w:numPr>
          <w:ilvl w:val="0"/>
          <w:numId w:val="6"/>
        </w:numPr>
        <w:rPr>
          <w:rFonts w:ascii="Times New Roman" w:hAnsi="Times New Roman" w:cs="Times New Roman"/>
        </w:rPr>
      </w:pPr>
      <w:r>
        <w:rPr>
          <w:rFonts w:ascii="Times New Roman" w:hAnsi="Times New Roman" w:cs="Times New Roman"/>
        </w:rPr>
        <w:t xml:space="preserve">One week following the </w:t>
      </w:r>
      <w:r w:rsidR="00AF1E58">
        <w:rPr>
          <w:rFonts w:ascii="Times New Roman" w:hAnsi="Times New Roman" w:cs="Times New Roman"/>
        </w:rPr>
        <w:t xml:space="preserve">posting of the </w:t>
      </w:r>
      <w:proofErr w:type="spellStart"/>
      <w:r w:rsidR="00AF1E58">
        <w:rPr>
          <w:rFonts w:ascii="Times New Roman" w:hAnsi="Times New Roman" w:cs="Times New Roman"/>
        </w:rPr>
        <w:t>Emphasys</w:t>
      </w:r>
      <w:proofErr w:type="spellEnd"/>
      <w:r w:rsidR="00AF1E58">
        <w:rPr>
          <w:rFonts w:ascii="Times New Roman" w:hAnsi="Times New Roman" w:cs="Times New Roman"/>
        </w:rPr>
        <w:t xml:space="preserve"> application</w:t>
      </w:r>
      <w:r w:rsidR="006B7B27">
        <w:rPr>
          <w:rFonts w:ascii="Times New Roman" w:hAnsi="Times New Roman" w:cs="Times New Roman"/>
        </w:rPr>
        <w:t xml:space="preserve"> for 9% Credit application preparation</w:t>
      </w:r>
      <w:r w:rsidR="00F454E7">
        <w:rPr>
          <w:rFonts w:ascii="Times New Roman" w:hAnsi="Times New Roman" w:cs="Times New Roman"/>
        </w:rPr>
        <w:t xml:space="preserve"> </w:t>
      </w:r>
    </w:p>
    <w:p w14:paraId="372C529F" w14:textId="64CE9BCA" w:rsidR="00F93A97" w:rsidRPr="00805D6D" w:rsidRDefault="004D7806" w:rsidP="00805D6D">
      <w:pPr>
        <w:rPr>
          <w:rFonts w:ascii="Times New Roman" w:hAnsi="Times New Roman" w:cs="Times New Roman"/>
        </w:rPr>
      </w:pPr>
      <w:r w:rsidRPr="00805D6D">
        <w:rPr>
          <w:rFonts w:ascii="Times New Roman" w:hAnsi="Times New Roman" w:cs="Times New Roman"/>
        </w:rPr>
        <w:t>This deadline is to ensure that</w:t>
      </w:r>
      <w:r w:rsidR="000D7DA3" w:rsidRPr="00805D6D">
        <w:rPr>
          <w:rFonts w:ascii="Times New Roman" w:hAnsi="Times New Roman" w:cs="Times New Roman"/>
        </w:rPr>
        <w:t xml:space="preserve"> all applicants have sufficient time to</w:t>
      </w:r>
      <w:r w:rsidR="00081752" w:rsidRPr="00805D6D">
        <w:rPr>
          <w:rFonts w:ascii="Times New Roman" w:hAnsi="Times New Roman" w:cs="Times New Roman"/>
        </w:rPr>
        <w:t xml:space="preserve"> </w:t>
      </w:r>
      <w:r w:rsidR="003E2E40" w:rsidRPr="00805D6D">
        <w:rPr>
          <w:rFonts w:ascii="Times New Roman" w:hAnsi="Times New Roman" w:cs="Times New Roman"/>
        </w:rPr>
        <w:t xml:space="preserve">react </w:t>
      </w:r>
      <w:r w:rsidR="00081752" w:rsidRPr="00805D6D">
        <w:rPr>
          <w:rFonts w:ascii="Times New Roman" w:hAnsi="Times New Roman" w:cs="Times New Roman"/>
        </w:rPr>
        <w:t xml:space="preserve">to </w:t>
      </w:r>
      <w:r w:rsidR="00A029B5" w:rsidRPr="00805D6D">
        <w:rPr>
          <w:rFonts w:ascii="Times New Roman" w:hAnsi="Times New Roman" w:cs="Times New Roman"/>
        </w:rPr>
        <w:t xml:space="preserve">posted DCA responses </w:t>
      </w:r>
      <w:r w:rsidR="00322065" w:rsidRPr="00805D6D">
        <w:rPr>
          <w:rFonts w:ascii="Times New Roman" w:hAnsi="Times New Roman" w:cs="Times New Roman"/>
        </w:rPr>
        <w:t xml:space="preserve">before the </w:t>
      </w:r>
      <w:r w:rsidR="00F4227F" w:rsidRPr="00E11C7E">
        <w:rPr>
          <w:rFonts w:ascii="Times New Roman" w:hAnsi="Times New Roman" w:cs="Times New Roman"/>
        </w:rPr>
        <w:t>May 2</w:t>
      </w:r>
      <w:r w:rsidR="00615202" w:rsidRPr="00E11C7E">
        <w:rPr>
          <w:rFonts w:ascii="Times New Roman" w:hAnsi="Times New Roman" w:cs="Times New Roman"/>
        </w:rPr>
        <w:t>0</w:t>
      </w:r>
      <w:r w:rsidR="00615202">
        <w:rPr>
          <w:rFonts w:ascii="Times New Roman" w:hAnsi="Times New Roman" w:cs="Times New Roman"/>
          <w:vertAlign w:val="superscript"/>
        </w:rPr>
        <w:t xml:space="preserve"> </w:t>
      </w:r>
      <w:r w:rsidR="00322065" w:rsidRPr="00805D6D">
        <w:rPr>
          <w:rFonts w:ascii="Times New Roman" w:hAnsi="Times New Roman" w:cs="Times New Roman"/>
        </w:rPr>
        <w:t>application submission deadline</w:t>
      </w:r>
      <w:r w:rsidR="00CB5B83">
        <w:rPr>
          <w:rFonts w:ascii="Times New Roman" w:hAnsi="Times New Roman" w:cs="Times New Roman"/>
        </w:rPr>
        <w:t xml:space="preserve">. </w:t>
      </w:r>
    </w:p>
    <w:p w14:paraId="70C79854" w14:textId="7CF4E7E7" w:rsidR="00321263" w:rsidRPr="00A938F4" w:rsidRDefault="00321263" w:rsidP="00C80CAC">
      <w:pPr>
        <w:rPr>
          <w:rFonts w:ascii="Times New Roman" w:hAnsi="Times New Roman" w:cs="Times New Roman"/>
        </w:rPr>
      </w:pPr>
      <w:r w:rsidRPr="00A938F4">
        <w:rPr>
          <w:rFonts w:ascii="Times New Roman" w:hAnsi="Times New Roman" w:cs="Times New Roman"/>
        </w:rPr>
        <w:t xml:space="preserve">After this deadline, DCA will only respond to questions pertaining to the mechanics of application submission (e.g., </w:t>
      </w:r>
      <w:r w:rsidR="00A77D26" w:rsidRPr="00A938F4">
        <w:rPr>
          <w:rFonts w:ascii="Times New Roman" w:hAnsi="Times New Roman" w:cs="Times New Roman"/>
        </w:rPr>
        <w:t xml:space="preserve">issues </w:t>
      </w:r>
      <w:r w:rsidR="002D6F1A" w:rsidRPr="00A938F4">
        <w:rPr>
          <w:rFonts w:ascii="Times New Roman" w:hAnsi="Times New Roman" w:cs="Times New Roman"/>
        </w:rPr>
        <w:t>accessing the online application portal</w:t>
      </w:r>
      <w:r w:rsidR="008C2106">
        <w:rPr>
          <w:rFonts w:ascii="Times New Roman" w:hAnsi="Times New Roman" w:cs="Times New Roman"/>
        </w:rPr>
        <w:t xml:space="preserve">, </w:t>
      </w:r>
      <w:proofErr w:type="spellStart"/>
      <w:r w:rsidR="008C2106">
        <w:rPr>
          <w:rFonts w:ascii="Times New Roman" w:hAnsi="Times New Roman" w:cs="Times New Roman"/>
        </w:rPr>
        <w:t>Emphasys</w:t>
      </w:r>
      <w:proofErr w:type="spellEnd"/>
      <w:r w:rsidR="002D6F1A" w:rsidRPr="00A938F4">
        <w:rPr>
          <w:rFonts w:ascii="Times New Roman" w:hAnsi="Times New Roman" w:cs="Times New Roman"/>
        </w:rPr>
        <w:t xml:space="preserve">). </w:t>
      </w:r>
    </w:p>
    <w:p w14:paraId="0343A782" w14:textId="05D2FF4D" w:rsidR="003E4094" w:rsidRPr="00A938F4" w:rsidRDefault="004007BE" w:rsidP="004007BE">
      <w:pPr>
        <w:pStyle w:val="Heading2"/>
        <w:rPr>
          <w:rFonts w:cs="Times New Roman"/>
        </w:rPr>
      </w:pPr>
      <w:r w:rsidRPr="00A938F4">
        <w:rPr>
          <w:rFonts w:cs="Times New Roman"/>
        </w:rPr>
        <w:t xml:space="preserve">Q&amp;A Document Update Process  </w:t>
      </w:r>
    </w:p>
    <w:p w14:paraId="01F7CC9B" w14:textId="77777777" w:rsidR="00F6468A" w:rsidRPr="00A938F4" w:rsidRDefault="00C80CAC" w:rsidP="00C80CAC">
      <w:pPr>
        <w:rPr>
          <w:rFonts w:ascii="Times New Roman" w:hAnsi="Times New Roman" w:cs="Times New Roman"/>
        </w:rPr>
      </w:pPr>
      <w:r w:rsidRPr="00A938F4">
        <w:rPr>
          <w:rFonts w:ascii="Times New Roman" w:hAnsi="Times New Roman" w:cs="Times New Roman"/>
        </w:rPr>
        <w:t xml:space="preserve">DCA will update the Q&amp;A document </w:t>
      </w:r>
      <w:r w:rsidR="00DD5513" w:rsidRPr="00A938F4">
        <w:rPr>
          <w:rFonts w:ascii="Times New Roman" w:hAnsi="Times New Roman" w:cs="Times New Roman"/>
        </w:rPr>
        <w:t xml:space="preserve">in small, incremental </w:t>
      </w:r>
      <w:r w:rsidR="006C26C3" w:rsidRPr="00A938F4">
        <w:rPr>
          <w:rFonts w:ascii="Times New Roman" w:hAnsi="Times New Roman" w:cs="Times New Roman"/>
        </w:rPr>
        <w:t xml:space="preserve">response </w:t>
      </w:r>
      <w:r w:rsidR="008C4E1D" w:rsidRPr="00A938F4">
        <w:rPr>
          <w:rFonts w:ascii="Times New Roman" w:hAnsi="Times New Roman" w:cs="Times New Roman"/>
        </w:rPr>
        <w:t>sets</w:t>
      </w:r>
      <w:r w:rsidR="008D68BE" w:rsidRPr="00A938F4">
        <w:rPr>
          <w:rFonts w:ascii="Times New Roman" w:hAnsi="Times New Roman" w:cs="Times New Roman"/>
        </w:rPr>
        <w:t xml:space="preserve">. </w:t>
      </w:r>
      <w:r w:rsidRPr="00A938F4">
        <w:rPr>
          <w:rFonts w:ascii="Times New Roman" w:hAnsi="Times New Roman" w:cs="Times New Roman"/>
        </w:rPr>
        <w:t xml:space="preserve">As this will increase the number of updates to the document relative to prior years, DCA will not send an email notification each time the Q&amp;A document is updated. </w:t>
      </w:r>
    </w:p>
    <w:p w14:paraId="4087F9F7" w14:textId="4023BE0A" w:rsidR="00C80CAC" w:rsidRPr="00A938F4" w:rsidRDefault="00C80CAC" w:rsidP="00C80CAC">
      <w:pPr>
        <w:rPr>
          <w:rFonts w:ascii="Times New Roman" w:hAnsi="Times New Roman" w:cs="Times New Roman"/>
        </w:rPr>
      </w:pPr>
      <w:r w:rsidRPr="00A938F4">
        <w:rPr>
          <w:rFonts w:ascii="Times New Roman" w:hAnsi="Times New Roman" w:cs="Times New Roman"/>
        </w:rPr>
        <w:t xml:space="preserve">Please monitor the “Updated” date by the Q&amp;A document on the DCA website to track when DCA has released additional responses. </w:t>
      </w:r>
      <w:r w:rsidR="00C02D9E" w:rsidRPr="00A938F4">
        <w:rPr>
          <w:rFonts w:ascii="Times New Roman" w:hAnsi="Times New Roman" w:cs="Times New Roman"/>
        </w:rPr>
        <w:t xml:space="preserve">By default, the table below will be sorted such that the most recent responses are at the top. </w:t>
      </w:r>
    </w:p>
    <w:p w14:paraId="3B8D43A9" w14:textId="4CF53CC9" w:rsidR="00C80CAC" w:rsidRPr="00A938F4" w:rsidRDefault="00C80CAC" w:rsidP="00035F89">
      <w:pPr>
        <w:pStyle w:val="Heading2"/>
        <w:rPr>
          <w:rFonts w:cs="Times New Roman"/>
        </w:rPr>
      </w:pPr>
      <w:r w:rsidRPr="00A938F4">
        <w:rPr>
          <w:rFonts w:cs="Times New Roman"/>
        </w:rPr>
        <w:t>Navigating</w:t>
      </w:r>
      <w:r w:rsidR="0095013A" w:rsidRPr="00A938F4">
        <w:rPr>
          <w:rFonts w:cs="Times New Roman"/>
        </w:rPr>
        <w:t xml:space="preserve"> the Q&amp;A Table</w:t>
      </w:r>
      <w:r w:rsidRPr="00A938F4">
        <w:rPr>
          <w:rFonts w:cs="Times New Roman"/>
        </w:rPr>
        <w:t xml:space="preserve"> </w:t>
      </w:r>
    </w:p>
    <w:p w14:paraId="0B956C17" w14:textId="1E3CC9A3" w:rsidR="00804F23" w:rsidRPr="00A938F4" w:rsidRDefault="00C80CAC" w:rsidP="00785F6D">
      <w:pPr>
        <w:rPr>
          <w:rFonts w:ascii="Times New Roman" w:hAnsi="Times New Roman" w:cs="Times New Roman"/>
        </w:rPr>
      </w:pPr>
      <w:r w:rsidRPr="00A938F4">
        <w:rPr>
          <w:rFonts w:ascii="Times New Roman" w:hAnsi="Times New Roman" w:cs="Times New Roman"/>
        </w:rPr>
        <w:t xml:space="preserve">The below table, as posted to the DCA website, is sorted in descending order by date posted. </w:t>
      </w:r>
      <w:r w:rsidR="002235D3" w:rsidRPr="00A938F4">
        <w:rPr>
          <w:rFonts w:ascii="Times New Roman" w:hAnsi="Times New Roman" w:cs="Times New Roman"/>
        </w:rPr>
        <w:t xml:space="preserve">If preferred, the </w:t>
      </w:r>
      <w:r w:rsidR="00382A45" w:rsidRPr="00A938F4">
        <w:rPr>
          <w:rFonts w:ascii="Times New Roman" w:hAnsi="Times New Roman" w:cs="Times New Roman"/>
        </w:rPr>
        <w:t xml:space="preserve">document </w:t>
      </w:r>
      <w:r w:rsidRPr="00A938F4">
        <w:rPr>
          <w:rFonts w:ascii="Times New Roman" w:hAnsi="Times New Roman" w:cs="Times New Roman"/>
        </w:rPr>
        <w:t xml:space="preserve">can </w:t>
      </w:r>
      <w:r w:rsidR="00DD4B22" w:rsidRPr="00A938F4">
        <w:rPr>
          <w:rFonts w:ascii="Times New Roman" w:hAnsi="Times New Roman" w:cs="Times New Roman"/>
        </w:rPr>
        <w:t xml:space="preserve">also </w:t>
      </w:r>
      <w:r w:rsidRPr="00A938F4">
        <w:rPr>
          <w:rFonts w:ascii="Times New Roman" w:hAnsi="Times New Roman" w:cs="Times New Roman"/>
        </w:rPr>
        <w:t>be sorted by category</w:t>
      </w:r>
      <w:r w:rsidR="00A32665" w:rsidRPr="00A938F4">
        <w:rPr>
          <w:rFonts w:ascii="Times New Roman" w:hAnsi="Times New Roman" w:cs="Times New Roman"/>
        </w:rPr>
        <w:t xml:space="preserve"> (in Microsoft Word, </w:t>
      </w:r>
      <w:r w:rsidR="00E85598" w:rsidRPr="00A938F4">
        <w:rPr>
          <w:rFonts w:ascii="Times New Roman" w:hAnsi="Times New Roman" w:cs="Times New Roman"/>
        </w:rPr>
        <w:t xml:space="preserve">select the full table, </w:t>
      </w:r>
      <w:r w:rsidR="00A32665" w:rsidRPr="00A938F4">
        <w:rPr>
          <w:rFonts w:ascii="Times New Roman" w:hAnsi="Times New Roman" w:cs="Times New Roman"/>
        </w:rPr>
        <w:t xml:space="preserve">select “Home” </w:t>
      </w:r>
      <w:r w:rsidR="0070417D" w:rsidRPr="000A6953">
        <w:rPr>
          <w:rFonts w:ascii="Wingdings" w:eastAsia="Wingdings" w:hAnsi="Wingdings" w:cs="Wingdings"/>
        </w:rPr>
        <w:t>à</w:t>
      </w:r>
      <w:r w:rsidR="00A32665" w:rsidRPr="00A938F4">
        <w:rPr>
          <w:rFonts w:ascii="Times New Roman" w:hAnsi="Times New Roman" w:cs="Times New Roman"/>
        </w:rPr>
        <w:t xml:space="preserve"> </w:t>
      </w:r>
      <w:r w:rsidR="001C1B3F" w:rsidRPr="00A938F4">
        <w:rPr>
          <w:rFonts w:ascii="Times New Roman" w:hAnsi="Times New Roman" w:cs="Times New Roman"/>
        </w:rPr>
        <w:t>“Sort”</w:t>
      </w:r>
      <w:r w:rsidR="00B82A7F" w:rsidRPr="00A938F4">
        <w:rPr>
          <w:rFonts w:ascii="Times New Roman" w:hAnsi="Times New Roman" w:cs="Times New Roman"/>
        </w:rPr>
        <w:t xml:space="preserve">, </w:t>
      </w:r>
      <w:r w:rsidR="001C1B3F" w:rsidRPr="00A938F4">
        <w:rPr>
          <w:rFonts w:ascii="Times New Roman" w:hAnsi="Times New Roman" w:cs="Times New Roman"/>
        </w:rPr>
        <w:t xml:space="preserve">under </w:t>
      </w:r>
      <w:r w:rsidR="008B470F" w:rsidRPr="00A938F4">
        <w:rPr>
          <w:rFonts w:ascii="Times New Roman" w:hAnsi="Times New Roman" w:cs="Times New Roman"/>
        </w:rPr>
        <w:t xml:space="preserve">the </w:t>
      </w:r>
      <w:r w:rsidR="001C1B3F" w:rsidRPr="00A938F4">
        <w:rPr>
          <w:rFonts w:ascii="Times New Roman" w:hAnsi="Times New Roman" w:cs="Times New Roman"/>
        </w:rPr>
        <w:t>Paragraph section</w:t>
      </w:r>
      <w:r w:rsidR="00B82A7F" w:rsidRPr="00A938F4">
        <w:rPr>
          <w:rFonts w:ascii="Times New Roman" w:hAnsi="Times New Roman" w:cs="Times New Roman"/>
        </w:rPr>
        <w:t>)</w:t>
      </w:r>
      <w:r w:rsidRPr="00A938F4">
        <w:rPr>
          <w:rFonts w:ascii="Times New Roman" w:hAnsi="Times New Roman" w:cs="Times New Roman"/>
        </w:rPr>
        <w:t xml:space="preserve">. </w:t>
      </w:r>
    </w:p>
    <w:p w14:paraId="578628CE" w14:textId="00FB6021" w:rsidR="00A4436B" w:rsidRPr="00A938F4" w:rsidRDefault="00A4436B" w:rsidP="00785F6D">
      <w:pPr>
        <w:rPr>
          <w:rFonts w:ascii="Times New Roman" w:hAnsi="Times New Roman" w:cs="Times New Roman"/>
        </w:rPr>
      </w:pPr>
      <w:r w:rsidRPr="00A938F4">
        <w:rPr>
          <w:rFonts w:ascii="Times New Roman" w:hAnsi="Times New Roman" w:cs="Times New Roman"/>
        </w:rPr>
        <w:t>In the window that pops up, select the following:</w:t>
      </w:r>
    </w:p>
    <w:p w14:paraId="6F90EB88" w14:textId="61707B93" w:rsidR="00CC5812" w:rsidRPr="00A938F4" w:rsidRDefault="0015268E" w:rsidP="00F32AC6">
      <w:pPr>
        <w:pStyle w:val="ListParagraph"/>
        <w:numPr>
          <w:ilvl w:val="0"/>
          <w:numId w:val="4"/>
        </w:numPr>
        <w:rPr>
          <w:rFonts w:ascii="Times New Roman" w:hAnsi="Times New Roman" w:cs="Times New Roman"/>
        </w:rPr>
      </w:pPr>
      <w:r w:rsidRPr="00A938F4">
        <w:rPr>
          <w:rFonts w:ascii="Times New Roman" w:hAnsi="Times New Roman" w:cs="Times New Roman"/>
        </w:rPr>
        <w:t xml:space="preserve">The </w:t>
      </w:r>
      <w:r w:rsidRPr="00A938F4">
        <w:rPr>
          <w:rFonts w:ascii="Times New Roman" w:hAnsi="Times New Roman" w:cs="Times New Roman"/>
          <w:b/>
          <w:bCs/>
        </w:rPr>
        <w:t>Date</w:t>
      </w:r>
      <w:r w:rsidRPr="00A938F4">
        <w:rPr>
          <w:rFonts w:ascii="Times New Roman" w:hAnsi="Times New Roman" w:cs="Times New Roman"/>
        </w:rPr>
        <w:t xml:space="preserve"> </w:t>
      </w:r>
      <w:r w:rsidR="00F13F1A" w:rsidRPr="00A938F4">
        <w:rPr>
          <w:rFonts w:ascii="Times New Roman" w:hAnsi="Times New Roman" w:cs="Times New Roman"/>
          <w:b/>
          <w:bCs/>
        </w:rPr>
        <w:t>Posted</w:t>
      </w:r>
      <w:r w:rsidR="00F13F1A" w:rsidRPr="00A938F4">
        <w:rPr>
          <w:rFonts w:ascii="Times New Roman" w:hAnsi="Times New Roman" w:cs="Times New Roman"/>
        </w:rPr>
        <w:t xml:space="preserve"> column </w:t>
      </w:r>
      <w:r w:rsidRPr="00A938F4">
        <w:rPr>
          <w:rFonts w:ascii="Times New Roman" w:hAnsi="Times New Roman" w:cs="Times New Roman"/>
        </w:rPr>
        <w:t>should be sorted by “Type: Date”</w:t>
      </w:r>
    </w:p>
    <w:p w14:paraId="20EC5B97" w14:textId="43A84189" w:rsidR="0015268E" w:rsidRPr="00A938F4" w:rsidRDefault="0015268E" w:rsidP="00F32AC6">
      <w:pPr>
        <w:pStyle w:val="ListParagraph"/>
        <w:numPr>
          <w:ilvl w:val="0"/>
          <w:numId w:val="4"/>
        </w:numPr>
        <w:rPr>
          <w:rFonts w:ascii="Times New Roman" w:hAnsi="Times New Roman" w:cs="Times New Roman"/>
        </w:rPr>
      </w:pPr>
      <w:r w:rsidRPr="00A938F4">
        <w:rPr>
          <w:rFonts w:ascii="Times New Roman" w:hAnsi="Times New Roman" w:cs="Times New Roman"/>
        </w:rPr>
        <w:t xml:space="preserve">The </w:t>
      </w:r>
      <w:r w:rsidR="00F13F1A" w:rsidRPr="00A938F4">
        <w:rPr>
          <w:rFonts w:ascii="Times New Roman" w:hAnsi="Times New Roman" w:cs="Times New Roman"/>
          <w:b/>
          <w:bCs/>
        </w:rPr>
        <w:t>Category</w:t>
      </w:r>
      <w:r w:rsidR="00F13F1A" w:rsidRPr="00A938F4">
        <w:rPr>
          <w:rFonts w:ascii="Times New Roman" w:hAnsi="Times New Roman" w:cs="Times New Roman"/>
        </w:rPr>
        <w:t xml:space="preserve"> </w:t>
      </w:r>
      <w:r w:rsidR="00E45BA3" w:rsidRPr="00A938F4">
        <w:rPr>
          <w:rFonts w:ascii="Times New Roman" w:hAnsi="Times New Roman" w:cs="Times New Roman"/>
        </w:rPr>
        <w:t>column should be sorted by “Type: Number”</w:t>
      </w:r>
    </w:p>
    <w:p w14:paraId="29F1DB44" w14:textId="078E0062" w:rsidR="00C80CAC" w:rsidRPr="00A938F4" w:rsidRDefault="00BC6305" w:rsidP="00785F6D">
      <w:pPr>
        <w:rPr>
          <w:rFonts w:ascii="Times New Roman" w:hAnsi="Times New Roman" w:cs="Times New Roman"/>
        </w:rPr>
      </w:pPr>
      <w:r w:rsidRPr="00A938F4">
        <w:rPr>
          <w:rFonts w:ascii="Times New Roman" w:hAnsi="Times New Roman" w:cs="Times New Roman"/>
        </w:rPr>
        <w:t xml:space="preserve">Question categories are assigned a number </w:t>
      </w:r>
      <w:r w:rsidR="00C07BB7" w:rsidRPr="00A938F4">
        <w:rPr>
          <w:rFonts w:ascii="Times New Roman" w:hAnsi="Times New Roman" w:cs="Times New Roman"/>
        </w:rPr>
        <w:t xml:space="preserve">for purposes of </w:t>
      </w:r>
      <w:r w:rsidR="005B23E3" w:rsidRPr="00A938F4">
        <w:rPr>
          <w:rFonts w:ascii="Times New Roman" w:hAnsi="Times New Roman" w:cs="Times New Roman"/>
        </w:rPr>
        <w:t xml:space="preserve">table sorting. </w:t>
      </w:r>
      <w:r w:rsidR="005F0863" w:rsidRPr="00A938F4">
        <w:rPr>
          <w:rFonts w:ascii="Times New Roman" w:hAnsi="Times New Roman" w:cs="Times New Roman"/>
        </w:rPr>
        <w:t xml:space="preserve">Below are the category </w:t>
      </w:r>
      <w:r w:rsidR="00C563EB" w:rsidRPr="00A938F4">
        <w:rPr>
          <w:rFonts w:ascii="Times New Roman" w:hAnsi="Times New Roman" w:cs="Times New Roman"/>
        </w:rPr>
        <w:t xml:space="preserve">breakdowns in the Q&amp;A table: </w:t>
      </w:r>
    </w:p>
    <w:p w14:paraId="3E75901A" w14:textId="2FD3AF56"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1-Core Plan</w:t>
      </w:r>
    </w:p>
    <w:p w14:paraId="3F260B77" w14:textId="66FA2FEF"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2-Threshold</w:t>
      </w:r>
    </w:p>
    <w:p w14:paraId="31929BCA" w14:textId="270DDEC9"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3-Scoring</w:t>
      </w:r>
    </w:p>
    <w:p w14:paraId="606F59C4" w14:textId="56D405F9"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4-Compliance Appendix</w:t>
      </w:r>
    </w:p>
    <w:p w14:paraId="2AD395B0" w14:textId="4B420565"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5-Manuals</w:t>
      </w:r>
    </w:p>
    <w:p w14:paraId="3ED5D95F" w14:textId="1EBDB4CE" w:rsidR="00110808" w:rsidRPr="00A938F4" w:rsidRDefault="00110808" w:rsidP="00486905">
      <w:pPr>
        <w:pStyle w:val="ListParagraph"/>
        <w:numPr>
          <w:ilvl w:val="0"/>
          <w:numId w:val="1"/>
        </w:numPr>
        <w:rPr>
          <w:rFonts w:ascii="Times New Roman" w:hAnsi="Times New Roman" w:cs="Times New Roman"/>
        </w:rPr>
      </w:pPr>
      <w:r w:rsidRPr="00A938F4">
        <w:rPr>
          <w:rFonts w:ascii="Times New Roman" w:hAnsi="Times New Roman" w:cs="Times New Roman"/>
        </w:rPr>
        <w:t>6-</w:t>
      </w:r>
      <w:r w:rsidR="00C72428" w:rsidRPr="00A938F4">
        <w:rPr>
          <w:rFonts w:ascii="Times New Roman" w:hAnsi="Times New Roman" w:cs="Times New Roman"/>
        </w:rPr>
        <w:t xml:space="preserve">Emphasys </w:t>
      </w:r>
      <w:r w:rsidR="00A056E8" w:rsidRPr="00A938F4">
        <w:rPr>
          <w:rFonts w:ascii="Times New Roman" w:hAnsi="Times New Roman" w:cs="Times New Roman"/>
        </w:rPr>
        <w:t xml:space="preserve">Application Portal </w:t>
      </w:r>
    </w:p>
    <w:p w14:paraId="1222407B" w14:textId="40F8C772" w:rsidR="00C80CAC" w:rsidRPr="00A938F4" w:rsidRDefault="00A913C8" w:rsidP="00486905">
      <w:pPr>
        <w:pStyle w:val="ListParagraph"/>
        <w:numPr>
          <w:ilvl w:val="0"/>
          <w:numId w:val="1"/>
        </w:numPr>
        <w:rPr>
          <w:rFonts w:ascii="Times New Roman" w:hAnsi="Times New Roman" w:cs="Times New Roman"/>
        </w:rPr>
      </w:pPr>
      <w:r w:rsidRPr="00A938F4">
        <w:rPr>
          <w:rFonts w:ascii="Times New Roman" w:hAnsi="Times New Roman" w:cs="Times New Roman"/>
        </w:rPr>
        <w:t>7</w:t>
      </w:r>
      <w:r w:rsidR="00C80CAC" w:rsidRPr="00A938F4">
        <w:rPr>
          <w:rFonts w:ascii="Times New Roman" w:hAnsi="Times New Roman" w:cs="Times New Roman"/>
        </w:rPr>
        <w:t>-Application Materials</w:t>
      </w:r>
      <w:r w:rsidR="00182630" w:rsidRPr="00A938F4">
        <w:rPr>
          <w:rFonts w:ascii="Times New Roman" w:hAnsi="Times New Roman" w:cs="Times New Roman"/>
        </w:rPr>
        <w:t xml:space="preserve"> (Forms, etc.)</w:t>
      </w:r>
    </w:p>
    <w:p w14:paraId="230848B7" w14:textId="6F3C34D1" w:rsidR="00B74C3B" w:rsidRPr="00A938F4" w:rsidRDefault="00B74C3B" w:rsidP="00486905">
      <w:pPr>
        <w:pStyle w:val="ListParagraph"/>
        <w:numPr>
          <w:ilvl w:val="0"/>
          <w:numId w:val="1"/>
        </w:numPr>
        <w:rPr>
          <w:rFonts w:ascii="Times New Roman" w:hAnsi="Times New Roman" w:cs="Times New Roman"/>
        </w:rPr>
      </w:pPr>
      <w:r w:rsidRPr="00A938F4">
        <w:rPr>
          <w:rFonts w:ascii="Times New Roman" w:hAnsi="Times New Roman" w:cs="Times New Roman"/>
        </w:rPr>
        <w:lastRenderedPageBreak/>
        <w:t>8-</w:t>
      </w:r>
      <w:r w:rsidR="001414D9" w:rsidRPr="00A938F4">
        <w:rPr>
          <w:rFonts w:ascii="Times New Roman" w:hAnsi="Times New Roman" w:cs="Times New Roman"/>
        </w:rPr>
        <w:t xml:space="preserve">Post-Award Clarifications </w:t>
      </w:r>
      <w:r w:rsidR="008D4F7D" w:rsidRPr="00A938F4">
        <w:rPr>
          <w:rFonts w:ascii="Times New Roman" w:hAnsi="Times New Roman" w:cs="Times New Roman"/>
        </w:rPr>
        <w:t>(</w:t>
      </w:r>
      <w:r w:rsidR="001C6A3C" w:rsidRPr="00A938F4">
        <w:rPr>
          <w:rFonts w:ascii="Times New Roman" w:hAnsi="Times New Roman" w:cs="Times New Roman"/>
        </w:rPr>
        <w:t xml:space="preserve">for </w:t>
      </w:r>
      <w:r w:rsidR="00783CA7" w:rsidRPr="00A938F4">
        <w:rPr>
          <w:rFonts w:ascii="Times New Roman" w:hAnsi="Times New Roman" w:cs="Times New Roman"/>
        </w:rPr>
        <w:t xml:space="preserve">developments </w:t>
      </w:r>
      <w:r w:rsidR="001C6A3C" w:rsidRPr="00A938F4">
        <w:rPr>
          <w:rFonts w:ascii="Times New Roman" w:hAnsi="Times New Roman" w:cs="Times New Roman"/>
        </w:rPr>
        <w:t xml:space="preserve">that have not </w:t>
      </w:r>
      <w:r w:rsidR="000E463E" w:rsidRPr="00A938F4">
        <w:rPr>
          <w:rFonts w:ascii="Times New Roman" w:hAnsi="Times New Roman" w:cs="Times New Roman"/>
        </w:rPr>
        <w:t xml:space="preserve">yet </w:t>
      </w:r>
      <w:r w:rsidR="001C6A3C" w:rsidRPr="00A938F4">
        <w:rPr>
          <w:rFonts w:ascii="Times New Roman" w:hAnsi="Times New Roman" w:cs="Times New Roman"/>
        </w:rPr>
        <w:t>received 8609s</w:t>
      </w:r>
      <w:r w:rsidR="00820DFD" w:rsidRPr="00A938F4">
        <w:rPr>
          <w:rFonts w:ascii="Times New Roman" w:hAnsi="Times New Roman" w:cs="Times New Roman"/>
        </w:rPr>
        <w:t xml:space="preserve">) </w:t>
      </w:r>
      <w:r w:rsidR="008D4F7D" w:rsidRPr="00A938F4">
        <w:rPr>
          <w:rFonts w:ascii="Times New Roman" w:hAnsi="Times New Roman" w:cs="Times New Roman"/>
        </w:rPr>
        <w:t xml:space="preserve"> </w:t>
      </w:r>
    </w:p>
    <w:p w14:paraId="4D63FE65" w14:textId="7D8EEC49" w:rsidR="00E023E6" w:rsidRPr="00A938F4" w:rsidRDefault="000F54F9" w:rsidP="00486905">
      <w:pPr>
        <w:pStyle w:val="ListParagraph"/>
        <w:numPr>
          <w:ilvl w:val="0"/>
          <w:numId w:val="1"/>
        </w:numPr>
        <w:rPr>
          <w:rFonts w:ascii="Times New Roman" w:hAnsi="Times New Roman" w:cs="Times New Roman"/>
        </w:rPr>
      </w:pPr>
      <w:r w:rsidRPr="00A938F4">
        <w:rPr>
          <w:rFonts w:ascii="Times New Roman" w:hAnsi="Times New Roman" w:cs="Times New Roman"/>
        </w:rPr>
        <w:t>9</w:t>
      </w:r>
      <w:r w:rsidR="00C80CAC" w:rsidRPr="00A938F4">
        <w:rPr>
          <w:rFonts w:ascii="Times New Roman" w:hAnsi="Times New Roman" w:cs="Times New Roman"/>
        </w:rPr>
        <w:t xml:space="preserve">-Other </w:t>
      </w:r>
    </w:p>
    <w:p w14:paraId="036C49B6" w14:textId="77777777" w:rsidR="00B6442F" w:rsidRPr="00A938F4" w:rsidRDefault="005D7CF0" w:rsidP="00C965C9">
      <w:pPr>
        <w:rPr>
          <w:rFonts w:ascii="Times New Roman" w:hAnsi="Times New Roman" w:cs="Times New Roman"/>
        </w:rPr>
      </w:pPr>
      <w:r w:rsidRPr="00A938F4">
        <w:rPr>
          <w:rFonts w:ascii="Times New Roman" w:hAnsi="Times New Roman" w:cs="Times New Roman"/>
        </w:rPr>
        <w:t xml:space="preserve">Category numbers take the </w:t>
      </w:r>
      <w:r w:rsidR="00B6442F" w:rsidRPr="00A938F4">
        <w:rPr>
          <w:rFonts w:ascii="Times New Roman" w:hAnsi="Times New Roman" w:cs="Times New Roman"/>
        </w:rPr>
        <w:t xml:space="preserve">following </w:t>
      </w:r>
      <w:r w:rsidRPr="00A938F4">
        <w:rPr>
          <w:rFonts w:ascii="Times New Roman" w:hAnsi="Times New Roman" w:cs="Times New Roman"/>
        </w:rPr>
        <w:t>form</w:t>
      </w:r>
      <w:r w:rsidR="00B6442F" w:rsidRPr="00A938F4">
        <w:rPr>
          <w:rFonts w:ascii="Times New Roman" w:hAnsi="Times New Roman" w:cs="Times New Roman"/>
        </w:rPr>
        <w:t>:</w:t>
      </w:r>
      <w:r w:rsidRPr="00A938F4">
        <w:rPr>
          <w:rFonts w:ascii="Times New Roman" w:hAnsi="Times New Roman" w:cs="Times New Roman"/>
        </w:rPr>
        <w:t xml:space="preserve"> </w:t>
      </w:r>
    </w:p>
    <w:p w14:paraId="7A53DB4B" w14:textId="698B7CC6" w:rsidR="00B6442F" w:rsidRPr="00A938F4" w:rsidRDefault="005D7CF0" w:rsidP="00F95A96">
      <w:pPr>
        <w:jc w:val="center"/>
        <w:rPr>
          <w:rFonts w:ascii="Times New Roman" w:hAnsi="Times New Roman" w:cs="Times New Roman"/>
        </w:rPr>
      </w:pPr>
      <w:r w:rsidRPr="00A938F4">
        <w:rPr>
          <w:rFonts w:ascii="Times New Roman" w:hAnsi="Times New Roman" w:cs="Times New Roman"/>
          <w:i/>
          <w:iCs/>
        </w:rPr>
        <w:t>[Category number</w:t>
      </w:r>
      <w:proofErr w:type="gramStart"/>
      <w:r w:rsidRPr="00A938F4">
        <w:rPr>
          <w:rFonts w:ascii="Times New Roman" w:hAnsi="Times New Roman" w:cs="Times New Roman"/>
          <w:i/>
          <w:iCs/>
        </w:rPr>
        <w:t xml:space="preserve">] </w:t>
      </w:r>
      <w:r w:rsidRPr="00A938F4">
        <w:rPr>
          <w:rFonts w:ascii="Times New Roman" w:hAnsi="Times New Roman" w:cs="Times New Roman"/>
          <w:b/>
          <w:bCs/>
          <w:i/>
          <w:iCs/>
        </w:rPr>
        <w:t>.</w:t>
      </w:r>
      <w:proofErr w:type="gramEnd"/>
      <w:r w:rsidRPr="00A938F4">
        <w:rPr>
          <w:rFonts w:ascii="Times New Roman" w:hAnsi="Times New Roman" w:cs="Times New Roman"/>
          <w:i/>
          <w:iCs/>
        </w:rPr>
        <w:t xml:space="preserve"> [subsection #]</w:t>
      </w:r>
    </w:p>
    <w:p w14:paraId="5E0DCD06" w14:textId="2DA5D5AC" w:rsidR="00C965C9" w:rsidRPr="00A938F4" w:rsidRDefault="001B2E62" w:rsidP="00C965C9">
      <w:pPr>
        <w:rPr>
          <w:rFonts w:ascii="Times New Roman" w:hAnsi="Times New Roman" w:cs="Times New Roman"/>
        </w:rPr>
      </w:pPr>
      <w:r w:rsidRPr="00A938F4">
        <w:rPr>
          <w:rFonts w:ascii="Times New Roman" w:hAnsi="Times New Roman" w:cs="Times New Roman"/>
        </w:rPr>
        <w:t>For example,</w:t>
      </w:r>
      <w:r w:rsidR="00860482">
        <w:rPr>
          <w:rFonts w:ascii="Times New Roman" w:hAnsi="Times New Roman" w:cs="Times New Roman"/>
        </w:rPr>
        <w:t xml:space="preserve"> the 6</w:t>
      </w:r>
      <w:r w:rsidR="00860482" w:rsidRPr="00860482">
        <w:rPr>
          <w:rFonts w:ascii="Times New Roman" w:hAnsi="Times New Roman" w:cs="Times New Roman"/>
          <w:vertAlign w:val="superscript"/>
        </w:rPr>
        <w:t>th</w:t>
      </w:r>
      <w:r w:rsidR="00860482">
        <w:rPr>
          <w:rFonts w:ascii="Times New Roman" w:hAnsi="Times New Roman" w:cs="Times New Roman"/>
        </w:rPr>
        <w:t xml:space="preserve"> section of</w:t>
      </w:r>
      <w:r w:rsidRPr="00A938F4">
        <w:rPr>
          <w:rFonts w:ascii="Times New Roman" w:hAnsi="Times New Roman" w:cs="Times New Roman"/>
        </w:rPr>
        <w:t xml:space="preserve"> </w:t>
      </w:r>
      <w:r w:rsidR="005A388A" w:rsidRPr="00A938F4">
        <w:rPr>
          <w:rFonts w:ascii="Times New Roman" w:hAnsi="Times New Roman" w:cs="Times New Roman"/>
          <w:i/>
          <w:iCs/>
        </w:rPr>
        <w:t>Core Plan</w:t>
      </w:r>
      <w:r w:rsidR="002B1FA3">
        <w:rPr>
          <w:rFonts w:ascii="Times New Roman" w:hAnsi="Times New Roman" w:cs="Times New Roman"/>
          <w:i/>
          <w:iCs/>
        </w:rPr>
        <w:t xml:space="preserve"> </w:t>
      </w:r>
      <w:r w:rsidR="002B1FA3" w:rsidRPr="002B1FA3">
        <w:rPr>
          <w:rFonts w:ascii="Times New Roman" w:hAnsi="Times New Roman" w:cs="Times New Roman"/>
        </w:rPr>
        <w:t>is</w:t>
      </w:r>
      <w:r w:rsidR="005A388A" w:rsidRPr="00A938F4">
        <w:rPr>
          <w:rFonts w:ascii="Times New Roman" w:hAnsi="Times New Roman" w:cs="Times New Roman"/>
          <w:i/>
          <w:iCs/>
        </w:rPr>
        <w:t xml:space="preserve"> </w:t>
      </w:r>
      <w:r w:rsidR="006E06E2" w:rsidRPr="00A938F4">
        <w:rPr>
          <w:rFonts w:ascii="Times New Roman" w:hAnsi="Times New Roman" w:cs="Times New Roman"/>
          <w:i/>
          <w:iCs/>
        </w:rPr>
        <w:t>9% Round Set Asides</w:t>
      </w:r>
      <w:r w:rsidR="002B1FA3">
        <w:rPr>
          <w:rFonts w:ascii="Times New Roman" w:hAnsi="Times New Roman" w:cs="Times New Roman"/>
        </w:rPr>
        <w:t xml:space="preserve">. This section </w:t>
      </w:r>
      <w:r w:rsidR="006E06E2" w:rsidRPr="00A938F4">
        <w:rPr>
          <w:rFonts w:ascii="Times New Roman" w:hAnsi="Times New Roman" w:cs="Times New Roman"/>
        </w:rPr>
        <w:t xml:space="preserve">is </w:t>
      </w:r>
      <w:r w:rsidR="0085392D" w:rsidRPr="00A938F4">
        <w:rPr>
          <w:rFonts w:ascii="Times New Roman" w:hAnsi="Times New Roman" w:cs="Times New Roman"/>
        </w:rPr>
        <w:t xml:space="preserve">numbered as </w:t>
      </w:r>
      <w:r w:rsidR="005B4BDE" w:rsidRPr="00A938F4">
        <w:rPr>
          <w:rFonts w:ascii="Times New Roman" w:hAnsi="Times New Roman" w:cs="Times New Roman"/>
        </w:rPr>
        <w:t>“</w:t>
      </w:r>
      <w:r w:rsidR="0085392D" w:rsidRPr="00A938F4">
        <w:rPr>
          <w:rFonts w:ascii="Times New Roman" w:hAnsi="Times New Roman" w:cs="Times New Roman"/>
        </w:rPr>
        <w:t>1.</w:t>
      </w:r>
      <w:r w:rsidR="00C15AF0" w:rsidRPr="00A938F4">
        <w:rPr>
          <w:rFonts w:ascii="Times New Roman" w:hAnsi="Times New Roman" w:cs="Times New Roman"/>
        </w:rPr>
        <w:t>0</w:t>
      </w:r>
      <w:r w:rsidR="00001721">
        <w:rPr>
          <w:rFonts w:ascii="Times New Roman" w:hAnsi="Times New Roman" w:cs="Times New Roman"/>
        </w:rPr>
        <w:t>6</w:t>
      </w:r>
      <w:r w:rsidR="005B4BDE" w:rsidRPr="00A938F4">
        <w:rPr>
          <w:rFonts w:ascii="Times New Roman" w:hAnsi="Times New Roman" w:cs="Times New Roman"/>
        </w:rPr>
        <w:t>”</w:t>
      </w:r>
      <w:r w:rsidR="00CF519E" w:rsidRPr="00A938F4">
        <w:rPr>
          <w:rFonts w:ascii="Times New Roman" w:hAnsi="Times New Roman" w:cs="Times New Roman"/>
        </w:rPr>
        <w:t xml:space="preserve"> </w:t>
      </w:r>
      <w:r w:rsidR="001E676A">
        <w:rPr>
          <w:rFonts w:ascii="Times New Roman" w:hAnsi="Times New Roman" w:cs="Times New Roman"/>
        </w:rPr>
        <w:t xml:space="preserve">in the Q&amp;A table. </w:t>
      </w:r>
    </w:p>
    <w:p w14:paraId="74E0315E" w14:textId="6C93D75F" w:rsidR="00176327" w:rsidRPr="00A938F4" w:rsidRDefault="00CF0051" w:rsidP="00CC2BB6">
      <w:pPr>
        <w:pStyle w:val="Heading2"/>
        <w:rPr>
          <w:rFonts w:cs="Times New Roman"/>
        </w:rPr>
      </w:pPr>
      <w:r w:rsidRPr="00A938F4">
        <w:rPr>
          <w:rFonts w:cs="Times New Roman"/>
        </w:rPr>
        <w:t xml:space="preserve">Log of </w:t>
      </w:r>
      <w:r w:rsidR="001E0ADE" w:rsidRPr="00A938F4">
        <w:rPr>
          <w:rFonts w:cs="Times New Roman"/>
        </w:rPr>
        <w:t>Updates</w:t>
      </w:r>
      <w:r w:rsidR="00845192" w:rsidRPr="00A938F4">
        <w:rPr>
          <w:rFonts w:cs="Times New Roman"/>
        </w:rPr>
        <w:t xml:space="preserve"> to this Q&amp;A Document</w:t>
      </w:r>
    </w:p>
    <w:p w14:paraId="3E3AEE31" w14:textId="263ABEE5" w:rsidR="00292828" w:rsidRPr="00A938F4" w:rsidRDefault="00D77ADA" w:rsidP="00176327">
      <w:pPr>
        <w:rPr>
          <w:rFonts w:ascii="Times New Roman" w:hAnsi="Times New Roman" w:cs="Times New Roman"/>
        </w:rPr>
      </w:pPr>
      <w:r w:rsidRPr="00A938F4">
        <w:rPr>
          <w:rFonts w:ascii="Times New Roman" w:hAnsi="Times New Roman" w:cs="Times New Roman"/>
        </w:rPr>
        <w:t xml:space="preserve">This section </w:t>
      </w:r>
      <w:r w:rsidR="00D84E39" w:rsidRPr="00A938F4">
        <w:rPr>
          <w:rFonts w:ascii="Times New Roman" w:hAnsi="Times New Roman" w:cs="Times New Roman"/>
        </w:rPr>
        <w:t xml:space="preserve">provides a high-level description of </w:t>
      </w:r>
      <w:r w:rsidR="005306AE" w:rsidRPr="00A938F4">
        <w:rPr>
          <w:rFonts w:ascii="Times New Roman" w:hAnsi="Times New Roman" w:cs="Times New Roman"/>
        </w:rPr>
        <w:t>changes</w:t>
      </w:r>
      <w:r w:rsidR="004A29D5" w:rsidRPr="00A938F4">
        <w:rPr>
          <w:rFonts w:ascii="Times New Roman" w:hAnsi="Times New Roman" w:cs="Times New Roman"/>
        </w:rPr>
        <w:t xml:space="preserve"> made to the document from one version to the next.</w:t>
      </w:r>
    </w:p>
    <w:tbl>
      <w:tblPr>
        <w:tblStyle w:val="TableGrid"/>
        <w:tblW w:w="0" w:type="auto"/>
        <w:jc w:val="center"/>
        <w:tblLook w:val="04A0" w:firstRow="1" w:lastRow="0" w:firstColumn="1" w:lastColumn="0" w:noHBand="0" w:noVBand="1"/>
      </w:tblPr>
      <w:tblGrid>
        <w:gridCol w:w="1165"/>
        <w:gridCol w:w="8010"/>
      </w:tblGrid>
      <w:tr w:rsidR="00BA7622" w:rsidRPr="00A938F4" w14:paraId="73439BA0" w14:textId="77777777" w:rsidTr="00815B6A">
        <w:trPr>
          <w:jc w:val="center"/>
        </w:trPr>
        <w:tc>
          <w:tcPr>
            <w:tcW w:w="1165" w:type="dxa"/>
            <w:shd w:val="clear" w:color="auto" w:fill="D9D9D9" w:themeFill="background1" w:themeFillShade="D9"/>
            <w:tcMar>
              <w:top w:w="72" w:type="dxa"/>
              <w:left w:w="115" w:type="dxa"/>
              <w:bottom w:w="72" w:type="dxa"/>
              <w:right w:w="115" w:type="dxa"/>
            </w:tcMar>
            <w:vAlign w:val="center"/>
          </w:tcPr>
          <w:p w14:paraId="68960264" w14:textId="319B9684" w:rsidR="00BA7622" w:rsidRPr="00A938F4" w:rsidRDefault="00BA7622" w:rsidP="00820378">
            <w:pPr>
              <w:keepNext/>
              <w:jc w:val="center"/>
              <w:rPr>
                <w:rFonts w:ascii="Times New Roman" w:hAnsi="Times New Roman" w:cs="Times New Roman"/>
                <w:b/>
                <w:bCs/>
              </w:rPr>
            </w:pPr>
            <w:r w:rsidRPr="00A938F4">
              <w:rPr>
                <w:rFonts w:ascii="Times New Roman" w:hAnsi="Times New Roman" w:cs="Times New Roman"/>
                <w:b/>
                <w:bCs/>
              </w:rPr>
              <w:t>Update</w:t>
            </w:r>
          </w:p>
        </w:tc>
        <w:tc>
          <w:tcPr>
            <w:tcW w:w="8010" w:type="dxa"/>
            <w:shd w:val="clear" w:color="auto" w:fill="D9D9D9" w:themeFill="background1" w:themeFillShade="D9"/>
            <w:tcMar>
              <w:top w:w="72" w:type="dxa"/>
              <w:left w:w="115" w:type="dxa"/>
              <w:bottom w:w="72" w:type="dxa"/>
              <w:right w:w="115" w:type="dxa"/>
            </w:tcMar>
            <w:vAlign w:val="center"/>
          </w:tcPr>
          <w:p w14:paraId="5DE69DE1" w14:textId="4961E60C" w:rsidR="00BA7622" w:rsidRPr="00A938F4" w:rsidRDefault="00B64656" w:rsidP="00820378">
            <w:pPr>
              <w:keepNext/>
              <w:jc w:val="center"/>
              <w:rPr>
                <w:rFonts w:ascii="Times New Roman" w:hAnsi="Times New Roman" w:cs="Times New Roman"/>
                <w:b/>
                <w:bCs/>
              </w:rPr>
            </w:pPr>
            <w:r w:rsidRPr="00A938F4">
              <w:rPr>
                <w:rFonts w:ascii="Times New Roman" w:hAnsi="Times New Roman" w:cs="Times New Roman"/>
                <w:b/>
                <w:bCs/>
              </w:rPr>
              <w:t>Changes</w:t>
            </w:r>
          </w:p>
        </w:tc>
      </w:tr>
      <w:tr w:rsidR="00B64656" w:rsidRPr="00A938F4" w14:paraId="1AF854EC" w14:textId="77777777" w:rsidTr="00815B6A">
        <w:trPr>
          <w:jc w:val="center"/>
        </w:trPr>
        <w:tc>
          <w:tcPr>
            <w:tcW w:w="1165" w:type="dxa"/>
            <w:tcMar>
              <w:top w:w="72" w:type="dxa"/>
              <w:left w:w="115" w:type="dxa"/>
              <w:bottom w:w="72" w:type="dxa"/>
              <w:right w:w="115" w:type="dxa"/>
            </w:tcMar>
            <w:vAlign w:val="center"/>
          </w:tcPr>
          <w:p w14:paraId="649C1526" w14:textId="054C8096" w:rsidR="00B64656" w:rsidRPr="00A938F4" w:rsidRDefault="00B432C2" w:rsidP="00820378">
            <w:pPr>
              <w:keepNext/>
              <w:rPr>
                <w:rFonts w:ascii="Times New Roman" w:hAnsi="Times New Roman" w:cs="Times New Roman"/>
              </w:rPr>
            </w:pPr>
            <w:r>
              <w:rPr>
                <w:rFonts w:ascii="Times New Roman" w:hAnsi="Times New Roman" w:cs="Times New Roman"/>
              </w:rPr>
              <w:t>2/25/22</w:t>
            </w:r>
          </w:p>
        </w:tc>
        <w:tc>
          <w:tcPr>
            <w:tcW w:w="8010" w:type="dxa"/>
            <w:tcMar>
              <w:top w:w="72" w:type="dxa"/>
              <w:left w:w="115" w:type="dxa"/>
              <w:bottom w:w="72" w:type="dxa"/>
              <w:right w:w="115" w:type="dxa"/>
            </w:tcMar>
            <w:vAlign w:val="center"/>
          </w:tcPr>
          <w:p w14:paraId="417CA875" w14:textId="0D472CCF" w:rsidR="00C84B0F" w:rsidRDefault="00B432C2" w:rsidP="00F32AC6">
            <w:pPr>
              <w:pStyle w:val="ListParagraph"/>
              <w:keepNext/>
              <w:numPr>
                <w:ilvl w:val="0"/>
                <w:numId w:val="3"/>
              </w:numPr>
              <w:rPr>
                <w:rFonts w:ascii="Times New Roman" w:hAnsi="Times New Roman" w:cs="Times New Roman"/>
              </w:rPr>
            </w:pPr>
            <w:r>
              <w:rPr>
                <w:rFonts w:ascii="Times New Roman" w:hAnsi="Times New Roman" w:cs="Times New Roman"/>
              </w:rPr>
              <w:t xml:space="preserve">Initial </w:t>
            </w:r>
            <w:r w:rsidR="00C84B0F">
              <w:rPr>
                <w:rFonts w:ascii="Times New Roman" w:hAnsi="Times New Roman" w:cs="Times New Roman"/>
              </w:rPr>
              <w:t xml:space="preserve">document </w:t>
            </w:r>
            <w:r w:rsidR="001F4E30">
              <w:rPr>
                <w:rFonts w:ascii="Times New Roman" w:hAnsi="Times New Roman" w:cs="Times New Roman"/>
              </w:rPr>
              <w:t xml:space="preserve">publication </w:t>
            </w:r>
          </w:p>
          <w:p w14:paraId="52E44A04" w14:textId="274B3C00" w:rsidR="00B64656" w:rsidRPr="00A938F4" w:rsidRDefault="00DC20D7" w:rsidP="00F32AC6">
            <w:pPr>
              <w:pStyle w:val="ListParagraph"/>
              <w:keepNext/>
              <w:numPr>
                <w:ilvl w:val="0"/>
                <w:numId w:val="3"/>
              </w:numPr>
              <w:rPr>
                <w:rFonts w:ascii="Times New Roman" w:hAnsi="Times New Roman" w:cs="Times New Roman"/>
              </w:rPr>
            </w:pPr>
            <w:r>
              <w:rPr>
                <w:rFonts w:ascii="Times New Roman" w:hAnsi="Times New Roman" w:cs="Times New Roman"/>
              </w:rPr>
              <w:t xml:space="preserve">Posted first </w:t>
            </w:r>
            <w:r w:rsidR="00C84B0F">
              <w:rPr>
                <w:rFonts w:ascii="Times New Roman" w:hAnsi="Times New Roman" w:cs="Times New Roman"/>
              </w:rPr>
              <w:t xml:space="preserve">Q&amp;A </w:t>
            </w:r>
            <w:r w:rsidR="00031A24">
              <w:rPr>
                <w:rFonts w:ascii="Times New Roman" w:hAnsi="Times New Roman" w:cs="Times New Roman"/>
              </w:rPr>
              <w:t>set</w:t>
            </w:r>
            <w:r w:rsidR="00C84B0F">
              <w:rPr>
                <w:rFonts w:ascii="Times New Roman" w:hAnsi="Times New Roman" w:cs="Times New Roman"/>
              </w:rPr>
              <w:t xml:space="preserve"> </w:t>
            </w:r>
          </w:p>
        </w:tc>
      </w:tr>
      <w:tr w:rsidR="006B5063" w:rsidRPr="00A938F4" w14:paraId="3F9C3B04" w14:textId="77777777" w:rsidTr="00815B6A">
        <w:trPr>
          <w:jc w:val="center"/>
        </w:trPr>
        <w:tc>
          <w:tcPr>
            <w:tcW w:w="1165" w:type="dxa"/>
            <w:tcMar>
              <w:top w:w="72" w:type="dxa"/>
              <w:left w:w="115" w:type="dxa"/>
              <w:bottom w:w="72" w:type="dxa"/>
              <w:right w:w="115" w:type="dxa"/>
            </w:tcMar>
            <w:vAlign w:val="center"/>
          </w:tcPr>
          <w:p w14:paraId="09125CCD" w14:textId="3B098638" w:rsidR="006B5063" w:rsidRDefault="006B5063" w:rsidP="00820378">
            <w:pPr>
              <w:keepNext/>
              <w:rPr>
                <w:rFonts w:ascii="Times New Roman" w:hAnsi="Times New Roman" w:cs="Times New Roman"/>
              </w:rPr>
            </w:pPr>
            <w:r>
              <w:rPr>
                <w:rFonts w:ascii="Times New Roman" w:hAnsi="Times New Roman" w:cs="Times New Roman"/>
              </w:rPr>
              <w:t>3/</w:t>
            </w:r>
            <w:r w:rsidR="0090202B">
              <w:rPr>
                <w:rFonts w:ascii="Times New Roman" w:hAnsi="Times New Roman" w:cs="Times New Roman"/>
              </w:rPr>
              <w:t>3</w:t>
            </w:r>
            <w:r>
              <w:rPr>
                <w:rFonts w:ascii="Times New Roman" w:hAnsi="Times New Roman" w:cs="Times New Roman"/>
              </w:rPr>
              <w:t>/22</w:t>
            </w:r>
          </w:p>
        </w:tc>
        <w:tc>
          <w:tcPr>
            <w:tcW w:w="8010" w:type="dxa"/>
            <w:tcMar>
              <w:top w:w="72" w:type="dxa"/>
              <w:left w:w="115" w:type="dxa"/>
              <w:bottom w:w="72" w:type="dxa"/>
              <w:right w:w="115" w:type="dxa"/>
            </w:tcMar>
            <w:vAlign w:val="center"/>
          </w:tcPr>
          <w:p w14:paraId="207EE823" w14:textId="26696F3B" w:rsidR="006B5063" w:rsidRDefault="00400246"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B21963" w:rsidRPr="00A938F4" w14:paraId="3BB4A2F2" w14:textId="77777777" w:rsidTr="00815B6A">
        <w:trPr>
          <w:jc w:val="center"/>
        </w:trPr>
        <w:tc>
          <w:tcPr>
            <w:tcW w:w="1165" w:type="dxa"/>
            <w:tcMar>
              <w:top w:w="72" w:type="dxa"/>
              <w:left w:w="115" w:type="dxa"/>
              <w:bottom w:w="72" w:type="dxa"/>
              <w:right w:w="115" w:type="dxa"/>
            </w:tcMar>
            <w:vAlign w:val="center"/>
          </w:tcPr>
          <w:p w14:paraId="6596BB3B" w14:textId="41C16BEC" w:rsidR="00B21963" w:rsidRDefault="00B21963" w:rsidP="00820378">
            <w:pPr>
              <w:keepNext/>
              <w:rPr>
                <w:rFonts w:ascii="Times New Roman" w:hAnsi="Times New Roman" w:cs="Times New Roman"/>
              </w:rPr>
            </w:pPr>
            <w:r>
              <w:rPr>
                <w:rFonts w:ascii="Times New Roman" w:hAnsi="Times New Roman" w:cs="Times New Roman"/>
              </w:rPr>
              <w:t>3/7/22</w:t>
            </w:r>
          </w:p>
        </w:tc>
        <w:tc>
          <w:tcPr>
            <w:tcW w:w="8010" w:type="dxa"/>
            <w:tcMar>
              <w:top w:w="72" w:type="dxa"/>
              <w:left w:w="115" w:type="dxa"/>
              <w:bottom w:w="72" w:type="dxa"/>
              <w:right w:w="115" w:type="dxa"/>
            </w:tcMar>
            <w:vAlign w:val="center"/>
          </w:tcPr>
          <w:p w14:paraId="6299A750" w14:textId="39332820" w:rsidR="00B21963" w:rsidRDefault="00B21963"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9716F1" w:rsidRPr="00A938F4" w14:paraId="3BEE959A" w14:textId="77777777" w:rsidTr="00815B6A">
        <w:trPr>
          <w:jc w:val="center"/>
        </w:trPr>
        <w:tc>
          <w:tcPr>
            <w:tcW w:w="1165" w:type="dxa"/>
            <w:tcMar>
              <w:top w:w="72" w:type="dxa"/>
              <w:left w:w="115" w:type="dxa"/>
              <w:bottom w:w="72" w:type="dxa"/>
              <w:right w:w="115" w:type="dxa"/>
            </w:tcMar>
            <w:vAlign w:val="center"/>
          </w:tcPr>
          <w:p w14:paraId="368430D1" w14:textId="3B69F567" w:rsidR="009716F1" w:rsidRDefault="009716F1" w:rsidP="00820378">
            <w:pPr>
              <w:keepNext/>
              <w:rPr>
                <w:rFonts w:ascii="Times New Roman" w:hAnsi="Times New Roman" w:cs="Times New Roman"/>
              </w:rPr>
            </w:pPr>
            <w:r>
              <w:rPr>
                <w:rFonts w:ascii="Times New Roman" w:hAnsi="Times New Roman" w:cs="Times New Roman"/>
              </w:rPr>
              <w:t>3/8/22</w:t>
            </w:r>
          </w:p>
        </w:tc>
        <w:tc>
          <w:tcPr>
            <w:tcW w:w="8010" w:type="dxa"/>
            <w:tcMar>
              <w:top w:w="72" w:type="dxa"/>
              <w:left w:w="115" w:type="dxa"/>
              <w:bottom w:w="72" w:type="dxa"/>
              <w:right w:w="115" w:type="dxa"/>
            </w:tcMar>
            <w:vAlign w:val="center"/>
          </w:tcPr>
          <w:p w14:paraId="08518F2E" w14:textId="1D00051F" w:rsidR="009716F1" w:rsidRDefault="009716F1"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1B0651" w:rsidRPr="00A938F4" w14:paraId="4BDF7C84" w14:textId="77777777" w:rsidTr="00815B6A">
        <w:trPr>
          <w:jc w:val="center"/>
        </w:trPr>
        <w:tc>
          <w:tcPr>
            <w:tcW w:w="1165" w:type="dxa"/>
            <w:tcMar>
              <w:top w:w="72" w:type="dxa"/>
              <w:left w:w="115" w:type="dxa"/>
              <w:bottom w:w="72" w:type="dxa"/>
              <w:right w:w="115" w:type="dxa"/>
            </w:tcMar>
            <w:vAlign w:val="center"/>
          </w:tcPr>
          <w:p w14:paraId="7B30B736" w14:textId="3A3E9EF1" w:rsidR="001B0651" w:rsidRDefault="001B0651" w:rsidP="00820378">
            <w:pPr>
              <w:keepNext/>
              <w:rPr>
                <w:rFonts w:ascii="Times New Roman" w:hAnsi="Times New Roman" w:cs="Times New Roman"/>
              </w:rPr>
            </w:pPr>
            <w:r>
              <w:rPr>
                <w:rFonts w:ascii="Times New Roman" w:hAnsi="Times New Roman" w:cs="Times New Roman"/>
              </w:rPr>
              <w:t>3/9/22</w:t>
            </w:r>
          </w:p>
        </w:tc>
        <w:tc>
          <w:tcPr>
            <w:tcW w:w="8010" w:type="dxa"/>
            <w:tcMar>
              <w:top w:w="72" w:type="dxa"/>
              <w:left w:w="115" w:type="dxa"/>
              <w:bottom w:w="72" w:type="dxa"/>
              <w:right w:w="115" w:type="dxa"/>
            </w:tcMar>
            <w:vAlign w:val="center"/>
          </w:tcPr>
          <w:p w14:paraId="16F18DF4" w14:textId="3273D886" w:rsidR="001B0651" w:rsidRDefault="001B0651"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1995616E" w14:paraId="2BEB48AC" w14:textId="77777777" w:rsidTr="1995616E">
        <w:trPr>
          <w:jc w:val="center"/>
        </w:trPr>
        <w:tc>
          <w:tcPr>
            <w:tcW w:w="1165" w:type="dxa"/>
            <w:tcMar>
              <w:top w:w="72" w:type="dxa"/>
              <w:left w:w="115" w:type="dxa"/>
              <w:bottom w:w="72" w:type="dxa"/>
              <w:right w:w="115" w:type="dxa"/>
            </w:tcMar>
            <w:vAlign w:val="center"/>
          </w:tcPr>
          <w:p w14:paraId="355D3F1D" w14:textId="671CCB26" w:rsidR="1995616E" w:rsidRDefault="1995616E" w:rsidP="1995616E">
            <w:pPr>
              <w:rPr>
                <w:rFonts w:ascii="Times New Roman" w:hAnsi="Times New Roman" w:cs="Times New Roman"/>
              </w:rPr>
            </w:pPr>
            <w:r w:rsidRPr="1995616E">
              <w:rPr>
                <w:rFonts w:ascii="Times New Roman" w:hAnsi="Times New Roman" w:cs="Times New Roman"/>
              </w:rPr>
              <w:t>3/10/22</w:t>
            </w:r>
          </w:p>
        </w:tc>
        <w:tc>
          <w:tcPr>
            <w:tcW w:w="8010" w:type="dxa"/>
            <w:tcMar>
              <w:top w:w="72" w:type="dxa"/>
              <w:left w:w="115" w:type="dxa"/>
              <w:bottom w:w="72" w:type="dxa"/>
              <w:right w:w="115" w:type="dxa"/>
            </w:tcMar>
            <w:vAlign w:val="center"/>
          </w:tcPr>
          <w:p w14:paraId="604A9CA1" w14:textId="0AB5E5A3" w:rsidR="1995616E" w:rsidRPr="000A6953" w:rsidRDefault="1995616E" w:rsidP="00F32AC6">
            <w:pPr>
              <w:pStyle w:val="ListParagraph"/>
              <w:numPr>
                <w:ilvl w:val="0"/>
                <w:numId w:val="3"/>
              </w:numPr>
              <w:rPr>
                <w:rFonts w:ascii="Times New Roman" w:eastAsiaTheme="minorEastAsia" w:hAnsi="Times New Roman" w:cs="Times New Roman"/>
              </w:rPr>
            </w:pPr>
            <w:r w:rsidRPr="1995616E">
              <w:rPr>
                <w:rFonts w:ascii="Times New Roman" w:hAnsi="Times New Roman" w:cs="Times New Roman"/>
              </w:rPr>
              <w:t>New Q&amp;A set posted</w:t>
            </w:r>
          </w:p>
        </w:tc>
      </w:tr>
      <w:tr w:rsidR="009B714B" w:rsidRPr="000A6953" w14:paraId="47885BE0" w14:textId="77777777" w:rsidTr="1995616E">
        <w:trPr>
          <w:jc w:val="center"/>
        </w:trPr>
        <w:tc>
          <w:tcPr>
            <w:tcW w:w="1165" w:type="dxa"/>
            <w:tcMar>
              <w:top w:w="72" w:type="dxa"/>
              <w:left w:w="115" w:type="dxa"/>
              <w:bottom w:w="72" w:type="dxa"/>
              <w:right w:w="115" w:type="dxa"/>
            </w:tcMar>
            <w:vAlign w:val="center"/>
          </w:tcPr>
          <w:p w14:paraId="33DE2B05" w14:textId="15C56181" w:rsidR="009B714B" w:rsidRPr="000A6953" w:rsidRDefault="009B714B" w:rsidP="1995616E">
            <w:pPr>
              <w:rPr>
                <w:rFonts w:ascii="Times New Roman" w:hAnsi="Times New Roman" w:cs="Times New Roman"/>
              </w:rPr>
            </w:pPr>
            <w:r w:rsidRPr="000A6953">
              <w:rPr>
                <w:rFonts w:ascii="Times New Roman" w:hAnsi="Times New Roman" w:cs="Times New Roman"/>
              </w:rPr>
              <w:t>3/2</w:t>
            </w:r>
            <w:r w:rsidR="006C1EB3">
              <w:rPr>
                <w:rFonts w:ascii="Times New Roman" w:hAnsi="Times New Roman" w:cs="Times New Roman"/>
              </w:rPr>
              <w:t>2</w:t>
            </w:r>
            <w:r w:rsidRPr="000A6953">
              <w:rPr>
                <w:rFonts w:ascii="Times New Roman" w:hAnsi="Times New Roman" w:cs="Times New Roman"/>
              </w:rPr>
              <w:t>/22</w:t>
            </w:r>
          </w:p>
        </w:tc>
        <w:tc>
          <w:tcPr>
            <w:tcW w:w="8010" w:type="dxa"/>
            <w:tcMar>
              <w:top w:w="72" w:type="dxa"/>
              <w:left w:w="115" w:type="dxa"/>
              <w:bottom w:w="72" w:type="dxa"/>
              <w:right w:w="115" w:type="dxa"/>
            </w:tcMar>
            <w:vAlign w:val="center"/>
          </w:tcPr>
          <w:p w14:paraId="6D2535A8" w14:textId="588F6050" w:rsidR="009B714B" w:rsidRPr="000A6953" w:rsidRDefault="009B714B"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DC52D1" w:rsidRPr="000A6953" w14:paraId="5E2BB2E9" w14:textId="77777777" w:rsidTr="1995616E">
        <w:trPr>
          <w:jc w:val="center"/>
        </w:trPr>
        <w:tc>
          <w:tcPr>
            <w:tcW w:w="1165" w:type="dxa"/>
            <w:tcMar>
              <w:top w:w="72" w:type="dxa"/>
              <w:left w:w="115" w:type="dxa"/>
              <w:bottom w:w="72" w:type="dxa"/>
              <w:right w:w="115" w:type="dxa"/>
            </w:tcMar>
            <w:vAlign w:val="center"/>
          </w:tcPr>
          <w:p w14:paraId="27D491A2" w14:textId="56F401C6" w:rsidR="00DC52D1" w:rsidRPr="000A6953" w:rsidRDefault="00DC52D1" w:rsidP="1995616E">
            <w:pPr>
              <w:rPr>
                <w:rFonts w:ascii="Times New Roman" w:hAnsi="Times New Roman" w:cs="Times New Roman"/>
              </w:rPr>
            </w:pPr>
            <w:r>
              <w:rPr>
                <w:rFonts w:ascii="Times New Roman" w:hAnsi="Times New Roman" w:cs="Times New Roman"/>
              </w:rPr>
              <w:t>3/31/22</w:t>
            </w:r>
          </w:p>
        </w:tc>
        <w:tc>
          <w:tcPr>
            <w:tcW w:w="8010" w:type="dxa"/>
            <w:tcMar>
              <w:top w:w="72" w:type="dxa"/>
              <w:left w:w="115" w:type="dxa"/>
              <w:bottom w:w="72" w:type="dxa"/>
              <w:right w:w="115" w:type="dxa"/>
            </w:tcMar>
            <w:vAlign w:val="center"/>
          </w:tcPr>
          <w:p w14:paraId="20E3CC92" w14:textId="0E570CA9" w:rsidR="00DC52D1" w:rsidRPr="000A6953" w:rsidRDefault="00DC52D1"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E82BB7" w:rsidRPr="000A6953" w14:paraId="4F9FD03D" w14:textId="77777777" w:rsidTr="1995616E">
        <w:trPr>
          <w:jc w:val="center"/>
        </w:trPr>
        <w:tc>
          <w:tcPr>
            <w:tcW w:w="1165" w:type="dxa"/>
            <w:tcMar>
              <w:top w:w="72" w:type="dxa"/>
              <w:left w:w="115" w:type="dxa"/>
              <w:bottom w:w="72" w:type="dxa"/>
              <w:right w:w="115" w:type="dxa"/>
            </w:tcMar>
            <w:vAlign w:val="center"/>
          </w:tcPr>
          <w:p w14:paraId="3CC844FC" w14:textId="0F905EFE" w:rsidR="00E82BB7" w:rsidRDefault="00E82BB7" w:rsidP="1995616E">
            <w:pPr>
              <w:rPr>
                <w:rFonts w:ascii="Times New Roman" w:hAnsi="Times New Roman" w:cs="Times New Roman"/>
              </w:rPr>
            </w:pPr>
            <w:r>
              <w:rPr>
                <w:rFonts w:ascii="Times New Roman" w:hAnsi="Times New Roman" w:cs="Times New Roman"/>
              </w:rPr>
              <w:t>4/5/22</w:t>
            </w:r>
          </w:p>
        </w:tc>
        <w:tc>
          <w:tcPr>
            <w:tcW w:w="8010" w:type="dxa"/>
            <w:tcMar>
              <w:top w:w="72" w:type="dxa"/>
              <w:left w:w="115" w:type="dxa"/>
              <w:bottom w:w="72" w:type="dxa"/>
              <w:right w:w="115" w:type="dxa"/>
            </w:tcMar>
            <w:vAlign w:val="center"/>
          </w:tcPr>
          <w:p w14:paraId="6A0B53EE" w14:textId="0EBFBC14" w:rsidR="00E82BB7" w:rsidRPr="000A6953" w:rsidRDefault="006D59F5"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5B3B1C" w:rsidRPr="000A6953" w14:paraId="47F78D9D" w14:textId="77777777" w:rsidTr="1995616E">
        <w:trPr>
          <w:jc w:val="center"/>
        </w:trPr>
        <w:tc>
          <w:tcPr>
            <w:tcW w:w="1165" w:type="dxa"/>
            <w:tcMar>
              <w:top w:w="72" w:type="dxa"/>
              <w:left w:w="115" w:type="dxa"/>
              <w:bottom w:w="72" w:type="dxa"/>
              <w:right w:w="115" w:type="dxa"/>
            </w:tcMar>
            <w:vAlign w:val="center"/>
          </w:tcPr>
          <w:p w14:paraId="57317577" w14:textId="0220E683" w:rsidR="005B3B1C" w:rsidRDefault="005B3B1C" w:rsidP="1995616E">
            <w:pPr>
              <w:rPr>
                <w:rFonts w:ascii="Times New Roman" w:hAnsi="Times New Roman" w:cs="Times New Roman"/>
              </w:rPr>
            </w:pPr>
            <w:r>
              <w:rPr>
                <w:rFonts w:ascii="Times New Roman" w:hAnsi="Times New Roman" w:cs="Times New Roman"/>
              </w:rPr>
              <w:t>4/7/22</w:t>
            </w:r>
          </w:p>
        </w:tc>
        <w:tc>
          <w:tcPr>
            <w:tcW w:w="8010" w:type="dxa"/>
            <w:tcMar>
              <w:top w:w="72" w:type="dxa"/>
              <w:left w:w="115" w:type="dxa"/>
              <w:bottom w:w="72" w:type="dxa"/>
              <w:right w:w="115" w:type="dxa"/>
            </w:tcMar>
            <w:vAlign w:val="center"/>
          </w:tcPr>
          <w:p w14:paraId="1F7433E5" w14:textId="5B0F0605" w:rsidR="005B3B1C" w:rsidRPr="000A6953" w:rsidRDefault="005B3B1C"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270CB9" w:rsidRPr="000A6953" w14:paraId="6A2859E6" w14:textId="77777777" w:rsidTr="1995616E">
        <w:trPr>
          <w:jc w:val="center"/>
        </w:trPr>
        <w:tc>
          <w:tcPr>
            <w:tcW w:w="1165" w:type="dxa"/>
            <w:tcMar>
              <w:top w:w="72" w:type="dxa"/>
              <w:left w:w="115" w:type="dxa"/>
              <w:bottom w:w="72" w:type="dxa"/>
              <w:right w:w="115" w:type="dxa"/>
            </w:tcMar>
            <w:vAlign w:val="center"/>
          </w:tcPr>
          <w:p w14:paraId="1B45BFD0" w14:textId="6D9D3A72" w:rsidR="00270CB9" w:rsidRDefault="00270CB9" w:rsidP="1995616E">
            <w:pPr>
              <w:rPr>
                <w:rFonts w:ascii="Times New Roman" w:hAnsi="Times New Roman" w:cs="Times New Roman"/>
              </w:rPr>
            </w:pPr>
            <w:r>
              <w:rPr>
                <w:rFonts w:ascii="Times New Roman" w:hAnsi="Times New Roman" w:cs="Times New Roman"/>
              </w:rPr>
              <w:t>4/1</w:t>
            </w:r>
            <w:r w:rsidR="000D1449">
              <w:rPr>
                <w:rFonts w:ascii="Times New Roman" w:hAnsi="Times New Roman" w:cs="Times New Roman"/>
              </w:rPr>
              <w:t>4</w:t>
            </w:r>
            <w:r>
              <w:rPr>
                <w:rFonts w:ascii="Times New Roman" w:hAnsi="Times New Roman" w:cs="Times New Roman"/>
              </w:rPr>
              <w:t>/22</w:t>
            </w:r>
          </w:p>
        </w:tc>
        <w:tc>
          <w:tcPr>
            <w:tcW w:w="8010" w:type="dxa"/>
            <w:tcMar>
              <w:top w:w="72" w:type="dxa"/>
              <w:left w:w="115" w:type="dxa"/>
              <w:bottom w:w="72" w:type="dxa"/>
              <w:right w:w="115" w:type="dxa"/>
            </w:tcMar>
            <w:vAlign w:val="center"/>
          </w:tcPr>
          <w:p w14:paraId="5DDC5EA9" w14:textId="296E572B" w:rsidR="00270CB9" w:rsidRPr="000A6953" w:rsidRDefault="00270CB9"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441484" w:rsidRPr="000A6953" w14:paraId="30572C6C" w14:textId="77777777" w:rsidTr="1995616E">
        <w:trPr>
          <w:jc w:val="center"/>
        </w:trPr>
        <w:tc>
          <w:tcPr>
            <w:tcW w:w="1165" w:type="dxa"/>
            <w:tcMar>
              <w:top w:w="72" w:type="dxa"/>
              <w:left w:w="115" w:type="dxa"/>
              <w:bottom w:w="72" w:type="dxa"/>
              <w:right w:w="115" w:type="dxa"/>
            </w:tcMar>
            <w:vAlign w:val="center"/>
          </w:tcPr>
          <w:p w14:paraId="4E34CF70" w14:textId="6145EA69" w:rsidR="00441484" w:rsidRDefault="00441484" w:rsidP="1995616E">
            <w:pPr>
              <w:rPr>
                <w:rFonts w:ascii="Times New Roman" w:hAnsi="Times New Roman" w:cs="Times New Roman"/>
              </w:rPr>
            </w:pPr>
            <w:r>
              <w:rPr>
                <w:rFonts w:ascii="Times New Roman" w:hAnsi="Times New Roman" w:cs="Times New Roman"/>
              </w:rPr>
              <w:t>4/2</w:t>
            </w:r>
            <w:r w:rsidR="00675F81">
              <w:rPr>
                <w:rFonts w:ascii="Times New Roman" w:hAnsi="Times New Roman" w:cs="Times New Roman"/>
              </w:rPr>
              <w:t>1</w:t>
            </w:r>
            <w:r>
              <w:rPr>
                <w:rFonts w:ascii="Times New Roman" w:hAnsi="Times New Roman" w:cs="Times New Roman"/>
              </w:rPr>
              <w:t>/22</w:t>
            </w:r>
          </w:p>
        </w:tc>
        <w:tc>
          <w:tcPr>
            <w:tcW w:w="8010" w:type="dxa"/>
            <w:tcMar>
              <w:top w:w="72" w:type="dxa"/>
              <w:left w:w="115" w:type="dxa"/>
              <w:bottom w:w="72" w:type="dxa"/>
              <w:right w:w="115" w:type="dxa"/>
            </w:tcMar>
            <w:vAlign w:val="center"/>
          </w:tcPr>
          <w:p w14:paraId="5B06D646" w14:textId="54FE7CB2" w:rsidR="00441484" w:rsidRPr="000A6953" w:rsidRDefault="00441484"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BE2EC7" w:rsidRPr="000A6953" w14:paraId="23D02164" w14:textId="77777777" w:rsidTr="1995616E">
        <w:trPr>
          <w:jc w:val="center"/>
        </w:trPr>
        <w:tc>
          <w:tcPr>
            <w:tcW w:w="1165" w:type="dxa"/>
            <w:tcMar>
              <w:top w:w="72" w:type="dxa"/>
              <w:left w:w="115" w:type="dxa"/>
              <w:bottom w:w="72" w:type="dxa"/>
              <w:right w:w="115" w:type="dxa"/>
            </w:tcMar>
            <w:vAlign w:val="center"/>
          </w:tcPr>
          <w:p w14:paraId="48F3F75E" w14:textId="50DB6374" w:rsidR="00BE2EC7" w:rsidRDefault="00BE2EC7" w:rsidP="1995616E">
            <w:pPr>
              <w:rPr>
                <w:rFonts w:ascii="Times New Roman" w:hAnsi="Times New Roman" w:cs="Times New Roman"/>
              </w:rPr>
            </w:pPr>
            <w:r>
              <w:rPr>
                <w:rFonts w:ascii="Times New Roman" w:hAnsi="Times New Roman" w:cs="Times New Roman"/>
              </w:rPr>
              <w:t>4/22/22</w:t>
            </w:r>
          </w:p>
        </w:tc>
        <w:tc>
          <w:tcPr>
            <w:tcW w:w="8010" w:type="dxa"/>
            <w:tcMar>
              <w:top w:w="72" w:type="dxa"/>
              <w:left w:w="115" w:type="dxa"/>
              <w:bottom w:w="72" w:type="dxa"/>
              <w:right w:w="115" w:type="dxa"/>
            </w:tcMar>
            <w:vAlign w:val="center"/>
          </w:tcPr>
          <w:p w14:paraId="5265BB52" w14:textId="246229D1" w:rsidR="00BE2EC7" w:rsidRDefault="00BE2EC7"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2D7256" w:rsidRPr="000A6953" w14:paraId="561715F6" w14:textId="77777777" w:rsidTr="1995616E">
        <w:trPr>
          <w:jc w:val="center"/>
        </w:trPr>
        <w:tc>
          <w:tcPr>
            <w:tcW w:w="1165" w:type="dxa"/>
            <w:tcMar>
              <w:top w:w="72" w:type="dxa"/>
              <w:left w:w="115" w:type="dxa"/>
              <w:bottom w:w="72" w:type="dxa"/>
              <w:right w:w="115" w:type="dxa"/>
            </w:tcMar>
            <w:vAlign w:val="center"/>
          </w:tcPr>
          <w:p w14:paraId="238DFAD4" w14:textId="23748406" w:rsidR="002D7256" w:rsidRDefault="002D7256" w:rsidP="1995616E">
            <w:pPr>
              <w:rPr>
                <w:rFonts w:ascii="Times New Roman" w:hAnsi="Times New Roman" w:cs="Times New Roman"/>
              </w:rPr>
            </w:pPr>
            <w:r>
              <w:rPr>
                <w:rFonts w:ascii="Times New Roman" w:hAnsi="Times New Roman" w:cs="Times New Roman"/>
              </w:rPr>
              <w:lastRenderedPageBreak/>
              <w:t>4/2</w:t>
            </w:r>
            <w:r w:rsidR="005926F9">
              <w:rPr>
                <w:rFonts w:ascii="Times New Roman" w:hAnsi="Times New Roman" w:cs="Times New Roman"/>
              </w:rPr>
              <w:t>7</w:t>
            </w:r>
            <w:r>
              <w:rPr>
                <w:rFonts w:ascii="Times New Roman" w:hAnsi="Times New Roman" w:cs="Times New Roman"/>
              </w:rPr>
              <w:t>/22</w:t>
            </w:r>
          </w:p>
        </w:tc>
        <w:tc>
          <w:tcPr>
            <w:tcW w:w="8010" w:type="dxa"/>
            <w:tcMar>
              <w:top w:w="72" w:type="dxa"/>
              <w:left w:w="115" w:type="dxa"/>
              <w:bottom w:w="72" w:type="dxa"/>
              <w:right w:w="115" w:type="dxa"/>
            </w:tcMar>
            <w:vAlign w:val="center"/>
          </w:tcPr>
          <w:p w14:paraId="18DC4A32" w14:textId="214DA6D4" w:rsidR="002D7256" w:rsidRDefault="002D7256"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2133F9" w:rsidRPr="000A6953" w14:paraId="04A398C6" w14:textId="77777777" w:rsidTr="1995616E">
        <w:trPr>
          <w:jc w:val="center"/>
        </w:trPr>
        <w:tc>
          <w:tcPr>
            <w:tcW w:w="1165" w:type="dxa"/>
            <w:tcMar>
              <w:top w:w="72" w:type="dxa"/>
              <w:left w:w="115" w:type="dxa"/>
              <w:bottom w:w="72" w:type="dxa"/>
              <w:right w:w="115" w:type="dxa"/>
            </w:tcMar>
            <w:vAlign w:val="center"/>
          </w:tcPr>
          <w:p w14:paraId="4B6A4C66" w14:textId="5AF56BA6" w:rsidR="002133F9" w:rsidRDefault="002133F9" w:rsidP="1995616E">
            <w:pPr>
              <w:rPr>
                <w:rFonts w:ascii="Times New Roman" w:hAnsi="Times New Roman" w:cs="Times New Roman"/>
              </w:rPr>
            </w:pPr>
            <w:r>
              <w:rPr>
                <w:rFonts w:ascii="Times New Roman" w:hAnsi="Times New Roman" w:cs="Times New Roman"/>
              </w:rPr>
              <w:t>5/6/22</w:t>
            </w:r>
          </w:p>
        </w:tc>
        <w:tc>
          <w:tcPr>
            <w:tcW w:w="8010" w:type="dxa"/>
            <w:tcMar>
              <w:top w:w="72" w:type="dxa"/>
              <w:left w:w="115" w:type="dxa"/>
              <w:bottom w:w="72" w:type="dxa"/>
              <w:right w:w="115" w:type="dxa"/>
            </w:tcMar>
            <w:vAlign w:val="center"/>
          </w:tcPr>
          <w:p w14:paraId="4801B5AD" w14:textId="61426341" w:rsidR="002133F9" w:rsidRDefault="002133F9"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1B2A0B" w:rsidRPr="000A6953" w14:paraId="3ACD47F0" w14:textId="77777777" w:rsidTr="1995616E">
        <w:trPr>
          <w:jc w:val="center"/>
        </w:trPr>
        <w:tc>
          <w:tcPr>
            <w:tcW w:w="1165" w:type="dxa"/>
            <w:tcMar>
              <w:top w:w="72" w:type="dxa"/>
              <w:left w:w="115" w:type="dxa"/>
              <w:bottom w:w="72" w:type="dxa"/>
              <w:right w:w="115" w:type="dxa"/>
            </w:tcMar>
            <w:vAlign w:val="center"/>
          </w:tcPr>
          <w:p w14:paraId="6BB1CC95" w14:textId="50C454EF" w:rsidR="001B2A0B" w:rsidRDefault="001B2A0B" w:rsidP="1995616E">
            <w:pPr>
              <w:rPr>
                <w:rFonts w:ascii="Times New Roman" w:hAnsi="Times New Roman" w:cs="Times New Roman"/>
              </w:rPr>
            </w:pPr>
            <w:r>
              <w:rPr>
                <w:rFonts w:ascii="Times New Roman" w:hAnsi="Times New Roman" w:cs="Times New Roman"/>
              </w:rPr>
              <w:t>5/11/22</w:t>
            </w:r>
          </w:p>
        </w:tc>
        <w:tc>
          <w:tcPr>
            <w:tcW w:w="8010" w:type="dxa"/>
            <w:tcMar>
              <w:top w:w="72" w:type="dxa"/>
              <w:left w:w="115" w:type="dxa"/>
              <w:bottom w:w="72" w:type="dxa"/>
              <w:right w:w="115" w:type="dxa"/>
            </w:tcMar>
            <w:vAlign w:val="center"/>
          </w:tcPr>
          <w:p w14:paraId="1F026AF0" w14:textId="0723ADF9" w:rsidR="001B2A0B" w:rsidRDefault="001B2A0B"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bl>
    <w:p w14:paraId="09C9DF0C" w14:textId="028B2F61" w:rsidR="005873CE" w:rsidRPr="000A6953" w:rsidRDefault="005873CE">
      <w:pPr>
        <w:rPr>
          <w:rFonts w:ascii="Times New Roman" w:hAnsi="Times New Roman" w:cs="Times New Roman"/>
        </w:rPr>
      </w:pPr>
    </w:p>
    <w:p w14:paraId="6863E81D" w14:textId="702C3FD5" w:rsidR="00A75466" w:rsidRPr="000A6953" w:rsidRDefault="00E54915" w:rsidP="00D477ED">
      <w:pPr>
        <w:pStyle w:val="Heading1"/>
        <w:rPr>
          <w:rFonts w:cs="Times New Roman"/>
        </w:rPr>
      </w:pPr>
      <w:r w:rsidRPr="000A6953">
        <w:rPr>
          <w:rFonts w:cs="Times New Roman"/>
        </w:rPr>
        <w:t xml:space="preserve">Part II: </w:t>
      </w:r>
      <w:r w:rsidR="00137597" w:rsidRPr="000A6953">
        <w:rPr>
          <w:rFonts w:cs="Times New Roman"/>
        </w:rPr>
        <w:t>Question and Answer Table</w:t>
      </w:r>
      <w:r w:rsidR="00D477ED" w:rsidRPr="000A6953">
        <w:rPr>
          <w:rFonts w:cs="Times New Roman"/>
        </w:rPr>
        <w:br/>
      </w:r>
    </w:p>
    <w:tbl>
      <w:tblPr>
        <w:tblStyle w:val="TableGrid"/>
        <w:tblW w:w="13945" w:type="dxa"/>
        <w:jc w:val="center"/>
        <w:tblLook w:val="04A0" w:firstRow="1" w:lastRow="0" w:firstColumn="1" w:lastColumn="0" w:noHBand="0" w:noVBand="1"/>
      </w:tblPr>
      <w:tblGrid>
        <w:gridCol w:w="1697"/>
        <w:gridCol w:w="2663"/>
        <w:gridCol w:w="9585"/>
      </w:tblGrid>
      <w:tr w:rsidR="00FD1900" w:rsidRPr="006E3A0F" w14:paraId="5DA9E0D5" w14:textId="77777777" w:rsidTr="2A62FF34">
        <w:trPr>
          <w:jc w:val="center"/>
        </w:trPr>
        <w:tc>
          <w:tcPr>
            <w:tcW w:w="2157" w:type="dxa"/>
            <w:shd w:val="clear" w:color="auto" w:fill="D9D9D9" w:themeFill="background1" w:themeFillShade="D9"/>
            <w:tcMar>
              <w:top w:w="72" w:type="dxa"/>
              <w:left w:w="115" w:type="dxa"/>
              <w:bottom w:w="72" w:type="dxa"/>
              <w:right w:w="115" w:type="dxa"/>
            </w:tcMar>
            <w:vAlign w:val="center"/>
          </w:tcPr>
          <w:p w14:paraId="65608F17" w14:textId="77777777" w:rsidR="00FD1900" w:rsidRPr="006E3A0F" w:rsidRDefault="00FD1900" w:rsidP="00163089">
            <w:pPr>
              <w:jc w:val="center"/>
              <w:rPr>
                <w:rFonts w:ascii="Times New Roman" w:hAnsi="Times New Roman" w:cs="Times New Roman"/>
                <w:b/>
                <w:bCs/>
                <w:noProof/>
              </w:rPr>
            </w:pPr>
            <w:r w:rsidRPr="006E3A0F">
              <w:rPr>
                <w:rFonts w:ascii="Times New Roman" w:hAnsi="Times New Roman" w:cs="Times New Roman"/>
                <w:b/>
                <w:bCs/>
                <w:noProof/>
              </w:rPr>
              <w:t>Date</w:t>
            </w:r>
          </w:p>
          <w:p w14:paraId="445E5453" w14:textId="77777777" w:rsidR="00FD1900" w:rsidRPr="006E3A0F" w:rsidRDefault="00FD1900" w:rsidP="00163089">
            <w:pPr>
              <w:jc w:val="center"/>
              <w:rPr>
                <w:rFonts w:ascii="Times New Roman" w:hAnsi="Times New Roman" w:cs="Times New Roman"/>
                <w:b/>
                <w:bCs/>
                <w:noProof/>
              </w:rPr>
            </w:pPr>
            <w:r w:rsidRPr="006E3A0F">
              <w:rPr>
                <w:rFonts w:ascii="Times New Roman" w:hAnsi="Times New Roman" w:cs="Times New Roman"/>
                <w:b/>
                <w:bCs/>
                <w:noProof/>
              </w:rPr>
              <w:t>Posted</w:t>
            </w:r>
          </w:p>
        </w:tc>
        <w:tc>
          <w:tcPr>
            <w:tcW w:w="2198" w:type="dxa"/>
            <w:shd w:val="clear" w:color="auto" w:fill="D9D9D9" w:themeFill="background1" w:themeFillShade="D9"/>
            <w:tcMar>
              <w:top w:w="72" w:type="dxa"/>
              <w:left w:w="115" w:type="dxa"/>
              <w:bottom w:w="72" w:type="dxa"/>
              <w:right w:w="115" w:type="dxa"/>
            </w:tcMar>
            <w:vAlign w:val="center"/>
          </w:tcPr>
          <w:p w14:paraId="71D5CE5D" w14:textId="77777777" w:rsidR="00FD1900" w:rsidRPr="006E3A0F" w:rsidRDefault="00FD1900" w:rsidP="00163089">
            <w:pPr>
              <w:jc w:val="center"/>
              <w:rPr>
                <w:rFonts w:ascii="Times New Roman" w:hAnsi="Times New Roman" w:cs="Times New Roman"/>
                <w:b/>
                <w:bCs/>
                <w:noProof/>
              </w:rPr>
            </w:pPr>
            <w:r w:rsidRPr="006E3A0F">
              <w:rPr>
                <w:rFonts w:ascii="Times New Roman" w:hAnsi="Times New Roman" w:cs="Times New Roman"/>
                <w:b/>
                <w:bCs/>
                <w:noProof/>
              </w:rPr>
              <w:t>Category</w:t>
            </w:r>
          </w:p>
        </w:tc>
        <w:tc>
          <w:tcPr>
            <w:tcW w:w="9590" w:type="dxa"/>
            <w:shd w:val="clear" w:color="auto" w:fill="D9D9D9" w:themeFill="background1" w:themeFillShade="D9"/>
            <w:tcMar>
              <w:top w:w="72" w:type="dxa"/>
              <w:left w:w="115" w:type="dxa"/>
              <w:bottom w:w="72" w:type="dxa"/>
              <w:right w:w="115" w:type="dxa"/>
            </w:tcMar>
            <w:vAlign w:val="center"/>
          </w:tcPr>
          <w:p w14:paraId="325ABA4D" w14:textId="77777777" w:rsidR="00FD1900" w:rsidRPr="006E3A0F" w:rsidRDefault="00FD1900" w:rsidP="00163089">
            <w:pPr>
              <w:jc w:val="center"/>
              <w:rPr>
                <w:rFonts w:ascii="Times New Roman" w:hAnsi="Times New Roman" w:cs="Times New Roman"/>
                <w:b/>
                <w:bCs/>
                <w:noProof/>
              </w:rPr>
            </w:pPr>
            <w:r w:rsidRPr="006E3A0F">
              <w:rPr>
                <w:rFonts w:ascii="Times New Roman" w:hAnsi="Times New Roman" w:cs="Times New Roman"/>
                <w:b/>
                <w:bCs/>
                <w:noProof/>
              </w:rPr>
              <w:t>Question and Answer</w:t>
            </w:r>
          </w:p>
        </w:tc>
      </w:tr>
      <w:tr w:rsidR="00FD1900" w:rsidRPr="006E3A0F" w14:paraId="0FE8DBB5" w14:textId="77777777" w:rsidTr="1995616E">
        <w:trPr>
          <w:jc w:val="center"/>
        </w:trPr>
        <w:tc>
          <w:tcPr>
            <w:tcW w:w="2157" w:type="dxa"/>
            <w:shd w:val="clear" w:color="auto" w:fill="auto"/>
            <w:tcMar>
              <w:top w:w="72" w:type="dxa"/>
              <w:left w:w="115" w:type="dxa"/>
              <w:bottom w:w="72" w:type="dxa"/>
              <w:right w:w="115" w:type="dxa"/>
            </w:tcMar>
            <w:vAlign w:val="center"/>
          </w:tcPr>
          <w:p w14:paraId="59232272"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33ED4BCD"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1.13</w:t>
            </w:r>
          </w:p>
          <w:p w14:paraId="3181CFE4"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 xml:space="preserve">Core </w:t>
            </w:r>
            <w:proofErr w:type="gramStart"/>
            <w:r w:rsidRPr="006E3A0F">
              <w:rPr>
                <w:rFonts w:ascii="Times New Roman" w:hAnsi="Times New Roman" w:cs="Times New Roman"/>
                <w:sz w:val="20"/>
                <w:szCs w:val="20"/>
              </w:rPr>
              <w:t>Plan;</w:t>
            </w:r>
            <w:proofErr w:type="gramEnd"/>
          </w:p>
          <w:p w14:paraId="5C111E31"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 xml:space="preserve">Submission </w:t>
            </w:r>
            <w:proofErr w:type="spellStart"/>
            <w:r w:rsidRPr="006E3A0F">
              <w:rPr>
                <w:rFonts w:ascii="Times New Roman" w:hAnsi="Times New Roman" w:cs="Times New Roman"/>
                <w:sz w:val="20"/>
                <w:szCs w:val="20"/>
              </w:rPr>
              <w:t>Require</w:t>
            </w:r>
            <w:r>
              <w:rPr>
                <w:rFonts w:ascii="Times New Roman" w:hAnsi="Times New Roman" w:cs="Times New Roman"/>
                <w:sz w:val="20"/>
                <w:szCs w:val="20"/>
              </w:rPr>
              <w:t>s</w:t>
            </w:r>
            <w:r w:rsidRPr="006E3A0F">
              <w:rPr>
                <w:rFonts w:ascii="Times New Roman" w:hAnsi="Times New Roman" w:cs="Times New Roman"/>
                <w:sz w:val="20"/>
                <w:szCs w:val="20"/>
              </w:rPr>
              <w:t>ments</w:t>
            </w:r>
            <w:proofErr w:type="spellEnd"/>
            <w:r w:rsidRPr="006E3A0F">
              <w:rPr>
                <w:rFonts w:ascii="Times New Roman" w:hAnsi="Times New Roman" w:cs="Times New Roman"/>
                <w:sz w:val="20"/>
                <w:szCs w:val="20"/>
              </w:rPr>
              <w:t xml:space="preserve"> and Award Limitations</w:t>
            </w:r>
          </w:p>
        </w:tc>
        <w:tc>
          <w:tcPr>
            <w:tcW w:w="9590" w:type="dxa"/>
            <w:shd w:val="clear" w:color="auto" w:fill="auto"/>
            <w:tcMar>
              <w:top w:w="72" w:type="dxa"/>
              <w:left w:w="115" w:type="dxa"/>
              <w:bottom w:w="72" w:type="dxa"/>
              <w:right w:w="115" w:type="dxa"/>
            </w:tcMar>
            <w:vAlign w:val="center"/>
          </w:tcPr>
          <w:p w14:paraId="17C018C4" w14:textId="77777777" w:rsidR="00FD1900" w:rsidRPr="001656CB" w:rsidRDefault="00FD1900" w:rsidP="001656CB">
            <w:pPr>
              <w:textAlignment w:val="baseline"/>
              <w:rPr>
                <w:rFonts w:ascii="Times New Roman" w:eastAsia="Times New Roman" w:hAnsi="Times New Roman" w:cs="Times New Roman"/>
                <w:sz w:val="20"/>
                <w:szCs w:val="20"/>
              </w:rPr>
            </w:pPr>
            <w:r w:rsidRPr="001656CB">
              <w:rPr>
                <w:rFonts w:ascii="Times New Roman" w:eastAsia="Times New Roman" w:hAnsi="Times New Roman" w:cs="Times New Roman"/>
                <w:b/>
                <w:bCs/>
                <w:sz w:val="20"/>
                <w:szCs w:val="20"/>
              </w:rPr>
              <w:t>Question</w:t>
            </w:r>
            <w:r w:rsidRPr="001656CB">
              <w:rPr>
                <w:rFonts w:ascii="Times New Roman" w:eastAsia="Times New Roman" w:hAnsi="Times New Roman" w:cs="Times New Roman"/>
                <w:sz w:val="20"/>
                <w:szCs w:val="20"/>
              </w:rPr>
              <w:t>: Q22_0506_17 </w:t>
            </w:r>
          </w:p>
          <w:p w14:paraId="3F82DE4F" w14:textId="77777777" w:rsidR="00FD1900" w:rsidRPr="001656CB" w:rsidRDefault="00FD1900" w:rsidP="001656CB">
            <w:pPr>
              <w:textAlignment w:val="baseline"/>
              <w:rPr>
                <w:rFonts w:ascii="Times New Roman" w:eastAsia="Times New Roman" w:hAnsi="Times New Roman" w:cs="Times New Roman"/>
                <w:sz w:val="20"/>
                <w:szCs w:val="20"/>
              </w:rPr>
            </w:pPr>
            <w:r w:rsidRPr="001656CB">
              <w:rPr>
                <w:rFonts w:ascii="Times New Roman" w:eastAsia="Times New Roman" w:hAnsi="Times New Roman" w:cs="Times New Roman"/>
                <w:b/>
                <w:bCs/>
                <w:sz w:val="20"/>
                <w:szCs w:val="20"/>
              </w:rPr>
              <w:t xml:space="preserve">(Core Plan) Submission Requirements and Award Limitations </w:t>
            </w:r>
            <w:r w:rsidRPr="001656CB">
              <w:rPr>
                <w:rFonts w:ascii="Times New Roman" w:eastAsia="Times New Roman" w:hAnsi="Times New Roman" w:cs="Times New Roman"/>
                <w:sz w:val="20"/>
                <w:szCs w:val="20"/>
              </w:rPr>
              <w:t>states that “DCA will not fund any Application with an Owner and/or Developer that has a DCA property funded in the 2020 round or earlier that has not closed their financing and started construction on that property as of Application Submission.”  </w:t>
            </w:r>
          </w:p>
          <w:p w14:paraId="1A976501" w14:textId="77777777" w:rsidR="00FD1900" w:rsidRPr="001656CB" w:rsidRDefault="00FD1900" w:rsidP="001656CB">
            <w:pPr>
              <w:textAlignment w:val="baseline"/>
              <w:rPr>
                <w:rFonts w:ascii="Times New Roman" w:eastAsia="Times New Roman" w:hAnsi="Times New Roman" w:cs="Times New Roman"/>
                <w:sz w:val="20"/>
                <w:szCs w:val="20"/>
              </w:rPr>
            </w:pPr>
            <w:r w:rsidRPr="001656CB">
              <w:rPr>
                <w:rFonts w:ascii="Times New Roman" w:eastAsia="Times New Roman" w:hAnsi="Times New Roman" w:cs="Times New Roman"/>
                <w:sz w:val="20"/>
                <w:szCs w:val="20"/>
              </w:rPr>
              <w:t>  </w:t>
            </w:r>
          </w:p>
          <w:p w14:paraId="3D0A84D8" w14:textId="77777777" w:rsidR="00FD1900" w:rsidRPr="001656CB" w:rsidRDefault="00FD1900" w:rsidP="001656CB">
            <w:pPr>
              <w:textAlignment w:val="baseline"/>
              <w:rPr>
                <w:rFonts w:ascii="Times New Roman" w:eastAsia="Times New Roman" w:hAnsi="Times New Roman" w:cs="Times New Roman"/>
                <w:sz w:val="20"/>
                <w:szCs w:val="20"/>
              </w:rPr>
            </w:pPr>
            <w:r w:rsidRPr="001656CB">
              <w:rPr>
                <w:rFonts w:ascii="Times New Roman" w:eastAsia="Times New Roman" w:hAnsi="Times New Roman" w:cs="Times New Roman"/>
                <w:sz w:val="20"/>
                <w:szCs w:val="20"/>
              </w:rPr>
              <w:t>What is meaning of DCA not funding any Application and does this apply to the 4% deals that were given allocations in the different tranches in 2020?  </w:t>
            </w:r>
          </w:p>
          <w:p w14:paraId="5797361F" w14:textId="77777777" w:rsidR="00FD1900" w:rsidRPr="001656CB" w:rsidRDefault="00FD1900" w:rsidP="001656CB">
            <w:pPr>
              <w:textAlignment w:val="baseline"/>
              <w:rPr>
                <w:rFonts w:ascii="Times New Roman" w:eastAsia="Times New Roman" w:hAnsi="Times New Roman" w:cs="Times New Roman"/>
                <w:sz w:val="20"/>
                <w:szCs w:val="20"/>
              </w:rPr>
            </w:pPr>
            <w:r w:rsidRPr="001656CB">
              <w:rPr>
                <w:rFonts w:ascii="Times New Roman" w:eastAsia="Times New Roman" w:hAnsi="Times New Roman" w:cs="Times New Roman"/>
                <w:sz w:val="20"/>
                <w:szCs w:val="20"/>
              </w:rPr>
              <w:t> </w:t>
            </w:r>
          </w:p>
          <w:p w14:paraId="5F04336E" w14:textId="77777777" w:rsidR="00FD1900" w:rsidRPr="001656CB" w:rsidRDefault="00FD1900" w:rsidP="001656CB">
            <w:pPr>
              <w:textAlignment w:val="baseline"/>
              <w:rPr>
                <w:rFonts w:ascii="Times New Roman" w:eastAsia="Times New Roman" w:hAnsi="Times New Roman" w:cs="Times New Roman"/>
                <w:sz w:val="20"/>
                <w:szCs w:val="20"/>
              </w:rPr>
            </w:pPr>
            <w:r w:rsidRPr="001656CB">
              <w:rPr>
                <w:rFonts w:ascii="Times New Roman" w:eastAsia="Times New Roman" w:hAnsi="Times New Roman" w:cs="Times New Roman"/>
                <w:b/>
                <w:bCs/>
                <w:sz w:val="20"/>
                <w:szCs w:val="20"/>
              </w:rPr>
              <w:t>Answer</w:t>
            </w:r>
            <w:r w:rsidRPr="001656CB">
              <w:rPr>
                <w:rFonts w:ascii="Times New Roman" w:eastAsia="Times New Roman" w:hAnsi="Times New Roman" w:cs="Times New Roman"/>
                <w:sz w:val="20"/>
                <w:szCs w:val="20"/>
              </w:rPr>
              <w:t>:  </w:t>
            </w:r>
          </w:p>
          <w:p w14:paraId="3F35D994" w14:textId="77777777" w:rsidR="00FD1900" w:rsidRPr="006E3A0F" w:rsidRDefault="00FD1900" w:rsidP="001656CB">
            <w:pPr>
              <w:textAlignment w:val="baseline"/>
              <w:rPr>
                <w:rStyle w:val="normaltextrun"/>
                <w:rFonts w:ascii="Times New Roman" w:eastAsia="Times New Roman" w:hAnsi="Times New Roman" w:cs="Times New Roman"/>
                <w:sz w:val="20"/>
                <w:szCs w:val="20"/>
              </w:rPr>
            </w:pPr>
            <w:r w:rsidRPr="001656CB">
              <w:rPr>
                <w:rFonts w:ascii="Times New Roman" w:eastAsia="Times New Roman" w:hAnsi="Times New Roman" w:cs="Times New Roman"/>
                <w:sz w:val="20"/>
                <w:szCs w:val="20"/>
              </w:rPr>
              <w:t>No, 4% deals do not relate to this rule. “2020 round or earlier” refers to 9% Competitive Rounds. </w:t>
            </w:r>
          </w:p>
        </w:tc>
      </w:tr>
      <w:tr w:rsidR="00FD1900" w:rsidRPr="006E3A0F" w14:paraId="126ABF5A" w14:textId="77777777" w:rsidTr="1995616E">
        <w:trPr>
          <w:jc w:val="center"/>
        </w:trPr>
        <w:tc>
          <w:tcPr>
            <w:tcW w:w="2157" w:type="dxa"/>
            <w:shd w:val="clear" w:color="auto" w:fill="auto"/>
            <w:tcMar>
              <w:top w:w="72" w:type="dxa"/>
              <w:left w:w="115" w:type="dxa"/>
              <w:bottom w:w="72" w:type="dxa"/>
              <w:right w:w="115" w:type="dxa"/>
            </w:tcMar>
            <w:vAlign w:val="center"/>
          </w:tcPr>
          <w:p w14:paraId="73417988"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31E03AE3"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2.02</w:t>
            </w:r>
          </w:p>
          <w:p w14:paraId="023FE046"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678B8DAE"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Project Feasibility, Viability Analysis &amp; Conformance with Plan</w:t>
            </w:r>
          </w:p>
        </w:tc>
        <w:tc>
          <w:tcPr>
            <w:tcW w:w="9590" w:type="dxa"/>
            <w:shd w:val="clear" w:color="auto" w:fill="auto"/>
            <w:tcMar>
              <w:top w:w="72" w:type="dxa"/>
              <w:left w:w="115" w:type="dxa"/>
              <w:bottom w:w="72" w:type="dxa"/>
              <w:right w:w="115" w:type="dxa"/>
            </w:tcMar>
            <w:vAlign w:val="center"/>
          </w:tcPr>
          <w:p w14:paraId="6FC74B84" w14:textId="77777777" w:rsidR="00FD1900" w:rsidRPr="006E3A0F" w:rsidRDefault="00FD1900" w:rsidP="00C01DFA">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Q22_0426_03</w:t>
            </w:r>
            <w:r w:rsidRPr="006E3A0F">
              <w:rPr>
                <w:rStyle w:val="eop"/>
                <w:sz w:val="20"/>
                <w:szCs w:val="20"/>
              </w:rPr>
              <w:t> </w:t>
            </w:r>
          </w:p>
          <w:p w14:paraId="4BA8E8BC" w14:textId="77777777" w:rsidR="00FD1900" w:rsidRPr="006E3A0F" w:rsidRDefault="00FD1900" w:rsidP="00C01DFA">
            <w:pPr>
              <w:pStyle w:val="paragraph"/>
              <w:spacing w:before="0" w:beforeAutospacing="0" w:after="0" w:afterAutospacing="0"/>
              <w:textAlignment w:val="baseline"/>
              <w:rPr>
                <w:sz w:val="20"/>
                <w:szCs w:val="20"/>
              </w:rPr>
            </w:pPr>
            <w:r w:rsidRPr="006E3A0F">
              <w:rPr>
                <w:rStyle w:val="normaltextrun"/>
                <w:sz w:val="20"/>
                <w:szCs w:val="20"/>
              </w:rPr>
              <w:t>How/where do we find the DCA published utility allowances that should be used in the 2022 applications? </w:t>
            </w:r>
            <w:r w:rsidRPr="006E3A0F">
              <w:rPr>
                <w:rStyle w:val="eop"/>
                <w:sz w:val="20"/>
                <w:szCs w:val="20"/>
              </w:rPr>
              <w:t> </w:t>
            </w:r>
          </w:p>
          <w:p w14:paraId="29F54FC9" w14:textId="77777777" w:rsidR="00FD1900" w:rsidRPr="006E3A0F" w:rsidRDefault="00FD1900" w:rsidP="00C01DFA">
            <w:pPr>
              <w:pStyle w:val="paragraph"/>
              <w:spacing w:before="0" w:beforeAutospacing="0" w:after="0" w:afterAutospacing="0"/>
              <w:textAlignment w:val="baseline"/>
              <w:rPr>
                <w:sz w:val="20"/>
                <w:szCs w:val="20"/>
              </w:rPr>
            </w:pPr>
            <w:r w:rsidRPr="006E3A0F">
              <w:rPr>
                <w:rStyle w:val="eop"/>
                <w:sz w:val="20"/>
                <w:szCs w:val="20"/>
              </w:rPr>
              <w:t> </w:t>
            </w:r>
          </w:p>
          <w:p w14:paraId="4302A38B" w14:textId="77777777" w:rsidR="00FD1900" w:rsidRPr="006E3A0F" w:rsidRDefault="00FD1900" w:rsidP="00C01DFA">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 </w:t>
            </w:r>
            <w:r w:rsidRPr="006E3A0F">
              <w:rPr>
                <w:rStyle w:val="eop"/>
                <w:sz w:val="20"/>
                <w:szCs w:val="20"/>
              </w:rPr>
              <w:t> </w:t>
            </w:r>
          </w:p>
          <w:p w14:paraId="5748D6F3" w14:textId="77777777" w:rsidR="00FD1900" w:rsidRPr="006E3A0F" w:rsidRDefault="00FD1900" w:rsidP="00C01DFA">
            <w:pPr>
              <w:pStyle w:val="paragraph"/>
              <w:spacing w:before="0" w:beforeAutospacing="0" w:after="0" w:afterAutospacing="0"/>
              <w:textAlignment w:val="baseline"/>
              <w:rPr>
                <w:sz w:val="20"/>
                <w:szCs w:val="20"/>
              </w:rPr>
            </w:pPr>
            <w:r w:rsidRPr="006E3A0F">
              <w:rPr>
                <w:rStyle w:val="normaltextrun"/>
                <w:sz w:val="20"/>
                <w:szCs w:val="20"/>
              </w:rPr>
              <w:t xml:space="preserve">See </w:t>
            </w:r>
            <w:r w:rsidRPr="006E3A0F">
              <w:rPr>
                <w:rStyle w:val="normaltextrun"/>
                <w:b/>
                <w:bCs/>
                <w:sz w:val="20"/>
                <w:szCs w:val="20"/>
              </w:rPr>
              <w:t xml:space="preserve">(Threshold) Project Feasibility, Viability Analysis &amp; Conformance with Plan, Operating Utility Allowance (UA) </w:t>
            </w:r>
            <w:r w:rsidRPr="006E3A0F">
              <w:rPr>
                <w:rStyle w:val="normaltextrun"/>
                <w:sz w:val="20"/>
                <w:szCs w:val="20"/>
              </w:rPr>
              <w:t xml:space="preserve">and the </w:t>
            </w:r>
            <w:r w:rsidRPr="006E3A0F">
              <w:rPr>
                <w:rStyle w:val="normaltextrun"/>
                <w:i/>
                <w:iCs/>
                <w:sz w:val="20"/>
                <w:szCs w:val="20"/>
              </w:rPr>
              <w:t>DCA Utility Allowance Map</w:t>
            </w:r>
            <w:r w:rsidRPr="006E3A0F">
              <w:rPr>
                <w:rStyle w:val="normaltextrun"/>
                <w:sz w:val="20"/>
                <w:szCs w:val="20"/>
              </w:rPr>
              <w:t xml:space="preserve"> to determine which method(s) and Utility Allowance schedule(s) applies to your application. </w:t>
            </w:r>
            <w:r w:rsidRPr="006E3A0F">
              <w:rPr>
                <w:rStyle w:val="eop"/>
                <w:sz w:val="20"/>
                <w:szCs w:val="20"/>
              </w:rPr>
              <w:t> </w:t>
            </w:r>
          </w:p>
          <w:p w14:paraId="206AFEBF" w14:textId="77777777" w:rsidR="00FD1900" w:rsidRPr="006E3A0F" w:rsidRDefault="00FD1900" w:rsidP="00C01DFA">
            <w:pPr>
              <w:pStyle w:val="paragraph"/>
              <w:spacing w:before="0" w:beforeAutospacing="0" w:after="0" w:afterAutospacing="0"/>
              <w:textAlignment w:val="baseline"/>
              <w:rPr>
                <w:sz w:val="20"/>
                <w:szCs w:val="20"/>
              </w:rPr>
            </w:pPr>
            <w:r w:rsidRPr="006E3A0F">
              <w:rPr>
                <w:rStyle w:val="eop"/>
                <w:sz w:val="20"/>
                <w:szCs w:val="20"/>
              </w:rPr>
              <w:t> </w:t>
            </w:r>
          </w:p>
          <w:p w14:paraId="43BBB064" w14:textId="77777777" w:rsidR="00FD1900" w:rsidRPr="006E3A0F" w:rsidRDefault="00FD1900" w:rsidP="0053282B">
            <w:pPr>
              <w:pStyle w:val="paragraph"/>
              <w:spacing w:before="0" w:beforeAutospacing="0" w:after="0" w:afterAutospacing="0"/>
              <w:textAlignment w:val="baseline"/>
              <w:rPr>
                <w:rStyle w:val="normaltextrun"/>
                <w:sz w:val="20"/>
                <w:szCs w:val="20"/>
              </w:rPr>
            </w:pPr>
            <w:r w:rsidRPr="006E3A0F">
              <w:rPr>
                <w:rStyle w:val="normaltextrun"/>
                <w:sz w:val="20"/>
                <w:szCs w:val="20"/>
              </w:rPr>
              <w:t xml:space="preserve">The </w:t>
            </w:r>
            <w:r w:rsidRPr="006E3A0F">
              <w:rPr>
                <w:rStyle w:val="normaltextrun"/>
                <w:i/>
                <w:iCs/>
                <w:sz w:val="20"/>
                <w:szCs w:val="20"/>
              </w:rPr>
              <w:t>DCA Utility Allowance Map</w:t>
            </w:r>
            <w:r w:rsidRPr="006E3A0F">
              <w:rPr>
                <w:rStyle w:val="normaltextrun"/>
                <w:sz w:val="20"/>
                <w:szCs w:val="20"/>
              </w:rPr>
              <w:t xml:space="preserve"> and </w:t>
            </w:r>
            <w:r w:rsidRPr="006E3A0F">
              <w:rPr>
                <w:rStyle w:val="normaltextrun"/>
                <w:i/>
                <w:iCs/>
                <w:sz w:val="20"/>
                <w:szCs w:val="20"/>
              </w:rPr>
              <w:t>DCA Utility Allowance Schedule</w:t>
            </w:r>
            <w:r w:rsidRPr="006E3A0F">
              <w:rPr>
                <w:rStyle w:val="normaltextrun"/>
                <w:sz w:val="20"/>
                <w:szCs w:val="20"/>
              </w:rPr>
              <w:t xml:space="preserve"> are posted to the Rental Housing Development – Compliance Monitoring page of the DCA website (</w:t>
            </w:r>
            <w:hyperlink r:id="rId15" w:tgtFrame="_blank" w:history="1">
              <w:r w:rsidRPr="006E3A0F">
                <w:rPr>
                  <w:rStyle w:val="normaltextrun"/>
                  <w:sz w:val="20"/>
                  <w:szCs w:val="20"/>
                  <w:u w:val="single"/>
                </w:rPr>
                <w:t>click here</w:t>
              </w:r>
            </w:hyperlink>
            <w:r w:rsidRPr="006E3A0F">
              <w:rPr>
                <w:rStyle w:val="normaltextrun"/>
                <w:sz w:val="20"/>
                <w:szCs w:val="20"/>
              </w:rPr>
              <w:t>).</w:t>
            </w:r>
          </w:p>
        </w:tc>
      </w:tr>
      <w:tr w:rsidR="00FD1900" w:rsidRPr="006E3A0F" w14:paraId="569B3249" w14:textId="77777777" w:rsidTr="1995616E">
        <w:trPr>
          <w:jc w:val="center"/>
        </w:trPr>
        <w:tc>
          <w:tcPr>
            <w:tcW w:w="2157" w:type="dxa"/>
            <w:shd w:val="clear" w:color="auto" w:fill="auto"/>
            <w:tcMar>
              <w:top w:w="72" w:type="dxa"/>
              <w:left w:w="115" w:type="dxa"/>
              <w:bottom w:w="72" w:type="dxa"/>
              <w:right w:w="115" w:type="dxa"/>
            </w:tcMar>
            <w:vAlign w:val="center"/>
          </w:tcPr>
          <w:p w14:paraId="243B9D10" w14:textId="77777777" w:rsidR="00FD1900" w:rsidRPr="006E3A0F" w:rsidRDefault="00FD1900" w:rsidP="00304B2F">
            <w:pPr>
              <w:rPr>
                <w:rFonts w:ascii="Times New Roman" w:hAnsi="Times New Roman" w:cs="Times New Roman"/>
                <w:noProof/>
                <w:sz w:val="20"/>
                <w:szCs w:val="20"/>
              </w:rPr>
            </w:pPr>
            <w:r>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1E053F96" w14:textId="77777777" w:rsidR="00FD1900" w:rsidRDefault="00FD1900" w:rsidP="002E5CCF">
            <w:pPr>
              <w:rPr>
                <w:rFonts w:ascii="Times New Roman" w:hAnsi="Times New Roman" w:cs="Times New Roman"/>
                <w:sz w:val="20"/>
                <w:szCs w:val="20"/>
              </w:rPr>
            </w:pPr>
            <w:r>
              <w:rPr>
                <w:rFonts w:ascii="Times New Roman" w:hAnsi="Times New Roman" w:cs="Times New Roman"/>
                <w:sz w:val="20"/>
                <w:szCs w:val="20"/>
              </w:rPr>
              <w:t>2.02</w:t>
            </w:r>
          </w:p>
          <w:p w14:paraId="4A652FFD" w14:textId="77777777" w:rsidR="00FD1900" w:rsidRPr="006E3A0F" w:rsidRDefault="00FD1900" w:rsidP="00E26BA7">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26EED63A" w14:textId="77777777" w:rsidR="00FD1900" w:rsidRPr="006E3A0F" w:rsidRDefault="00FD1900" w:rsidP="00E26BA7">
            <w:pPr>
              <w:rPr>
                <w:rFonts w:ascii="Times New Roman" w:hAnsi="Times New Roman" w:cs="Times New Roman"/>
                <w:sz w:val="20"/>
                <w:szCs w:val="20"/>
              </w:rPr>
            </w:pPr>
            <w:r w:rsidRPr="006E3A0F">
              <w:rPr>
                <w:rFonts w:ascii="Times New Roman" w:hAnsi="Times New Roman" w:cs="Times New Roman"/>
                <w:sz w:val="20"/>
                <w:szCs w:val="20"/>
              </w:rPr>
              <w:t>Project Feasibility, Viability Analysis &amp; Conformance with Plan</w:t>
            </w:r>
          </w:p>
        </w:tc>
        <w:tc>
          <w:tcPr>
            <w:tcW w:w="9590" w:type="dxa"/>
            <w:shd w:val="clear" w:color="auto" w:fill="auto"/>
            <w:tcMar>
              <w:top w:w="72" w:type="dxa"/>
              <w:left w:w="115" w:type="dxa"/>
              <w:bottom w:w="72" w:type="dxa"/>
              <w:right w:w="115" w:type="dxa"/>
            </w:tcMar>
            <w:vAlign w:val="center"/>
          </w:tcPr>
          <w:p w14:paraId="339D3654" w14:textId="77777777" w:rsidR="00FD1900" w:rsidRPr="00142424" w:rsidRDefault="00FD1900" w:rsidP="00142424">
            <w:pPr>
              <w:pStyle w:val="paragraph"/>
              <w:spacing w:before="0" w:beforeAutospacing="0" w:after="0" w:afterAutospacing="0"/>
              <w:textAlignment w:val="baseline"/>
              <w:rPr>
                <w:rFonts w:eastAsia="MS Mincho"/>
                <w:sz w:val="20"/>
                <w:szCs w:val="20"/>
              </w:rPr>
            </w:pPr>
            <w:r w:rsidRPr="00142424">
              <w:rPr>
                <w:rStyle w:val="normaltextrun"/>
                <w:rFonts w:eastAsia="MS Mincho"/>
                <w:b/>
                <w:bCs/>
                <w:sz w:val="20"/>
                <w:szCs w:val="20"/>
              </w:rPr>
              <w:t>Question</w:t>
            </w:r>
            <w:r w:rsidRPr="00142424">
              <w:rPr>
                <w:rStyle w:val="normaltextrun"/>
                <w:rFonts w:eastAsia="MS Mincho"/>
                <w:sz w:val="20"/>
                <w:szCs w:val="20"/>
              </w:rPr>
              <w:t xml:space="preserve">: </w:t>
            </w:r>
            <w:r w:rsidRPr="00142424">
              <w:rPr>
                <w:rStyle w:val="normaltextrun"/>
                <w:rFonts w:eastAsia="MS Mincho"/>
                <w:b/>
                <w:bCs/>
                <w:sz w:val="20"/>
                <w:szCs w:val="20"/>
              </w:rPr>
              <w:t>Q22_0418_15</w:t>
            </w:r>
            <w:r w:rsidRPr="00142424">
              <w:rPr>
                <w:rStyle w:val="eop"/>
                <w:rFonts w:eastAsia="MS Mincho"/>
                <w:sz w:val="20"/>
                <w:szCs w:val="20"/>
              </w:rPr>
              <w:t> </w:t>
            </w:r>
          </w:p>
          <w:p w14:paraId="313A0464" w14:textId="77777777" w:rsidR="00FD1900" w:rsidRPr="00142424" w:rsidRDefault="00FD1900" w:rsidP="00142424">
            <w:pPr>
              <w:pStyle w:val="paragraph"/>
              <w:spacing w:before="0" w:beforeAutospacing="0" w:after="0" w:afterAutospacing="0"/>
              <w:textAlignment w:val="baseline"/>
              <w:rPr>
                <w:rFonts w:eastAsia="MS Mincho"/>
                <w:sz w:val="20"/>
                <w:szCs w:val="20"/>
              </w:rPr>
            </w:pPr>
            <w:r w:rsidRPr="00142424">
              <w:rPr>
                <w:rStyle w:val="normaltextrun"/>
                <w:rFonts w:eastAsia="MS Mincho"/>
                <w:sz w:val="20"/>
                <w:szCs w:val="20"/>
              </w:rPr>
              <w:t>Our proposed development plans to utilize the RAD/Section 18 blends opportunity for our rent structure. HUD does not provide a commitment for the non-RAD PBV HAP contract until all other financing is in place, including the tax credit award.</w:t>
            </w:r>
            <w:r w:rsidRPr="00142424">
              <w:rPr>
                <w:rStyle w:val="eop"/>
                <w:rFonts w:eastAsia="MS Mincho"/>
                <w:sz w:val="20"/>
                <w:szCs w:val="20"/>
              </w:rPr>
              <w:t> </w:t>
            </w:r>
          </w:p>
          <w:p w14:paraId="19C73BEF" w14:textId="77777777" w:rsidR="00FD1900" w:rsidRPr="00142424" w:rsidRDefault="00FD1900" w:rsidP="00142424">
            <w:pPr>
              <w:pStyle w:val="paragraph"/>
              <w:spacing w:before="0" w:beforeAutospacing="0" w:after="0" w:afterAutospacing="0"/>
              <w:textAlignment w:val="baseline"/>
              <w:rPr>
                <w:rFonts w:eastAsia="MS Mincho"/>
                <w:sz w:val="20"/>
                <w:szCs w:val="20"/>
              </w:rPr>
            </w:pPr>
            <w:r w:rsidRPr="00142424">
              <w:rPr>
                <w:rStyle w:val="eop"/>
                <w:rFonts w:eastAsia="MS Mincho"/>
                <w:sz w:val="20"/>
                <w:szCs w:val="20"/>
              </w:rPr>
              <w:t> </w:t>
            </w:r>
          </w:p>
          <w:p w14:paraId="0B52FDDE" w14:textId="77777777" w:rsidR="00FD1900" w:rsidRPr="00142424" w:rsidRDefault="00FD1900" w:rsidP="00142424">
            <w:pPr>
              <w:pStyle w:val="paragraph"/>
              <w:spacing w:before="0" w:beforeAutospacing="0" w:after="0" w:afterAutospacing="0"/>
              <w:textAlignment w:val="baseline"/>
              <w:rPr>
                <w:rFonts w:eastAsia="MS Mincho"/>
                <w:sz w:val="20"/>
                <w:szCs w:val="20"/>
              </w:rPr>
            </w:pPr>
            <w:r w:rsidRPr="00142424">
              <w:rPr>
                <w:rStyle w:val="normaltextrun"/>
                <w:rFonts w:eastAsia="MS Mincho"/>
                <w:sz w:val="20"/>
                <w:szCs w:val="20"/>
              </w:rPr>
              <w:t xml:space="preserve">How can applicants meet documentation requirements under the QAP for </w:t>
            </w:r>
            <w:r w:rsidRPr="00142424">
              <w:rPr>
                <w:rStyle w:val="normaltextrun"/>
                <w:rFonts w:eastAsia="MS Mincho"/>
                <w:b/>
                <w:bCs/>
                <w:sz w:val="20"/>
                <w:szCs w:val="20"/>
              </w:rPr>
              <w:t>(Threshold Criteria) Project Feasibility</w:t>
            </w:r>
            <w:r w:rsidRPr="00142424">
              <w:rPr>
                <w:rStyle w:val="normaltextrun"/>
                <w:rFonts w:eastAsia="MS Mincho"/>
                <w:sz w:val="20"/>
                <w:szCs w:val="20"/>
              </w:rPr>
              <w:t xml:space="preserve"> and </w:t>
            </w:r>
            <w:r w:rsidRPr="00142424">
              <w:rPr>
                <w:rStyle w:val="normaltextrun"/>
                <w:rFonts w:eastAsia="MS Mincho"/>
                <w:b/>
                <w:bCs/>
                <w:sz w:val="20"/>
                <w:szCs w:val="20"/>
              </w:rPr>
              <w:t>(Scoring Criteria) Deeper Targeting</w:t>
            </w:r>
            <w:r w:rsidRPr="00142424">
              <w:rPr>
                <w:rStyle w:val="normaltextrun"/>
                <w:rFonts w:eastAsia="MS Mincho"/>
                <w:sz w:val="20"/>
                <w:szCs w:val="20"/>
              </w:rPr>
              <w:t xml:space="preserve"> in this circumstance?</w:t>
            </w:r>
            <w:r w:rsidRPr="00142424">
              <w:rPr>
                <w:rStyle w:val="eop"/>
                <w:rFonts w:eastAsia="MS Mincho"/>
                <w:sz w:val="20"/>
                <w:szCs w:val="20"/>
              </w:rPr>
              <w:t> </w:t>
            </w:r>
          </w:p>
          <w:p w14:paraId="09E1F06A" w14:textId="77777777" w:rsidR="00FD1900" w:rsidRPr="00142424" w:rsidRDefault="00FD1900" w:rsidP="00142424">
            <w:pPr>
              <w:pStyle w:val="paragraph"/>
              <w:spacing w:before="0" w:beforeAutospacing="0" w:after="0" w:afterAutospacing="0"/>
              <w:textAlignment w:val="baseline"/>
              <w:rPr>
                <w:rFonts w:eastAsia="MS Mincho"/>
                <w:sz w:val="20"/>
                <w:szCs w:val="20"/>
              </w:rPr>
            </w:pPr>
            <w:r w:rsidRPr="00142424">
              <w:rPr>
                <w:rStyle w:val="eop"/>
                <w:rFonts w:eastAsia="MS Mincho"/>
                <w:sz w:val="20"/>
                <w:szCs w:val="20"/>
              </w:rPr>
              <w:t> </w:t>
            </w:r>
          </w:p>
          <w:p w14:paraId="3BD0BFEA" w14:textId="77777777" w:rsidR="00FD1900" w:rsidRPr="00142424" w:rsidRDefault="00FD1900" w:rsidP="00142424">
            <w:pPr>
              <w:pStyle w:val="paragraph"/>
              <w:spacing w:before="0" w:beforeAutospacing="0" w:after="0" w:afterAutospacing="0"/>
              <w:textAlignment w:val="baseline"/>
              <w:rPr>
                <w:rFonts w:eastAsia="MS Mincho"/>
                <w:sz w:val="20"/>
                <w:szCs w:val="20"/>
              </w:rPr>
            </w:pPr>
            <w:r w:rsidRPr="00142424">
              <w:rPr>
                <w:rStyle w:val="normaltextrun"/>
                <w:rFonts w:eastAsia="MS Mincho"/>
                <w:b/>
                <w:bCs/>
                <w:sz w:val="20"/>
                <w:szCs w:val="20"/>
              </w:rPr>
              <w:t>Answer</w:t>
            </w:r>
            <w:r w:rsidRPr="00142424">
              <w:rPr>
                <w:rStyle w:val="normaltextrun"/>
                <w:rFonts w:eastAsia="MS Mincho"/>
                <w:sz w:val="20"/>
                <w:szCs w:val="20"/>
              </w:rPr>
              <w:t>: </w:t>
            </w:r>
            <w:r w:rsidRPr="00142424">
              <w:rPr>
                <w:rStyle w:val="eop"/>
                <w:rFonts w:eastAsia="MS Mincho"/>
                <w:sz w:val="20"/>
                <w:szCs w:val="20"/>
              </w:rPr>
              <w:t> </w:t>
            </w:r>
          </w:p>
          <w:p w14:paraId="525F50B1" w14:textId="77777777" w:rsidR="00FD1900" w:rsidRPr="00142424" w:rsidRDefault="00FD1900" w:rsidP="00142424">
            <w:pPr>
              <w:pStyle w:val="paragraph"/>
              <w:spacing w:before="0" w:beforeAutospacing="0" w:after="0" w:afterAutospacing="0"/>
              <w:textAlignment w:val="baseline"/>
              <w:rPr>
                <w:rFonts w:eastAsia="MS Mincho"/>
                <w:sz w:val="20"/>
                <w:szCs w:val="20"/>
              </w:rPr>
            </w:pPr>
            <w:r w:rsidRPr="00142424">
              <w:rPr>
                <w:rStyle w:val="normaltextrun"/>
                <w:rFonts w:eastAsia="MS Mincho"/>
                <w:sz w:val="20"/>
                <w:szCs w:val="20"/>
              </w:rPr>
              <w:t xml:space="preserve">Applicants can submit the following documentation for purposes of both </w:t>
            </w:r>
            <w:r w:rsidRPr="00142424">
              <w:rPr>
                <w:rStyle w:val="normaltextrun"/>
                <w:rFonts w:eastAsia="MS Mincho"/>
                <w:b/>
                <w:bCs/>
                <w:sz w:val="20"/>
                <w:szCs w:val="20"/>
              </w:rPr>
              <w:t>Threshold</w:t>
            </w:r>
            <w:r w:rsidRPr="00142424">
              <w:rPr>
                <w:rStyle w:val="normaltextrun"/>
                <w:rFonts w:eastAsia="MS Mincho"/>
                <w:sz w:val="20"/>
                <w:szCs w:val="20"/>
              </w:rPr>
              <w:t xml:space="preserve"> and </w:t>
            </w:r>
            <w:r w:rsidRPr="00142424">
              <w:rPr>
                <w:rStyle w:val="normaltextrun"/>
                <w:rFonts w:eastAsia="MS Mincho"/>
                <w:b/>
                <w:bCs/>
                <w:sz w:val="20"/>
                <w:szCs w:val="20"/>
              </w:rPr>
              <w:t>Scoring</w:t>
            </w:r>
            <w:r w:rsidRPr="00142424">
              <w:rPr>
                <w:rStyle w:val="normaltextrun"/>
                <w:rFonts w:eastAsia="MS Mincho"/>
                <w:sz w:val="20"/>
                <w:szCs w:val="20"/>
              </w:rPr>
              <w:t>:</w:t>
            </w:r>
            <w:r w:rsidRPr="00142424">
              <w:rPr>
                <w:rStyle w:val="scxw127031168"/>
                <w:rFonts w:eastAsia="MS Mincho"/>
                <w:sz w:val="20"/>
                <w:szCs w:val="20"/>
              </w:rPr>
              <w:t> </w:t>
            </w:r>
            <w:r w:rsidRPr="00142424">
              <w:rPr>
                <w:rFonts w:eastAsia="MS Mincho"/>
                <w:sz w:val="20"/>
                <w:szCs w:val="20"/>
              </w:rPr>
              <w:br/>
            </w:r>
            <w:r w:rsidRPr="00142424">
              <w:rPr>
                <w:rStyle w:val="eop"/>
                <w:rFonts w:eastAsia="MS Mincho"/>
                <w:sz w:val="20"/>
                <w:szCs w:val="20"/>
              </w:rPr>
              <w:t> </w:t>
            </w:r>
          </w:p>
          <w:p w14:paraId="2DA78A97" w14:textId="77777777" w:rsidR="00FD1900" w:rsidRPr="00142424" w:rsidRDefault="00FD1900" w:rsidP="00142424">
            <w:pPr>
              <w:pStyle w:val="paragraph"/>
              <w:numPr>
                <w:ilvl w:val="0"/>
                <w:numId w:val="46"/>
              </w:numPr>
              <w:spacing w:before="0" w:beforeAutospacing="0" w:after="0" w:afterAutospacing="0"/>
              <w:ind w:left="1080" w:firstLine="0"/>
              <w:textAlignment w:val="baseline"/>
              <w:rPr>
                <w:rFonts w:eastAsia="MS Mincho"/>
                <w:sz w:val="20"/>
                <w:szCs w:val="20"/>
              </w:rPr>
            </w:pPr>
            <w:r w:rsidRPr="00142424">
              <w:rPr>
                <w:rStyle w:val="normaltextrun"/>
                <w:rFonts w:eastAsia="MS Mincho"/>
                <w:sz w:val="20"/>
                <w:szCs w:val="20"/>
              </w:rPr>
              <w:t>A signed letter from HUD confirming that the development will be eligible for the RAD/Section 18 blends rent structure, pending a review of the overall financing plan.</w:t>
            </w:r>
            <w:r w:rsidRPr="00142424">
              <w:rPr>
                <w:rStyle w:val="eop"/>
                <w:rFonts w:eastAsia="MS Mincho"/>
                <w:sz w:val="20"/>
                <w:szCs w:val="20"/>
              </w:rPr>
              <w:t> </w:t>
            </w:r>
          </w:p>
          <w:p w14:paraId="0F7C991A" w14:textId="77777777" w:rsidR="00FD1900" w:rsidRPr="00142424" w:rsidRDefault="00FD1900" w:rsidP="00142424">
            <w:pPr>
              <w:pStyle w:val="paragraph"/>
              <w:numPr>
                <w:ilvl w:val="0"/>
                <w:numId w:val="47"/>
              </w:numPr>
              <w:spacing w:before="0" w:beforeAutospacing="0" w:after="0" w:afterAutospacing="0"/>
              <w:ind w:left="1800" w:firstLine="0"/>
              <w:textAlignment w:val="baseline"/>
              <w:rPr>
                <w:rFonts w:eastAsia="MS Mincho"/>
                <w:sz w:val="20"/>
                <w:szCs w:val="20"/>
              </w:rPr>
            </w:pPr>
            <w:r w:rsidRPr="00142424">
              <w:rPr>
                <w:rStyle w:val="normaltextrun"/>
                <w:rFonts w:eastAsia="MS Mincho"/>
                <w:sz w:val="20"/>
                <w:szCs w:val="20"/>
              </w:rPr>
              <w:t>HUD has provided to DCA a template letter that applicants can send to HUD for signature confirming HUD’s approval of the development, the PHA’s and Owner’s decision regarding how many years the anticipated PBV contract will last, etc. This letter can be submitted as documentation in the application. </w:t>
            </w:r>
            <w:r w:rsidRPr="00142424">
              <w:rPr>
                <w:rStyle w:val="eop"/>
                <w:rFonts w:eastAsia="MS Mincho"/>
                <w:sz w:val="20"/>
                <w:szCs w:val="20"/>
              </w:rPr>
              <w:t> </w:t>
            </w:r>
          </w:p>
          <w:p w14:paraId="3A0A308B" w14:textId="77777777" w:rsidR="00FD1900" w:rsidRPr="0000639B" w:rsidRDefault="00FD1900" w:rsidP="0000639B">
            <w:pPr>
              <w:pStyle w:val="paragraph"/>
              <w:numPr>
                <w:ilvl w:val="0"/>
                <w:numId w:val="47"/>
              </w:numPr>
              <w:spacing w:before="0" w:beforeAutospacing="0" w:after="0" w:afterAutospacing="0"/>
              <w:ind w:left="1800" w:firstLine="0"/>
              <w:textAlignment w:val="baseline"/>
              <w:rPr>
                <w:rFonts w:eastAsia="MS Mincho"/>
                <w:sz w:val="20"/>
                <w:szCs w:val="20"/>
              </w:rPr>
            </w:pPr>
            <w:r w:rsidRPr="00142424">
              <w:rPr>
                <w:rStyle w:val="normaltextrun"/>
                <w:rFonts w:eastAsia="MS Mincho"/>
                <w:sz w:val="20"/>
                <w:szCs w:val="20"/>
              </w:rPr>
              <w:t>The template HUD letter is posted to the DCA website under</w:t>
            </w:r>
            <w:r>
              <w:rPr>
                <w:rStyle w:val="normaltextrun"/>
                <w:rFonts w:eastAsia="MS Mincho"/>
                <w:sz w:val="20"/>
                <w:szCs w:val="20"/>
              </w:rPr>
              <w:t xml:space="preserve">: </w:t>
            </w:r>
            <w:r w:rsidRPr="0000639B">
              <w:rPr>
                <w:rStyle w:val="normaltextrun"/>
                <w:rFonts w:eastAsia="MS Mincho"/>
                <w:sz w:val="20"/>
                <w:szCs w:val="20"/>
              </w:rPr>
              <w:t>“Application Manuals, Forms, and Scoring Documents” / “</w:t>
            </w:r>
            <w:r w:rsidRPr="0000639B">
              <w:rPr>
                <w:rStyle w:val="normaltextrun"/>
                <w:rFonts w:eastAsia="MS Mincho"/>
                <w:sz w:val="20"/>
                <w:szCs w:val="20"/>
              </w:rPr>
              <w:t>Other Manuals and forms</w:t>
            </w:r>
            <w:r w:rsidRPr="0000639B">
              <w:rPr>
                <w:rStyle w:val="normaltextrun"/>
                <w:rFonts w:eastAsia="MS Mincho"/>
                <w:sz w:val="20"/>
                <w:szCs w:val="20"/>
              </w:rPr>
              <w:t>” / “</w:t>
            </w:r>
            <w:r w:rsidRPr="0000639B">
              <w:rPr>
                <w:rStyle w:val="normaltextrun"/>
                <w:rFonts w:eastAsia="MS Mincho"/>
                <w:sz w:val="20"/>
                <w:szCs w:val="20"/>
              </w:rPr>
              <w:t>Template HUD Letter for RAD</w:t>
            </w:r>
            <w:r w:rsidRPr="0000639B">
              <w:rPr>
                <w:rStyle w:val="normaltextrun"/>
                <w:rFonts w:eastAsia="MS Mincho"/>
                <w:sz w:val="20"/>
                <w:szCs w:val="20"/>
              </w:rPr>
              <w:t>-</w:t>
            </w:r>
            <w:r w:rsidRPr="0000639B">
              <w:rPr>
                <w:rStyle w:val="normaltextrun"/>
                <w:rFonts w:eastAsia="MS Mincho"/>
                <w:sz w:val="20"/>
                <w:szCs w:val="20"/>
              </w:rPr>
              <w:t>Section 18 Blends” (</w:t>
            </w:r>
            <w:hyperlink r:id="rId16" w:tgtFrame="_blank" w:history="1">
              <w:r w:rsidRPr="0000639B">
                <w:rPr>
                  <w:rStyle w:val="normaltextrun"/>
                  <w:rFonts w:eastAsia="MS Mincho"/>
                  <w:color w:val="0563C1"/>
                  <w:sz w:val="20"/>
                  <w:szCs w:val="20"/>
                  <w:u w:val="single"/>
                </w:rPr>
                <w:t>click</w:t>
              </w:r>
              <w:r w:rsidRPr="0000639B">
                <w:rPr>
                  <w:rStyle w:val="normaltextrun"/>
                  <w:rFonts w:eastAsia="MS Mincho"/>
                  <w:color w:val="0563C1"/>
                  <w:sz w:val="20"/>
                  <w:szCs w:val="20"/>
                  <w:u w:val="single"/>
                </w:rPr>
                <w:t xml:space="preserve"> </w:t>
              </w:r>
              <w:r w:rsidRPr="0000639B">
                <w:rPr>
                  <w:rStyle w:val="normaltextrun"/>
                  <w:rFonts w:eastAsia="MS Mincho"/>
                  <w:color w:val="0563C1"/>
                  <w:sz w:val="20"/>
                  <w:szCs w:val="20"/>
                  <w:u w:val="single"/>
                </w:rPr>
                <w:t>here</w:t>
              </w:r>
            </w:hyperlink>
            <w:r w:rsidRPr="0000639B">
              <w:rPr>
                <w:rStyle w:val="normaltextrun"/>
                <w:rFonts w:eastAsia="MS Mincho"/>
                <w:sz w:val="20"/>
                <w:szCs w:val="20"/>
              </w:rPr>
              <w:t>). </w:t>
            </w:r>
            <w:r w:rsidRPr="0000639B">
              <w:rPr>
                <w:rStyle w:val="eop"/>
                <w:rFonts w:eastAsia="MS Mincho"/>
                <w:sz w:val="20"/>
                <w:szCs w:val="20"/>
              </w:rPr>
              <w:t> </w:t>
            </w:r>
          </w:p>
          <w:p w14:paraId="33F523E2" w14:textId="77777777" w:rsidR="00FD1900" w:rsidRPr="00142424" w:rsidRDefault="00FD1900" w:rsidP="00142424">
            <w:pPr>
              <w:pStyle w:val="paragraph"/>
              <w:numPr>
                <w:ilvl w:val="0"/>
                <w:numId w:val="47"/>
              </w:numPr>
              <w:spacing w:before="0" w:beforeAutospacing="0" w:after="0" w:afterAutospacing="0"/>
              <w:ind w:left="1800" w:firstLine="0"/>
              <w:textAlignment w:val="baseline"/>
              <w:rPr>
                <w:rFonts w:eastAsia="MS Mincho"/>
                <w:sz w:val="20"/>
                <w:szCs w:val="20"/>
              </w:rPr>
            </w:pPr>
            <w:r w:rsidRPr="00142424">
              <w:rPr>
                <w:rStyle w:val="normaltextrun"/>
                <w:rFonts w:eastAsia="MS Mincho"/>
                <w:sz w:val="20"/>
                <w:szCs w:val="20"/>
              </w:rPr>
              <w:t>Please note that HUD requires at least 7 business days to sign and return a PDF copy of the letter. </w:t>
            </w:r>
            <w:r w:rsidRPr="00142424">
              <w:rPr>
                <w:rStyle w:val="eop"/>
                <w:rFonts w:eastAsia="MS Mincho"/>
                <w:sz w:val="20"/>
                <w:szCs w:val="20"/>
              </w:rPr>
              <w:t> </w:t>
            </w:r>
          </w:p>
          <w:p w14:paraId="5E6E5158" w14:textId="77777777" w:rsidR="00FD1900" w:rsidRPr="00142424" w:rsidRDefault="00FD1900" w:rsidP="00142424">
            <w:pPr>
              <w:pStyle w:val="paragraph"/>
              <w:numPr>
                <w:ilvl w:val="0"/>
                <w:numId w:val="48"/>
              </w:numPr>
              <w:spacing w:before="0" w:beforeAutospacing="0" w:after="0" w:afterAutospacing="0"/>
              <w:ind w:left="1080" w:firstLine="0"/>
              <w:textAlignment w:val="baseline"/>
              <w:rPr>
                <w:rFonts w:eastAsia="MS Mincho"/>
                <w:sz w:val="20"/>
                <w:szCs w:val="20"/>
              </w:rPr>
            </w:pPr>
            <w:r w:rsidRPr="00142424">
              <w:rPr>
                <w:rStyle w:val="normaltextrun"/>
                <w:rFonts w:eastAsia="MS Mincho"/>
                <w:sz w:val="20"/>
                <w:szCs w:val="20"/>
              </w:rPr>
              <w:t>Evidence from HUD’s website substantiating which Fair Market Rents (FMRs) are applicable to the proposed development. </w:t>
            </w:r>
            <w:r w:rsidRPr="00142424">
              <w:rPr>
                <w:rStyle w:val="eop"/>
                <w:rFonts w:eastAsia="MS Mincho"/>
                <w:sz w:val="20"/>
                <w:szCs w:val="20"/>
              </w:rPr>
              <w:t> </w:t>
            </w:r>
          </w:p>
          <w:p w14:paraId="4933784E" w14:textId="77777777" w:rsidR="00FD1900" w:rsidRPr="00142424" w:rsidRDefault="00FD1900" w:rsidP="0042235D">
            <w:pPr>
              <w:pStyle w:val="paragraph"/>
              <w:numPr>
                <w:ilvl w:val="0"/>
                <w:numId w:val="49"/>
              </w:numPr>
              <w:spacing w:before="0" w:beforeAutospacing="0" w:after="0" w:afterAutospacing="0"/>
              <w:ind w:left="1080" w:firstLine="0"/>
              <w:textAlignment w:val="baseline"/>
              <w:rPr>
                <w:rStyle w:val="normaltextrun"/>
                <w:rFonts w:ascii="MS Mincho" w:eastAsia="MS Mincho" w:hAnsi="Verdana"/>
                <w:sz w:val="22"/>
                <w:szCs w:val="22"/>
              </w:rPr>
            </w:pPr>
            <w:r w:rsidRPr="00142424">
              <w:rPr>
                <w:rStyle w:val="normaltextrun"/>
                <w:rFonts w:eastAsia="MS Mincho"/>
                <w:sz w:val="20"/>
                <w:szCs w:val="20"/>
              </w:rPr>
              <w:t>A brief description of how the rents in the Core Application are derived from the FMRs (e.g., the following statement would suffice: “Non-RAD PBV rents are based on 110% of the FMRs”).</w:t>
            </w:r>
            <w:r>
              <w:rPr>
                <w:rStyle w:val="normaltextrun"/>
                <w:rFonts w:ascii="Calibri" w:eastAsia="MS Mincho" w:hAnsi="Calibri" w:cs="Calibri"/>
                <w:sz w:val="22"/>
                <w:szCs w:val="22"/>
              </w:rPr>
              <w:t> </w:t>
            </w:r>
            <w:r>
              <w:rPr>
                <w:rStyle w:val="eop"/>
                <w:rFonts w:ascii="Calibri" w:eastAsia="MS Mincho" w:hAnsi="Calibri" w:cs="Calibri"/>
                <w:sz w:val="22"/>
                <w:szCs w:val="22"/>
              </w:rPr>
              <w:t> </w:t>
            </w:r>
          </w:p>
        </w:tc>
      </w:tr>
      <w:tr w:rsidR="00FD1900" w:rsidRPr="006E3A0F" w14:paraId="626EACA1" w14:textId="77777777" w:rsidTr="1995616E">
        <w:trPr>
          <w:jc w:val="center"/>
        </w:trPr>
        <w:tc>
          <w:tcPr>
            <w:tcW w:w="2157" w:type="dxa"/>
            <w:shd w:val="clear" w:color="auto" w:fill="auto"/>
            <w:tcMar>
              <w:top w:w="72" w:type="dxa"/>
              <w:left w:w="115" w:type="dxa"/>
              <w:bottom w:w="72" w:type="dxa"/>
              <w:right w:w="115" w:type="dxa"/>
            </w:tcMar>
            <w:vAlign w:val="center"/>
          </w:tcPr>
          <w:p w14:paraId="1AE4EE38"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5B9389B2" w14:textId="77777777" w:rsidR="00FD1900" w:rsidRPr="006E3A0F" w:rsidRDefault="00FD1900" w:rsidP="002E5CCF">
            <w:pPr>
              <w:rPr>
                <w:rFonts w:ascii="Times New Roman" w:hAnsi="Times New Roman" w:cs="Times New Roman"/>
                <w:sz w:val="20"/>
                <w:szCs w:val="20"/>
              </w:rPr>
            </w:pPr>
            <w:r>
              <w:rPr>
                <w:rFonts w:ascii="Times New Roman" w:hAnsi="Times New Roman" w:cs="Times New Roman"/>
                <w:sz w:val="20"/>
                <w:szCs w:val="20"/>
              </w:rPr>
              <w:t>2</w:t>
            </w:r>
            <w:r w:rsidRPr="006E3A0F">
              <w:rPr>
                <w:rFonts w:ascii="Times New Roman" w:hAnsi="Times New Roman" w:cs="Times New Roman"/>
                <w:sz w:val="20"/>
                <w:szCs w:val="20"/>
              </w:rPr>
              <w:t>.12</w:t>
            </w:r>
          </w:p>
          <w:p w14:paraId="46166A13"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64F030C5"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Public Water/Sanitary Sewer</w:t>
            </w:r>
          </w:p>
        </w:tc>
        <w:tc>
          <w:tcPr>
            <w:tcW w:w="9590" w:type="dxa"/>
            <w:shd w:val="clear" w:color="auto" w:fill="auto"/>
            <w:tcMar>
              <w:top w:w="72" w:type="dxa"/>
              <w:left w:w="115" w:type="dxa"/>
              <w:bottom w:w="72" w:type="dxa"/>
              <w:right w:w="115" w:type="dxa"/>
            </w:tcMar>
            <w:vAlign w:val="center"/>
          </w:tcPr>
          <w:p w14:paraId="6D8BD58C" w14:textId="77777777" w:rsidR="00FD1900" w:rsidRPr="006E3A0F" w:rsidRDefault="00FD1900" w:rsidP="00D34442">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Q22_0419_01</w:t>
            </w:r>
            <w:r w:rsidRPr="006E3A0F">
              <w:rPr>
                <w:rStyle w:val="eop"/>
                <w:sz w:val="20"/>
                <w:szCs w:val="20"/>
              </w:rPr>
              <w:t> </w:t>
            </w:r>
          </w:p>
          <w:p w14:paraId="288C4FDA" w14:textId="77777777" w:rsidR="00FD1900" w:rsidRPr="006E3A0F" w:rsidRDefault="00FD1900" w:rsidP="00D34442">
            <w:pPr>
              <w:pStyle w:val="paragraph"/>
              <w:spacing w:before="0" w:beforeAutospacing="0" w:after="0" w:afterAutospacing="0"/>
              <w:textAlignment w:val="baseline"/>
              <w:rPr>
                <w:sz w:val="20"/>
                <w:szCs w:val="20"/>
              </w:rPr>
            </w:pPr>
            <w:r w:rsidRPr="006E3A0F">
              <w:rPr>
                <w:rStyle w:val="normaltextrun"/>
                <w:sz w:val="20"/>
                <w:szCs w:val="20"/>
              </w:rPr>
              <w:t xml:space="preserve">In PUBLIC WATER/SANITARY SEWER under minimum documentation </w:t>
            </w:r>
            <w:proofErr w:type="gramStart"/>
            <w:r w:rsidRPr="006E3A0F">
              <w:rPr>
                <w:rStyle w:val="contextualspellingandgrammarerror"/>
                <w:rFonts w:eastAsiaTheme="majorEastAsia"/>
                <w:sz w:val="20"/>
                <w:szCs w:val="20"/>
              </w:rPr>
              <w:t>states :</w:t>
            </w:r>
            <w:proofErr w:type="gramEnd"/>
            <w:r w:rsidRPr="006E3A0F">
              <w:rPr>
                <w:rStyle w:val="normaltextrun"/>
                <w:sz w:val="20"/>
                <w:szCs w:val="20"/>
              </w:rPr>
              <w:t xml:space="preserve"> ""Letter(s) of commitment from verifiable public water/sanitary sewer authority that includes project name, address, or parcel ID and confirms that utilities will be available.""||The 2022 QAP was modified to add ""of commitment"" implying that DCA is now requiring a commitment of water/sanitary sewer (W/S) availability from local W/S authorities.  Local W/S authorities, especially larger ones will not issue a ""commitment"" of availability of W/S services due to the time lag between the issuance of the letter and the issuance of building permits which can be 18-24 months.  ||A commitment is asking the local W/S authority to commit to availability at some point in the future which most authorities will not </w:t>
            </w:r>
            <w:proofErr w:type="gramStart"/>
            <w:r w:rsidRPr="006E3A0F">
              <w:rPr>
                <w:rStyle w:val="contextualspellingandgrammarerror"/>
                <w:rFonts w:eastAsiaTheme="majorEastAsia"/>
                <w:sz w:val="20"/>
                <w:szCs w:val="20"/>
              </w:rPr>
              <w:t>do.|</w:t>
            </w:r>
            <w:proofErr w:type="gramEnd"/>
            <w:r w:rsidRPr="006E3A0F">
              <w:rPr>
                <w:rStyle w:val="normaltextrun"/>
                <w:sz w:val="20"/>
                <w:szCs w:val="20"/>
              </w:rPr>
              <w:t xml:space="preserve">|Historically, DCA has required W/S sewer availability letters which state required W/S infrastructure is available to the development </w:t>
            </w:r>
            <w:r w:rsidRPr="006E3A0F">
              <w:rPr>
                <w:rStyle w:val="contextualspellingandgrammarerror"/>
                <w:rFonts w:eastAsiaTheme="majorEastAsia"/>
                <w:sz w:val="20"/>
                <w:szCs w:val="20"/>
              </w:rPr>
              <w:t>site.|</w:t>
            </w:r>
            <w:r w:rsidRPr="006E3A0F">
              <w:rPr>
                <w:rStyle w:val="normaltextrun"/>
                <w:sz w:val="20"/>
                <w:szCs w:val="20"/>
              </w:rPr>
              <w:t xml:space="preserve">|Will letters that confirm W/S availability without language stating the letter is a commitment pass threshold in this </w:t>
            </w:r>
            <w:r w:rsidRPr="006E3A0F">
              <w:rPr>
                <w:rStyle w:val="contextualspellingandgrammarerror"/>
                <w:rFonts w:eastAsiaTheme="majorEastAsia"/>
                <w:sz w:val="20"/>
                <w:szCs w:val="20"/>
              </w:rPr>
              <w:t>section?|</w:t>
            </w:r>
            <w:r w:rsidRPr="006E3A0F">
              <w:rPr>
                <w:rStyle w:val="eop"/>
                <w:sz w:val="20"/>
                <w:szCs w:val="20"/>
              </w:rPr>
              <w:t> </w:t>
            </w:r>
          </w:p>
          <w:p w14:paraId="29E01891" w14:textId="77777777" w:rsidR="00FD1900" w:rsidRPr="006E3A0F" w:rsidRDefault="00FD1900" w:rsidP="00D34442">
            <w:pPr>
              <w:pStyle w:val="paragraph"/>
              <w:spacing w:before="0" w:beforeAutospacing="0" w:after="0" w:afterAutospacing="0"/>
              <w:textAlignment w:val="baseline"/>
              <w:rPr>
                <w:sz w:val="20"/>
                <w:szCs w:val="20"/>
              </w:rPr>
            </w:pPr>
            <w:r w:rsidRPr="006E3A0F">
              <w:rPr>
                <w:rStyle w:val="eop"/>
                <w:sz w:val="20"/>
                <w:szCs w:val="20"/>
              </w:rPr>
              <w:t> </w:t>
            </w:r>
          </w:p>
          <w:p w14:paraId="151B3943" w14:textId="77777777" w:rsidR="00FD1900" w:rsidRPr="006E3A0F" w:rsidRDefault="00FD1900" w:rsidP="00D34442">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 </w:t>
            </w:r>
            <w:r w:rsidRPr="006E3A0F">
              <w:rPr>
                <w:rStyle w:val="eop"/>
                <w:sz w:val="20"/>
                <w:szCs w:val="20"/>
              </w:rPr>
              <w:t> </w:t>
            </w:r>
          </w:p>
          <w:p w14:paraId="507076DC" w14:textId="77777777" w:rsidR="00FD1900" w:rsidRPr="006E3A0F" w:rsidRDefault="00FD1900" w:rsidP="00D34442">
            <w:pPr>
              <w:pStyle w:val="paragraph"/>
              <w:spacing w:before="0" w:beforeAutospacing="0" w:after="0" w:afterAutospacing="0"/>
              <w:textAlignment w:val="baseline"/>
              <w:rPr>
                <w:sz w:val="20"/>
                <w:szCs w:val="20"/>
              </w:rPr>
            </w:pPr>
            <w:r w:rsidRPr="006E3A0F">
              <w:rPr>
                <w:rStyle w:val="normaltextrun"/>
                <w:sz w:val="20"/>
                <w:szCs w:val="20"/>
              </w:rPr>
              <w:t>The above-referenced edit, to include the word “commitment,” was not intended to substantively change this documentation requirement. </w:t>
            </w:r>
            <w:r w:rsidRPr="006E3A0F">
              <w:rPr>
                <w:rStyle w:val="eop"/>
                <w:sz w:val="20"/>
                <w:szCs w:val="20"/>
              </w:rPr>
              <w:t> </w:t>
            </w:r>
          </w:p>
          <w:p w14:paraId="058CC69E" w14:textId="77777777" w:rsidR="00FD1900" w:rsidRPr="006E3A0F" w:rsidRDefault="00FD1900" w:rsidP="00D34442">
            <w:pPr>
              <w:pStyle w:val="paragraph"/>
              <w:spacing w:before="0" w:beforeAutospacing="0" w:after="0" w:afterAutospacing="0"/>
              <w:textAlignment w:val="baseline"/>
              <w:rPr>
                <w:sz w:val="20"/>
                <w:szCs w:val="20"/>
              </w:rPr>
            </w:pPr>
            <w:r w:rsidRPr="006E3A0F">
              <w:rPr>
                <w:rStyle w:val="eop"/>
                <w:sz w:val="20"/>
                <w:szCs w:val="20"/>
              </w:rPr>
              <w:t> </w:t>
            </w:r>
          </w:p>
          <w:p w14:paraId="04AC5612" w14:textId="77777777" w:rsidR="00FD1900" w:rsidRPr="006E3A0F" w:rsidRDefault="00FD1900" w:rsidP="0053282B">
            <w:pPr>
              <w:pStyle w:val="paragraph"/>
              <w:spacing w:before="0" w:beforeAutospacing="0" w:after="0" w:afterAutospacing="0"/>
              <w:textAlignment w:val="baseline"/>
              <w:rPr>
                <w:rStyle w:val="normaltextrun"/>
                <w:sz w:val="20"/>
                <w:szCs w:val="20"/>
              </w:rPr>
            </w:pPr>
            <w:r w:rsidRPr="006E3A0F">
              <w:rPr>
                <w:rStyle w:val="normaltextrun"/>
                <w:b/>
                <w:bCs/>
                <w:sz w:val="20"/>
                <w:szCs w:val="20"/>
              </w:rPr>
              <w:t>(Threshold) Public Water/Sanitary Sewer</w:t>
            </w:r>
            <w:r w:rsidRPr="006E3A0F">
              <w:rPr>
                <w:rStyle w:val="normaltextrun"/>
                <w:sz w:val="20"/>
                <w:szCs w:val="20"/>
              </w:rPr>
              <w:t xml:space="preserve"> provides the following examples of the type of “letter(s) of commitment” that should be requested from the verifiable public water/sanitary sewer authority: “letters from public water/sanitary sewer authority, copies of easements necessary for water and sewer authorities to extend water and sewer to the property.”  Per this QAP section, “letters from the local public water and sewer authorities must document the availability of the existing public water and sewer service to the site”.  Therefore the “Letter(s) of commitment” as requested in minimum documentation refers to the documentation of the availability of existing public water and sanitary sewer.</w:t>
            </w:r>
          </w:p>
        </w:tc>
      </w:tr>
      <w:tr w:rsidR="00FD1900" w:rsidRPr="006E3A0F" w14:paraId="3EF0B16A" w14:textId="77777777" w:rsidTr="1995616E">
        <w:trPr>
          <w:jc w:val="center"/>
        </w:trPr>
        <w:tc>
          <w:tcPr>
            <w:tcW w:w="2157" w:type="dxa"/>
            <w:shd w:val="clear" w:color="auto" w:fill="auto"/>
            <w:tcMar>
              <w:top w:w="72" w:type="dxa"/>
              <w:left w:w="115" w:type="dxa"/>
              <w:bottom w:w="72" w:type="dxa"/>
              <w:right w:w="115" w:type="dxa"/>
            </w:tcMar>
            <w:vAlign w:val="center"/>
          </w:tcPr>
          <w:p w14:paraId="4AE19041"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4A67D971"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2.17</w:t>
            </w:r>
          </w:p>
          <w:p w14:paraId="0D0D9700"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5D669165"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Building Sustainability</w:t>
            </w:r>
          </w:p>
        </w:tc>
        <w:tc>
          <w:tcPr>
            <w:tcW w:w="9590" w:type="dxa"/>
            <w:shd w:val="clear" w:color="auto" w:fill="auto"/>
            <w:tcMar>
              <w:top w:w="72" w:type="dxa"/>
              <w:left w:w="115" w:type="dxa"/>
              <w:bottom w:w="72" w:type="dxa"/>
              <w:right w:w="115" w:type="dxa"/>
            </w:tcMar>
            <w:vAlign w:val="center"/>
          </w:tcPr>
          <w:p w14:paraId="42E4CAF3" w14:textId="77777777" w:rsidR="00FD1900" w:rsidRPr="006E3A0F" w:rsidRDefault="00FD1900" w:rsidP="00DF62AB">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Q22_0129_01</w:t>
            </w:r>
            <w:r w:rsidRPr="006E3A0F">
              <w:rPr>
                <w:rStyle w:val="eop"/>
                <w:sz w:val="20"/>
                <w:szCs w:val="20"/>
              </w:rPr>
              <w:t> </w:t>
            </w:r>
          </w:p>
          <w:p w14:paraId="5E4A9E66" w14:textId="77777777" w:rsidR="00FD1900" w:rsidRPr="006E3A0F" w:rsidRDefault="00FD1900" w:rsidP="00DF62AB">
            <w:pPr>
              <w:pStyle w:val="paragraph"/>
              <w:spacing w:before="0" w:beforeAutospacing="0" w:after="0" w:afterAutospacing="0"/>
              <w:textAlignment w:val="baseline"/>
              <w:rPr>
                <w:sz w:val="20"/>
                <w:szCs w:val="20"/>
              </w:rPr>
            </w:pPr>
            <w:r w:rsidRPr="006E3A0F">
              <w:rPr>
                <w:rStyle w:val="normaltextrun"/>
                <w:sz w:val="20"/>
                <w:szCs w:val="20"/>
              </w:rPr>
              <w:t>Regarding (</w:t>
            </w:r>
            <w:r w:rsidRPr="006E3A0F">
              <w:rPr>
                <w:rStyle w:val="normaltextrun"/>
                <w:b/>
                <w:bCs/>
                <w:sz w:val="20"/>
                <w:szCs w:val="20"/>
              </w:rPr>
              <w:t>Threshold) Building Sustainability, A. Sustainability Standards, 2. Measured duct and building envelope leakage</w:t>
            </w:r>
            <w:r w:rsidRPr="006E3A0F">
              <w:rPr>
                <w:rStyle w:val="normaltextrun"/>
                <w:sz w:val="20"/>
                <w:szCs w:val="20"/>
              </w:rPr>
              <w:t xml:space="preserve">, the QAP states that performance testing must be performed on a </w:t>
            </w:r>
            <w:r w:rsidRPr="006E3A0F">
              <w:rPr>
                <w:rStyle w:val="normaltextrun"/>
                <w:i/>
                <w:iCs/>
                <w:sz w:val="20"/>
                <w:szCs w:val="20"/>
              </w:rPr>
              <w:t>"sampling of units...utilizing RESNET-approved performance testing methodologies..."</w:t>
            </w:r>
            <w:r w:rsidRPr="006E3A0F">
              <w:rPr>
                <w:rStyle w:val="normaltextrun"/>
                <w:sz w:val="20"/>
                <w:szCs w:val="20"/>
              </w:rPr>
              <w:t>.</w:t>
            </w:r>
            <w:r w:rsidRPr="006E3A0F">
              <w:rPr>
                <w:rStyle w:val="eop"/>
                <w:sz w:val="20"/>
                <w:szCs w:val="20"/>
              </w:rPr>
              <w:t> </w:t>
            </w:r>
          </w:p>
          <w:p w14:paraId="6FAB8BE3" w14:textId="77777777" w:rsidR="00FD1900" w:rsidRPr="006E3A0F" w:rsidRDefault="00FD1900" w:rsidP="00DF62AB">
            <w:pPr>
              <w:pStyle w:val="paragraph"/>
              <w:spacing w:before="0" w:beforeAutospacing="0" w:after="0" w:afterAutospacing="0"/>
              <w:textAlignment w:val="baseline"/>
              <w:rPr>
                <w:sz w:val="20"/>
                <w:szCs w:val="20"/>
              </w:rPr>
            </w:pPr>
            <w:r w:rsidRPr="006E3A0F">
              <w:rPr>
                <w:rStyle w:val="eop"/>
                <w:sz w:val="20"/>
                <w:szCs w:val="20"/>
              </w:rPr>
              <w:t> </w:t>
            </w:r>
          </w:p>
          <w:p w14:paraId="232285B1" w14:textId="77777777" w:rsidR="00FD1900" w:rsidRPr="006E3A0F" w:rsidRDefault="00FD1900" w:rsidP="00DF62AB">
            <w:pPr>
              <w:pStyle w:val="paragraph"/>
              <w:spacing w:before="0" w:beforeAutospacing="0" w:after="0" w:afterAutospacing="0"/>
              <w:textAlignment w:val="baseline"/>
              <w:rPr>
                <w:sz w:val="20"/>
                <w:szCs w:val="20"/>
              </w:rPr>
            </w:pPr>
            <w:r w:rsidRPr="006E3A0F">
              <w:rPr>
                <w:rStyle w:val="normaltextrun"/>
                <w:sz w:val="20"/>
                <w:szCs w:val="20"/>
              </w:rPr>
              <w:t>Does this mean the RESNET sampling procedures must be followed or just the procedures for individual unit testing?</w:t>
            </w:r>
            <w:r w:rsidRPr="006E3A0F">
              <w:rPr>
                <w:rStyle w:val="eop"/>
                <w:sz w:val="20"/>
                <w:szCs w:val="20"/>
              </w:rPr>
              <w:t> </w:t>
            </w:r>
          </w:p>
          <w:p w14:paraId="7E6FA573" w14:textId="77777777" w:rsidR="00FD1900" w:rsidRPr="006E3A0F" w:rsidRDefault="00FD1900" w:rsidP="00DF62AB">
            <w:pPr>
              <w:pStyle w:val="paragraph"/>
              <w:spacing w:before="0" w:beforeAutospacing="0" w:after="0" w:afterAutospacing="0"/>
              <w:textAlignment w:val="baseline"/>
              <w:rPr>
                <w:sz w:val="20"/>
                <w:szCs w:val="20"/>
              </w:rPr>
            </w:pPr>
            <w:r w:rsidRPr="006E3A0F">
              <w:rPr>
                <w:rStyle w:val="eop"/>
                <w:sz w:val="20"/>
                <w:szCs w:val="20"/>
              </w:rPr>
              <w:t> </w:t>
            </w:r>
          </w:p>
          <w:p w14:paraId="1C2B17ED" w14:textId="77777777" w:rsidR="00FD1900" w:rsidRPr="006E3A0F" w:rsidRDefault="00FD1900" w:rsidP="00DF62AB">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 </w:t>
            </w:r>
            <w:r w:rsidRPr="006E3A0F">
              <w:rPr>
                <w:rStyle w:val="eop"/>
                <w:sz w:val="20"/>
                <w:szCs w:val="20"/>
              </w:rPr>
              <w:t> </w:t>
            </w:r>
          </w:p>
          <w:p w14:paraId="3C41AF59" w14:textId="77777777" w:rsidR="00FD1900" w:rsidRPr="006E3A0F" w:rsidRDefault="00FD1900" w:rsidP="0053282B">
            <w:pPr>
              <w:pStyle w:val="paragraph"/>
              <w:spacing w:before="0" w:beforeAutospacing="0" w:after="0" w:afterAutospacing="0"/>
              <w:textAlignment w:val="baseline"/>
              <w:rPr>
                <w:rStyle w:val="normaltextrun"/>
                <w:sz w:val="20"/>
                <w:szCs w:val="20"/>
              </w:rPr>
            </w:pPr>
            <w:r w:rsidRPr="006E3A0F">
              <w:rPr>
                <w:rStyle w:val="normaltextrun"/>
                <w:sz w:val="20"/>
                <w:szCs w:val="20"/>
              </w:rPr>
              <w:t>RESNET procedures must be followed for individual unit testing.  In the parenthesis within the same sentence, DCA defines the “sampling of units” to use as including “one of each unit type in its various configurations within the property”.</w:t>
            </w:r>
            <w:r w:rsidRPr="006E3A0F">
              <w:rPr>
                <w:rStyle w:val="eop"/>
                <w:sz w:val="20"/>
                <w:szCs w:val="20"/>
              </w:rPr>
              <w:t> </w:t>
            </w:r>
          </w:p>
        </w:tc>
      </w:tr>
      <w:tr w:rsidR="00FD1900" w:rsidRPr="006E3A0F" w14:paraId="3085FF31" w14:textId="77777777" w:rsidTr="1995616E">
        <w:trPr>
          <w:jc w:val="center"/>
        </w:trPr>
        <w:tc>
          <w:tcPr>
            <w:tcW w:w="2157" w:type="dxa"/>
            <w:shd w:val="clear" w:color="auto" w:fill="auto"/>
            <w:tcMar>
              <w:top w:w="72" w:type="dxa"/>
              <w:left w:w="115" w:type="dxa"/>
              <w:bottom w:w="72" w:type="dxa"/>
              <w:right w:w="115" w:type="dxa"/>
            </w:tcMar>
            <w:vAlign w:val="center"/>
          </w:tcPr>
          <w:p w14:paraId="32D2FF4F"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63993E55" w14:textId="77777777" w:rsidR="00FD1900" w:rsidRPr="006E3A0F" w:rsidRDefault="00FD1900" w:rsidP="000345FC">
            <w:pPr>
              <w:rPr>
                <w:rFonts w:ascii="Times New Roman" w:hAnsi="Times New Roman" w:cs="Times New Roman"/>
                <w:sz w:val="20"/>
                <w:szCs w:val="20"/>
              </w:rPr>
            </w:pPr>
            <w:r w:rsidRPr="006E3A0F">
              <w:rPr>
                <w:rFonts w:ascii="Times New Roman" w:hAnsi="Times New Roman" w:cs="Times New Roman"/>
                <w:sz w:val="20"/>
                <w:szCs w:val="20"/>
              </w:rPr>
              <w:t>2.20</w:t>
            </w:r>
          </w:p>
          <w:p w14:paraId="08F92B68" w14:textId="77777777" w:rsidR="00FD1900" w:rsidRPr="006E3A0F" w:rsidRDefault="00FD1900" w:rsidP="000345FC">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5A02F72B" w14:textId="77777777" w:rsidR="00FD1900" w:rsidRPr="006E3A0F" w:rsidRDefault="00FD1900" w:rsidP="000345FC">
            <w:pPr>
              <w:rPr>
                <w:rFonts w:ascii="Times New Roman" w:hAnsi="Times New Roman" w:cs="Times New Roman"/>
                <w:sz w:val="20"/>
                <w:szCs w:val="20"/>
              </w:rPr>
            </w:pPr>
            <w:r w:rsidRPr="006E3A0F">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3ED103EA" w14:textId="77777777" w:rsidR="00FD1900" w:rsidRPr="00A31C5D" w:rsidRDefault="00FD1900" w:rsidP="00A31C5D">
            <w:pPr>
              <w:textAlignment w:val="baseline"/>
              <w:rPr>
                <w:rFonts w:ascii="Times New Roman" w:eastAsia="Times New Roman" w:hAnsi="Times New Roman" w:cs="Times New Roman"/>
                <w:sz w:val="20"/>
                <w:szCs w:val="20"/>
              </w:rPr>
            </w:pPr>
            <w:r w:rsidRPr="00A31C5D">
              <w:rPr>
                <w:rFonts w:ascii="Times New Roman" w:eastAsia="Times New Roman" w:hAnsi="Times New Roman" w:cs="Times New Roman"/>
                <w:b/>
                <w:bCs/>
                <w:sz w:val="20"/>
                <w:szCs w:val="20"/>
              </w:rPr>
              <w:t>Question</w:t>
            </w:r>
            <w:r w:rsidRPr="00A31C5D">
              <w:rPr>
                <w:rFonts w:ascii="Times New Roman" w:eastAsia="Times New Roman" w:hAnsi="Times New Roman" w:cs="Times New Roman"/>
                <w:sz w:val="20"/>
                <w:szCs w:val="20"/>
              </w:rPr>
              <w:t>: Q22_0505_01 </w:t>
            </w:r>
          </w:p>
          <w:p w14:paraId="738FF2EF" w14:textId="77777777" w:rsidR="00FD1900" w:rsidRPr="00A31C5D" w:rsidRDefault="00FD1900" w:rsidP="00A31C5D">
            <w:pPr>
              <w:textAlignment w:val="baseline"/>
              <w:rPr>
                <w:rFonts w:ascii="Times New Roman" w:eastAsia="Times New Roman" w:hAnsi="Times New Roman" w:cs="Times New Roman"/>
                <w:sz w:val="20"/>
                <w:szCs w:val="20"/>
              </w:rPr>
            </w:pPr>
            <w:r w:rsidRPr="00A31C5D">
              <w:rPr>
                <w:rFonts w:ascii="Times New Roman" w:eastAsia="Times New Roman" w:hAnsi="Times New Roman" w:cs="Times New Roman"/>
                <w:sz w:val="20"/>
                <w:szCs w:val="20"/>
              </w:rPr>
              <w:t>During the pre-application/qualification determination process DCA mandated that a pre-application must have a specific deal name and could not be left as "TBD". ||We have now received a determination of "qualified</w:t>
            </w:r>
            <w:proofErr w:type="gramStart"/>
            <w:r w:rsidRPr="00A31C5D">
              <w:rPr>
                <w:rFonts w:ascii="Times New Roman" w:eastAsia="Times New Roman" w:hAnsi="Times New Roman" w:cs="Times New Roman"/>
                <w:sz w:val="20"/>
                <w:szCs w:val="20"/>
              </w:rPr>
              <w:t>"</w:t>
            </w:r>
            <w:proofErr w:type="gramEnd"/>
            <w:r w:rsidRPr="00A31C5D">
              <w:rPr>
                <w:rFonts w:ascii="Times New Roman" w:eastAsia="Times New Roman" w:hAnsi="Times New Roman" w:cs="Times New Roman"/>
                <w:sz w:val="20"/>
                <w:szCs w:val="20"/>
              </w:rPr>
              <w:t xml:space="preserve"> but it is listed with the submitted proposed development name. ||If we are submitting a second application with the exact same project team, can we include the qualification determination we received within the second application even though the deal names will be different?  </w:t>
            </w:r>
          </w:p>
          <w:p w14:paraId="7467AD3D" w14:textId="77777777" w:rsidR="00FD1900" w:rsidRPr="00A31C5D" w:rsidRDefault="00FD1900" w:rsidP="00A31C5D">
            <w:pPr>
              <w:textAlignment w:val="baseline"/>
              <w:rPr>
                <w:rFonts w:ascii="Times New Roman" w:eastAsia="Times New Roman" w:hAnsi="Times New Roman" w:cs="Times New Roman"/>
                <w:sz w:val="20"/>
                <w:szCs w:val="20"/>
              </w:rPr>
            </w:pPr>
            <w:r w:rsidRPr="00A31C5D">
              <w:rPr>
                <w:rFonts w:ascii="Times New Roman" w:eastAsia="Times New Roman" w:hAnsi="Times New Roman" w:cs="Times New Roman"/>
                <w:sz w:val="20"/>
                <w:szCs w:val="20"/>
              </w:rPr>
              <w:t> </w:t>
            </w:r>
          </w:p>
          <w:p w14:paraId="486DE516" w14:textId="77777777" w:rsidR="00FD1900" w:rsidRPr="00A31C5D" w:rsidRDefault="00FD1900" w:rsidP="00A31C5D">
            <w:pPr>
              <w:textAlignment w:val="baseline"/>
              <w:rPr>
                <w:rFonts w:ascii="Times New Roman" w:eastAsia="Times New Roman" w:hAnsi="Times New Roman" w:cs="Times New Roman"/>
                <w:sz w:val="20"/>
                <w:szCs w:val="20"/>
              </w:rPr>
            </w:pPr>
            <w:r w:rsidRPr="00A31C5D">
              <w:rPr>
                <w:rFonts w:ascii="Times New Roman" w:eastAsia="Times New Roman" w:hAnsi="Times New Roman" w:cs="Times New Roman"/>
                <w:b/>
                <w:bCs/>
                <w:sz w:val="20"/>
                <w:szCs w:val="20"/>
              </w:rPr>
              <w:t>Answer</w:t>
            </w:r>
            <w:r w:rsidRPr="00A31C5D">
              <w:rPr>
                <w:rFonts w:ascii="Times New Roman" w:eastAsia="Times New Roman" w:hAnsi="Times New Roman" w:cs="Times New Roman"/>
                <w:sz w:val="20"/>
                <w:szCs w:val="20"/>
              </w:rPr>
              <w:t>:  </w:t>
            </w:r>
          </w:p>
          <w:p w14:paraId="3AFA546F" w14:textId="77777777" w:rsidR="00FD1900" w:rsidRPr="006E3A0F" w:rsidRDefault="00FD1900" w:rsidP="00A31C5D">
            <w:pPr>
              <w:textAlignment w:val="baseline"/>
              <w:rPr>
                <w:rStyle w:val="normaltextrun"/>
                <w:rFonts w:ascii="Times New Roman" w:eastAsia="Times New Roman" w:hAnsi="Times New Roman" w:cs="Times New Roman"/>
                <w:sz w:val="20"/>
                <w:szCs w:val="20"/>
              </w:rPr>
            </w:pPr>
            <w:r w:rsidRPr="00A31C5D">
              <w:rPr>
                <w:rFonts w:ascii="Times New Roman" w:eastAsia="Times New Roman" w:hAnsi="Times New Roman" w:cs="Times New Roman"/>
                <w:sz w:val="20"/>
                <w:szCs w:val="20"/>
              </w:rPr>
              <w:t>If the project team is identical to that of a pre-application that received a qualified determination, Applicants may use the 2022 QD Letter, even if a proposed development has a different name than the pre-application. Applicants should indicate this in the comments box in the Threshold tab of the Core Application under the section for Experience, Capacity and Performance Requirements for General Partner and Developer Entities. </w:t>
            </w:r>
          </w:p>
        </w:tc>
      </w:tr>
      <w:tr w:rsidR="00FD1900" w:rsidRPr="006E3A0F" w14:paraId="71BE3C99" w14:textId="77777777" w:rsidTr="1995616E">
        <w:trPr>
          <w:jc w:val="center"/>
        </w:trPr>
        <w:tc>
          <w:tcPr>
            <w:tcW w:w="2157" w:type="dxa"/>
            <w:shd w:val="clear" w:color="auto" w:fill="auto"/>
            <w:tcMar>
              <w:top w:w="72" w:type="dxa"/>
              <w:left w:w="115" w:type="dxa"/>
              <w:bottom w:w="72" w:type="dxa"/>
              <w:right w:w="115" w:type="dxa"/>
            </w:tcMar>
            <w:vAlign w:val="center"/>
          </w:tcPr>
          <w:p w14:paraId="1F9BBE9D"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34EC4F46"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2.21</w:t>
            </w:r>
          </w:p>
          <w:p w14:paraId="68A9F9C8"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5BE06730"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Eligibility for Credit Under the Preservation Set Asides</w:t>
            </w:r>
          </w:p>
          <w:p w14:paraId="4AE38E1A" w14:textId="77777777" w:rsidR="00FD1900" w:rsidRPr="006E3A0F" w:rsidRDefault="00FD1900" w:rsidP="002E5CCF">
            <w:pPr>
              <w:rPr>
                <w:rFonts w:ascii="Times New Roman" w:hAnsi="Times New Roman" w:cs="Times New Roman"/>
                <w:sz w:val="20"/>
                <w:szCs w:val="20"/>
              </w:rPr>
            </w:pPr>
          </w:p>
          <w:p w14:paraId="16CF6A58"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w:t>
            </w:r>
            <w:proofErr w:type="gramStart"/>
            <w:r w:rsidRPr="006E3A0F">
              <w:rPr>
                <w:rFonts w:ascii="Times New Roman" w:hAnsi="Times New Roman" w:cs="Times New Roman"/>
                <w:sz w:val="20"/>
                <w:szCs w:val="20"/>
              </w:rPr>
              <w:t>also</w:t>
            </w:r>
            <w:proofErr w:type="gramEnd"/>
            <w:r w:rsidRPr="006E3A0F">
              <w:rPr>
                <w:rFonts w:ascii="Times New Roman" w:hAnsi="Times New Roman" w:cs="Times New Roman"/>
                <w:sz w:val="20"/>
                <w:szCs w:val="20"/>
              </w:rPr>
              <w:t xml:space="preserve"> Core, Submission Requirements and Award Limitations)</w:t>
            </w:r>
          </w:p>
        </w:tc>
        <w:tc>
          <w:tcPr>
            <w:tcW w:w="9590" w:type="dxa"/>
            <w:shd w:val="clear" w:color="auto" w:fill="auto"/>
            <w:tcMar>
              <w:top w:w="72" w:type="dxa"/>
              <w:left w:w="115" w:type="dxa"/>
              <w:bottom w:w="72" w:type="dxa"/>
              <w:right w:w="115" w:type="dxa"/>
            </w:tcMar>
            <w:vAlign w:val="center"/>
          </w:tcPr>
          <w:p w14:paraId="2E2F5EDA" w14:textId="77777777" w:rsidR="00FD1900" w:rsidRPr="00587081" w:rsidRDefault="00FD1900" w:rsidP="00587081">
            <w:pPr>
              <w:textAlignment w:val="baseline"/>
              <w:rPr>
                <w:rFonts w:ascii="Times New Roman" w:eastAsia="Times New Roman" w:hAnsi="Times New Roman" w:cs="Times New Roman"/>
                <w:sz w:val="20"/>
                <w:szCs w:val="20"/>
              </w:rPr>
            </w:pPr>
            <w:r w:rsidRPr="00587081">
              <w:rPr>
                <w:rFonts w:ascii="Times New Roman" w:eastAsia="Times New Roman" w:hAnsi="Times New Roman" w:cs="Times New Roman"/>
                <w:b/>
                <w:bCs/>
                <w:sz w:val="20"/>
                <w:szCs w:val="20"/>
              </w:rPr>
              <w:t>Question</w:t>
            </w:r>
            <w:r w:rsidRPr="00587081">
              <w:rPr>
                <w:rFonts w:ascii="Times New Roman" w:eastAsia="Times New Roman" w:hAnsi="Times New Roman" w:cs="Times New Roman"/>
                <w:sz w:val="20"/>
                <w:szCs w:val="20"/>
              </w:rPr>
              <w:t>: Q22_0425_01 </w:t>
            </w:r>
          </w:p>
          <w:p w14:paraId="6A56A377" w14:textId="77777777" w:rsidR="00FD1900" w:rsidRPr="00587081" w:rsidRDefault="00FD1900" w:rsidP="00587081">
            <w:pPr>
              <w:textAlignment w:val="baseline"/>
              <w:rPr>
                <w:rFonts w:ascii="Times New Roman" w:eastAsia="Times New Roman" w:hAnsi="Times New Roman" w:cs="Times New Roman"/>
                <w:sz w:val="20"/>
                <w:szCs w:val="20"/>
              </w:rPr>
            </w:pPr>
            <w:r w:rsidRPr="00587081">
              <w:rPr>
                <w:rFonts w:ascii="Times New Roman" w:eastAsia="Times New Roman" w:hAnsi="Times New Roman" w:cs="Times New Roman"/>
                <w:sz w:val="20"/>
                <w:szCs w:val="20"/>
              </w:rPr>
              <w:t>Q&amp;A ID number Q22_0405_01 states that “a project team interested in submitting the same development for multiple Preservation Set Asides can submit multiple applications and associated fees.” </w:t>
            </w:r>
          </w:p>
          <w:p w14:paraId="18C9F702" w14:textId="77777777" w:rsidR="00FD1900" w:rsidRPr="00587081" w:rsidRDefault="00FD1900" w:rsidP="00587081">
            <w:pPr>
              <w:textAlignment w:val="baseline"/>
              <w:rPr>
                <w:rFonts w:ascii="Times New Roman" w:eastAsia="Times New Roman" w:hAnsi="Times New Roman" w:cs="Times New Roman"/>
                <w:sz w:val="20"/>
                <w:szCs w:val="20"/>
              </w:rPr>
            </w:pPr>
            <w:r w:rsidRPr="00587081">
              <w:rPr>
                <w:rFonts w:ascii="Times New Roman" w:eastAsia="Times New Roman" w:hAnsi="Times New Roman" w:cs="Times New Roman"/>
                <w:sz w:val="20"/>
                <w:szCs w:val="20"/>
              </w:rPr>
              <w:t> </w:t>
            </w:r>
          </w:p>
          <w:p w14:paraId="1715B4FC" w14:textId="77777777" w:rsidR="00FD1900" w:rsidRPr="00587081" w:rsidRDefault="00FD1900" w:rsidP="00587081">
            <w:pPr>
              <w:textAlignment w:val="baseline"/>
              <w:rPr>
                <w:rFonts w:ascii="Times New Roman" w:eastAsia="Times New Roman" w:hAnsi="Times New Roman" w:cs="Times New Roman"/>
                <w:sz w:val="20"/>
                <w:szCs w:val="20"/>
              </w:rPr>
            </w:pPr>
            <w:r w:rsidRPr="00587081">
              <w:rPr>
                <w:rFonts w:ascii="Times New Roman" w:eastAsia="Times New Roman" w:hAnsi="Times New Roman" w:cs="Times New Roman"/>
                <w:sz w:val="20"/>
                <w:szCs w:val="20"/>
              </w:rPr>
              <w:t>Is it possible to further clarify if two sets of Applications would have had to be submitted at the time of Pre-Application? Or are we still able to submit two Applications for a project with only 1 Pre-Application? </w:t>
            </w:r>
          </w:p>
          <w:p w14:paraId="36CCF64C" w14:textId="77777777" w:rsidR="00FD1900" w:rsidRPr="00587081" w:rsidRDefault="00FD1900" w:rsidP="00587081">
            <w:pPr>
              <w:textAlignment w:val="baseline"/>
              <w:rPr>
                <w:rFonts w:ascii="Times New Roman" w:eastAsia="Times New Roman" w:hAnsi="Times New Roman" w:cs="Times New Roman"/>
                <w:sz w:val="20"/>
                <w:szCs w:val="20"/>
              </w:rPr>
            </w:pPr>
            <w:r w:rsidRPr="00587081">
              <w:rPr>
                <w:rFonts w:ascii="Times New Roman" w:eastAsia="Times New Roman" w:hAnsi="Times New Roman" w:cs="Times New Roman"/>
                <w:sz w:val="20"/>
                <w:szCs w:val="20"/>
              </w:rPr>
              <w:t> </w:t>
            </w:r>
          </w:p>
          <w:p w14:paraId="701197C6" w14:textId="77777777" w:rsidR="00FD1900" w:rsidRPr="00587081" w:rsidRDefault="00FD1900" w:rsidP="00587081">
            <w:pPr>
              <w:textAlignment w:val="baseline"/>
              <w:rPr>
                <w:rFonts w:ascii="Times New Roman" w:eastAsia="Times New Roman" w:hAnsi="Times New Roman" w:cs="Times New Roman"/>
                <w:sz w:val="20"/>
                <w:szCs w:val="20"/>
              </w:rPr>
            </w:pPr>
            <w:r w:rsidRPr="00587081">
              <w:rPr>
                <w:rFonts w:ascii="Times New Roman" w:eastAsia="Times New Roman" w:hAnsi="Times New Roman" w:cs="Times New Roman"/>
                <w:b/>
                <w:bCs/>
                <w:sz w:val="20"/>
                <w:szCs w:val="20"/>
              </w:rPr>
              <w:t>Answer</w:t>
            </w:r>
            <w:r w:rsidRPr="00587081">
              <w:rPr>
                <w:rFonts w:ascii="Times New Roman" w:eastAsia="Times New Roman" w:hAnsi="Times New Roman" w:cs="Times New Roman"/>
                <w:sz w:val="20"/>
                <w:szCs w:val="20"/>
              </w:rPr>
              <w:t>:  </w:t>
            </w:r>
          </w:p>
          <w:p w14:paraId="6DF882C9" w14:textId="77777777" w:rsidR="00FD1900" w:rsidRPr="006E3A0F" w:rsidRDefault="00FD1900" w:rsidP="00587081">
            <w:pPr>
              <w:textAlignment w:val="baseline"/>
              <w:rPr>
                <w:rStyle w:val="normaltextrun"/>
                <w:rFonts w:ascii="Times New Roman" w:eastAsia="Times New Roman" w:hAnsi="Times New Roman" w:cs="Times New Roman"/>
                <w:sz w:val="20"/>
                <w:szCs w:val="20"/>
              </w:rPr>
            </w:pPr>
            <w:r w:rsidRPr="00587081">
              <w:rPr>
                <w:rFonts w:ascii="Times New Roman" w:eastAsia="Times New Roman" w:hAnsi="Times New Roman" w:cs="Times New Roman"/>
                <w:sz w:val="20"/>
                <w:szCs w:val="20"/>
              </w:rPr>
              <w:t xml:space="preserve">The purposes of the Pre-Application process </w:t>
            </w:r>
            <w:proofErr w:type="gramStart"/>
            <w:r w:rsidRPr="00587081">
              <w:rPr>
                <w:rFonts w:ascii="Times New Roman" w:eastAsia="Times New Roman" w:hAnsi="Times New Roman" w:cs="Times New Roman"/>
                <w:sz w:val="20"/>
                <w:szCs w:val="20"/>
              </w:rPr>
              <w:t>is</w:t>
            </w:r>
            <w:proofErr w:type="gramEnd"/>
            <w:r w:rsidRPr="00587081">
              <w:rPr>
                <w:rFonts w:ascii="Times New Roman" w:eastAsia="Times New Roman" w:hAnsi="Times New Roman" w:cs="Times New Roman"/>
                <w:sz w:val="20"/>
                <w:szCs w:val="20"/>
              </w:rPr>
              <w:t xml:space="preserve"> to receive approvals in advance of the application deadline for specific circumstances. Because those circumstances would have been approved already for the proposed development, there was no need to submit multiple Pre-Applications just because the same development might be later assessed as multiple applications under multiple set asides.</w:t>
            </w:r>
          </w:p>
        </w:tc>
      </w:tr>
      <w:tr w:rsidR="00FD1900" w:rsidRPr="006E3A0F" w14:paraId="44D8AE3A" w14:textId="77777777" w:rsidTr="1995616E">
        <w:trPr>
          <w:jc w:val="center"/>
        </w:trPr>
        <w:tc>
          <w:tcPr>
            <w:tcW w:w="2157" w:type="dxa"/>
            <w:shd w:val="clear" w:color="auto" w:fill="auto"/>
            <w:tcMar>
              <w:top w:w="72" w:type="dxa"/>
              <w:left w:w="115" w:type="dxa"/>
              <w:bottom w:w="72" w:type="dxa"/>
              <w:right w:w="115" w:type="dxa"/>
            </w:tcMar>
            <w:vAlign w:val="center"/>
          </w:tcPr>
          <w:p w14:paraId="2A27A2DC"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4D9F8D57"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3.05</w:t>
            </w:r>
          </w:p>
          <w:p w14:paraId="7CFE1E04"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3BD2705F"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132DBC2A" w14:textId="77777777" w:rsidR="00FD1900" w:rsidRPr="006E3A0F" w:rsidRDefault="00FD1900" w:rsidP="002260E9">
            <w:pPr>
              <w:contextualSpacing/>
              <w:rPr>
                <w:rFonts w:ascii="Times New Roman" w:hAnsi="Times New Roman" w:cs="Times New Roman"/>
                <w:sz w:val="20"/>
                <w:szCs w:val="20"/>
              </w:rPr>
            </w:pPr>
            <w:r w:rsidRPr="006E3A0F">
              <w:rPr>
                <w:rFonts w:ascii="Times New Roman" w:hAnsi="Times New Roman" w:cs="Times New Roman"/>
                <w:b/>
                <w:bCs/>
                <w:sz w:val="20"/>
                <w:szCs w:val="20"/>
              </w:rPr>
              <w:t>Question</w:t>
            </w:r>
            <w:r w:rsidRPr="006E3A0F">
              <w:rPr>
                <w:rFonts w:ascii="Times New Roman" w:hAnsi="Times New Roman" w:cs="Times New Roman"/>
                <w:sz w:val="20"/>
                <w:szCs w:val="20"/>
              </w:rPr>
              <w:t>: Q22_0504_01</w:t>
            </w:r>
          </w:p>
          <w:p w14:paraId="5C984DF4" w14:textId="77777777" w:rsidR="00FD1900" w:rsidRPr="006E3A0F" w:rsidRDefault="00FD1900" w:rsidP="002260E9">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In </w:t>
            </w:r>
            <w:r w:rsidRPr="006E3A0F">
              <w:rPr>
                <w:rFonts w:ascii="Times New Roman" w:eastAsia="Times New Roman" w:hAnsi="Times New Roman" w:cs="Times New Roman"/>
                <w:b/>
                <w:bCs/>
                <w:sz w:val="20"/>
                <w:szCs w:val="20"/>
              </w:rPr>
              <w:t>(Scoring) Desirable/Undesirable Activities, Undesirable/Inefficient Site Activities/Characteristics, Exceptions to Undesirable Deductions</w:t>
            </w:r>
            <w:r w:rsidRPr="006E3A0F">
              <w:rPr>
                <w:rFonts w:ascii="Times New Roman" w:eastAsia="Times New Roman" w:hAnsi="Times New Roman" w:cs="Times New Roman"/>
                <w:sz w:val="20"/>
                <w:szCs w:val="20"/>
              </w:rPr>
              <w:t>, what is the definition of the word “site control” in the below bullet point?</w:t>
            </w:r>
          </w:p>
          <w:p w14:paraId="59F37A68" w14:textId="77777777" w:rsidR="00FD1900" w:rsidRPr="006E3A0F" w:rsidRDefault="00FD1900" w:rsidP="002260E9">
            <w:pPr>
              <w:rPr>
                <w:rFonts w:ascii="Times New Roman" w:eastAsia="Times New Roman" w:hAnsi="Times New Roman" w:cs="Times New Roman"/>
                <w:sz w:val="20"/>
                <w:szCs w:val="20"/>
              </w:rPr>
            </w:pPr>
          </w:p>
          <w:p w14:paraId="6CABCFC8" w14:textId="77777777" w:rsidR="00FD1900" w:rsidRPr="006E3A0F" w:rsidRDefault="00FD1900" w:rsidP="002260E9">
            <w:pPr>
              <w:pStyle w:val="ListParagraph"/>
              <w:numPr>
                <w:ilvl w:val="0"/>
                <w:numId w:val="45"/>
              </w:numPr>
              <w:rPr>
                <w:rFonts w:ascii="Times New Roman" w:eastAsia="Times New Roman" w:hAnsi="Times New Roman" w:cs="Times New Roman"/>
                <w:i/>
                <w:iCs/>
                <w:sz w:val="20"/>
                <w:szCs w:val="20"/>
              </w:rPr>
            </w:pPr>
            <w:r w:rsidRPr="006E3A0F">
              <w:rPr>
                <w:rFonts w:ascii="Times New Roman" w:eastAsia="Times New Roman" w:hAnsi="Times New Roman" w:cs="Times New Roman"/>
                <w:i/>
                <w:iCs/>
                <w:sz w:val="20"/>
                <w:szCs w:val="20"/>
              </w:rPr>
              <w:t>Mitigation by the Applicant or a Local Government must be completed by the placed in-service date.</w:t>
            </w:r>
          </w:p>
          <w:p w14:paraId="164F09FE" w14:textId="77777777" w:rsidR="00FD1900" w:rsidRPr="006E3A0F" w:rsidRDefault="00FD1900" w:rsidP="002260E9">
            <w:pPr>
              <w:pStyle w:val="ListParagraph"/>
              <w:numPr>
                <w:ilvl w:val="1"/>
                <w:numId w:val="45"/>
              </w:numPr>
              <w:rPr>
                <w:rFonts w:ascii="Times New Roman" w:eastAsia="Times New Roman" w:hAnsi="Times New Roman" w:cs="Times New Roman"/>
                <w:sz w:val="20"/>
                <w:szCs w:val="20"/>
              </w:rPr>
            </w:pPr>
            <w:r w:rsidRPr="006E3A0F">
              <w:rPr>
                <w:rFonts w:ascii="Times New Roman" w:eastAsia="Times New Roman" w:hAnsi="Times New Roman" w:cs="Times New Roman"/>
                <w:i/>
                <w:sz w:val="20"/>
                <w:szCs w:val="20"/>
              </w:rPr>
              <w:t>Applicants must provide documentation of the site control and resources to complete the mitigation.</w:t>
            </w:r>
          </w:p>
          <w:p w14:paraId="713F231F" w14:textId="77777777" w:rsidR="00FD1900" w:rsidRPr="006E3A0F" w:rsidRDefault="00FD1900" w:rsidP="002260E9">
            <w:pPr>
              <w:rPr>
                <w:rFonts w:ascii="Times New Roman" w:eastAsia="Times New Roman" w:hAnsi="Times New Roman" w:cs="Times New Roman"/>
                <w:sz w:val="20"/>
                <w:szCs w:val="20"/>
              </w:rPr>
            </w:pPr>
          </w:p>
          <w:p w14:paraId="1E3351E7" w14:textId="77777777" w:rsidR="00FD1900" w:rsidRPr="006E3A0F" w:rsidRDefault="00FD1900" w:rsidP="002260E9">
            <w:pPr>
              <w:contextualSpacing/>
              <w:rPr>
                <w:rFonts w:ascii="Times New Roman" w:hAnsi="Times New Roman" w:cs="Times New Roman"/>
                <w:sz w:val="20"/>
                <w:szCs w:val="20"/>
              </w:rPr>
            </w:pPr>
            <w:r w:rsidRPr="006E3A0F">
              <w:rPr>
                <w:rFonts w:ascii="Times New Roman" w:hAnsi="Times New Roman" w:cs="Times New Roman"/>
                <w:b/>
                <w:bCs/>
                <w:sz w:val="20"/>
                <w:szCs w:val="20"/>
              </w:rPr>
              <w:t>Answer</w:t>
            </w:r>
            <w:r w:rsidRPr="006E3A0F">
              <w:rPr>
                <w:rFonts w:ascii="Times New Roman" w:hAnsi="Times New Roman" w:cs="Times New Roman"/>
                <w:sz w:val="20"/>
                <w:szCs w:val="20"/>
              </w:rPr>
              <w:t xml:space="preserve">: </w:t>
            </w:r>
          </w:p>
          <w:p w14:paraId="31D9C54A" w14:textId="77777777" w:rsidR="00FD1900" w:rsidRPr="006E3A0F" w:rsidRDefault="00FD1900" w:rsidP="002260E9">
            <w:pPr>
              <w:rPr>
                <w:rFonts w:ascii="Times New Roman" w:eastAsia="Segoe UI" w:hAnsi="Times New Roman" w:cs="Times New Roman"/>
                <w:sz w:val="20"/>
                <w:szCs w:val="20"/>
              </w:rPr>
            </w:pPr>
            <w:r w:rsidRPr="006E3A0F">
              <w:rPr>
                <w:rFonts w:ascii="Times New Roman" w:eastAsia="Segoe UI" w:hAnsi="Times New Roman" w:cs="Times New Roman"/>
                <w:sz w:val="20"/>
                <w:szCs w:val="20"/>
              </w:rPr>
              <w:t xml:space="preserve">Documentation of site control to complete the mitigation of an undesirable activity/characteristic should show either of the following: </w:t>
            </w:r>
          </w:p>
          <w:p w14:paraId="0A726E78" w14:textId="77777777" w:rsidR="00FD1900" w:rsidRPr="006E3A0F" w:rsidRDefault="00FD1900" w:rsidP="002260E9">
            <w:pPr>
              <w:pStyle w:val="ListParagraph"/>
              <w:numPr>
                <w:ilvl w:val="0"/>
                <w:numId w:val="45"/>
              </w:numPr>
              <w:rPr>
                <w:rFonts w:ascii="Times New Roman" w:eastAsia="Segoe UI" w:hAnsi="Times New Roman" w:cs="Times New Roman"/>
                <w:sz w:val="20"/>
                <w:szCs w:val="20"/>
              </w:rPr>
            </w:pPr>
            <w:r w:rsidRPr="006E3A0F">
              <w:rPr>
                <w:rFonts w:ascii="Times New Roman" w:eastAsia="Segoe UI" w:hAnsi="Times New Roman" w:cs="Times New Roman"/>
                <w:sz w:val="20"/>
                <w:szCs w:val="20"/>
              </w:rPr>
              <w:t xml:space="preserve">there is explicit authorization from the owner of the undesirable to perform the mitigation, or </w:t>
            </w:r>
          </w:p>
          <w:p w14:paraId="6304A91D" w14:textId="77777777" w:rsidR="00FD1900" w:rsidRPr="006E3A0F" w:rsidRDefault="00FD1900" w:rsidP="002260E9">
            <w:pPr>
              <w:pStyle w:val="ListParagraph"/>
              <w:numPr>
                <w:ilvl w:val="0"/>
                <w:numId w:val="45"/>
              </w:numPr>
              <w:rPr>
                <w:rStyle w:val="normaltextrun"/>
                <w:rFonts w:ascii="Times New Roman" w:eastAsia="Segoe UI" w:hAnsi="Times New Roman" w:cs="Times New Roman"/>
                <w:sz w:val="20"/>
                <w:szCs w:val="20"/>
              </w:rPr>
            </w:pPr>
            <w:r w:rsidRPr="006E3A0F">
              <w:rPr>
                <w:rFonts w:ascii="Times New Roman" w:eastAsia="Segoe UI" w:hAnsi="Times New Roman" w:cs="Times New Roman"/>
                <w:sz w:val="20"/>
                <w:szCs w:val="20"/>
              </w:rPr>
              <w:t>there is a legal right for the entity performing the mitigation (e.g., Applicant, owner of the undesirable) to perform mitigation by the date(s) indicated in the QAP.</w:t>
            </w:r>
          </w:p>
        </w:tc>
      </w:tr>
      <w:tr w:rsidR="00FD1900" w:rsidRPr="006E3A0F" w14:paraId="616B4C3D" w14:textId="77777777" w:rsidTr="1995616E">
        <w:trPr>
          <w:jc w:val="center"/>
        </w:trPr>
        <w:tc>
          <w:tcPr>
            <w:tcW w:w="2157" w:type="dxa"/>
            <w:shd w:val="clear" w:color="auto" w:fill="auto"/>
            <w:tcMar>
              <w:top w:w="72" w:type="dxa"/>
              <w:left w:w="115" w:type="dxa"/>
              <w:bottom w:w="72" w:type="dxa"/>
              <w:right w:w="115" w:type="dxa"/>
            </w:tcMar>
            <w:vAlign w:val="center"/>
          </w:tcPr>
          <w:p w14:paraId="47A0C81A"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7E296FE6"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3.07</w:t>
            </w:r>
          </w:p>
          <w:p w14:paraId="16B6BE52"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7BB01BB0"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Quality Education Areas</w:t>
            </w:r>
          </w:p>
        </w:tc>
        <w:tc>
          <w:tcPr>
            <w:tcW w:w="9590" w:type="dxa"/>
            <w:shd w:val="clear" w:color="auto" w:fill="auto"/>
            <w:tcMar>
              <w:top w:w="72" w:type="dxa"/>
              <w:left w:w="115" w:type="dxa"/>
              <w:bottom w:w="72" w:type="dxa"/>
              <w:right w:w="115" w:type="dxa"/>
            </w:tcMar>
            <w:vAlign w:val="center"/>
          </w:tcPr>
          <w:p w14:paraId="2E232F37" w14:textId="77777777" w:rsidR="00FD1900" w:rsidRPr="006E3A0F" w:rsidRDefault="00FD1900" w:rsidP="00403A61">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Q22_0427_01</w:t>
            </w:r>
            <w:r w:rsidRPr="006E3A0F">
              <w:rPr>
                <w:rStyle w:val="eop"/>
                <w:sz w:val="20"/>
                <w:szCs w:val="20"/>
              </w:rPr>
              <w:t> </w:t>
            </w:r>
          </w:p>
          <w:p w14:paraId="16D729A0" w14:textId="77777777" w:rsidR="00FD1900" w:rsidRPr="006E3A0F" w:rsidRDefault="00FD1900" w:rsidP="00403A61">
            <w:pPr>
              <w:pStyle w:val="paragraph"/>
              <w:spacing w:before="0" w:beforeAutospacing="0" w:after="0" w:afterAutospacing="0"/>
              <w:textAlignment w:val="baseline"/>
              <w:rPr>
                <w:sz w:val="20"/>
                <w:szCs w:val="20"/>
              </w:rPr>
            </w:pPr>
            <w:r w:rsidRPr="006E3A0F">
              <w:rPr>
                <w:rStyle w:val="normaltextrun"/>
                <w:sz w:val="20"/>
                <w:szCs w:val="20"/>
              </w:rPr>
              <w:t xml:space="preserve">In </w:t>
            </w:r>
            <w:r w:rsidRPr="006E3A0F">
              <w:rPr>
                <w:rStyle w:val="normaltextrun"/>
                <w:b/>
                <w:bCs/>
                <w:sz w:val="20"/>
                <w:szCs w:val="20"/>
              </w:rPr>
              <w:t>(Scoring)</w:t>
            </w:r>
            <w:r w:rsidRPr="006E3A0F">
              <w:rPr>
                <w:rStyle w:val="normaltextrun"/>
                <w:sz w:val="20"/>
                <w:szCs w:val="20"/>
              </w:rPr>
              <w:t xml:space="preserve"> </w:t>
            </w:r>
            <w:r w:rsidRPr="006E3A0F">
              <w:rPr>
                <w:rStyle w:val="normaltextrun"/>
                <w:b/>
                <w:bCs/>
                <w:sz w:val="20"/>
                <w:szCs w:val="20"/>
              </w:rPr>
              <w:t>Quality Education Areas</w:t>
            </w:r>
            <w:r w:rsidRPr="006E3A0F">
              <w:rPr>
                <w:rStyle w:val="normaltextrun"/>
                <w:sz w:val="20"/>
                <w:szCs w:val="20"/>
              </w:rPr>
              <w:t>, school district maps showing the site location and full attendance zone boundaries, published by an official school district source, are required.  In past years for this scoring category, we provided attendance zone maps obtained from greatschools.org.  Is it acceptable to use the attendance zone boundary maps from greatschools.org?</w:t>
            </w:r>
            <w:r w:rsidRPr="006E3A0F">
              <w:rPr>
                <w:rStyle w:val="eop"/>
                <w:sz w:val="20"/>
                <w:szCs w:val="20"/>
              </w:rPr>
              <w:t> </w:t>
            </w:r>
          </w:p>
          <w:p w14:paraId="57648E07" w14:textId="77777777" w:rsidR="00FD1900" w:rsidRPr="006E3A0F" w:rsidRDefault="00FD1900" w:rsidP="00403A61">
            <w:pPr>
              <w:pStyle w:val="paragraph"/>
              <w:spacing w:before="0" w:beforeAutospacing="0" w:after="0" w:afterAutospacing="0"/>
              <w:textAlignment w:val="baseline"/>
              <w:rPr>
                <w:sz w:val="20"/>
                <w:szCs w:val="20"/>
              </w:rPr>
            </w:pPr>
            <w:r w:rsidRPr="006E3A0F">
              <w:rPr>
                <w:rStyle w:val="eop"/>
                <w:sz w:val="20"/>
                <w:szCs w:val="20"/>
              </w:rPr>
              <w:t> </w:t>
            </w:r>
          </w:p>
          <w:p w14:paraId="47A99782" w14:textId="77777777" w:rsidR="00FD1900" w:rsidRPr="006E3A0F" w:rsidRDefault="00FD1900" w:rsidP="00403A61">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 </w:t>
            </w:r>
            <w:r w:rsidRPr="006E3A0F">
              <w:rPr>
                <w:rStyle w:val="eop"/>
                <w:sz w:val="20"/>
                <w:szCs w:val="20"/>
              </w:rPr>
              <w:t> </w:t>
            </w:r>
          </w:p>
          <w:p w14:paraId="50261E75" w14:textId="77777777" w:rsidR="00FD1900" w:rsidRPr="006E3A0F" w:rsidRDefault="00FD1900" w:rsidP="0053282B">
            <w:pPr>
              <w:pStyle w:val="paragraph"/>
              <w:spacing w:before="0" w:beforeAutospacing="0" w:after="0" w:afterAutospacing="0"/>
              <w:textAlignment w:val="baseline"/>
              <w:rPr>
                <w:rStyle w:val="normaltextrun"/>
                <w:sz w:val="20"/>
                <w:szCs w:val="20"/>
              </w:rPr>
            </w:pPr>
            <w:r w:rsidRPr="006E3A0F">
              <w:rPr>
                <w:rStyle w:val="normaltextrun"/>
                <w:sz w:val="20"/>
                <w:szCs w:val="20"/>
              </w:rPr>
              <w:t>Per this section in the 2022 QAP, “Maps must be published by official school district source.” Maps from greatschools.org will not qualify. However, per the QAP, “If the school district map is unavailable or unobtainable, a letter from a school district representative evidencing that the proposed site is within the school district boundaries (must include the project location).”</w:t>
            </w:r>
          </w:p>
        </w:tc>
      </w:tr>
      <w:tr w:rsidR="00FD1900" w:rsidRPr="006E3A0F" w14:paraId="4BABA052" w14:textId="77777777" w:rsidTr="1995616E">
        <w:trPr>
          <w:jc w:val="center"/>
        </w:trPr>
        <w:tc>
          <w:tcPr>
            <w:tcW w:w="2157" w:type="dxa"/>
            <w:shd w:val="clear" w:color="auto" w:fill="auto"/>
            <w:tcMar>
              <w:top w:w="72" w:type="dxa"/>
              <w:left w:w="115" w:type="dxa"/>
              <w:bottom w:w="72" w:type="dxa"/>
              <w:right w:w="115" w:type="dxa"/>
            </w:tcMar>
            <w:vAlign w:val="center"/>
          </w:tcPr>
          <w:p w14:paraId="6C58A2EA"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1F6ED449"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3.08</w:t>
            </w:r>
          </w:p>
          <w:p w14:paraId="79D2AFEF"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22B4659A"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Revitalization/Redevelopment Plans</w:t>
            </w:r>
          </w:p>
        </w:tc>
        <w:tc>
          <w:tcPr>
            <w:tcW w:w="9590" w:type="dxa"/>
            <w:shd w:val="clear" w:color="auto" w:fill="auto"/>
            <w:tcMar>
              <w:top w:w="72" w:type="dxa"/>
              <w:left w:w="115" w:type="dxa"/>
              <w:bottom w:w="72" w:type="dxa"/>
              <w:right w:w="115" w:type="dxa"/>
            </w:tcMar>
            <w:vAlign w:val="center"/>
          </w:tcPr>
          <w:p w14:paraId="7DAA8F7F" w14:textId="77777777" w:rsidR="00FD1900" w:rsidRPr="006E3A0F" w:rsidRDefault="00FD1900" w:rsidP="002816B8">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Q22_0428_02</w:t>
            </w:r>
            <w:r w:rsidRPr="006E3A0F">
              <w:rPr>
                <w:rStyle w:val="eop"/>
                <w:sz w:val="20"/>
                <w:szCs w:val="20"/>
              </w:rPr>
              <w:t> </w:t>
            </w:r>
          </w:p>
          <w:p w14:paraId="134FF114" w14:textId="77777777" w:rsidR="00FD1900" w:rsidRPr="006E3A0F" w:rsidRDefault="00FD1900" w:rsidP="002816B8">
            <w:pPr>
              <w:pStyle w:val="paragraph"/>
              <w:spacing w:before="0" w:beforeAutospacing="0" w:after="0" w:afterAutospacing="0"/>
              <w:textAlignment w:val="baseline"/>
              <w:rPr>
                <w:sz w:val="20"/>
                <w:szCs w:val="20"/>
              </w:rPr>
            </w:pPr>
            <w:r w:rsidRPr="006E3A0F">
              <w:rPr>
                <w:rStyle w:val="normaltextrun"/>
                <w:sz w:val="20"/>
                <w:szCs w:val="20"/>
              </w:rPr>
              <w:t xml:space="preserve">Under </w:t>
            </w:r>
            <w:r w:rsidRPr="006E3A0F">
              <w:rPr>
                <w:rStyle w:val="normaltextrun"/>
                <w:b/>
                <w:bCs/>
                <w:sz w:val="20"/>
                <w:szCs w:val="20"/>
              </w:rPr>
              <w:t>(Scoring) Revitalization/Redevelopment Plans, Third-Party Capital Investment</w:t>
            </w:r>
            <w:r w:rsidRPr="006E3A0F">
              <w:rPr>
                <w:rStyle w:val="normaltextrun"/>
                <w:sz w:val="20"/>
                <w:szCs w:val="20"/>
              </w:rPr>
              <w:t xml:space="preserve">, would DCA be able to grant an exception to the third-party capital project completion date of January 1, </w:t>
            </w:r>
            <w:proofErr w:type="gramStart"/>
            <w:r w:rsidRPr="006E3A0F">
              <w:rPr>
                <w:rStyle w:val="contextualspellingandgrammarerror"/>
                <w:rFonts w:eastAsiaTheme="majorEastAsia"/>
                <w:sz w:val="20"/>
                <w:szCs w:val="20"/>
              </w:rPr>
              <w:t>2025</w:t>
            </w:r>
            <w:proofErr w:type="gramEnd"/>
            <w:r w:rsidRPr="006E3A0F">
              <w:rPr>
                <w:rStyle w:val="normaltextrun"/>
                <w:sz w:val="20"/>
                <w:szCs w:val="20"/>
              </w:rPr>
              <w:t xml:space="preserve"> if the project is a very large, </w:t>
            </w:r>
            <w:r w:rsidRPr="006E3A0F">
              <w:rPr>
                <w:rStyle w:val="contextualspellingandgrammarerror"/>
                <w:rFonts w:eastAsiaTheme="majorEastAsia"/>
                <w:sz w:val="20"/>
                <w:szCs w:val="20"/>
              </w:rPr>
              <w:t>fully-funded</w:t>
            </w:r>
            <w:r w:rsidRPr="006E3A0F">
              <w:rPr>
                <w:rStyle w:val="normaltextrun"/>
                <w:sz w:val="20"/>
                <w:szCs w:val="20"/>
              </w:rPr>
              <w:t xml:space="preserve"> and approved, multi-year project with a planned completion date later in 2025?</w:t>
            </w:r>
            <w:r w:rsidRPr="006E3A0F">
              <w:rPr>
                <w:rStyle w:val="eop"/>
                <w:sz w:val="20"/>
                <w:szCs w:val="20"/>
              </w:rPr>
              <w:t> </w:t>
            </w:r>
          </w:p>
          <w:p w14:paraId="7CE03C24" w14:textId="77777777" w:rsidR="00FD1900" w:rsidRPr="006E3A0F" w:rsidRDefault="00FD1900" w:rsidP="002816B8">
            <w:pPr>
              <w:pStyle w:val="paragraph"/>
              <w:spacing w:before="0" w:beforeAutospacing="0" w:after="0" w:afterAutospacing="0"/>
              <w:textAlignment w:val="baseline"/>
              <w:rPr>
                <w:sz w:val="20"/>
                <w:szCs w:val="20"/>
              </w:rPr>
            </w:pPr>
            <w:r w:rsidRPr="006E3A0F">
              <w:rPr>
                <w:rStyle w:val="eop"/>
                <w:sz w:val="20"/>
                <w:szCs w:val="20"/>
              </w:rPr>
              <w:t> </w:t>
            </w:r>
          </w:p>
          <w:p w14:paraId="417033E7" w14:textId="77777777" w:rsidR="00FD1900" w:rsidRPr="006E3A0F" w:rsidRDefault="00FD1900" w:rsidP="002816B8">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 </w:t>
            </w:r>
            <w:r w:rsidRPr="006E3A0F">
              <w:rPr>
                <w:rStyle w:val="eop"/>
                <w:sz w:val="20"/>
                <w:szCs w:val="20"/>
              </w:rPr>
              <w:t> </w:t>
            </w:r>
          </w:p>
          <w:p w14:paraId="08840475" w14:textId="77777777" w:rsidR="00FD1900" w:rsidRPr="006E3A0F" w:rsidRDefault="00FD1900" w:rsidP="0053282B">
            <w:pPr>
              <w:pStyle w:val="paragraph"/>
              <w:spacing w:before="0" w:beforeAutospacing="0" w:after="0" w:afterAutospacing="0"/>
              <w:textAlignment w:val="baseline"/>
              <w:rPr>
                <w:rStyle w:val="normaltextrun"/>
                <w:sz w:val="20"/>
                <w:szCs w:val="20"/>
              </w:rPr>
            </w:pPr>
            <w:r w:rsidRPr="006E3A0F">
              <w:rPr>
                <w:rStyle w:val="normaltextrun"/>
                <w:sz w:val="20"/>
                <w:szCs w:val="20"/>
              </w:rPr>
              <w:t>Under the 2022 QAP, the off-site improvement must have an expected completion date before January 1, 2025, without exception.</w:t>
            </w:r>
            <w:r w:rsidRPr="006E3A0F">
              <w:rPr>
                <w:rStyle w:val="eop"/>
                <w:sz w:val="20"/>
                <w:szCs w:val="20"/>
              </w:rPr>
              <w:t> </w:t>
            </w:r>
          </w:p>
        </w:tc>
      </w:tr>
      <w:tr w:rsidR="00FD1900" w:rsidRPr="006E3A0F" w14:paraId="4775DAE3" w14:textId="77777777" w:rsidTr="1995616E">
        <w:trPr>
          <w:jc w:val="center"/>
        </w:trPr>
        <w:tc>
          <w:tcPr>
            <w:tcW w:w="2157" w:type="dxa"/>
            <w:shd w:val="clear" w:color="auto" w:fill="auto"/>
            <w:tcMar>
              <w:top w:w="72" w:type="dxa"/>
              <w:left w:w="115" w:type="dxa"/>
              <w:bottom w:w="72" w:type="dxa"/>
              <w:right w:w="115" w:type="dxa"/>
            </w:tcMar>
            <w:vAlign w:val="center"/>
          </w:tcPr>
          <w:p w14:paraId="12323CE3"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2C5694CD"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3.16</w:t>
            </w:r>
          </w:p>
          <w:p w14:paraId="10974921"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16DD2380"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Internet Access</w:t>
            </w:r>
          </w:p>
          <w:p w14:paraId="3CA794EE" w14:textId="77777777" w:rsidR="00FD1900" w:rsidRPr="006E3A0F" w:rsidRDefault="00FD1900" w:rsidP="002E5CCF">
            <w:pPr>
              <w:rPr>
                <w:rFonts w:ascii="Times New Roman" w:hAnsi="Times New Roman" w:cs="Times New Roman"/>
                <w:sz w:val="20"/>
                <w:szCs w:val="20"/>
              </w:rPr>
            </w:pPr>
          </w:p>
          <w:p w14:paraId="0409477B"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w:t>
            </w:r>
            <w:proofErr w:type="gramStart"/>
            <w:r w:rsidRPr="006E3A0F">
              <w:rPr>
                <w:rFonts w:ascii="Times New Roman" w:hAnsi="Times New Roman" w:cs="Times New Roman"/>
                <w:sz w:val="20"/>
                <w:szCs w:val="20"/>
              </w:rPr>
              <w:t>also</w:t>
            </w:r>
            <w:proofErr w:type="gramEnd"/>
            <w:r w:rsidRPr="006E3A0F">
              <w:rPr>
                <w:rFonts w:ascii="Times New Roman" w:hAnsi="Times New Roman" w:cs="Times New Roman"/>
                <w:sz w:val="20"/>
                <w:szCs w:val="20"/>
              </w:rPr>
              <w:t xml:space="preserve"> Scoring, Applicability of Scoring Criteria)</w:t>
            </w:r>
          </w:p>
        </w:tc>
        <w:tc>
          <w:tcPr>
            <w:tcW w:w="9590" w:type="dxa"/>
            <w:shd w:val="clear" w:color="auto" w:fill="auto"/>
            <w:tcMar>
              <w:top w:w="72" w:type="dxa"/>
              <w:left w:w="115" w:type="dxa"/>
              <w:bottom w:w="72" w:type="dxa"/>
              <w:right w:w="115" w:type="dxa"/>
            </w:tcMar>
            <w:vAlign w:val="center"/>
          </w:tcPr>
          <w:p w14:paraId="7307E510" w14:textId="77777777" w:rsidR="00FD1900" w:rsidRPr="006E3A0F" w:rsidRDefault="00FD1900" w:rsidP="00D70121">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Q22_0427_02</w:t>
            </w:r>
            <w:r w:rsidRPr="006E3A0F">
              <w:rPr>
                <w:rStyle w:val="eop"/>
                <w:sz w:val="20"/>
                <w:szCs w:val="20"/>
              </w:rPr>
              <w:t> </w:t>
            </w:r>
          </w:p>
          <w:p w14:paraId="10EB9D89" w14:textId="77777777" w:rsidR="00FD1900" w:rsidRPr="006E3A0F" w:rsidRDefault="00FD1900" w:rsidP="00D70121">
            <w:pPr>
              <w:pStyle w:val="paragraph"/>
              <w:spacing w:before="0" w:beforeAutospacing="0" w:after="0" w:afterAutospacing="0"/>
              <w:textAlignment w:val="baseline"/>
              <w:rPr>
                <w:sz w:val="20"/>
                <w:szCs w:val="20"/>
              </w:rPr>
            </w:pPr>
            <w:r w:rsidRPr="006E3A0F">
              <w:rPr>
                <w:rStyle w:val="normaltextrun"/>
                <w:sz w:val="20"/>
                <w:szCs w:val="20"/>
              </w:rPr>
              <w:t xml:space="preserve">I noticed in the QAP that for Rehabs it is allowing 2 points for internet access.  If we are not in the Atlanta </w:t>
            </w:r>
            <w:proofErr w:type="gramStart"/>
            <w:r w:rsidRPr="006E3A0F">
              <w:rPr>
                <w:rStyle w:val="contextualspellingandgrammarerror"/>
                <w:rFonts w:eastAsiaTheme="majorEastAsia"/>
                <w:sz w:val="20"/>
                <w:szCs w:val="20"/>
              </w:rPr>
              <w:t>Metro</w:t>
            </w:r>
            <w:proofErr w:type="gramEnd"/>
            <w:r w:rsidRPr="006E3A0F">
              <w:rPr>
                <w:rStyle w:val="normaltextrun"/>
                <w:sz w:val="20"/>
                <w:szCs w:val="20"/>
              </w:rPr>
              <w:t xml:space="preserve"> can we not qualify for those points? </w:t>
            </w:r>
            <w:proofErr w:type="gramStart"/>
            <w:r w:rsidRPr="006E3A0F">
              <w:rPr>
                <w:rStyle w:val="contextualspellingandgrammarerror"/>
                <w:rFonts w:eastAsiaTheme="majorEastAsia"/>
                <w:sz w:val="20"/>
                <w:szCs w:val="20"/>
              </w:rPr>
              <w:t>Otherwise</w:t>
            </w:r>
            <w:proofErr w:type="gramEnd"/>
            <w:r w:rsidRPr="006E3A0F">
              <w:rPr>
                <w:rStyle w:val="normaltextrun"/>
                <w:sz w:val="20"/>
                <w:szCs w:val="20"/>
              </w:rPr>
              <w:t xml:space="preserve"> all Atlanta Metro rehab deals will have a </w:t>
            </w:r>
            <w:r w:rsidRPr="006E3A0F">
              <w:rPr>
                <w:rStyle w:val="contextualspellingandgrammarerror"/>
                <w:rFonts w:eastAsiaTheme="majorEastAsia"/>
                <w:sz w:val="20"/>
                <w:szCs w:val="20"/>
              </w:rPr>
              <w:t>2 point</w:t>
            </w:r>
            <w:r w:rsidRPr="006E3A0F">
              <w:rPr>
                <w:rStyle w:val="normaltextrun"/>
                <w:sz w:val="20"/>
                <w:szCs w:val="20"/>
              </w:rPr>
              <w:t xml:space="preserve"> advantage over everything else just for being in one of those 4 counties which doesn't seem correct.  </w:t>
            </w:r>
            <w:r w:rsidRPr="006E3A0F">
              <w:rPr>
                <w:rStyle w:val="eop"/>
                <w:sz w:val="20"/>
                <w:szCs w:val="20"/>
              </w:rPr>
              <w:t> </w:t>
            </w:r>
          </w:p>
          <w:p w14:paraId="3A075B06" w14:textId="77777777" w:rsidR="00FD1900" w:rsidRPr="006E3A0F" w:rsidRDefault="00FD1900" w:rsidP="00D70121">
            <w:pPr>
              <w:pStyle w:val="paragraph"/>
              <w:spacing w:before="0" w:beforeAutospacing="0" w:after="0" w:afterAutospacing="0"/>
              <w:textAlignment w:val="baseline"/>
              <w:rPr>
                <w:sz w:val="20"/>
                <w:szCs w:val="20"/>
              </w:rPr>
            </w:pPr>
            <w:r w:rsidRPr="006E3A0F">
              <w:rPr>
                <w:rStyle w:val="eop"/>
                <w:sz w:val="20"/>
                <w:szCs w:val="20"/>
              </w:rPr>
              <w:t> </w:t>
            </w:r>
          </w:p>
          <w:p w14:paraId="473BCF3E" w14:textId="77777777" w:rsidR="00FD1900" w:rsidRPr="006E3A0F" w:rsidRDefault="00FD1900" w:rsidP="00D70121">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 </w:t>
            </w:r>
            <w:r w:rsidRPr="006E3A0F">
              <w:rPr>
                <w:rStyle w:val="eop"/>
                <w:sz w:val="20"/>
                <w:szCs w:val="20"/>
              </w:rPr>
              <w:t> </w:t>
            </w:r>
          </w:p>
          <w:p w14:paraId="5C8A6419" w14:textId="77777777" w:rsidR="00FD1900" w:rsidRPr="006E3A0F" w:rsidRDefault="00FD1900" w:rsidP="00D70121">
            <w:pPr>
              <w:pStyle w:val="paragraph"/>
              <w:spacing w:before="0" w:beforeAutospacing="0" w:after="0" w:afterAutospacing="0"/>
              <w:textAlignment w:val="baseline"/>
              <w:rPr>
                <w:sz w:val="20"/>
                <w:szCs w:val="20"/>
              </w:rPr>
            </w:pPr>
            <w:r w:rsidRPr="006E3A0F">
              <w:rPr>
                <w:rStyle w:val="normaltextrun"/>
                <w:sz w:val="20"/>
                <w:szCs w:val="20"/>
              </w:rPr>
              <w:t xml:space="preserve">The sentence “This section only applies to proposed developments in the Atlanta Metro Pool” in </w:t>
            </w:r>
            <w:r w:rsidRPr="006E3A0F">
              <w:rPr>
                <w:rStyle w:val="normaltextrun"/>
                <w:b/>
                <w:bCs/>
                <w:sz w:val="20"/>
                <w:szCs w:val="20"/>
              </w:rPr>
              <w:t>(Scoring Criteria) Internet Access</w:t>
            </w:r>
            <w:r w:rsidRPr="006E3A0F">
              <w:rPr>
                <w:rStyle w:val="normaltextrun"/>
                <w:sz w:val="20"/>
                <w:szCs w:val="20"/>
              </w:rPr>
              <w:t xml:space="preserve"> only applies to the 9% New Supply competition, for which geographic pools result in separate sub-competitions. </w:t>
            </w:r>
            <w:r w:rsidRPr="006E3A0F">
              <w:rPr>
                <w:rStyle w:val="eop"/>
                <w:sz w:val="20"/>
                <w:szCs w:val="20"/>
              </w:rPr>
              <w:t> </w:t>
            </w:r>
          </w:p>
          <w:p w14:paraId="442F0679" w14:textId="77777777" w:rsidR="00FD1900" w:rsidRPr="006E3A0F" w:rsidRDefault="00FD1900" w:rsidP="00D70121">
            <w:pPr>
              <w:pStyle w:val="paragraph"/>
              <w:spacing w:before="0" w:beforeAutospacing="0" w:after="0" w:afterAutospacing="0"/>
              <w:textAlignment w:val="baseline"/>
              <w:rPr>
                <w:sz w:val="20"/>
                <w:szCs w:val="20"/>
              </w:rPr>
            </w:pPr>
            <w:r w:rsidRPr="006E3A0F">
              <w:rPr>
                <w:rStyle w:val="eop"/>
                <w:sz w:val="20"/>
                <w:szCs w:val="20"/>
              </w:rPr>
              <w:t> </w:t>
            </w:r>
          </w:p>
          <w:p w14:paraId="5B181F4E" w14:textId="77777777" w:rsidR="00FD1900" w:rsidRPr="006E3A0F" w:rsidRDefault="00FD1900" w:rsidP="0053282B">
            <w:pPr>
              <w:pStyle w:val="paragraph"/>
              <w:spacing w:before="0" w:beforeAutospacing="0" w:after="0" w:afterAutospacing="0"/>
              <w:textAlignment w:val="baseline"/>
              <w:rPr>
                <w:rStyle w:val="normaltextrun"/>
                <w:sz w:val="20"/>
                <w:szCs w:val="20"/>
              </w:rPr>
            </w:pPr>
            <w:r w:rsidRPr="006E3A0F">
              <w:rPr>
                <w:rStyle w:val="normaltextrun"/>
                <w:sz w:val="20"/>
                <w:szCs w:val="20"/>
              </w:rPr>
              <w:t xml:space="preserve">Per </w:t>
            </w:r>
            <w:r w:rsidRPr="006E3A0F">
              <w:rPr>
                <w:rStyle w:val="normaltextrun"/>
                <w:b/>
                <w:bCs/>
                <w:sz w:val="20"/>
                <w:szCs w:val="20"/>
              </w:rPr>
              <w:t>(Scoring Criteria) Applicability of Scoring Criteria</w:t>
            </w:r>
            <w:r w:rsidRPr="006E3A0F">
              <w:rPr>
                <w:rStyle w:val="normaltextrun"/>
                <w:sz w:val="20"/>
                <w:szCs w:val="20"/>
              </w:rPr>
              <w:t>, scoring criteria is “specific to” the various sub-competitions (e.g., 9% New Supply vs 4% New Supply). This section does not permit that applicability of a Scoring section could be restricted to one application but open to another within the same competition.</w:t>
            </w:r>
          </w:p>
        </w:tc>
      </w:tr>
      <w:tr w:rsidR="00FD1900" w:rsidRPr="006E3A0F" w14:paraId="0122C97F" w14:textId="77777777" w:rsidTr="1995616E">
        <w:trPr>
          <w:jc w:val="center"/>
        </w:trPr>
        <w:tc>
          <w:tcPr>
            <w:tcW w:w="2157" w:type="dxa"/>
            <w:shd w:val="clear" w:color="auto" w:fill="auto"/>
            <w:tcMar>
              <w:top w:w="72" w:type="dxa"/>
              <w:left w:w="115" w:type="dxa"/>
              <w:bottom w:w="72" w:type="dxa"/>
              <w:right w:w="115" w:type="dxa"/>
            </w:tcMar>
            <w:vAlign w:val="center"/>
          </w:tcPr>
          <w:p w14:paraId="0F5B115B"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5/11/22</w:t>
            </w:r>
          </w:p>
        </w:tc>
        <w:tc>
          <w:tcPr>
            <w:tcW w:w="2198" w:type="dxa"/>
            <w:shd w:val="clear" w:color="auto" w:fill="auto"/>
            <w:tcMar>
              <w:top w:w="72" w:type="dxa"/>
              <w:left w:w="115" w:type="dxa"/>
              <w:bottom w:w="72" w:type="dxa"/>
              <w:right w:w="115" w:type="dxa"/>
            </w:tcMar>
            <w:vAlign w:val="center"/>
          </w:tcPr>
          <w:p w14:paraId="33B59033"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3.19</w:t>
            </w:r>
          </w:p>
          <w:p w14:paraId="5769BA96"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0E27DFF7"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Exceptional Nonprofit/Public Housing Authority</w:t>
            </w:r>
          </w:p>
        </w:tc>
        <w:tc>
          <w:tcPr>
            <w:tcW w:w="9590" w:type="dxa"/>
            <w:shd w:val="clear" w:color="auto" w:fill="auto"/>
            <w:tcMar>
              <w:top w:w="72" w:type="dxa"/>
              <w:left w:w="115" w:type="dxa"/>
              <w:bottom w:w="72" w:type="dxa"/>
              <w:right w:w="115" w:type="dxa"/>
            </w:tcMar>
            <w:vAlign w:val="center"/>
          </w:tcPr>
          <w:p w14:paraId="2AC7C78C" w14:textId="77777777" w:rsidR="00FD1900" w:rsidRPr="006E3A0F" w:rsidRDefault="00FD1900" w:rsidP="0042235D">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Q22_0419_05</w:t>
            </w:r>
            <w:r w:rsidRPr="006E3A0F">
              <w:rPr>
                <w:rStyle w:val="eop"/>
                <w:sz w:val="20"/>
                <w:szCs w:val="20"/>
              </w:rPr>
              <w:t> </w:t>
            </w:r>
          </w:p>
          <w:p w14:paraId="4D3EFDE8" w14:textId="77777777" w:rsidR="00FD1900" w:rsidRPr="006E3A0F" w:rsidRDefault="00FD1900" w:rsidP="0042235D">
            <w:pPr>
              <w:pStyle w:val="paragraph"/>
              <w:spacing w:before="0" w:beforeAutospacing="0" w:after="0" w:afterAutospacing="0"/>
              <w:textAlignment w:val="baseline"/>
              <w:rPr>
                <w:sz w:val="20"/>
                <w:szCs w:val="20"/>
              </w:rPr>
            </w:pPr>
            <w:r w:rsidRPr="006E3A0F">
              <w:rPr>
                <w:rStyle w:val="normaltextrun"/>
                <w:sz w:val="20"/>
                <w:szCs w:val="20"/>
              </w:rPr>
              <w:t>When will the Exceptional/Non-Exceptional PHA Assessment form be available? And will you also be posting the rubric? </w:t>
            </w:r>
            <w:r w:rsidRPr="006E3A0F">
              <w:rPr>
                <w:rStyle w:val="eop"/>
                <w:sz w:val="20"/>
                <w:szCs w:val="20"/>
              </w:rPr>
              <w:t> </w:t>
            </w:r>
          </w:p>
          <w:p w14:paraId="049F8207" w14:textId="77777777" w:rsidR="00FD1900" w:rsidRPr="006E3A0F" w:rsidRDefault="00FD1900" w:rsidP="0042235D">
            <w:pPr>
              <w:pStyle w:val="paragraph"/>
              <w:spacing w:before="0" w:beforeAutospacing="0" w:after="0" w:afterAutospacing="0"/>
              <w:textAlignment w:val="baseline"/>
              <w:rPr>
                <w:sz w:val="20"/>
                <w:szCs w:val="20"/>
              </w:rPr>
            </w:pPr>
            <w:r w:rsidRPr="006E3A0F">
              <w:rPr>
                <w:rStyle w:val="eop"/>
                <w:sz w:val="20"/>
                <w:szCs w:val="20"/>
              </w:rPr>
              <w:t> </w:t>
            </w:r>
          </w:p>
          <w:p w14:paraId="764C0ABA" w14:textId="77777777" w:rsidR="00FD1900" w:rsidRPr="006E3A0F" w:rsidRDefault="00FD1900" w:rsidP="0042235D">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 </w:t>
            </w:r>
            <w:r w:rsidRPr="006E3A0F">
              <w:rPr>
                <w:rStyle w:val="eop"/>
                <w:sz w:val="20"/>
                <w:szCs w:val="20"/>
              </w:rPr>
              <w:t> </w:t>
            </w:r>
          </w:p>
          <w:p w14:paraId="5E4466A6" w14:textId="77777777" w:rsidR="00FD1900" w:rsidRPr="006E3A0F" w:rsidRDefault="00FD1900" w:rsidP="0053282B">
            <w:pPr>
              <w:pStyle w:val="paragraph"/>
              <w:spacing w:before="0" w:beforeAutospacing="0" w:after="0" w:afterAutospacing="0"/>
              <w:textAlignment w:val="baseline"/>
              <w:rPr>
                <w:rStyle w:val="normaltextrun"/>
                <w:sz w:val="20"/>
                <w:szCs w:val="20"/>
              </w:rPr>
            </w:pPr>
            <w:r w:rsidRPr="006E3A0F">
              <w:rPr>
                <w:rStyle w:val="normaltextrun"/>
                <w:sz w:val="20"/>
                <w:szCs w:val="20"/>
              </w:rPr>
              <w:t>The DCA Exceptional Nonprofit/PHA Assessment Form and rubrics have been posted to the Scoring Documents and Data page of the DCA website (</w:t>
            </w:r>
            <w:hyperlink r:id="rId17" w:tgtFrame="_blank" w:history="1">
              <w:r w:rsidRPr="006E3A0F">
                <w:rPr>
                  <w:rStyle w:val="normaltextrun"/>
                  <w:sz w:val="20"/>
                  <w:szCs w:val="20"/>
                  <w:u w:val="single"/>
                </w:rPr>
                <w:t>click here</w:t>
              </w:r>
            </w:hyperlink>
            <w:r w:rsidRPr="006E3A0F">
              <w:rPr>
                <w:rStyle w:val="normaltextrun"/>
                <w:sz w:val="20"/>
                <w:szCs w:val="20"/>
              </w:rPr>
              <w:t>).</w:t>
            </w:r>
            <w:r w:rsidRPr="006E3A0F">
              <w:rPr>
                <w:rStyle w:val="eop"/>
                <w:sz w:val="20"/>
                <w:szCs w:val="20"/>
              </w:rPr>
              <w:t> </w:t>
            </w:r>
          </w:p>
        </w:tc>
      </w:tr>
      <w:tr w:rsidR="00FD1900" w:rsidRPr="006E3A0F" w14:paraId="6B812DC6" w14:textId="77777777" w:rsidTr="1995616E">
        <w:trPr>
          <w:jc w:val="center"/>
        </w:trPr>
        <w:tc>
          <w:tcPr>
            <w:tcW w:w="2157" w:type="dxa"/>
            <w:shd w:val="clear" w:color="auto" w:fill="auto"/>
            <w:tcMar>
              <w:top w:w="72" w:type="dxa"/>
              <w:left w:w="115" w:type="dxa"/>
              <w:bottom w:w="72" w:type="dxa"/>
              <w:right w:w="115" w:type="dxa"/>
            </w:tcMar>
            <w:vAlign w:val="center"/>
          </w:tcPr>
          <w:p w14:paraId="2E98C2C9"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5/6/22</w:t>
            </w:r>
          </w:p>
        </w:tc>
        <w:tc>
          <w:tcPr>
            <w:tcW w:w="2198" w:type="dxa"/>
            <w:shd w:val="clear" w:color="auto" w:fill="auto"/>
            <w:tcMar>
              <w:top w:w="72" w:type="dxa"/>
              <w:left w:w="115" w:type="dxa"/>
              <w:bottom w:w="72" w:type="dxa"/>
              <w:right w:w="115" w:type="dxa"/>
            </w:tcMar>
            <w:vAlign w:val="center"/>
          </w:tcPr>
          <w:p w14:paraId="357574F5"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2.02</w:t>
            </w:r>
          </w:p>
          <w:p w14:paraId="7614BB79"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1468F8A9"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Project Feasibility, Viability Analysis &amp; Conformance with Plan</w:t>
            </w:r>
          </w:p>
          <w:p w14:paraId="1A182DDC" w14:textId="77777777" w:rsidR="00FD1900" w:rsidRPr="006E3A0F" w:rsidRDefault="00FD1900" w:rsidP="002E5CCF">
            <w:pPr>
              <w:rPr>
                <w:rFonts w:ascii="Times New Roman" w:hAnsi="Times New Roman" w:cs="Times New Roman"/>
                <w:sz w:val="20"/>
                <w:szCs w:val="20"/>
              </w:rPr>
            </w:pPr>
          </w:p>
          <w:p w14:paraId="2CA408D2"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w:t>
            </w:r>
            <w:proofErr w:type="gramStart"/>
            <w:r w:rsidRPr="006E3A0F">
              <w:rPr>
                <w:rFonts w:ascii="Times New Roman" w:hAnsi="Times New Roman" w:cs="Times New Roman"/>
                <w:sz w:val="20"/>
                <w:szCs w:val="20"/>
              </w:rPr>
              <w:t>also</w:t>
            </w:r>
            <w:proofErr w:type="gramEnd"/>
            <w:r w:rsidRPr="006E3A0F">
              <w:rPr>
                <w:rFonts w:ascii="Times New Roman" w:hAnsi="Times New Roman" w:cs="Times New Roman"/>
                <w:sz w:val="20"/>
                <w:szCs w:val="20"/>
              </w:rPr>
              <w:t xml:space="preserve"> Scoring Criteria, Deeper Targeting) </w:t>
            </w:r>
          </w:p>
        </w:tc>
        <w:tc>
          <w:tcPr>
            <w:tcW w:w="9590" w:type="dxa"/>
            <w:shd w:val="clear" w:color="auto" w:fill="auto"/>
            <w:tcMar>
              <w:top w:w="72" w:type="dxa"/>
              <w:left w:w="115" w:type="dxa"/>
              <w:bottom w:w="72" w:type="dxa"/>
              <w:right w:w="115" w:type="dxa"/>
            </w:tcMar>
            <w:vAlign w:val="center"/>
          </w:tcPr>
          <w:p w14:paraId="2BF32719" w14:textId="77777777" w:rsidR="00FD1900" w:rsidRPr="006E3A0F" w:rsidRDefault="00FD1900" w:rsidP="0053282B">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Q22_0419_02</w:t>
            </w:r>
            <w:r w:rsidRPr="006E3A0F">
              <w:rPr>
                <w:rStyle w:val="eop"/>
                <w:sz w:val="20"/>
                <w:szCs w:val="20"/>
              </w:rPr>
              <w:t> </w:t>
            </w:r>
          </w:p>
          <w:p w14:paraId="2A2FB683" w14:textId="77777777" w:rsidR="00FD1900" w:rsidRPr="006E3A0F" w:rsidRDefault="00FD1900" w:rsidP="0053282B">
            <w:pPr>
              <w:pStyle w:val="paragraph"/>
              <w:spacing w:before="0" w:beforeAutospacing="0" w:after="0" w:afterAutospacing="0"/>
              <w:textAlignment w:val="baseline"/>
              <w:rPr>
                <w:sz w:val="20"/>
                <w:szCs w:val="20"/>
              </w:rPr>
            </w:pPr>
            <w:r w:rsidRPr="006E3A0F">
              <w:rPr>
                <w:rStyle w:val="normaltextrun"/>
                <w:sz w:val="20"/>
                <w:szCs w:val="20"/>
              </w:rPr>
              <w:t>If we apply and receive project-based vouchers through DCA's request for proposals due on May 5th - can those be used to claim points in the 2022 9% competitive round? </w:t>
            </w:r>
            <w:r w:rsidRPr="006E3A0F">
              <w:rPr>
                <w:rStyle w:val="eop"/>
                <w:sz w:val="20"/>
                <w:szCs w:val="20"/>
              </w:rPr>
              <w:t> </w:t>
            </w:r>
          </w:p>
          <w:p w14:paraId="03797D8F" w14:textId="77777777" w:rsidR="00FD1900" w:rsidRPr="006E3A0F" w:rsidRDefault="00FD1900" w:rsidP="0053282B">
            <w:pPr>
              <w:pStyle w:val="paragraph"/>
              <w:spacing w:before="0" w:beforeAutospacing="0" w:after="0" w:afterAutospacing="0"/>
              <w:textAlignment w:val="baseline"/>
              <w:rPr>
                <w:sz w:val="20"/>
                <w:szCs w:val="20"/>
              </w:rPr>
            </w:pPr>
            <w:r w:rsidRPr="006E3A0F">
              <w:rPr>
                <w:rStyle w:val="eop"/>
                <w:sz w:val="20"/>
                <w:szCs w:val="20"/>
              </w:rPr>
              <w:t> </w:t>
            </w:r>
          </w:p>
          <w:p w14:paraId="66D292BD" w14:textId="77777777" w:rsidR="00FD1900" w:rsidRPr="006E3A0F" w:rsidRDefault="00FD1900" w:rsidP="0053282B">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 </w:t>
            </w:r>
            <w:r w:rsidRPr="006E3A0F">
              <w:rPr>
                <w:rStyle w:val="eop"/>
                <w:sz w:val="20"/>
                <w:szCs w:val="20"/>
              </w:rPr>
              <w:t> </w:t>
            </w:r>
          </w:p>
          <w:p w14:paraId="37545AEA" w14:textId="77777777" w:rsidR="00FD1900" w:rsidRPr="006E3A0F" w:rsidRDefault="00FD1900" w:rsidP="0053282B">
            <w:pPr>
              <w:pStyle w:val="paragraph"/>
              <w:spacing w:before="0" w:beforeAutospacing="0" w:after="0" w:afterAutospacing="0"/>
              <w:textAlignment w:val="baseline"/>
              <w:rPr>
                <w:sz w:val="20"/>
                <w:szCs w:val="20"/>
              </w:rPr>
            </w:pPr>
            <w:r w:rsidRPr="006E3A0F">
              <w:rPr>
                <w:rStyle w:val="normaltextrun"/>
                <w:sz w:val="20"/>
                <w:szCs w:val="20"/>
              </w:rPr>
              <w:t xml:space="preserve">DCA-awarded PBRA will not be treated any differently than non-DCA PBRA. Per </w:t>
            </w:r>
            <w:r w:rsidRPr="006E3A0F">
              <w:rPr>
                <w:rStyle w:val="normaltextrun"/>
                <w:b/>
                <w:bCs/>
                <w:sz w:val="20"/>
                <w:szCs w:val="20"/>
              </w:rPr>
              <w:t>(Threshold Criteria) Project Feasibility</w:t>
            </w:r>
            <w:r w:rsidRPr="006E3A0F">
              <w:rPr>
                <w:rStyle w:val="normaltextrun"/>
                <w:sz w:val="20"/>
                <w:szCs w:val="20"/>
              </w:rPr>
              <w:t xml:space="preserve">, subsection </w:t>
            </w:r>
            <w:r w:rsidRPr="006E3A0F">
              <w:rPr>
                <w:rStyle w:val="normaltextrun"/>
                <w:b/>
                <w:bCs/>
                <w:sz w:val="20"/>
                <w:szCs w:val="20"/>
              </w:rPr>
              <w:t xml:space="preserve">11. </w:t>
            </w:r>
            <w:proofErr w:type="gramStart"/>
            <w:r w:rsidRPr="006E3A0F">
              <w:rPr>
                <w:rStyle w:val="contextualspellingandgrammarerror"/>
                <w:rFonts w:eastAsiaTheme="majorEastAsia"/>
                <w:b/>
                <w:bCs/>
                <w:sz w:val="20"/>
                <w:szCs w:val="20"/>
              </w:rPr>
              <w:t>Commitments</w:t>
            </w:r>
            <w:r w:rsidRPr="006E3A0F">
              <w:rPr>
                <w:rStyle w:val="contextualspellingandgrammarerror"/>
                <w:rFonts w:eastAsiaTheme="majorEastAsia"/>
                <w:sz w:val="20"/>
                <w:szCs w:val="20"/>
              </w:rPr>
              <w:t>,</w:t>
            </w:r>
            <w:proofErr w:type="gramEnd"/>
            <w:r w:rsidRPr="006E3A0F">
              <w:rPr>
                <w:rStyle w:val="normaltextrun"/>
                <w:sz w:val="20"/>
                <w:szCs w:val="20"/>
              </w:rPr>
              <w:t xml:space="preserve"> competitively awarded PBRA would need to be secured by the Alternate Financing Deadline (July 21, 2022). If DCA’s award notice comes after July 21, then that is too late for the DCA PBRA to be considered for purposes of 9% Competitive Round review. </w:t>
            </w:r>
            <w:r w:rsidRPr="006E3A0F">
              <w:rPr>
                <w:rStyle w:val="eop"/>
                <w:sz w:val="20"/>
                <w:szCs w:val="20"/>
              </w:rPr>
              <w:t> </w:t>
            </w:r>
          </w:p>
          <w:p w14:paraId="3A309F52" w14:textId="77777777" w:rsidR="00FD1900" w:rsidRPr="006E3A0F" w:rsidRDefault="00FD1900" w:rsidP="0053282B">
            <w:pPr>
              <w:pStyle w:val="paragraph"/>
              <w:spacing w:before="0" w:beforeAutospacing="0" w:after="0" w:afterAutospacing="0"/>
              <w:textAlignment w:val="baseline"/>
              <w:rPr>
                <w:sz w:val="20"/>
                <w:szCs w:val="20"/>
              </w:rPr>
            </w:pPr>
            <w:r w:rsidRPr="006E3A0F">
              <w:rPr>
                <w:rStyle w:val="eop"/>
                <w:sz w:val="20"/>
                <w:szCs w:val="20"/>
              </w:rPr>
              <w:t> </w:t>
            </w:r>
          </w:p>
          <w:p w14:paraId="765CDE3C" w14:textId="77777777" w:rsidR="00FD1900" w:rsidRPr="006E3A0F" w:rsidRDefault="00FD1900" w:rsidP="0053282B">
            <w:pPr>
              <w:pStyle w:val="paragraph"/>
              <w:spacing w:before="0" w:beforeAutospacing="0" w:after="0" w:afterAutospacing="0"/>
              <w:textAlignment w:val="baseline"/>
              <w:rPr>
                <w:sz w:val="20"/>
                <w:szCs w:val="20"/>
              </w:rPr>
            </w:pPr>
            <w:r w:rsidRPr="006E3A0F">
              <w:rPr>
                <w:rStyle w:val="normaltextrun"/>
                <w:sz w:val="20"/>
                <w:szCs w:val="20"/>
              </w:rPr>
              <w:t>In the absence of a finalized PBRA commitment after the Alternate Financing Deadline, DCA staff will underwrite the application based on the information provided in the application, the lower of:</w:t>
            </w:r>
            <w:r w:rsidRPr="006E3A0F">
              <w:rPr>
                <w:rStyle w:val="scxw124215723"/>
                <w:sz w:val="20"/>
                <w:szCs w:val="20"/>
              </w:rPr>
              <w:t> </w:t>
            </w:r>
            <w:r w:rsidRPr="006E3A0F">
              <w:rPr>
                <w:sz w:val="20"/>
                <w:szCs w:val="20"/>
              </w:rPr>
              <w:br/>
            </w:r>
            <w:r w:rsidRPr="006E3A0F">
              <w:rPr>
                <w:rStyle w:val="eop"/>
                <w:sz w:val="20"/>
                <w:szCs w:val="20"/>
              </w:rPr>
              <w:t> </w:t>
            </w:r>
          </w:p>
          <w:p w14:paraId="63C68EA5" w14:textId="77777777" w:rsidR="00FD1900" w:rsidRPr="006E3A0F" w:rsidRDefault="00FD1900" w:rsidP="0053282B">
            <w:pPr>
              <w:pStyle w:val="paragraph"/>
              <w:numPr>
                <w:ilvl w:val="0"/>
                <w:numId w:val="44"/>
              </w:numPr>
              <w:spacing w:before="0" w:beforeAutospacing="0" w:after="0" w:afterAutospacing="0"/>
              <w:ind w:left="1125" w:firstLine="0"/>
              <w:textAlignment w:val="baseline"/>
              <w:rPr>
                <w:sz w:val="20"/>
                <w:szCs w:val="20"/>
              </w:rPr>
            </w:pPr>
            <w:r w:rsidRPr="006E3A0F">
              <w:rPr>
                <w:rStyle w:val="normaltextrun"/>
                <w:sz w:val="20"/>
                <w:szCs w:val="20"/>
              </w:rPr>
              <w:t>Achievable market rents (from the market study) </w:t>
            </w:r>
            <w:r w:rsidRPr="006E3A0F">
              <w:rPr>
                <w:rStyle w:val="eop"/>
                <w:sz w:val="20"/>
                <w:szCs w:val="20"/>
              </w:rPr>
              <w:t> </w:t>
            </w:r>
          </w:p>
          <w:p w14:paraId="535B2AAE" w14:textId="77777777" w:rsidR="00FD1900" w:rsidRPr="006E3A0F" w:rsidRDefault="00FD1900" w:rsidP="002E5CCF">
            <w:pPr>
              <w:pStyle w:val="paragraph"/>
              <w:numPr>
                <w:ilvl w:val="0"/>
                <w:numId w:val="44"/>
              </w:numPr>
              <w:spacing w:before="0" w:beforeAutospacing="0" w:after="0" w:afterAutospacing="0"/>
              <w:ind w:left="1125" w:firstLine="0"/>
              <w:textAlignment w:val="baseline"/>
              <w:rPr>
                <w:rStyle w:val="normaltextrun"/>
                <w:sz w:val="20"/>
                <w:szCs w:val="20"/>
              </w:rPr>
            </w:pPr>
            <w:r w:rsidRPr="006E3A0F">
              <w:rPr>
                <w:rStyle w:val="normaltextrun"/>
                <w:sz w:val="20"/>
                <w:szCs w:val="20"/>
              </w:rPr>
              <w:t>The rent limit based on the unit’s restriction designation</w:t>
            </w:r>
          </w:p>
        </w:tc>
      </w:tr>
      <w:tr w:rsidR="00FD1900" w:rsidRPr="006E3A0F" w14:paraId="2D8B9A0E" w14:textId="77777777" w:rsidTr="1995616E">
        <w:trPr>
          <w:jc w:val="center"/>
        </w:trPr>
        <w:tc>
          <w:tcPr>
            <w:tcW w:w="2157" w:type="dxa"/>
            <w:shd w:val="clear" w:color="auto" w:fill="auto"/>
            <w:tcMar>
              <w:top w:w="72" w:type="dxa"/>
              <w:left w:w="115" w:type="dxa"/>
              <w:bottom w:w="72" w:type="dxa"/>
              <w:right w:w="115" w:type="dxa"/>
            </w:tcMar>
            <w:vAlign w:val="center"/>
          </w:tcPr>
          <w:p w14:paraId="55C5F998"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5/6/22</w:t>
            </w:r>
          </w:p>
        </w:tc>
        <w:tc>
          <w:tcPr>
            <w:tcW w:w="2198" w:type="dxa"/>
            <w:shd w:val="clear" w:color="auto" w:fill="auto"/>
            <w:tcMar>
              <w:top w:w="72" w:type="dxa"/>
              <w:left w:w="115" w:type="dxa"/>
              <w:bottom w:w="72" w:type="dxa"/>
              <w:right w:w="115" w:type="dxa"/>
            </w:tcMar>
            <w:vAlign w:val="center"/>
          </w:tcPr>
          <w:p w14:paraId="27050F04"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2.06</w:t>
            </w:r>
          </w:p>
          <w:p w14:paraId="081DDB48"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7C720FED"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Appraisals</w:t>
            </w:r>
          </w:p>
        </w:tc>
        <w:tc>
          <w:tcPr>
            <w:tcW w:w="9590" w:type="dxa"/>
            <w:shd w:val="clear" w:color="auto" w:fill="auto"/>
            <w:tcMar>
              <w:top w:w="72" w:type="dxa"/>
              <w:left w:w="115" w:type="dxa"/>
              <w:bottom w:w="72" w:type="dxa"/>
              <w:right w:w="115" w:type="dxa"/>
            </w:tcMar>
            <w:vAlign w:val="center"/>
          </w:tcPr>
          <w:p w14:paraId="3ED9EED5" w14:textId="77777777" w:rsidR="00FD1900" w:rsidRPr="006E3A0F" w:rsidRDefault="00FD1900" w:rsidP="00F059EC">
            <w:pPr>
              <w:contextualSpacing/>
              <w:rPr>
                <w:rFonts w:ascii="Times New Roman" w:hAnsi="Times New Roman" w:cs="Times New Roman"/>
                <w:sz w:val="20"/>
                <w:szCs w:val="20"/>
              </w:rPr>
            </w:pPr>
            <w:r w:rsidRPr="006E3A0F">
              <w:rPr>
                <w:rFonts w:ascii="Times New Roman" w:hAnsi="Times New Roman" w:cs="Times New Roman"/>
                <w:b/>
                <w:bCs/>
                <w:sz w:val="20"/>
                <w:szCs w:val="20"/>
              </w:rPr>
              <w:t>Question</w:t>
            </w:r>
            <w:r w:rsidRPr="006E3A0F">
              <w:rPr>
                <w:rFonts w:ascii="Times New Roman" w:hAnsi="Times New Roman" w:cs="Times New Roman"/>
                <w:sz w:val="20"/>
                <w:szCs w:val="20"/>
              </w:rPr>
              <w:t>: Q22_0422_01</w:t>
            </w:r>
          </w:p>
          <w:p w14:paraId="49AC4568" w14:textId="77777777" w:rsidR="00FD1900" w:rsidRPr="006E3A0F" w:rsidRDefault="00FD1900" w:rsidP="00F059EC">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For our proposed project, the Applicant will enter into an Option for a Ground Lease at a nominal value with the local housing authority, which owns the land and will also serve as one of the General Partners and developers in the project. Although there is an identity-of-interest, the ground lease will be conveyed at a nominal value, so in previous years DCA has not required an appraisal to justify the land value. Could DCA please confirm that this still holds true for 2022? </w:t>
            </w:r>
          </w:p>
          <w:p w14:paraId="70EF936D" w14:textId="77777777" w:rsidR="00FD1900" w:rsidRPr="006E3A0F" w:rsidRDefault="00FD1900" w:rsidP="00F059EC">
            <w:pPr>
              <w:contextualSpacing/>
              <w:rPr>
                <w:rFonts w:ascii="Times New Roman" w:hAnsi="Times New Roman" w:cs="Times New Roman"/>
                <w:sz w:val="20"/>
                <w:szCs w:val="20"/>
              </w:rPr>
            </w:pPr>
          </w:p>
          <w:p w14:paraId="31F7A4F9" w14:textId="77777777" w:rsidR="00FD1900" w:rsidRPr="006E3A0F" w:rsidRDefault="00FD1900" w:rsidP="00F059EC">
            <w:pPr>
              <w:contextualSpacing/>
              <w:rPr>
                <w:rFonts w:ascii="Times New Roman" w:hAnsi="Times New Roman" w:cs="Times New Roman"/>
                <w:sz w:val="20"/>
                <w:szCs w:val="20"/>
              </w:rPr>
            </w:pPr>
            <w:r w:rsidRPr="006E3A0F">
              <w:rPr>
                <w:rFonts w:ascii="Times New Roman" w:hAnsi="Times New Roman" w:cs="Times New Roman"/>
                <w:b/>
                <w:bCs/>
                <w:sz w:val="20"/>
                <w:szCs w:val="20"/>
              </w:rPr>
              <w:t>Answer</w:t>
            </w:r>
            <w:r w:rsidRPr="006E3A0F">
              <w:rPr>
                <w:rFonts w:ascii="Times New Roman" w:hAnsi="Times New Roman" w:cs="Times New Roman"/>
                <w:sz w:val="20"/>
                <w:szCs w:val="20"/>
              </w:rPr>
              <w:t xml:space="preserve">: </w:t>
            </w:r>
          </w:p>
          <w:p w14:paraId="0480BF59" w14:textId="77777777" w:rsidR="00FD1900" w:rsidRPr="006E3A0F" w:rsidRDefault="00FD1900" w:rsidP="00F059EC">
            <w:pPr>
              <w:rPr>
                <w:rFonts w:ascii="Times New Roman" w:hAnsi="Times New Roman" w:cs="Times New Roman"/>
                <w:sz w:val="20"/>
                <w:szCs w:val="20"/>
              </w:rPr>
            </w:pPr>
            <w:r w:rsidRPr="006E3A0F">
              <w:rPr>
                <w:rFonts w:ascii="Times New Roman" w:hAnsi="Times New Roman" w:cs="Times New Roman"/>
                <w:sz w:val="20"/>
                <w:szCs w:val="20"/>
              </w:rPr>
              <w:t>The 2022 Appraisal Manual states (</w:t>
            </w:r>
            <w:hyperlink r:id="rId18" w:history="1">
              <w:r w:rsidRPr="006E3A0F">
                <w:rPr>
                  <w:rStyle w:val="Hyperlink"/>
                  <w:rFonts w:ascii="Times New Roman" w:hAnsi="Times New Roman" w:cs="Times New Roman"/>
                  <w:color w:val="auto"/>
                  <w:sz w:val="20"/>
                  <w:szCs w:val="20"/>
                </w:rPr>
                <w:t>click here</w:t>
              </w:r>
            </w:hyperlink>
            <w:r w:rsidRPr="006E3A0F">
              <w:rPr>
                <w:rFonts w:ascii="Times New Roman" w:hAnsi="Times New Roman" w:cs="Times New Roman"/>
                <w:sz w:val="20"/>
                <w:szCs w:val="20"/>
              </w:rPr>
              <w:t>):</w:t>
            </w:r>
          </w:p>
          <w:p w14:paraId="5A397978" w14:textId="77777777" w:rsidR="00FD1900" w:rsidRPr="006E3A0F" w:rsidRDefault="00FD1900" w:rsidP="00F059EC">
            <w:pPr>
              <w:rPr>
                <w:rFonts w:ascii="Times New Roman" w:hAnsi="Times New Roman" w:cs="Times New Roman"/>
                <w:sz w:val="20"/>
                <w:szCs w:val="20"/>
              </w:rPr>
            </w:pPr>
          </w:p>
          <w:p w14:paraId="69F5DD03" w14:textId="77777777" w:rsidR="00FD1900" w:rsidRPr="006E3A0F" w:rsidRDefault="00FD1900" w:rsidP="00F059EC">
            <w:pPr>
              <w:ind w:left="720"/>
              <w:rPr>
                <w:rFonts w:ascii="Times New Roman" w:eastAsia="Calibri" w:hAnsi="Times New Roman" w:cs="Times New Roman"/>
                <w:i/>
                <w:iCs/>
                <w:sz w:val="20"/>
                <w:szCs w:val="20"/>
              </w:rPr>
            </w:pPr>
            <w:r w:rsidRPr="006E3A0F">
              <w:rPr>
                <w:rFonts w:ascii="Times New Roman" w:hAnsi="Times New Roman" w:cs="Times New Roman"/>
                <w:i/>
                <w:iCs/>
                <w:sz w:val="20"/>
                <w:szCs w:val="20"/>
              </w:rPr>
              <w:t>“</w:t>
            </w:r>
            <w:r w:rsidRPr="006E3A0F">
              <w:rPr>
                <w:rFonts w:ascii="Times New Roman" w:eastAsia="Calibri" w:hAnsi="Times New Roman" w:cs="Times New Roman"/>
                <w:i/>
                <w:iCs/>
                <w:sz w:val="20"/>
                <w:szCs w:val="20"/>
              </w:rPr>
              <w:t>Land values are required for all appraisals except when a ground lease will be in place and the rent will be a nominal amount of $100 or less. If there is an upfront payment, the land value will be required.”</w:t>
            </w:r>
          </w:p>
          <w:p w14:paraId="182CB5ED" w14:textId="77777777" w:rsidR="00FD1900" w:rsidRPr="006E3A0F" w:rsidRDefault="00FD1900" w:rsidP="00F059EC">
            <w:pPr>
              <w:ind w:left="720"/>
              <w:rPr>
                <w:rFonts w:ascii="Times New Roman" w:eastAsia="Calibri" w:hAnsi="Times New Roman" w:cs="Times New Roman"/>
                <w:i/>
                <w:iCs/>
                <w:sz w:val="20"/>
                <w:szCs w:val="20"/>
              </w:rPr>
            </w:pPr>
          </w:p>
          <w:p w14:paraId="064C05EA" w14:textId="77777777" w:rsidR="00FD1900" w:rsidRPr="006E3A0F" w:rsidRDefault="00FD1900" w:rsidP="00F059EC">
            <w:pPr>
              <w:rPr>
                <w:rStyle w:val="normaltextrun"/>
                <w:rFonts w:ascii="Times New Roman" w:eastAsia="Calibri" w:hAnsi="Times New Roman" w:cs="Times New Roman"/>
                <w:i/>
                <w:iCs/>
                <w:sz w:val="20"/>
                <w:szCs w:val="20"/>
              </w:rPr>
            </w:pPr>
            <w:r w:rsidRPr="006E3A0F">
              <w:rPr>
                <w:rFonts w:ascii="Times New Roman" w:eastAsia="Calibri" w:hAnsi="Times New Roman" w:cs="Times New Roman"/>
                <w:sz w:val="20"/>
                <w:szCs w:val="20"/>
              </w:rPr>
              <w:t xml:space="preserve">DCA will not require an appraisal to justify the land value where a ground lease will be in place and the rent will be $100 or less. Also please note that if the ground lease is structured such that a large upfront payment is required, then it will be considered similar to acquisition and an appraisal will be required. Applications without an appraisal that include an upfront payment greater than the nominal amount may fail </w:t>
            </w:r>
            <w:r w:rsidRPr="006E3A0F">
              <w:rPr>
                <w:rFonts w:ascii="Times New Roman" w:eastAsia="Calibri" w:hAnsi="Times New Roman" w:cs="Times New Roman"/>
                <w:b/>
                <w:bCs/>
                <w:sz w:val="20"/>
                <w:szCs w:val="20"/>
              </w:rPr>
              <w:t>(Threshold Criteria) Appraisals</w:t>
            </w:r>
            <w:r w:rsidRPr="006E3A0F">
              <w:rPr>
                <w:rFonts w:ascii="Times New Roman" w:eastAsia="Calibri" w:hAnsi="Times New Roman" w:cs="Times New Roman"/>
                <w:sz w:val="20"/>
                <w:szCs w:val="20"/>
              </w:rPr>
              <w:t>.</w:t>
            </w:r>
          </w:p>
        </w:tc>
      </w:tr>
      <w:tr w:rsidR="00FD1900" w:rsidRPr="006E3A0F" w14:paraId="46A48412" w14:textId="77777777" w:rsidTr="1995616E">
        <w:trPr>
          <w:jc w:val="center"/>
        </w:trPr>
        <w:tc>
          <w:tcPr>
            <w:tcW w:w="2157" w:type="dxa"/>
            <w:shd w:val="clear" w:color="auto" w:fill="auto"/>
            <w:tcMar>
              <w:top w:w="72" w:type="dxa"/>
              <w:left w:w="115" w:type="dxa"/>
              <w:bottom w:w="72" w:type="dxa"/>
              <w:right w:w="115" w:type="dxa"/>
            </w:tcMar>
            <w:vAlign w:val="center"/>
          </w:tcPr>
          <w:p w14:paraId="5FA1DFD4"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5/6/22</w:t>
            </w:r>
          </w:p>
        </w:tc>
        <w:tc>
          <w:tcPr>
            <w:tcW w:w="2198" w:type="dxa"/>
            <w:shd w:val="clear" w:color="auto" w:fill="auto"/>
            <w:tcMar>
              <w:top w:w="72" w:type="dxa"/>
              <w:left w:w="115" w:type="dxa"/>
              <w:bottom w:w="72" w:type="dxa"/>
              <w:right w:w="115" w:type="dxa"/>
            </w:tcMar>
            <w:vAlign w:val="center"/>
          </w:tcPr>
          <w:p w14:paraId="6014B290"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2.15</w:t>
            </w:r>
          </w:p>
          <w:p w14:paraId="15132365"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1A418E72"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Rehabilitation Standards</w:t>
            </w:r>
          </w:p>
        </w:tc>
        <w:tc>
          <w:tcPr>
            <w:tcW w:w="9590" w:type="dxa"/>
            <w:shd w:val="clear" w:color="auto" w:fill="auto"/>
            <w:tcMar>
              <w:top w:w="72" w:type="dxa"/>
              <w:left w:w="115" w:type="dxa"/>
              <w:bottom w:w="72" w:type="dxa"/>
              <w:right w:w="115" w:type="dxa"/>
            </w:tcMar>
            <w:vAlign w:val="center"/>
          </w:tcPr>
          <w:p w14:paraId="60025A18" w14:textId="77777777" w:rsidR="00FD1900" w:rsidRPr="006E3A0F" w:rsidRDefault="00FD1900" w:rsidP="00677A81">
            <w:pPr>
              <w:pStyle w:val="paragraph"/>
              <w:spacing w:before="0" w:beforeAutospacing="0" w:after="0" w:afterAutospacing="0"/>
              <w:textAlignment w:val="baseline"/>
              <w:rPr>
                <w:rStyle w:val="normaltextrun"/>
                <w:sz w:val="20"/>
                <w:szCs w:val="20"/>
              </w:rPr>
            </w:pPr>
            <w:r w:rsidRPr="006E3A0F">
              <w:rPr>
                <w:rStyle w:val="normaltextrun"/>
                <w:b/>
                <w:bCs/>
                <w:sz w:val="20"/>
                <w:szCs w:val="20"/>
              </w:rPr>
              <w:t>Question</w:t>
            </w:r>
            <w:r w:rsidRPr="006E3A0F">
              <w:rPr>
                <w:rStyle w:val="normaltextrun"/>
                <w:sz w:val="20"/>
                <w:szCs w:val="20"/>
              </w:rPr>
              <w:t>: Q22_0414_01</w:t>
            </w:r>
          </w:p>
          <w:p w14:paraId="55472AC7" w14:textId="77777777" w:rsidR="00FD1900" w:rsidRPr="006E3A0F" w:rsidRDefault="00FD1900" w:rsidP="00677A81">
            <w:pPr>
              <w:pStyle w:val="paragraph"/>
              <w:spacing w:before="0" w:beforeAutospacing="0" w:after="0" w:afterAutospacing="0"/>
              <w:textAlignment w:val="baseline"/>
              <w:rPr>
                <w:rStyle w:val="normaltextrun"/>
                <w:sz w:val="20"/>
                <w:szCs w:val="20"/>
              </w:rPr>
            </w:pPr>
            <w:r w:rsidRPr="006E3A0F">
              <w:rPr>
                <w:rStyle w:val="normaltextrun"/>
                <w:sz w:val="20"/>
                <w:szCs w:val="20"/>
              </w:rPr>
              <w:t>The 2021 Application Tabs Checklist included an item for "Architect Rehab Work Scope Certification Statement" in the Rehab Standards Tab. Will this be included in the 2022 Application Tabs Checklist for submittal with the Tax Credit Application?  If so, is there a form document that the applicant should use, or should the project architect simply draft his own statement on his own letterhead indicating review of the Work Scope?</w:t>
            </w:r>
          </w:p>
          <w:p w14:paraId="2640E8E4" w14:textId="77777777" w:rsidR="00FD1900" w:rsidRPr="006E3A0F" w:rsidRDefault="00FD1900" w:rsidP="00677A81">
            <w:pPr>
              <w:pStyle w:val="paragraph"/>
              <w:spacing w:before="0" w:beforeAutospacing="0" w:after="0" w:afterAutospacing="0"/>
              <w:textAlignment w:val="baseline"/>
              <w:rPr>
                <w:rStyle w:val="normaltextrun"/>
                <w:sz w:val="20"/>
                <w:szCs w:val="20"/>
              </w:rPr>
            </w:pPr>
          </w:p>
          <w:p w14:paraId="23332914" w14:textId="77777777" w:rsidR="00FD1900" w:rsidRPr="006E3A0F" w:rsidRDefault="00FD1900" w:rsidP="00677A81">
            <w:pPr>
              <w:pStyle w:val="paragraph"/>
              <w:spacing w:before="0" w:beforeAutospacing="0" w:after="0" w:afterAutospacing="0"/>
              <w:textAlignment w:val="baseline"/>
              <w:rPr>
                <w:rStyle w:val="normaltextrun"/>
                <w:sz w:val="20"/>
                <w:szCs w:val="20"/>
              </w:rPr>
            </w:pPr>
            <w:r w:rsidRPr="006E3A0F">
              <w:rPr>
                <w:rStyle w:val="normaltextrun"/>
                <w:b/>
                <w:bCs/>
                <w:sz w:val="20"/>
                <w:szCs w:val="20"/>
              </w:rPr>
              <w:t>Answer</w:t>
            </w:r>
            <w:r w:rsidRPr="006E3A0F">
              <w:rPr>
                <w:rStyle w:val="normaltextrun"/>
                <w:sz w:val="20"/>
                <w:szCs w:val="20"/>
              </w:rPr>
              <w:t xml:space="preserve">: </w:t>
            </w:r>
          </w:p>
          <w:p w14:paraId="7CBBAB38" w14:textId="77777777" w:rsidR="00FD1900" w:rsidRPr="006E3A0F" w:rsidRDefault="00FD1900" w:rsidP="00677A81">
            <w:pPr>
              <w:pStyle w:val="paragraph"/>
              <w:spacing w:before="0" w:beforeAutospacing="0" w:after="0" w:afterAutospacing="0"/>
              <w:textAlignment w:val="baseline"/>
              <w:rPr>
                <w:rStyle w:val="normaltextrun"/>
                <w:b/>
                <w:bCs/>
                <w:sz w:val="20"/>
                <w:szCs w:val="20"/>
              </w:rPr>
            </w:pPr>
            <w:r w:rsidRPr="006E3A0F">
              <w:rPr>
                <w:rStyle w:val="normaltextrun"/>
                <w:sz w:val="20"/>
                <w:szCs w:val="20"/>
              </w:rPr>
              <w:t xml:space="preserve">Yes, the Architect Rehab Work Scope Certification Statement is a Minimum Document under </w:t>
            </w:r>
            <w:r w:rsidRPr="006E3A0F">
              <w:rPr>
                <w:rStyle w:val="normaltextrun"/>
                <w:b/>
                <w:bCs/>
                <w:sz w:val="20"/>
                <w:szCs w:val="20"/>
              </w:rPr>
              <w:t>(Threshold Criteria) Rehabilitation Standards</w:t>
            </w:r>
            <w:r w:rsidRPr="006E3A0F">
              <w:rPr>
                <w:rStyle w:val="normaltextrun"/>
                <w:sz w:val="20"/>
                <w:szCs w:val="20"/>
              </w:rPr>
              <w:t xml:space="preserve"> and is included in the 2022 Application Tabs Checklist for submittal with the 2022 application. At this time, DCA does not have an official form or document for the applicant to use and requires the project Architect to draft his or her own statement on letterhead.</w:t>
            </w:r>
          </w:p>
        </w:tc>
      </w:tr>
      <w:tr w:rsidR="00FD1900" w:rsidRPr="006E3A0F" w14:paraId="083A2B42" w14:textId="77777777" w:rsidTr="1995616E">
        <w:trPr>
          <w:jc w:val="center"/>
        </w:trPr>
        <w:tc>
          <w:tcPr>
            <w:tcW w:w="2157" w:type="dxa"/>
            <w:shd w:val="clear" w:color="auto" w:fill="auto"/>
            <w:tcMar>
              <w:top w:w="72" w:type="dxa"/>
              <w:left w:w="115" w:type="dxa"/>
              <w:bottom w:w="72" w:type="dxa"/>
              <w:right w:w="115" w:type="dxa"/>
            </w:tcMar>
            <w:vAlign w:val="center"/>
          </w:tcPr>
          <w:p w14:paraId="306B82C7"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5/6/22</w:t>
            </w:r>
          </w:p>
        </w:tc>
        <w:tc>
          <w:tcPr>
            <w:tcW w:w="2198" w:type="dxa"/>
            <w:shd w:val="clear" w:color="auto" w:fill="auto"/>
            <w:tcMar>
              <w:top w:w="72" w:type="dxa"/>
              <w:left w:w="115" w:type="dxa"/>
              <w:bottom w:w="72" w:type="dxa"/>
              <w:right w:w="115" w:type="dxa"/>
            </w:tcMar>
            <w:vAlign w:val="center"/>
          </w:tcPr>
          <w:p w14:paraId="2784D6C6"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3.05</w:t>
            </w:r>
          </w:p>
          <w:p w14:paraId="2E303289"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0A0F8BFD"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117A10B3" w14:textId="77777777" w:rsidR="00FD1900" w:rsidRPr="006E3A0F" w:rsidRDefault="00FD1900" w:rsidP="001128EA">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Q22_0426_01 </w:t>
            </w:r>
          </w:p>
          <w:p w14:paraId="12DF67D1" w14:textId="77777777" w:rsidR="00FD1900" w:rsidRPr="006E3A0F" w:rsidRDefault="00FD1900" w:rsidP="001128EA">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Per the instructions on the 2022 Desirable/Undesirable Cert it is required for all submissions. However, per the 2022 QAP, Preservation does not require the Desirable/Undesirable section to be scored.  Please advise if this form needs to be completed for the 9% Preservation application. </w:t>
            </w:r>
          </w:p>
          <w:p w14:paraId="1F9E66AA" w14:textId="77777777" w:rsidR="00FD1900" w:rsidRPr="006E3A0F" w:rsidRDefault="00FD1900" w:rsidP="001128EA">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1AD541E8" w14:textId="77777777" w:rsidR="00FD1900" w:rsidRPr="006E3A0F" w:rsidRDefault="00FD1900" w:rsidP="001128EA">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024E12F6" w14:textId="77777777" w:rsidR="00FD1900" w:rsidRPr="006E3A0F" w:rsidRDefault="00FD1900" w:rsidP="001128EA">
            <w:pPr>
              <w:textAlignment w:val="baseline"/>
              <w:rPr>
                <w:rStyle w:val="normaltextrun"/>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The QAP guidance in </w:t>
            </w:r>
            <w:r w:rsidRPr="006E3A0F">
              <w:rPr>
                <w:rFonts w:ascii="Times New Roman" w:eastAsia="Times New Roman" w:hAnsi="Times New Roman" w:cs="Times New Roman"/>
                <w:b/>
                <w:bCs/>
                <w:sz w:val="20"/>
                <w:szCs w:val="20"/>
              </w:rPr>
              <w:t xml:space="preserve">(Scoring Criteria) Applicability of Scoring Criteria </w:t>
            </w:r>
            <w:r w:rsidRPr="006E3A0F">
              <w:rPr>
                <w:rFonts w:ascii="Times New Roman" w:eastAsia="Times New Roman" w:hAnsi="Times New Roman" w:cs="Times New Roman"/>
                <w:sz w:val="20"/>
                <w:szCs w:val="20"/>
              </w:rPr>
              <w:t xml:space="preserve">that this form is not needed except for those applications seeking points under </w:t>
            </w:r>
            <w:r w:rsidRPr="006E3A0F">
              <w:rPr>
                <w:rFonts w:ascii="Times New Roman" w:eastAsia="Times New Roman" w:hAnsi="Times New Roman" w:cs="Times New Roman"/>
                <w:b/>
                <w:bCs/>
                <w:sz w:val="20"/>
                <w:szCs w:val="20"/>
              </w:rPr>
              <w:t>(Scoring Criteria) Desirable Activities/Undesirable Activities</w:t>
            </w:r>
            <w:r w:rsidRPr="006E3A0F">
              <w:rPr>
                <w:rFonts w:ascii="Times New Roman" w:eastAsia="Times New Roman" w:hAnsi="Times New Roman" w:cs="Times New Roman"/>
                <w:sz w:val="20"/>
                <w:szCs w:val="20"/>
              </w:rPr>
              <w:t xml:space="preserve"> is correct. Applicants not claiming points in that section, including preservation applications, do not need to utilize this form.</w:t>
            </w:r>
          </w:p>
        </w:tc>
      </w:tr>
      <w:tr w:rsidR="00FD1900" w:rsidRPr="006E3A0F" w14:paraId="1E369BB1" w14:textId="77777777" w:rsidTr="1995616E">
        <w:trPr>
          <w:jc w:val="center"/>
        </w:trPr>
        <w:tc>
          <w:tcPr>
            <w:tcW w:w="2157" w:type="dxa"/>
            <w:shd w:val="clear" w:color="auto" w:fill="auto"/>
            <w:tcMar>
              <w:top w:w="72" w:type="dxa"/>
              <w:left w:w="115" w:type="dxa"/>
              <w:bottom w:w="72" w:type="dxa"/>
              <w:right w:w="115" w:type="dxa"/>
            </w:tcMar>
            <w:vAlign w:val="center"/>
          </w:tcPr>
          <w:p w14:paraId="3A9A25D2"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5/6/22</w:t>
            </w:r>
          </w:p>
        </w:tc>
        <w:tc>
          <w:tcPr>
            <w:tcW w:w="2198" w:type="dxa"/>
            <w:shd w:val="clear" w:color="auto" w:fill="auto"/>
            <w:tcMar>
              <w:top w:w="72" w:type="dxa"/>
              <w:left w:w="115" w:type="dxa"/>
              <w:bottom w:w="72" w:type="dxa"/>
              <w:right w:w="115" w:type="dxa"/>
            </w:tcMar>
            <w:vAlign w:val="center"/>
          </w:tcPr>
          <w:p w14:paraId="46A9C584"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3.18</w:t>
            </w:r>
          </w:p>
          <w:p w14:paraId="7A0B3A82"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1BD07A1A"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27E8E813" w14:textId="77777777" w:rsidR="00FD1900" w:rsidRPr="006E3A0F" w:rsidRDefault="00FD1900" w:rsidP="00073E59">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Q22_0412_02</w:t>
            </w:r>
            <w:r w:rsidRPr="006E3A0F">
              <w:rPr>
                <w:rStyle w:val="eop"/>
                <w:sz w:val="20"/>
                <w:szCs w:val="20"/>
              </w:rPr>
              <w:t> </w:t>
            </w:r>
          </w:p>
          <w:p w14:paraId="2D1BF652" w14:textId="77777777" w:rsidR="00FD1900" w:rsidRPr="006E3A0F" w:rsidRDefault="00FD1900" w:rsidP="00073E59">
            <w:pPr>
              <w:pStyle w:val="paragraph"/>
              <w:spacing w:before="0" w:beforeAutospacing="0" w:after="0" w:afterAutospacing="0"/>
              <w:textAlignment w:val="baseline"/>
              <w:rPr>
                <w:sz w:val="20"/>
                <w:szCs w:val="20"/>
              </w:rPr>
            </w:pPr>
            <w:r w:rsidRPr="006E3A0F">
              <w:rPr>
                <w:rStyle w:val="normaltextrun"/>
                <w:sz w:val="20"/>
                <w:szCs w:val="20"/>
              </w:rPr>
              <w:t>Appendix II (Scoring), Section XVIII (Enriched Property Services) - is there an essential advantage to electing Option A (Owner-Provided Services) over Option B (3rd Party Contractor), since the scoring is the same?</w:t>
            </w:r>
            <w:r w:rsidRPr="006E3A0F">
              <w:rPr>
                <w:rStyle w:val="eop"/>
                <w:sz w:val="20"/>
                <w:szCs w:val="20"/>
              </w:rPr>
              <w:t> </w:t>
            </w:r>
          </w:p>
          <w:p w14:paraId="24C58454" w14:textId="77777777" w:rsidR="00FD1900" w:rsidRPr="006E3A0F" w:rsidRDefault="00FD1900" w:rsidP="00073E59">
            <w:pPr>
              <w:pStyle w:val="paragraph"/>
              <w:spacing w:before="0" w:beforeAutospacing="0" w:after="0" w:afterAutospacing="0"/>
              <w:textAlignment w:val="baseline"/>
              <w:rPr>
                <w:sz w:val="20"/>
                <w:szCs w:val="20"/>
              </w:rPr>
            </w:pPr>
            <w:r w:rsidRPr="006E3A0F">
              <w:rPr>
                <w:rStyle w:val="eop"/>
                <w:sz w:val="20"/>
                <w:szCs w:val="20"/>
              </w:rPr>
              <w:t> </w:t>
            </w:r>
          </w:p>
          <w:p w14:paraId="48724A81" w14:textId="77777777" w:rsidR="00FD1900" w:rsidRPr="006E3A0F" w:rsidRDefault="00FD1900" w:rsidP="00073E59">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 </w:t>
            </w:r>
            <w:r w:rsidRPr="006E3A0F">
              <w:rPr>
                <w:rStyle w:val="eop"/>
                <w:sz w:val="20"/>
                <w:szCs w:val="20"/>
              </w:rPr>
              <w:t> </w:t>
            </w:r>
          </w:p>
          <w:p w14:paraId="63A11559" w14:textId="77777777" w:rsidR="00FD1900" w:rsidRPr="006E3A0F" w:rsidRDefault="00FD1900" w:rsidP="00073E59">
            <w:pPr>
              <w:pStyle w:val="paragraph"/>
              <w:spacing w:before="0" w:beforeAutospacing="0" w:after="0" w:afterAutospacing="0"/>
              <w:textAlignment w:val="baseline"/>
              <w:rPr>
                <w:sz w:val="20"/>
                <w:szCs w:val="20"/>
              </w:rPr>
            </w:pPr>
            <w:r w:rsidRPr="006E3A0F">
              <w:rPr>
                <w:rStyle w:val="normaltextrun"/>
                <w:sz w:val="20"/>
                <w:szCs w:val="20"/>
              </w:rPr>
              <w:t>Where there is a tie between applications, the second-level tiebreaker is “Application receives points under Scoring Criteria, Enriched Property Services, subsection A. Owner-provided Services.” </w:t>
            </w:r>
            <w:r w:rsidRPr="006E3A0F">
              <w:rPr>
                <w:rStyle w:val="eop"/>
                <w:sz w:val="20"/>
                <w:szCs w:val="20"/>
              </w:rPr>
              <w:t> </w:t>
            </w:r>
          </w:p>
          <w:p w14:paraId="35BCD30C" w14:textId="77777777" w:rsidR="00FD1900" w:rsidRPr="006E3A0F" w:rsidRDefault="00FD1900" w:rsidP="00073E59">
            <w:pPr>
              <w:pStyle w:val="paragraph"/>
              <w:spacing w:before="0" w:beforeAutospacing="0" w:after="0" w:afterAutospacing="0"/>
              <w:textAlignment w:val="baseline"/>
              <w:rPr>
                <w:sz w:val="20"/>
                <w:szCs w:val="20"/>
              </w:rPr>
            </w:pPr>
            <w:r w:rsidRPr="006E3A0F">
              <w:rPr>
                <w:rStyle w:val="eop"/>
                <w:sz w:val="20"/>
                <w:szCs w:val="20"/>
              </w:rPr>
              <w:t> </w:t>
            </w:r>
          </w:p>
          <w:p w14:paraId="27F9336D" w14:textId="77777777" w:rsidR="00FD1900" w:rsidRPr="006E3A0F" w:rsidRDefault="00FD1900" w:rsidP="002E5CCF">
            <w:pPr>
              <w:pStyle w:val="paragraph"/>
              <w:spacing w:before="0" w:beforeAutospacing="0" w:after="0" w:afterAutospacing="0"/>
              <w:textAlignment w:val="baseline"/>
              <w:rPr>
                <w:rStyle w:val="normaltextrun"/>
                <w:sz w:val="20"/>
                <w:szCs w:val="20"/>
              </w:rPr>
            </w:pPr>
            <w:r w:rsidRPr="006E3A0F">
              <w:rPr>
                <w:rStyle w:val="normaltextrun"/>
                <w:sz w:val="20"/>
                <w:szCs w:val="20"/>
              </w:rPr>
              <w:t xml:space="preserve">See </w:t>
            </w:r>
            <w:r w:rsidRPr="006E3A0F">
              <w:rPr>
                <w:rStyle w:val="normaltextrun"/>
                <w:b/>
                <w:bCs/>
                <w:sz w:val="20"/>
                <w:szCs w:val="20"/>
              </w:rPr>
              <w:t>(Core Plan) Evaluation of 9% Tax Credit Competitive Applications</w:t>
            </w:r>
            <w:r w:rsidRPr="006E3A0F">
              <w:rPr>
                <w:rStyle w:val="normaltextrun"/>
                <w:sz w:val="20"/>
                <w:szCs w:val="20"/>
              </w:rPr>
              <w:t xml:space="preserve">, subsection </w:t>
            </w:r>
            <w:r w:rsidRPr="006E3A0F">
              <w:rPr>
                <w:rStyle w:val="normaltextrun"/>
                <w:b/>
                <w:bCs/>
                <w:sz w:val="20"/>
                <w:szCs w:val="20"/>
              </w:rPr>
              <w:t>D. Selection</w:t>
            </w:r>
            <w:r w:rsidRPr="006E3A0F">
              <w:rPr>
                <w:rStyle w:val="normaltextrun"/>
                <w:sz w:val="20"/>
                <w:szCs w:val="20"/>
              </w:rPr>
              <w:t xml:space="preserve">, </w:t>
            </w:r>
            <w:r w:rsidRPr="006E3A0F">
              <w:rPr>
                <w:rStyle w:val="normaltextrun"/>
                <w:b/>
                <w:bCs/>
                <w:sz w:val="20"/>
                <w:szCs w:val="20"/>
              </w:rPr>
              <w:t xml:space="preserve">4. </w:t>
            </w:r>
            <w:proofErr w:type="gramStart"/>
            <w:r w:rsidRPr="006E3A0F">
              <w:rPr>
                <w:rStyle w:val="contextualspellingandgrammarerror"/>
                <w:rFonts w:eastAsiaTheme="majorEastAsia"/>
                <w:b/>
                <w:bCs/>
                <w:sz w:val="20"/>
                <w:szCs w:val="20"/>
              </w:rPr>
              <w:t>Tie-breaker</w:t>
            </w:r>
            <w:proofErr w:type="gramEnd"/>
            <w:r w:rsidRPr="006E3A0F">
              <w:rPr>
                <w:rStyle w:val="normaltextrun"/>
                <w:sz w:val="20"/>
                <w:szCs w:val="20"/>
              </w:rPr>
              <w:t xml:space="preserve"> for more information. </w:t>
            </w:r>
          </w:p>
        </w:tc>
      </w:tr>
      <w:tr w:rsidR="00FD1900" w:rsidRPr="006E3A0F" w14:paraId="3E0896F7" w14:textId="77777777" w:rsidTr="1995616E">
        <w:trPr>
          <w:jc w:val="center"/>
        </w:trPr>
        <w:tc>
          <w:tcPr>
            <w:tcW w:w="2157" w:type="dxa"/>
            <w:shd w:val="clear" w:color="auto" w:fill="auto"/>
            <w:tcMar>
              <w:top w:w="72" w:type="dxa"/>
              <w:left w:w="115" w:type="dxa"/>
              <w:bottom w:w="72" w:type="dxa"/>
              <w:right w:w="115" w:type="dxa"/>
            </w:tcMar>
            <w:vAlign w:val="center"/>
          </w:tcPr>
          <w:p w14:paraId="2FFF8688"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5/6/22</w:t>
            </w:r>
          </w:p>
        </w:tc>
        <w:tc>
          <w:tcPr>
            <w:tcW w:w="2198" w:type="dxa"/>
            <w:shd w:val="clear" w:color="auto" w:fill="auto"/>
            <w:tcMar>
              <w:top w:w="72" w:type="dxa"/>
              <w:left w:w="115" w:type="dxa"/>
              <w:bottom w:w="72" w:type="dxa"/>
              <w:right w:w="115" w:type="dxa"/>
            </w:tcMar>
            <w:vAlign w:val="center"/>
          </w:tcPr>
          <w:p w14:paraId="78D8CFD7"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3.22</w:t>
            </w:r>
          </w:p>
          <w:p w14:paraId="30AA7367"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1619F97B"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Historic Preservation</w:t>
            </w:r>
          </w:p>
        </w:tc>
        <w:tc>
          <w:tcPr>
            <w:tcW w:w="9590" w:type="dxa"/>
            <w:shd w:val="clear" w:color="auto" w:fill="auto"/>
            <w:tcMar>
              <w:top w:w="72" w:type="dxa"/>
              <w:left w:w="115" w:type="dxa"/>
              <w:bottom w:w="72" w:type="dxa"/>
              <w:right w:w="115" w:type="dxa"/>
            </w:tcMar>
            <w:vAlign w:val="center"/>
          </w:tcPr>
          <w:p w14:paraId="7D84ACF6" w14:textId="77777777" w:rsidR="00FD1900" w:rsidRPr="006E3A0F" w:rsidRDefault="00FD1900" w:rsidP="00BD5017">
            <w:pPr>
              <w:contextualSpacing/>
              <w:rPr>
                <w:rFonts w:ascii="Times New Roman" w:hAnsi="Times New Roman" w:cs="Times New Roman"/>
                <w:sz w:val="20"/>
                <w:szCs w:val="20"/>
              </w:rPr>
            </w:pPr>
            <w:r w:rsidRPr="006E3A0F">
              <w:rPr>
                <w:rFonts w:ascii="Times New Roman" w:hAnsi="Times New Roman" w:cs="Times New Roman"/>
                <w:b/>
                <w:bCs/>
                <w:sz w:val="20"/>
                <w:szCs w:val="20"/>
              </w:rPr>
              <w:t>Question</w:t>
            </w:r>
            <w:r w:rsidRPr="006E3A0F">
              <w:rPr>
                <w:rFonts w:ascii="Times New Roman" w:hAnsi="Times New Roman" w:cs="Times New Roman"/>
                <w:sz w:val="20"/>
                <w:szCs w:val="20"/>
              </w:rPr>
              <w:t>: Q22_0414_02</w:t>
            </w:r>
          </w:p>
          <w:p w14:paraId="65EC4BEE" w14:textId="77777777" w:rsidR="00FD1900" w:rsidRPr="006E3A0F" w:rsidRDefault="00FD1900" w:rsidP="00BD5017">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In QAP Appendix II (Scoring), Part B under Section XXII (Historic Preservation) states that "DCA will award points if a property is either a certified historic structure or is deemed historic (as both are defined </w:t>
            </w:r>
            <w:proofErr w:type="gramStart"/>
            <w:r w:rsidRPr="006E3A0F">
              <w:rPr>
                <w:rFonts w:ascii="Times New Roman" w:eastAsia="Times New Roman" w:hAnsi="Times New Roman" w:cs="Times New Roman"/>
                <w:sz w:val="20"/>
                <w:szCs w:val="20"/>
              </w:rPr>
              <w:t>above)[</w:t>
            </w:r>
            <w:proofErr w:type="gramEnd"/>
            <w:r w:rsidRPr="006E3A0F">
              <w:rPr>
                <w:rFonts w:ascii="Times New Roman" w:eastAsia="Times New Roman" w:hAnsi="Times New Roman" w:cs="Times New Roman"/>
                <w:sz w:val="20"/>
                <w:szCs w:val="20"/>
              </w:rPr>
              <w:t>; t]he historic structure must house at least 50% of the total units."  Part B does not specifically indicate that this pertains solely to Adaptive Reuse (which is considered "New Supply" under the QAP), as does Part A. However, under Section II (Applicability of Scoring Criteria), the entire Section XXII only applies to New Supply.  Are we correct in interpreting this that a 9% HTC Preservation project will not be eligible for these points, even if it pertains to a historic building under the definition above?</w:t>
            </w:r>
          </w:p>
          <w:p w14:paraId="3529DF53" w14:textId="77777777" w:rsidR="00FD1900" w:rsidRPr="006E3A0F" w:rsidRDefault="00FD1900" w:rsidP="00BD5017">
            <w:pPr>
              <w:rPr>
                <w:rFonts w:ascii="Times New Roman" w:eastAsia="Times New Roman" w:hAnsi="Times New Roman" w:cs="Times New Roman"/>
                <w:sz w:val="20"/>
                <w:szCs w:val="20"/>
              </w:rPr>
            </w:pPr>
          </w:p>
          <w:p w14:paraId="22694247" w14:textId="77777777" w:rsidR="00FD1900" w:rsidRPr="006E3A0F" w:rsidRDefault="00FD1900" w:rsidP="00BD5017">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Assuming this interpretation is correct, would DCA anticipate that the work scope for 9% HTC Preservation project that is in fact also a historic building will require historic preservation-type protocols and therefore be monitoring for that?  Or would that strictly be determined by </w:t>
            </w:r>
            <w:proofErr w:type="gramStart"/>
            <w:r w:rsidRPr="006E3A0F">
              <w:rPr>
                <w:rFonts w:ascii="Times New Roman" w:eastAsia="Times New Roman" w:hAnsi="Times New Roman" w:cs="Times New Roman"/>
                <w:sz w:val="20"/>
                <w:szCs w:val="20"/>
              </w:rPr>
              <w:t>NPS</w:t>
            </w:r>
            <w:proofErr w:type="gramEnd"/>
            <w:r w:rsidRPr="006E3A0F">
              <w:rPr>
                <w:rFonts w:ascii="Times New Roman" w:eastAsia="Times New Roman" w:hAnsi="Times New Roman" w:cs="Times New Roman"/>
                <w:sz w:val="20"/>
                <w:szCs w:val="20"/>
              </w:rPr>
              <w:t xml:space="preserve"> or other requirements as verified by the Physical Needs Assessment, Work Scope form, and architect's certification thereof?</w:t>
            </w:r>
          </w:p>
          <w:p w14:paraId="3B207071" w14:textId="77777777" w:rsidR="00FD1900" w:rsidRPr="006E3A0F" w:rsidRDefault="00FD1900" w:rsidP="00BD5017">
            <w:pPr>
              <w:contextualSpacing/>
              <w:rPr>
                <w:rFonts w:ascii="Times New Roman" w:hAnsi="Times New Roman" w:cs="Times New Roman"/>
                <w:sz w:val="20"/>
                <w:szCs w:val="20"/>
              </w:rPr>
            </w:pPr>
          </w:p>
          <w:p w14:paraId="66865FF0" w14:textId="77777777" w:rsidR="00FD1900" w:rsidRPr="006E3A0F" w:rsidRDefault="00FD1900" w:rsidP="00BD5017">
            <w:pPr>
              <w:spacing w:line="257" w:lineRule="auto"/>
              <w:rPr>
                <w:rFonts w:ascii="Times New Roman" w:hAnsi="Times New Roman" w:cs="Times New Roman"/>
                <w:sz w:val="20"/>
                <w:szCs w:val="20"/>
              </w:rPr>
            </w:pPr>
            <w:r w:rsidRPr="006E3A0F">
              <w:rPr>
                <w:rFonts w:ascii="Times New Roman" w:hAnsi="Times New Roman" w:cs="Times New Roman"/>
                <w:b/>
                <w:bCs/>
                <w:sz w:val="20"/>
                <w:szCs w:val="20"/>
              </w:rPr>
              <w:t>Answer</w:t>
            </w:r>
            <w:r w:rsidRPr="006E3A0F">
              <w:rPr>
                <w:rFonts w:ascii="Times New Roman" w:hAnsi="Times New Roman" w:cs="Times New Roman"/>
                <w:sz w:val="20"/>
                <w:szCs w:val="20"/>
              </w:rPr>
              <w:t xml:space="preserve">: </w:t>
            </w:r>
          </w:p>
          <w:p w14:paraId="4C1B5F91" w14:textId="77777777" w:rsidR="00FD1900" w:rsidRPr="006E3A0F" w:rsidRDefault="00FD1900" w:rsidP="00BD5017">
            <w:pPr>
              <w:spacing w:line="257" w:lineRule="auto"/>
              <w:rPr>
                <w:rFonts w:ascii="Times New Roman" w:eastAsia="Calibri" w:hAnsi="Times New Roman" w:cs="Times New Roman"/>
                <w:sz w:val="20"/>
                <w:szCs w:val="20"/>
              </w:rPr>
            </w:pPr>
            <w:r w:rsidRPr="006E3A0F">
              <w:rPr>
                <w:rFonts w:ascii="Times New Roman" w:hAnsi="Times New Roman" w:cs="Times New Roman"/>
                <w:sz w:val="20"/>
                <w:szCs w:val="20"/>
              </w:rPr>
              <w:t xml:space="preserve">For the first question, </w:t>
            </w:r>
            <w:r w:rsidRPr="006E3A0F">
              <w:rPr>
                <w:rFonts w:ascii="Times New Roman" w:eastAsia="Calibri" w:hAnsi="Times New Roman" w:cs="Times New Roman"/>
                <w:sz w:val="20"/>
                <w:szCs w:val="20"/>
              </w:rPr>
              <w:t xml:space="preserve">the interpretation is correct: per </w:t>
            </w:r>
            <w:r w:rsidRPr="006E3A0F">
              <w:rPr>
                <w:rFonts w:ascii="Times New Roman" w:eastAsia="Calibri" w:hAnsi="Times New Roman" w:cs="Times New Roman"/>
                <w:b/>
                <w:bCs/>
                <w:sz w:val="20"/>
                <w:szCs w:val="20"/>
              </w:rPr>
              <w:t>(Scoring Criteria) Applicability of Scoring Criteria</w:t>
            </w:r>
            <w:r w:rsidRPr="006E3A0F">
              <w:rPr>
                <w:rFonts w:ascii="Times New Roman" w:eastAsia="Calibri" w:hAnsi="Times New Roman" w:cs="Times New Roman"/>
                <w:sz w:val="20"/>
                <w:szCs w:val="20"/>
              </w:rPr>
              <w:t xml:space="preserve">, </w:t>
            </w:r>
            <w:r w:rsidRPr="006E3A0F">
              <w:rPr>
                <w:rFonts w:ascii="Times New Roman" w:eastAsia="Calibri" w:hAnsi="Times New Roman" w:cs="Times New Roman"/>
                <w:b/>
                <w:bCs/>
                <w:sz w:val="20"/>
                <w:szCs w:val="20"/>
              </w:rPr>
              <w:t>(Scoring Criteria)</w:t>
            </w:r>
            <w:r w:rsidRPr="006E3A0F">
              <w:rPr>
                <w:rFonts w:ascii="Times New Roman" w:eastAsia="Calibri" w:hAnsi="Times New Roman" w:cs="Times New Roman"/>
                <w:sz w:val="20"/>
                <w:szCs w:val="20"/>
              </w:rPr>
              <w:t xml:space="preserve"> </w:t>
            </w:r>
            <w:r w:rsidRPr="006E3A0F">
              <w:rPr>
                <w:rFonts w:ascii="Times New Roman" w:eastAsia="Calibri" w:hAnsi="Times New Roman" w:cs="Times New Roman"/>
                <w:b/>
                <w:bCs/>
                <w:sz w:val="20"/>
                <w:szCs w:val="20"/>
              </w:rPr>
              <w:t>Historic Preservation</w:t>
            </w:r>
            <w:r w:rsidRPr="006E3A0F">
              <w:rPr>
                <w:rFonts w:ascii="Times New Roman" w:eastAsia="Calibri" w:hAnsi="Times New Roman" w:cs="Times New Roman"/>
                <w:sz w:val="20"/>
                <w:szCs w:val="20"/>
              </w:rPr>
              <w:t xml:space="preserve"> does not apply to any of the Preservation Set Asides.</w:t>
            </w:r>
          </w:p>
          <w:p w14:paraId="512E0E4C" w14:textId="77777777" w:rsidR="00FD1900" w:rsidRPr="006E3A0F" w:rsidRDefault="00FD1900" w:rsidP="00BD5017">
            <w:pPr>
              <w:spacing w:line="257" w:lineRule="auto"/>
              <w:rPr>
                <w:rFonts w:ascii="Times New Roman" w:hAnsi="Times New Roman" w:cs="Times New Roman"/>
                <w:sz w:val="20"/>
                <w:szCs w:val="20"/>
              </w:rPr>
            </w:pPr>
            <w:r w:rsidRPr="006E3A0F">
              <w:rPr>
                <w:rFonts w:ascii="Times New Roman" w:eastAsia="Calibri" w:hAnsi="Times New Roman" w:cs="Times New Roman"/>
                <w:sz w:val="20"/>
                <w:szCs w:val="20"/>
              </w:rPr>
              <w:t xml:space="preserve"> </w:t>
            </w:r>
          </w:p>
          <w:p w14:paraId="6EE76488" w14:textId="77777777" w:rsidR="00FD1900" w:rsidRPr="006E3A0F" w:rsidRDefault="00FD1900" w:rsidP="00BD5017">
            <w:pPr>
              <w:pStyle w:val="paragraph"/>
              <w:spacing w:before="0" w:beforeAutospacing="0" w:after="0" w:afterAutospacing="0"/>
              <w:textAlignment w:val="baseline"/>
              <w:rPr>
                <w:rStyle w:val="normaltextrun"/>
                <w:b/>
                <w:bCs/>
                <w:sz w:val="20"/>
                <w:szCs w:val="20"/>
              </w:rPr>
            </w:pPr>
            <w:r w:rsidRPr="006E3A0F">
              <w:rPr>
                <w:rFonts w:eastAsia="Calibri"/>
                <w:sz w:val="20"/>
                <w:szCs w:val="20"/>
              </w:rPr>
              <w:t xml:space="preserve">If a building associated with a Preservation Set Aside application is historic in nature and its historic nature impacts the work scope and monitoring, these impacts would stem from other sections in the QAP (e.g., </w:t>
            </w:r>
            <w:r w:rsidRPr="006E3A0F">
              <w:rPr>
                <w:rFonts w:eastAsia="Calibri"/>
                <w:b/>
                <w:bCs/>
                <w:sz w:val="20"/>
                <w:szCs w:val="20"/>
              </w:rPr>
              <w:t>Threshold Criteria</w:t>
            </w:r>
            <w:r w:rsidRPr="006E3A0F">
              <w:rPr>
                <w:rFonts w:eastAsia="Calibri"/>
                <w:sz w:val="20"/>
                <w:szCs w:val="20"/>
              </w:rPr>
              <w:t xml:space="preserve"> requirements), not (</w:t>
            </w:r>
            <w:r w:rsidRPr="006E3A0F">
              <w:rPr>
                <w:rFonts w:eastAsia="Calibri"/>
                <w:b/>
                <w:bCs/>
                <w:sz w:val="20"/>
                <w:szCs w:val="20"/>
              </w:rPr>
              <w:t>Scoring Criteria) Historic Preservation</w:t>
            </w:r>
            <w:r w:rsidRPr="006E3A0F">
              <w:rPr>
                <w:rFonts w:eastAsia="Calibri"/>
                <w:sz w:val="20"/>
                <w:szCs w:val="20"/>
              </w:rPr>
              <w:t>.</w:t>
            </w:r>
          </w:p>
        </w:tc>
      </w:tr>
      <w:tr w:rsidR="00FD1900" w:rsidRPr="006E3A0F" w14:paraId="383C5E56" w14:textId="77777777" w:rsidTr="1995616E">
        <w:trPr>
          <w:jc w:val="center"/>
        </w:trPr>
        <w:tc>
          <w:tcPr>
            <w:tcW w:w="2157" w:type="dxa"/>
            <w:shd w:val="clear" w:color="auto" w:fill="auto"/>
            <w:tcMar>
              <w:top w:w="72" w:type="dxa"/>
              <w:left w:w="115" w:type="dxa"/>
              <w:bottom w:w="72" w:type="dxa"/>
              <w:right w:w="115" w:type="dxa"/>
            </w:tcMar>
            <w:vAlign w:val="center"/>
          </w:tcPr>
          <w:p w14:paraId="6A944863"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4/27/22</w:t>
            </w:r>
          </w:p>
        </w:tc>
        <w:tc>
          <w:tcPr>
            <w:tcW w:w="2198" w:type="dxa"/>
            <w:shd w:val="clear" w:color="auto" w:fill="auto"/>
            <w:tcMar>
              <w:top w:w="72" w:type="dxa"/>
              <w:left w:w="115" w:type="dxa"/>
              <w:bottom w:w="72" w:type="dxa"/>
              <w:right w:w="115" w:type="dxa"/>
            </w:tcMar>
            <w:vAlign w:val="center"/>
          </w:tcPr>
          <w:p w14:paraId="55A9E2D1"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3.17</w:t>
            </w:r>
          </w:p>
          <w:p w14:paraId="716F587F"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57A2E18B" w14:textId="77777777" w:rsidR="00FD1900" w:rsidRPr="006E3A0F" w:rsidRDefault="00FD1900" w:rsidP="002E5CCF">
            <w:pPr>
              <w:rPr>
                <w:rFonts w:ascii="Times New Roman" w:hAnsi="Times New Roman" w:cs="Times New Roman"/>
                <w:sz w:val="20"/>
                <w:szCs w:val="20"/>
              </w:rPr>
            </w:pPr>
            <w:r w:rsidRPr="006E3A0F">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1EB3706F" w14:textId="77777777" w:rsidR="00FD1900" w:rsidRPr="006E3A0F" w:rsidRDefault="00FD1900" w:rsidP="002E5CCF">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Q22_0221_08</w:t>
            </w:r>
            <w:r w:rsidRPr="006E3A0F">
              <w:rPr>
                <w:rStyle w:val="eop"/>
                <w:sz w:val="20"/>
                <w:szCs w:val="20"/>
              </w:rPr>
              <w:t> </w:t>
            </w:r>
          </w:p>
          <w:p w14:paraId="64ED0B1E" w14:textId="77777777" w:rsidR="00FD1900" w:rsidRPr="006E3A0F" w:rsidRDefault="00FD1900" w:rsidP="002E5CCF">
            <w:pPr>
              <w:pStyle w:val="paragraph"/>
              <w:spacing w:before="0" w:beforeAutospacing="0" w:after="0" w:afterAutospacing="0"/>
              <w:textAlignment w:val="baseline"/>
              <w:rPr>
                <w:sz w:val="20"/>
                <w:szCs w:val="20"/>
              </w:rPr>
            </w:pPr>
            <w:r w:rsidRPr="006E3A0F">
              <w:rPr>
                <w:rStyle w:val="normaltextrun"/>
                <w:sz w:val="20"/>
                <w:szCs w:val="20"/>
              </w:rPr>
              <w:t xml:space="preserve">XVII. Minority and Women Owned Business </w:t>
            </w:r>
            <w:proofErr w:type="gramStart"/>
            <w:r w:rsidRPr="006E3A0F">
              <w:rPr>
                <w:rStyle w:val="contextualspellingandgrammarerror"/>
                <w:rFonts w:eastAsiaTheme="majorEastAsia"/>
                <w:sz w:val="20"/>
                <w:szCs w:val="20"/>
              </w:rPr>
              <w:t>Engagement.|</w:t>
            </w:r>
            <w:proofErr w:type="gramEnd"/>
            <w:r w:rsidRPr="006E3A0F">
              <w:rPr>
                <w:rStyle w:val="normaltextrun"/>
                <w:sz w:val="20"/>
                <w:szCs w:val="20"/>
              </w:rPr>
              <w:t xml:space="preserve">|DCA has a separate policy document about this scoring item that references multiple NAICS codes that can be listed on </w:t>
            </w:r>
            <w:r w:rsidRPr="006E3A0F">
              <w:rPr>
                <w:rStyle w:val="contextualspellingandgrammarerror"/>
                <w:rFonts w:eastAsiaTheme="majorEastAsia"/>
                <w:sz w:val="20"/>
                <w:szCs w:val="20"/>
              </w:rPr>
              <w:t>a</w:t>
            </w:r>
            <w:r w:rsidRPr="006E3A0F">
              <w:rPr>
                <w:rStyle w:val="normaltextrun"/>
                <w:sz w:val="20"/>
                <w:szCs w:val="20"/>
              </w:rPr>
              <w:t xml:space="preserve"> MBE/WBE's certification to qualify for points.  Some of these include construction, real estate, finance &amp; insurance, architectural services, land development agencies, redevelopment authorities, etc. ||Within this scoring section of the QAP, it states that the QB must conduct business in housing or real estate, evidenced by the respective NAICS codes. The separate policy document states the QB must show intent to regularly conduct business related to the housing finance, housing development, affordable </w:t>
            </w:r>
            <w:proofErr w:type="gramStart"/>
            <w:r w:rsidRPr="006E3A0F">
              <w:rPr>
                <w:rStyle w:val="normaltextrun"/>
                <w:sz w:val="20"/>
                <w:szCs w:val="20"/>
              </w:rPr>
              <w:t>housing</w:t>
            </w:r>
            <w:proofErr w:type="gramEnd"/>
            <w:r w:rsidRPr="006E3A0F">
              <w:rPr>
                <w:rStyle w:val="normaltextrun"/>
                <w:sz w:val="20"/>
                <w:szCs w:val="20"/>
              </w:rPr>
              <w:t xml:space="preserve"> and property management industry by listing at least one of the following NAICS codes on the certification when the application is submitted. </w:t>
            </w:r>
            <w:r w:rsidRPr="006E3A0F">
              <w:rPr>
                <w:rStyle w:val="eop"/>
                <w:sz w:val="20"/>
                <w:szCs w:val="20"/>
              </w:rPr>
              <w:t> </w:t>
            </w:r>
          </w:p>
          <w:p w14:paraId="74D071F6" w14:textId="77777777" w:rsidR="00FD1900" w:rsidRPr="006E3A0F" w:rsidRDefault="00FD1900" w:rsidP="002E5CCF">
            <w:pPr>
              <w:pStyle w:val="paragraph"/>
              <w:spacing w:before="0" w:beforeAutospacing="0" w:after="0" w:afterAutospacing="0"/>
              <w:textAlignment w:val="baseline"/>
              <w:rPr>
                <w:sz w:val="20"/>
                <w:szCs w:val="20"/>
              </w:rPr>
            </w:pPr>
            <w:r w:rsidRPr="006E3A0F">
              <w:rPr>
                <w:rStyle w:val="eop"/>
                <w:sz w:val="20"/>
                <w:szCs w:val="20"/>
              </w:rPr>
              <w:t> </w:t>
            </w:r>
          </w:p>
          <w:p w14:paraId="7BB0D211" w14:textId="77777777" w:rsidR="00FD1900" w:rsidRPr="006E3A0F" w:rsidRDefault="00FD1900" w:rsidP="002E5CCF">
            <w:pPr>
              <w:pStyle w:val="paragraph"/>
              <w:spacing w:before="0" w:beforeAutospacing="0" w:after="0" w:afterAutospacing="0"/>
              <w:textAlignment w:val="baseline"/>
              <w:rPr>
                <w:sz w:val="20"/>
                <w:szCs w:val="20"/>
              </w:rPr>
            </w:pPr>
            <w:r w:rsidRPr="006E3A0F">
              <w:rPr>
                <w:rStyle w:val="normaltextrun"/>
                <w:sz w:val="20"/>
                <w:szCs w:val="20"/>
              </w:rPr>
              <w:t>These statements seem to conflict with one another (something the QB must do vs something the QB intends to do).  Could you provide more clarity regarding this issue?</w:t>
            </w:r>
            <w:r w:rsidRPr="006E3A0F">
              <w:rPr>
                <w:rStyle w:val="eop"/>
                <w:sz w:val="20"/>
                <w:szCs w:val="20"/>
              </w:rPr>
              <w:t> </w:t>
            </w:r>
          </w:p>
          <w:p w14:paraId="4977BF00" w14:textId="77777777" w:rsidR="00FD1900" w:rsidRPr="006E3A0F" w:rsidRDefault="00FD1900" w:rsidP="002E5CCF">
            <w:pPr>
              <w:pStyle w:val="paragraph"/>
              <w:spacing w:before="0" w:beforeAutospacing="0" w:after="0" w:afterAutospacing="0"/>
              <w:textAlignment w:val="baseline"/>
              <w:rPr>
                <w:sz w:val="20"/>
                <w:szCs w:val="20"/>
              </w:rPr>
            </w:pPr>
            <w:r w:rsidRPr="006E3A0F">
              <w:rPr>
                <w:rStyle w:val="eop"/>
                <w:sz w:val="20"/>
                <w:szCs w:val="20"/>
              </w:rPr>
              <w:t> </w:t>
            </w:r>
          </w:p>
          <w:p w14:paraId="11E74156" w14:textId="77777777" w:rsidR="00FD1900" w:rsidRPr="006E3A0F" w:rsidRDefault="00FD1900" w:rsidP="002E5CCF">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 </w:t>
            </w:r>
            <w:r w:rsidRPr="006E3A0F">
              <w:rPr>
                <w:rStyle w:val="eop"/>
                <w:sz w:val="20"/>
                <w:szCs w:val="20"/>
              </w:rPr>
              <w:t> </w:t>
            </w:r>
          </w:p>
          <w:p w14:paraId="6FC24E04" w14:textId="77777777" w:rsidR="00FD1900" w:rsidRPr="006E3A0F" w:rsidRDefault="00FD1900" w:rsidP="002E5CCF">
            <w:pPr>
              <w:pStyle w:val="paragraph"/>
              <w:spacing w:before="0" w:beforeAutospacing="0" w:after="0" w:afterAutospacing="0"/>
              <w:textAlignment w:val="baseline"/>
              <w:rPr>
                <w:sz w:val="20"/>
                <w:szCs w:val="20"/>
              </w:rPr>
            </w:pPr>
            <w:r w:rsidRPr="006E3A0F">
              <w:rPr>
                <w:rStyle w:val="normaltextrun"/>
                <w:sz w:val="20"/>
                <w:szCs w:val="20"/>
              </w:rPr>
              <w:t>The language comparison referred to in this question is the following:</w:t>
            </w:r>
            <w:r w:rsidRPr="006E3A0F">
              <w:rPr>
                <w:rStyle w:val="eop"/>
                <w:sz w:val="20"/>
                <w:szCs w:val="20"/>
              </w:rPr>
              <w:t> </w:t>
            </w:r>
          </w:p>
          <w:p w14:paraId="0C37DE20" w14:textId="77777777" w:rsidR="00FD1900" w:rsidRPr="006E3A0F" w:rsidRDefault="00FD1900" w:rsidP="002E5CCF">
            <w:pPr>
              <w:pStyle w:val="paragraph"/>
              <w:spacing w:before="0" w:beforeAutospacing="0" w:after="0" w:afterAutospacing="0"/>
              <w:textAlignment w:val="baseline"/>
              <w:rPr>
                <w:sz w:val="20"/>
                <w:szCs w:val="20"/>
              </w:rPr>
            </w:pPr>
            <w:r w:rsidRPr="006E3A0F">
              <w:rPr>
                <w:rStyle w:val="eop"/>
                <w:sz w:val="20"/>
                <w:szCs w:val="20"/>
              </w:rPr>
              <w:t> </w:t>
            </w:r>
          </w:p>
          <w:p w14:paraId="5651300A" w14:textId="77777777" w:rsidR="00FD1900" w:rsidRPr="006E3A0F" w:rsidRDefault="00FD1900" w:rsidP="002E5CCF">
            <w:pPr>
              <w:pStyle w:val="paragraph"/>
              <w:numPr>
                <w:ilvl w:val="0"/>
                <w:numId w:val="43"/>
              </w:numPr>
              <w:spacing w:before="0" w:beforeAutospacing="0" w:after="0" w:afterAutospacing="0"/>
              <w:ind w:left="1080" w:firstLine="0"/>
              <w:textAlignment w:val="baseline"/>
              <w:rPr>
                <w:sz w:val="20"/>
                <w:szCs w:val="20"/>
              </w:rPr>
            </w:pPr>
            <w:r w:rsidRPr="006E3A0F">
              <w:rPr>
                <w:rStyle w:val="normaltextrun"/>
                <w:sz w:val="20"/>
                <w:szCs w:val="20"/>
              </w:rPr>
              <w:t>(QAP) “QB conducts business in housing or real estate”</w:t>
            </w:r>
            <w:r w:rsidRPr="006E3A0F">
              <w:rPr>
                <w:rStyle w:val="eop"/>
                <w:sz w:val="20"/>
                <w:szCs w:val="20"/>
              </w:rPr>
              <w:t> </w:t>
            </w:r>
          </w:p>
          <w:p w14:paraId="03ACD53D" w14:textId="77777777" w:rsidR="00FD1900" w:rsidRPr="006E3A0F" w:rsidRDefault="00FD1900" w:rsidP="002E5CCF">
            <w:pPr>
              <w:pStyle w:val="paragraph"/>
              <w:numPr>
                <w:ilvl w:val="0"/>
                <w:numId w:val="43"/>
              </w:numPr>
              <w:spacing w:before="0" w:beforeAutospacing="0" w:after="0" w:afterAutospacing="0"/>
              <w:ind w:left="1080" w:firstLine="0"/>
              <w:textAlignment w:val="baseline"/>
              <w:rPr>
                <w:sz w:val="20"/>
                <w:szCs w:val="20"/>
              </w:rPr>
            </w:pPr>
            <w:r w:rsidRPr="006E3A0F">
              <w:rPr>
                <w:rStyle w:val="normaltextrun"/>
                <w:sz w:val="20"/>
                <w:szCs w:val="20"/>
              </w:rPr>
              <w:t xml:space="preserve">(Policy Statement, </w:t>
            </w:r>
            <w:hyperlink r:id="rId19" w:tgtFrame="_blank" w:history="1">
              <w:r w:rsidRPr="006E3A0F">
                <w:rPr>
                  <w:rStyle w:val="normaltextrun"/>
                  <w:sz w:val="20"/>
                  <w:szCs w:val="20"/>
                  <w:u w:val="single"/>
                </w:rPr>
                <w:t>click here</w:t>
              </w:r>
            </w:hyperlink>
            <w:r w:rsidRPr="006E3A0F">
              <w:rPr>
                <w:rStyle w:val="normaltextrun"/>
                <w:sz w:val="20"/>
                <w:szCs w:val="20"/>
              </w:rPr>
              <w:t xml:space="preserve">) “[QB] must show intent to regularly conduct business related to [housing or real </w:t>
            </w:r>
            <w:r w:rsidRPr="006E3A0F">
              <w:rPr>
                <w:rStyle w:val="contextualspellingandgrammarerror"/>
                <w:rFonts w:eastAsiaTheme="majorEastAsia"/>
                <w:sz w:val="20"/>
                <w:szCs w:val="20"/>
              </w:rPr>
              <w:t>estate]…</w:t>
            </w:r>
            <w:r w:rsidRPr="006E3A0F">
              <w:rPr>
                <w:rStyle w:val="normaltextrun"/>
                <w:sz w:val="20"/>
                <w:szCs w:val="20"/>
              </w:rPr>
              <w:t>”</w:t>
            </w:r>
            <w:r w:rsidRPr="006E3A0F">
              <w:rPr>
                <w:rStyle w:val="eop"/>
                <w:sz w:val="20"/>
                <w:szCs w:val="20"/>
              </w:rPr>
              <w:t> </w:t>
            </w:r>
          </w:p>
          <w:p w14:paraId="187D4454" w14:textId="77777777" w:rsidR="00FD1900" w:rsidRPr="006E3A0F" w:rsidRDefault="00FD1900" w:rsidP="002E5CCF">
            <w:pPr>
              <w:pStyle w:val="paragraph"/>
              <w:spacing w:before="0" w:beforeAutospacing="0" w:after="0" w:afterAutospacing="0"/>
              <w:textAlignment w:val="baseline"/>
              <w:rPr>
                <w:sz w:val="20"/>
                <w:szCs w:val="20"/>
              </w:rPr>
            </w:pPr>
            <w:r w:rsidRPr="006E3A0F">
              <w:rPr>
                <w:rStyle w:val="eop"/>
                <w:sz w:val="20"/>
                <w:szCs w:val="20"/>
              </w:rPr>
              <w:t> </w:t>
            </w:r>
          </w:p>
          <w:p w14:paraId="18B302B7" w14:textId="77777777" w:rsidR="00FD1900" w:rsidRPr="006E3A0F" w:rsidRDefault="00FD1900" w:rsidP="002E5CCF">
            <w:pPr>
              <w:pStyle w:val="paragraph"/>
              <w:spacing w:before="0" w:beforeAutospacing="0" w:after="0" w:afterAutospacing="0"/>
              <w:textAlignment w:val="baseline"/>
              <w:rPr>
                <w:sz w:val="20"/>
                <w:szCs w:val="20"/>
              </w:rPr>
            </w:pPr>
            <w:r w:rsidRPr="006E3A0F">
              <w:rPr>
                <w:rStyle w:val="normaltextrun"/>
                <w:sz w:val="20"/>
                <w:szCs w:val="20"/>
              </w:rPr>
              <w:t>Where there is a conflict in language between the QAP and another document, the QAP holds. However, in this instance DCA does not believe this represents a language conflict. A QB that “conducts business in housing” will also “[intend] to regularly conduct business related to housing.” </w:t>
            </w:r>
            <w:r w:rsidRPr="006E3A0F">
              <w:rPr>
                <w:rStyle w:val="eop"/>
                <w:sz w:val="20"/>
                <w:szCs w:val="20"/>
              </w:rPr>
              <w:t> </w:t>
            </w:r>
          </w:p>
          <w:p w14:paraId="267BE2CD" w14:textId="77777777" w:rsidR="00FD1900" w:rsidRPr="006E3A0F" w:rsidRDefault="00FD1900" w:rsidP="002E5CCF">
            <w:pPr>
              <w:pStyle w:val="paragraph"/>
              <w:spacing w:before="0" w:beforeAutospacing="0" w:after="0" w:afterAutospacing="0"/>
              <w:textAlignment w:val="baseline"/>
              <w:rPr>
                <w:sz w:val="20"/>
                <w:szCs w:val="20"/>
              </w:rPr>
            </w:pPr>
            <w:r w:rsidRPr="006E3A0F">
              <w:rPr>
                <w:rStyle w:val="eop"/>
                <w:sz w:val="20"/>
                <w:szCs w:val="20"/>
              </w:rPr>
              <w:t> </w:t>
            </w:r>
          </w:p>
          <w:p w14:paraId="79B88E69" w14:textId="77777777" w:rsidR="00FD1900" w:rsidRPr="006E3A0F" w:rsidRDefault="00FD1900" w:rsidP="002E5CCF">
            <w:pPr>
              <w:pStyle w:val="paragraph"/>
              <w:spacing w:before="0" w:beforeAutospacing="0" w:after="0" w:afterAutospacing="0"/>
              <w:textAlignment w:val="baseline"/>
              <w:rPr>
                <w:sz w:val="20"/>
                <w:szCs w:val="20"/>
              </w:rPr>
            </w:pPr>
            <w:r w:rsidRPr="006E3A0F">
              <w:rPr>
                <w:rStyle w:val="normaltextrun"/>
                <w:sz w:val="20"/>
                <w:szCs w:val="20"/>
              </w:rPr>
              <w:t>Regardless of which sentence is referenced, both documents convey that what DCA staff will be confirming is the NAICS code. Specifically, as stated in the Policy Statement, that the QB “</w:t>
            </w:r>
            <w:r w:rsidRPr="006E3A0F">
              <w:rPr>
                <w:rStyle w:val="normaltextrun"/>
                <w:i/>
                <w:iCs/>
                <w:sz w:val="20"/>
                <w:szCs w:val="20"/>
              </w:rPr>
              <w:t>[listed] at least (1) of the following North American Industry Classification System (NAICS) codes on the certification when the application is submitted…</w:t>
            </w:r>
            <w:r w:rsidRPr="006E3A0F">
              <w:rPr>
                <w:rStyle w:val="normaltextrun"/>
                <w:sz w:val="20"/>
                <w:szCs w:val="20"/>
              </w:rPr>
              <w:t>”</w:t>
            </w:r>
            <w:r w:rsidRPr="006E3A0F">
              <w:rPr>
                <w:rStyle w:val="eop"/>
                <w:sz w:val="20"/>
                <w:szCs w:val="20"/>
              </w:rPr>
              <w:t> </w:t>
            </w:r>
          </w:p>
        </w:tc>
      </w:tr>
      <w:tr w:rsidR="00FD1900" w:rsidRPr="006E3A0F" w14:paraId="4CAEF9B4" w14:textId="77777777" w:rsidTr="1995616E">
        <w:trPr>
          <w:jc w:val="center"/>
        </w:trPr>
        <w:tc>
          <w:tcPr>
            <w:tcW w:w="2157" w:type="dxa"/>
            <w:shd w:val="clear" w:color="auto" w:fill="auto"/>
            <w:tcMar>
              <w:top w:w="72" w:type="dxa"/>
              <w:left w:w="115" w:type="dxa"/>
              <w:bottom w:w="72" w:type="dxa"/>
              <w:right w:w="115" w:type="dxa"/>
            </w:tcMar>
            <w:vAlign w:val="center"/>
          </w:tcPr>
          <w:p w14:paraId="7EFBDD62"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4/27/22</w:t>
            </w:r>
          </w:p>
        </w:tc>
        <w:tc>
          <w:tcPr>
            <w:tcW w:w="2198" w:type="dxa"/>
            <w:shd w:val="clear" w:color="auto" w:fill="auto"/>
            <w:tcMar>
              <w:top w:w="72" w:type="dxa"/>
              <w:left w:w="115" w:type="dxa"/>
              <w:bottom w:w="72" w:type="dxa"/>
              <w:right w:w="115" w:type="dxa"/>
            </w:tcMar>
            <w:vAlign w:val="center"/>
          </w:tcPr>
          <w:p w14:paraId="1F68F822" w14:textId="77777777" w:rsidR="00FD1900" w:rsidRPr="006E3A0F" w:rsidRDefault="00FD1900" w:rsidP="00056CE9">
            <w:pPr>
              <w:rPr>
                <w:rFonts w:ascii="Times New Roman" w:hAnsi="Times New Roman" w:cs="Times New Roman"/>
                <w:sz w:val="20"/>
                <w:szCs w:val="20"/>
              </w:rPr>
            </w:pPr>
            <w:r w:rsidRPr="006E3A0F">
              <w:rPr>
                <w:rFonts w:ascii="Times New Roman" w:hAnsi="Times New Roman" w:cs="Times New Roman"/>
                <w:sz w:val="20"/>
                <w:szCs w:val="20"/>
              </w:rPr>
              <w:t>3.17</w:t>
            </w:r>
          </w:p>
          <w:p w14:paraId="1903E9D3" w14:textId="77777777" w:rsidR="00FD1900" w:rsidRPr="006E3A0F" w:rsidRDefault="00FD1900" w:rsidP="00056CE9">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462E0357" w14:textId="77777777" w:rsidR="00FD1900" w:rsidRPr="006E3A0F" w:rsidRDefault="00FD1900" w:rsidP="00056CE9">
            <w:pPr>
              <w:rPr>
                <w:rFonts w:ascii="Times New Roman" w:hAnsi="Times New Roman" w:cs="Times New Roman"/>
                <w:sz w:val="20"/>
                <w:szCs w:val="20"/>
              </w:rPr>
            </w:pPr>
            <w:r w:rsidRPr="006E3A0F">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6E430994" w14:textId="77777777" w:rsidR="00FD1900" w:rsidRPr="006E3A0F" w:rsidRDefault="00FD1900" w:rsidP="00056CE9">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Q22_0411_15 </w:t>
            </w:r>
          </w:p>
          <w:p w14:paraId="1CD35EF7" w14:textId="77777777" w:rsidR="00FD1900" w:rsidRPr="006E3A0F" w:rsidRDefault="00FD1900" w:rsidP="00056CE9">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Regarding Minority-and Women-owned Business Engagement: the minimum expenses to minority- and women-owned “Qualified Business” (QBs) is 5% of total construction hard costs. Can the sum of multiple contracts to QBs that are each less than 5% meet this requirement, or does at least one QB contract need to involve at least 5% worth of expenses?  </w:t>
            </w:r>
          </w:p>
          <w:p w14:paraId="73EEE84B" w14:textId="77777777" w:rsidR="00FD1900" w:rsidRPr="006E3A0F" w:rsidRDefault="00FD1900" w:rsidP="00056CE9">
            <w:pPr>
              <w:textAlignment w:val="baseline"/>
              <w:rPr>
                <w:rFonts w:ascii="Times New Roman" w:eastAsia="Times New Roman" w:hAnsi="Times New Roman" w:cs="Times New Roman"/>
                <w:sz w:val="20"/>
                <w:szCs w:val="20"/>
              </w:rPr>
            </w:pPr>
          </w:p>
          <w:p w14:paraId="2F5278C9" w14:textId="77777777" w:rsidR="00FD1900" w:rsidRPr="006E3A0F" w:rsidRDefault="00FD1900" w:rsidP="00056CE9">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09F09475" w14:textId="77777777" w:rsidR="00FD1900" w:rsidRPr="006E3A0F" w:rsidRDefault="00FD1900" w:rsidP="00056CE9">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The QAP states that the project team must “Engage QBs in the development or operation of the proposed property in amounts equal to approximately 5% of total construction hard costs…” </w:t>
            </w:r>
          </w:p>
          <w:p w14:paraId="6D7C1362" w14:textId="77777777" w:rsidR="00FD1900" w:rsidRPr="006E3A0F" w:rsidRDefault="00FD1900" w:rsidP="00056CE9">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4C00905C" w14:textId="77777777" w:rsidR="00FD1900" w:rsidRPr="006E3A0F" w:rsidRDefault="00FD1900" w:rsidP="005C45B6">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The QAP states that “amounts” (plural) must reach 5%. Therefore, the expenses paid can be cumulative. For example, if three QBs are each paid 2% of total construction hard costs each, the 6% cumulative amount would meet the minimum 5% requirement in the QAP.  </w:t>
            </w:r>
          </w:p>
        </w:tc>
      </w:tr>
      <w:tr w:rsidR="00FD1900" w:rsidRPr="006E3A0F" w14:paraId="0FA67BC7" w14:textId="77777777" w:rsidTr="1995616E">
        <w:trPr>
          <w:jc w:val="center"/>
        </w:trPr>
        <w:tc>
          <w:tcPr>
            <w:tcW w:w="2157" w:type="dxa"/>
            <w:shd w:val="clear" w:color="auto" w:fill="auto"/>
            <w:tcMar>
              <w:top w:w="72" w:type="dxa"/>
              <w:left w:w="115" w:type="dxa"/>
              <w:bottom w:w="72" w:type="dxa"/>
              <w:right w:w="115" w:type="dxa"/>
            </w:tcMar>
            <w:vAlign w:val="center"/>
          </w:tcPr>
          <w:p w14:paraId="6FAE57E3"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4/27/22</w:t>
            </w:r>
          </w:p>
        </w:tc>
        <w:tc>
          <w:tcPr>
            <w:tcW w:w="2198" w:type="dxa"/>
            <w:shd w:val="clear" w:color="auto" w:fill="auto"/>
            <w:tcMar>
              <w:top w:w="72" w:type="dxa"/>
              <w:left w:w="115" w:type="dxa"/>
              <w:bottom w:w="72" w:type="dxa"/>
              <w:right w:w="115" w:type="dxa"/>
            </w:tcMar>
            <w:vAlign w:val="center"/>
          </w:tcPr>
          <w:p w14:paraId="0E6E9614" w14:textId="77777777" w:rsidR="00FD1900" w:rsidRPr="006E3A0F" w:rsidRDefault="00FD1900" w:rsidP="005C45B6">
            <w:pPr>
              <w:rPr>
                <w:rFonts w:ascii="Times New Roman" w:hAnsi="Times New Roman" w:cs="Times New Roman"/>
                <w:sz w:val="20"/>
                <w:szCs w:val="20"/>
              </w:rPr>
            </w:pPr>
            <w:r w:rsidRPr="006E3A0F">
              <w:rPr>
                <w:rFonts w:ascii="Times New Roman" w:hAnsi="Times New Roman" w:cs="Times New Roman"/>
                <w:sz w:val="20"/>
                <w:szCs w:val="20"/>
              </w:rPr>
              <w:t>3.17</w:t>
            </w:r>
          </w:p>
          <w:p w14:paraId="4380456C" w14:textId="77777777" w:rsidR="00FD1900" w:rsidRPr="006E3A0F" w:rsidRDefault="00FD1900" w:rsidP="005C45B6">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2AF41701" w14:textId="77777777" w:rsidR="00FD1900" w:rsidRPr="006E3A0F" w:rsidRDefault="00FD1900" w:rsidP="005C45B6">
            <w:pPr>
              <w:rPr>
                <w:rFonts w:ascii="Times New Roman" w:hAnsi="Times New Roman" w:cs="Times New Roman"/>
                <w:sz w:val="20"/>
                <w:szCs w:val="20"/>
              </w:rPr>
            </w:pPr>
            <w:r w:rsidRPr="006E3A0F">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712341E0" w14:textId="77777777" w:rsidR="00FD1900" w:rsidRPr="006E3A0F" w:rsidRDefault="00FD1900" w:rsidP="005C45B6">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Q22_0425_15 </w:t>
            </w:r>
          </w:p>
          <w:p w14:paraId="70A31746" w14:textId="77777777" w:rsidR="00FD1900" w:rsidRPr="006E3A0F" w:rsidRDefault="00FD1900" w:rsidP="005C45B6">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The QAP states under </w:t>
            </w:r>
            <w:r w:rsidRPr="006E3A0F">
              <w:rPr>
                <w:rFonts w:ascii="Times New Roman" w:eastAsia="Times New Roman" w:hAnsi="Times New Roman" w:cs="Times New Roman"/>
                <w:b/>
                <w:bCs/>
                <w:sz w:val="20"/>
                <w:szCs w:val="20"/>
              </w:rPr>
              <w:t>(Scoring Criteria) Minority- and Women-Owned Business Engagement</w:t>
            </w:r>
            <w:r w:rsidRPr="006E3A0F">
              <w:rPr>
                <w:rFonts w:ascii="Times New Roman" w:eastAsia="Times New Roman" w:hAnsi="Times New Roman" w:cs="Times New Roman"/>
                <w:sz w:val="20"/>
                <w:szCs w:val="20"/>
              </w:rPr>
              <w:t xml:space="preserve">, subsection </w:t>
            </w:r>
            <w:r w:rsidRPr="006E3A0F">
              <w:rPr>
                <w:rFonts w:ascii="Times New Roman" w:eastAsia="Times New Roman" w:hAnsi="Times New Roman" w:cs="Times New Roman"/>
                <w:b/>
                <w:bCs/>
                <w:sz w:val="20"/>
                <w:szCs w:val="20"/>
              </w:rPr>
              <w:t>A. Engagement Commitment and Reporting</w:t>
            </w:r>
            <w:r w:rsidRPr="006E3A0F">
              <w:rPr>
                <w:rFonts w:ascii="Times New Roman" w:eastAsia="Times New Roman" w:hAnsi="Times New Roman" w:cs="Times New Roman"/>
                <w:sz w:val="20"/>
                <w:szCs w:val="20"/>
              </w:rPr>
              <w:t xml:space="preserve"> that owners can “Engage QBs in the development </w:t>
            </w:r>
            <w:r w:rsidRPr="006E3A0F">
              <w:rPr>
                <w:rFonts w:ascii="Times New Roman" w:eastAsia="Times New Roman" w:hAnsi="Times New Roman" w:cs="Times New Roman"/>
                <w:sz w:val="20"/>
                <w:szCs w:val="20"/>
                <w:u w:val="single"/>
              </w:rPr>
              <w:t>or operation</w:t>
            </w:r>
            <w:r w:rsidRPr="006E3A0F">
              <w:rPr>
                <w:rFonts w:ascii="Times New Roman" w:eastAsia="Times New Roman" w:hAnsi="Times New Roman" w:cs="Times New Roman"/>
                <w:sz w:val="20"/>
                <w:szCs w:val="20"/>
              </w:rPr>
              <w:t xml:space="preserve"> of the proposed property… as certified by the Independent Auditor Report in the Final Allocation Application.” </w:t>
            </w:r>
          </w:p>
          <w:p w14:paraId="3BC0BDA9" w14:textId="77777777" w:rsidR="00FD1900" w:rsidRPr="006E3A0F" w:rsidRDefault="00FD1900" w:rsidP="005C45B6">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6C38BF27" w14:textId="77777777" w:rsidR="00FD1900" w:rsidRPr="006E3A0F" w:rsidRDefault="00FD1900" w:rsidP="005C45B6">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Operational expenses will not be included in the baseline independent auditor report, since it is not a development cost. Are contracts to QB management companies for operational expenses eligible under this section?  </w:t>
            </w:r>
          </w:p>
          <w:p w14:paraId="580A354D" w14:textId="77777777" w:rsidR="00FD1900" w:rsidRPr="006E3A0F" w:rsidRDefault="00FD1900" w:rsidP="005C45B6">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1AABA7D0" w14:textId="77777777" w:rsidR="00FD1900" w:rsidRPr="006E3A0F" w:rsidRDefault="00FD1900" w:rsidP="005C45B6">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46518C10" w14:textId="77777777" w:rsidR="00FD1900" w:rsidRPr="006E3A0F" w:rsidRDefault="00FD1900" w:rsidP="005C45B6">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For any expense that is allowable under this section but not by default included in the baseline independent auditor report included with the Final Allocation Application for 8609s, applicants can have the expense verified by an independent auditor and include that evidence in the Final Allocation Application. Such expenses to management companies are eligible.  </w:t>
            </w:r>
          </w:p>
          <w:p w14:paraId="41770FD0" w14:textId="77777777" w:rsidR="00FD1900" w:rsidRPr="006E3A0F" w:rsidRDefault="00FD1900" w:rsidP="00304B2F">
            <w:pPr>
              <w:textAlignment w:val="baseline"/>
              <w:rPr>
                <w:rFonts w:ascii="Times New Roman" w:eastAsia="Times New Roman" w:hAnsi="Times New Roman" w:cs="Times New Roman"/>
                <w:b/>
                <w:bCs/>
                <w:sz w:val="20"/>
                <w:szCs w:val="20"/>
              </w:rPr>
            </w:pPr>
          </w:p>
        </w:tc>
      </w:tr>
      <w:tr w:rsidR="00FD1900" w:rsidRPr="006E3A0F" w14:paraId="5DC9EEFD" w14:textId="77777777" w:rsidTr="1995616E">
        <w:trPr>
          <w:jc w:val="center"/>
        </w:trPr>
        <w:tc>
          <w:tcPr>
            <w:tcW w:w="2157" w:type="dxa"/>
            <w:shd w:val="clear" w:color="auto" w:fill="auto"/>
            <w:tcMar>
              <w:top w:w="72" w:type="dxa"/>
              <w:left w:w="115" w:type="dxa"/>
              <w:bottom w:w="72" w:type="dxa"/>
              <w:right w:w="115" w:type="dxa"/>
            </w:tcMar>
            <w:vAlign w:val="center"/>
          </w:tcPr>
          <w:p w14:paraId="00E73346"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4/27/22</w:t>
            </w:r>
          </w:p>
        </w:tc>
        <w:tc>
          <w:tcPr>
            <w:tcW w:w="2198" w:type="dxa"/>
            <w:shd w:val="clear" w:color="auto" w:fill="auto"/>
            <w:tcMar>
              <w:top w:w="72" w:type="dxa"/>
              <w:left w:w="115" w:type="dxa"/>
              <w:bottom w:w="72" w:type="dxa"/>
              <w:right w:w="115" w:type="dxa"/>
            </w:tcMar>
            <w:vAlign w:val="center"/>
          </w:tcPr>
          <w:p w14:paraId="40A6BDD3"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3.18</w:t>
            </w:r>
          </w:p>
          <w:p w14:paraId="57CD26BD"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7453F2DB"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53989F5D"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Q22_0303_03 </w:t>
            </w:r>
          </w:p>
          <w:p w14:paraId="21268A87"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Regarding Enriched Property Services - B. 3rd-Party Contractor: are there any requirements for the scope of services or how often they are provided (weekly/monthly/annually)? </w:t>
            </w:r>
          </w:p>
          <w:p w14:paraId="5E9D2B6B"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4E97818F"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2552350D"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The scope, cost, and frequency will all vary based on the provider and property circumstances. The intent of the 3</w:t>
            </w:r>
            <w:r w:rsidRPr="006E3A0F">
              <w:rPr>
                <w:rFonts w:ascii="Times New Roman" w:eastAsia="Times New Roman" w:hAnsi="Times New Roman" w:cs="Times New Roman"/>
                <w:sz w:val="20"/>
                <w:szCs w:val="20"/>
                <w:vertAlign w:val="superscript"/>
              </w:rPr>
              <w:t>rd</w:t>
            </w:r>
            <w:r w:rsidRPr="006E3A0F">
              <w:rPr>
                <w:rFonts w:ascii="Times New Roman" w:eastAsia="Times New Roman" w:hAnsi="Times New Roman" w:cs="Times New Roman"/>
                <w:sz w:val="20"/>
                <w:szCs w:val="20"/>
              </w:rPr>
              <w:t xml:space="preserve"> party contracting option is to incentivize financial and logistical cooperation with certified service coordinators who will be better positioned to assess what is appropriate at that time, rather than outlining specific minimum requirements.  </w:t>
            </w:r>
          </w:p>
        </w:tc>
      </w:tr>
      <w:tr w:rsidR="00FD1900" w:rsidRPr="006E3A0F" w14:paraId="1514A81A" w14:textId="77777777" w:rsidTr="1995616E">
        <w:trPr>
          <w:jc w:val="center"/>
        </w:trPr>
        <w:tc>
          <w:tcPr>
            <w:tcW w:w="2157" w:type="dxa"/>
            <w:shd w:val="clear" w:color="auto" w:fill="auto"/>
            <w:tcMar>
              <w:top w:w="72" w:type="dxa"/>
              <w:left w:w="115" w:type="dxa"/>
              <w:bottom w:w="72" w:type="dxa"/>
              <w:right w:w="115" w:type="dxa"/>
            </w:tcMar>
            <w:vAlign w:val="center"/>
          </w:tcPr>
          <w:p w14:paraId="26E253C0"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4/27/22</w:t>
            </w:r>
          </w:p>
        </w:tc>
        <w:tc>
          <w:tcPr>
            <w:tcW w:w="2198" w:type="dxa"/>
            <w:shd w:val="clear" w:color="auto" w:fill="auto"/>
            <w:tcMar>
              <w:top w:w="72" w:type="dxa"/>
              <w:left w:w="115" w:type="dxa"/>
              <w:bottom w:w="72" w:type="dxa"/>
              <w:right w:w="115" w:type="dxa"/>
            </w:tcMar>
            <w:vAlign w:val="center"/>
          </w:tcPr>
          <w:p w14:paraId="53B3BF8B"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3.18</w:t>
            </w:r>
          </w:p>
          <w:p w14:paraId="31C82CAF"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676712B5"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7845A17C"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Q22_0412_03 </w:t>
            </w:r>
          </w:p>
          <w:p w14:paraId="22511C4B"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This question concerns CORES certification. The QAP reads that 2 points are awarded if the agency is certified, with the required documentation is proof of CORES certification. However, in the QAP Workshop, QAP Manager breakout session (https://www.youtube.com/watch?v=C8ONEk_afYw) DCA stated at 42:</w:t>
            </w:r>
            <w:proofErr w:type="gramStart"/>
            <w:r w:rsidRPr="006E3A0F">
              <w:rPr>
                <w:rFonts w:ascii="Times New Roman" w:eastAsia="Times New Roman" w:hAnsi="Times New Roman" w:cs="Times New Roman"/>
                <w:sz w:val="20"/>
                <w:szCs w:val="20"/>
              </w:rPr>
              <w:t>45  that</w:t>
            </w:r>
            <w:proofErr w:type="gramEnd"/>
            <w:r w:rsidRPr="006E3A0F">
              <w:rPr>
                <w:rFonts w:ascii="Times New Roman" w:eastAsia="Times New Roman" w:hAnsi="Times New Roman" w:cs="Times New Roman"/>
                <w:sz w:val="20"/>
                <w:szCs w:val="20"/>
              </w:rPr>
              <w:t xml:space="preserve"> "it is merely committing to accept". Please clarify.  </w:t>
            </w:r>
          </w:p>
          <w:p w14:paraId="1CB721AB"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38936E58"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0AFCFBEA"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Enriched Property Services has two options for providing resident services at the proposed development. Under subsection</w:t>
            </w:r>
            <w:r w:rsidRPr="006E3A0F">
              <w:rPr>
                <w:rFonts w:ascii="Times New Roman" w:eastAsia="Times New Roman" w:hAnsi="Times New Roman" w:cs="Times New Roman"/>
                <w:b/>
                <w:bCs/>
                <w:sz w:val="20"/>
                <w:szCs w:val="20"/>
              </w:rPr>
              <w:t xml:space="preserve"> A. Owner-provided Services</w:t>
            </w:r>
            <w:r w:rsidRPr="006E3A0F">
              <w:rPr>
                <w:rFonts w:ascii="Times New Roman" w:eastAsia="Times New Roman" w:hAnsi="Times New Roman" w:cs="Times New Roman"/>
                <w:sz w:val="20"/>
                <w:szCs w:val="20"/>
              </w:rPr>
              <w:t>, resident services are to be provided by an entity in the General Partnership. Under subsection</w:t>
            </w:r>
            <w:r w:rsidRPr="006E3A0F">
              <w:rPr>
                <w:rFonts w:ascii="Times New Roman" w:eastAsia="Times New Roman" w:hAnsi="Times New Roman" w:cs="Times New Roman"/>
                <w:b/>
                <w:bCs/>
                <w:sz w:val="20"/>
                <w:szCs w:val="20"/>
              </w:rPr>
              <w:t xml:space="preserve"> B. 3</w:t>
            </w:r>
            <w:r w:rsidRPr="006E3A0F">
              <w:rPr>
                <w:rFonts w:ascii="Times New Roman" w:eastAsia="Times New Roman" w:hAnsi="Times New Roman" w:cs="Times New Roman"/>
                <w:b/>
                <w:bCs/>
                <w:sz w:val="20"/>
                <w:szCs w:val="20"/>
                <w:vertAlign w:val="superscript"/>
              </w:rPr>
              <w:t>rd</w:t>
            </w:r>
            <w:r w:rsidRPr="006E3A0F">
              <w:rPr>
                <w:rFonts w:ascii="Times New Roman" w:eastAsia="Times New Roman" w:hAnsi="Times New Roman" w:cs="Times New Roman"/>
                <w:b/>
                <w:bCs/>
                <w:sz w:val="20"/>
                <w:szCs w:val="20"/>
              </w:rPr>
              <w:t xml:space="preserve"> Party Contractor</w:t>
            </w:r>
            <w:r w:rsidRPr="006E3A0F">
              <w:rPr>
                <w:rFonts w:ascii="Times New Roman" w:eastAsia="Times New Roman" w:hAnsi="Times New Roman" w:cs="Times New Roman"/>
                <w:sz w:val="20"/>
                <w:szCs w:val="20"/>
              </w:rPr>
              <w:t>, resident services are to be provided by a 3</w:t>
            </w:r>
            <w:r w:rsidRPr="006E3A0F">
              <w:rPr>
                <w:rFonts w:ascii="Times New Roman" w:eastAsia="Times New Roman" w:hAnsi="Times New Roman" w:cs="Times New Roman"/>
                <w:sz w:val="20"/>
                <w:szCs w:val="20"/>
                <w:vertAlign w:val="superscript"/>
              </w:rPr>
              <w:t>rd</w:t>
            </w:r>
            <w:r w:rsidRPr="006E3A0F">
              <w:rPr>
                <w:rFonts w:ascii="Times New Roman" w:eastAsia="Times New Roman" w:hAnsi="Times New Roman" w:cs="Times New Roman"/>
                <w:sz w:val="20"/>
                <w:szCs w:val="20"/>
              </w:rPr>
              <w:t xml:space="preserve"> party entity. </w:t>
            </w:r>
          </w:p>
          <w:p w14:paraId="26590099"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3F78B716" w14:textId="77777777" w:rsidR="00FD1900" w:rsidRPr="006E3A0F" w:rsidRDefault="00FD1900" w:rsidP="00304B2F">
            <w:pPr>
              <w:textAlignment w:val="baseline"/>
              <w:rPr>
                <w:rStyle w:val="normaltextrun"/>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The “committing to accept” comment from the QAP Workshop refers only to the 3</w:t>
            </w:r>
            <w:r w:rsidRPr="006E3A0F">
              <w:rPr>
                <w:rFonts w:ascii="Times New Roman" w:eastAsia="Times New Roman" w:hAnsi="Times New Roman" w:cs="Times New Roman"/>
                <w:sz w:val="20"/>
                <w:szCs w:val="20"/>
                <w:vertAlign w:val="superscript"/>
              </w:rPr>
              <w:t>rd</w:t>
            </w:r>
            <w:r w:rsidRPr="006E3A0F">
              <w:rPr>
                <w:rFonts w:ascii="Times New Roman" w:eastAsia="Times New Roman" w:hAnsi="Times New Roman" w:cs="Times New Roman"/>
                <w:sz w:val="20"/>
                <w:szCs w:val="20"/>
              </w:rPr>
              <w:t xml:space="preserve"> Party Contracting option, and for this option there is no documentation requirement. The required documentation referenced in this question (CORES certification) only applies to the Owner-provided Services option.  </w:t>
            </w:r>
          </w:p>
        </w:tc>
      </w:tr>
      <w:tr w:rsidR="00FD1900" w:rsidRPr="006E3A0F" w14:paraId="13B6D19A" w14:textId="77777777" w:rsidTr="1995616E">
        <w:trPr>
          <w:jc w:val="center"/>
        </w:trPr>
        <w:tc>
          <w:tcPr>
            <w:tcW w:w="2157" w:type="dxa"/>
            <w:shd w:val="clear" w:color="auto" w:fill="auto"/>
            <w:tcMar>
              <w:top w:w="72" w:type="dxa"/>
              <w:left w:w="115" w:type="dxa"/>
              <w:bottom w:w="72" w:type="dxa"/>
              <w:right w:w="115" w:type="dxa"/>
            </w:tcMar>
            <w:vAlign w:val="center"/>
          </w:tcPr>
          <w:p w14:paraId="5481B081"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4/22/22</w:t>
            </w:r>
          </w:p>
        </w:tc>
        <w:tc>
          <w:tcPr>
            <w:tcW w:w="2198" w:type="dxa"/>
            <w:shd w:val="clear" w:color="auto" w:fill="auto"/>
            <w:tcMar>
              <w:top w:w="72" w:type="dxa"/>
              <w:left w:w="115" w:type="dxa"/>
              <w:bottom w:w="72" w:type="dxa"/>
              <w:right w:w="115" w:type="dxa"/>
            </w:tcMar>
            <w:vAlign w:val="center"/>
          </w:tcPr>
          <w:p w14:paraId="0E5D3483"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1.16</w:t>
            </w:r>
          </w:p>
          <w:p w14:paraId="28B42B6E"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Core </w:t>
            </w:r>
            <w:proofErr w:type="gramStart"/>
            <w:r w:rsidRPr="006E3A0F">
              <w:rPr>
                <w:rFonts w:ascii="Times New Roman" w:hAnsi="Times New Roman" w:cs="Times New Roman"/>
                <w:sz w:val="20"/>
                <w:szCs w:val="20"/>
              </w:rPr>
              <w:t>Plan;</w:t>
            </w:r>
            <w:proofErr w:type="gramEnd"/>
          </w:p>
          <w:p w14:paraId="22F2EA63"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Evaluation of 9% Tax Credit Competitive Applications</w:t>
            </w:r>
          </w:p>
        </w:tc>
        <w:tc>
          <w:tcPr>
            <w:tcW w:w="9590" w:type="dxa"/>
            <w:shd w:val="clear" w:color="auto" w:fill="auto"/>
            <w:tcMar>
              <w:top w:w="72" w:type="dxa"/>
              <w:left w:w="115" w:type="dxa"/>
              <w:bottom w:w="72" w:type="dxa"/>
              <w:right w:w="115" w:type="dxa"/>
            </w:tcMar>
            <w:vAlign w:val="center"/>
          </w:tcPr>
          <w:p w14:paraId="5C16A01F"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Q22_0406_01</w:t>
            </w:r>
            <w:r w:rsidRPr="006E3A0F">
              <w:rPr>
                <w:rStyle w:val="eop"/>
                <w:sz w:val="20"/>
                <w:szCs w:val="20"/>
              </w:rPr>
              <w:t> </w:t>
            </w:r>
            <w:r w:rsidRPr="006E3A0F">
              <w:rPr>
                <w:rStyle w:val="eop"/>
                <w:sz w:val="20"/>
                <w:szCs w:val="20"/>
              </w:rPr>
              <w:br/>
            </w:r>
          </w:p>
          <w:p w14:paraId="6B099C07" w14:textId="77777777" w:rsidR="00FD1900" w:rsidRPr="006E3A0F" w:rsidRDefault="00FD1900" w:rsidP="00304B2F">
            <w:pPr>
              <w:pStyle w:val="paragraph"/>
              <w:numPr>
                <w:ilvl w:val="0"/>
                <w:numId w:val="41"/>
              </w:numPr>
              <w:spacing w:before="0" w:beforeAutospacing="0" w:after="0" w:afterAutospacing="0"/>
              <w:ind w:left="1080" w:firstLine="0"/>
              <w:textAlignment w:val="baseline"/>
              <w:rPr>
                <w:sz w:val="20"/>
                <w:szCs w:val="20"/>
              </w:rPr>
            </w:pPr>
            <w:r w:rsidRPr="006E3A0F">
              <w:rPr>
                <w:rStyle w:val="normaltextrun"/>
                <w:sz w:val="20"/>
                <w:szCs w:val="20"/>
              </w:rPr>
              <w:t>The QAP allows that a developer may submit two applications. Can the applications submitted be for Phase I and Phase II of a new construction project? In this way, the developer can more efficiently construct the project and infrastructure resulting in cost savings. Is this acceptable to submit two separate applications for two phases on one site?</w:t>
            </w:r>
            <w:r w:rsidRPr="006E3A0F">
              <w:rPr>
                <w:rStyle w:val="scxw124788065"/>
                <w:sz w:val="20"/>
                <w:szCs w:val="20"/>
              </w:rPr>
              <w:t> </w:t>
            </w:r>
            <w:r w:rsidRPr="006E3A0F">
              <w:rPr>
                <w:sz w:val="20"/>
                <w:szCs w:val="20"/>
              </w:rPr>
              <w:br/>
            </w:r>
            <w:r w:rsidRPr="006E3A0F">
              <w:rPr>
                <w:rStyle w:val="eop"/>
                <w:sz w:val="20"/>
                <w:szCs w:val="20"/>
              </w:rPr>
              <w:t> </w:t>
            </w:r>
          </w:p>
          <w:p w14:paraId="6AB39F6B" w14:textId="77777777" w:rsidR="00FD1900" w:rsidRPr="006E3A0F" w:rsidRDefault="00FD1900" w:rsidP="00304B2F">
            <w:pPr>
              <w:pStyle w:val="paragraph"/>
              <w:numPr>
                <w:ilvl w:val="0"/>
                <w:numId w:val="42"/>
              </w:numPr>
              <w:spacing w:before="0" w:beforeAutospacing="0" w:after="0" w:afterAutospacing="0"/>
              <w:ind w:left="1080" w:firstLine="0"/>
              <w:textAlignment w:val="baseline"/>
              <w:rPr>
                <w:sz w:val="20"/>
                <w:szCs w:val="20"/>
              </w:rPr>
            </w:pPr>
            <w:r w:rsidRPr="006E3A0F">
              <w:rPr>
                <w:rStyle w:val="normaltextrun"/>
                <w:sz w:val="20"/>
                <w:szCs w:val="20"/>
              </w:rPr>
              <w:t xml:space="preserve">Developers are limited to two applications to be selected for funding in any given year. Is it possible to submit two applications within the requisite allocation limitation </w:t>
            </w:r>
            <w:r w:rsidRPr="006E3A0F">
              <w:rPr>
                <w:rStyle w:val="normaltextrun"/>
                <w:b/>
                <w:bCs/>
                <w:sz w:val="20"/>
                <w:szCs w:val="20"/>
              </w:rPr>
              <w:t>for one site</w:t>
            </w:r>
            <w:r w:rsidRPr="006E3A0F">
              <w:rPr>
                <w:rStyle w:val="normaltextrun"/>
                <w:sz w:val="20"/>
                <w:szCs w:val="20"/>
              </w:rPr>
              <w:t xml:space="preserve"> thereby allowing the funding of an </w:t>
            </w:r>
            <w:r w:rsidRPr="006E3A0F">
              <w:rPr>
                <w:rStyle w:val="normaltextrun"/>
                <w:b/>
                <w:bCs/>
                <w:sz w:val="20"/>
                <w:szCs w:val="20"/>
              </w:rPr>
              <w:t>entire development</w:t>
            </w:r>
            <w:r w:rsidRPr="006E3A0F">
              <w:rPr>
                <w:rStyle w:val="normaltextrun"/>
                <w:sz w:val="20"/>
                <w:szCs w:val="20"/>
              </w:rPr>
              <w:t xml:space="preserve"> in one year? </w:t>
            </w:r>
            <w:r w:rsidRPr="006E3A0F">
              <w:rPr>
                <w:rStyle w:val="eop"/>
                <w:sz w:val="20"/>
                <w:szCs w:val="20"/>
              </w:rPr>
              <w:t> </w:t>
            </w:r>
          </w:p>
          <w:p w14:paraId="07F7B4D9"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44E1AEAA"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 </w:t>
            </w:r>
            <w:r w:rsidRPr="006E3A0F">
              <w:rPr>
                <w:rStyle w:val="eop"/>
                <w:sz w:val="20"/>
                <w:szCs w:val="20"/>
              </w:rPr>
              <w:t> </w:t>
            </w:r>
          </w:p>
          <w:p w14:paraId="20F694B0"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 xml:space="preserve">For the first question, the QAP states in </w:t>
            </w:r>
            <w:r w:rsidRPr="006E3A0F">
              <w:rPr>
                <w:rStyle w:val="normaltextrun"/>
                <w:b/>
                <w:bCs/>
                <w:sz w:val="20"/>
                <w:szCs w:val="20"/>
              </w:rPr>
              <w:t xml:space="preserve">(Core Plan) Evaluation of 9% Tax Credit Competitive Applications, </w:t>
            </w:r>
            <w:r w:rsidRPr="006E3A0F">
              <w:rPr>
                <w:rStyle w:val="normaltextrun"/>
                <w:sz w:val="20"/>
                <w:szCs w:val="20"/>
              </w:rPr>
              <w:t>subsection</w:t>
            </w:r>
            <w:r w:rsidRPr="006E3A0F">
              <w:rPr>
                <w:rStyle w:val="normaltextrun"/>
                <w:b/>
                <w:bCs/>
                <w:sz w:val="20"/>
                <w:szCs w:val="20"/>
              </w:rPr>
              <w:t xml:space="preserve"> D. Selection, 3. Geographic Allocation Limitations for Projects selected in the New Supply Competitive Process:</w:t>
            </w:r>
            <w:r w:rsidRPr="006E3A0F">
              <w:rPr>
                <w:rStyle w:val="normaltextrun"/>
                <w:sz w:val="20"/>
                <w:szCs w:val="20"/>
              </w:rPr>
              <w:t xml:space="preserve"> “DCA will not select more than one phase of a multi-phase development.”</w:t>
            </w:r>
            <w:r w:rsidRPr="006E3A0F">
              <w:rPr>
                <w:rStyle w:val="scxw124788065"/>
                <w:sz w:val="20"/>
                <w:szCs w:val="20"/>
              </w:rPr>
              <w:t> </w:t>
            </w:r>
            <w:r w:rsidRPr="006E3A0F">
              <w:rPr>
                <w:sz w:val="20"/>
                <w:szCs w:val="20"/>
              </w:rPr>
              <w:br/>
            </w:r>
            <w:r w:rsidRPr="006E3A0F">
              <w:rPr>
                <w:rStyle w:val="eop"/>
                <w:sz w:val="20"/>
                <w:szCs w:val="20"/>
              </w:rPr>
              <w:t> </w:t>
            </w:r>
          </w:p>
          <w:p w14:paraId="2EB2F11D"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The second question is functionally the same, and so the answer is also no, this is not allowed. Funding two applications that represent development activity on “one site” to “[allow] the funding of an entire development in one year” is selecting “more than one phase of a multi-phase development.” </w:t>
            </w:r>
            <w:r w:rsidRPr="006E3A0F">
              <w:rPr>
                <w:rStyle w:val="eop"/>
                <w:sz w:val="20"/>
                <w:szCs w:val="20"/>
              </w:rPr>
              <w:t> </w:t>
            </w:r>
          </w:p>
          <w:p w14:paraId="21D8C2D3" w14:textId="77777777" w:rsidR="00FD1900" w:rsidRPr="006E3A0F" w:rsidRDefault="00FD1900" w:rsidP="00304B2F">
            <w:pPr>
              <w:textAlignment w:val="baseline"/>
              <w:rPr>
                <w:rFonts w:ascii="Times New Roman" w:eastAsia="Times New Roman" w:hAnsi="Times New Roman" w:cs="Times New Roman"/>
                <w:b/>
                <w:bCs/>
                <w:sz w:val="20"/>
                <w:szCs w:val="20"/>
              </w:rPr>
            </w:pPr>
          </w:p>
        </w:tc>
      </w:tr>
      <w:tr w:rsidR="00FD1900" w:rsidRPr="006E3A0F" w14:paraId="5115349D" w14:textId="77777777" w:rsidTr="1995616E">
        <w:trPr>
          <w:jc w:val="center"/>
        </w:trPr>
        <w:tc>
          <w:tcPr>
            <w:tcW w:w="2157" w:type="dxa"/>
            <w:shd w:val="clear" w:color="auto" w:fill="auto"/>
            <w:tcMar>
              <w:top w:w="72" w:type="dxa"/>
              <w:left w:w="115" w:type="dxa"/>
              <w:bottom w:w="72" w:type="dxa"/>
              <w:right w:w="115" w:type="dxa"/>
            </w:tcMar>
            <w:vAlign w:val="center"/>
          </w:tcPr>
          <w:p w14:paraId="6793B638"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4/22/22</w:t>
            </w:r>
          </w:p>
        </w:tc>
        <w:tc>
          <w:tcPr>
            <w:tcW w:w="2198" w:type="dxa"/>
            <w:shd w:val="clear" w:color="auto" w:fill="auto"/>
            <w:tcMar>
              <w:top w:w="72" w:type="dxa"/>
              <w:left w:w="115" w:type="dxa"/>
              <w:bottom w:w="72" w:type="dxa"/>
              <w:right w:w="115" w:type="dxa"/>
            </w:tcMar>
            <w:vAlign w:val="center"/>
          </w:tcPr>
          <w:p w14:paraId="28C261CE"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3.17</w:t>
            </w:r>
          </w:p>
          <w:p w14:paraId="442EDF0C"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552FA693"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20163FBA"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Q22_0408_01 </w:t>
            </w:r>
          </w:p>
          <w:p w14:paraId="109792BF"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In question Q22_0216_08, DCA states that the QAP does not disallow subcontractors when taking points under Section XVII of the scoring section.  We are glad to hear this.  The NAICS code for subcontractors typically used in multifamily construction is 238.  This code is not listed on DCA's list of codes that will be considered to accept certification.  We would like DCA to verify that NAICS code 238, defined as "performing specialized construction work on multifamily housing and other residential buildings, generally on a subcontract basis" is a code that will qualify an applicant to claim points in this section.   </w:t>
            </w:r>
          </w:p>
          <w:p w14:paraId="21E56A8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7933846B"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Some examples of NAICS codes that pertain to subs in the LIHTC industry are: 238110 Poured Concrete Foundation Contractors; 238130 Framing Contractors; 238140 Masonry Contractors; 238150 Glass and Glazing Contractors; 238160 Roofing Contractors; 238170 Siding Contractors; 238220 Plumbing, Heating and Air-Conditioning Contractors. None of these codes are currently listed in DCA's Minority-and Women-Owned Business Engagement Policy, therefore, we want to make sure we understand what is allowed. </w:t>
            </w:r>
          </w:p>
          <w:p w14:paraId="486BE77E"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6E9CB8E4"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0D6E0728"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The </w:t>
            </w:r>
            <w:r w:rsidRPr="006E3A0F">
              <w:rPr>
                <w:rFonts w:ascii="Times New Roman" w:eastAsia="Times New Roman" w:hAnsi="Times New Roman" w:cs="Times New Roman"/>
                <w:i/>
                <w:iCs/>
                <w:sz w:val="20"/>
                <w:szCs w:val="20"/>
              </w:rPr>
              <w:t>DCA Minority- and Women-Owned Business Engagement Policy</w:t>
            </w:r>
            <w:r w:rsidRPr="006E3A0F">
              <w:rPr>
                <w:rFonts w:ascii="Times New Roman" w:eastAsia="Times New Roman" w:hAnsi="Times New Roman" w:cs="Times New Roman"/>
                <w:sz w:val="20"/>
                <w:szCs w:val="20"/>
              </w:rPr>
              <w:t xml:space="preserve"> has been updated to include businesses with NAICS codes which fall under 238 – the Specialty Trade Contractors subsector. The updated policy has been uploaded to the Scoring Documents and Data page of the DCA website (</w:t>
            </w:r>
            <w:hyperlink r:id="rId20" w:tgtFrame="_blank" w:history="1">
              <w:r w:rsidRPr="006E3A0F">
                <w:rPr>
                  <w:rFonts w:ascii="Times New Roman" w:eastAsia="Times New Roman" w:hAnsi="Times New Roman" w:cs="Times New Roman"/>
                  <w:sz w:val="20"/>
                  <w:szCs w:val="20"/>
                  <w:u w:val="single"/>
                </w:rPr>
                <w:t>click here</w:t>
              </w:r>
            </w:hyperlink>
            <w:r w:rsidRPr="006E3A0F">
              <w:rPr>
                <w:rFonts w:ascii="Times New Roman" w:eastAsia="Times New Roman" w:hAnsi="Times New Roman" w:cs="Times New Roman"/>
                <w:sz w:val="20"/>
                <w:szCs w:val="20"/>
              </w:rPr>
              <w:t>). </w:t>
            </w:r>
          </w:p>
        </w:tc>
      </w:tr>
      <w:tr w:rsidR="00FD1900" w:rsidRPr="006E3A0F" w14:paraId="639E3E9F" w14:textId="77777777" w:rsidTr="1995616E">
        <w:trPr>
          <w:jc w:val="center"/>
        </w:trPr>
        <w:tc>
          <w:tcPr>
            <w:tcW w:w="2157" w:type="dxa"/>
            <w:shd w:val="clear" w:color="auto" w:fill="auto"/>
            <w:tcMar>
              <w:top w:w="72" w:type="dxa"/>
              <w:left w:w="115" w:type="dxa"/>
              <w:bottom w:w="72" w:type="dxa"/>
              <w:right w:w="115" w:type="dxa"/>
            </w:tcMar>
            <w:vAlign w:val="center"/>
          </w:tcPr>
          <w:p w14:paraId="359055E2"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4/22/22</w:t>
            </w:r>
          </w:p>
        </w:tc>
        <w:tc>
          <w:tcPr>
            <w:tcW w:w="2198" w:type="dxa"/>
            <w:shd w:val="clear" w:color="auto" w:fill="auto"/>
            <w:tcMar>
              <w:top w:w="72" w:type="dxa"/>
              <w:left w:w="115" w:type="dxa"/>
              <w:bottom w:w="72" w:type="dxa"/>
              <w:right w:w="115" w:type="dxa"/>
            </w:tcMar>
            <w:vAlign w:val="center"/>
          </w:tcPr>
          <w:p w14:paraId="7D3B99B0"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3.18</w:t>
            </w:r>
          </w:p>
          <w:p w14:paraId="7283E5ED"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4918B201"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5371A269"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Question</w:t>
            </w:r>
            <w:r w:rsidRPr="006E3A0F">
              <w:rPr>
                <w:rFonts w:ascii="Times New Roman" w:hAnsi="Times New Roman" w:cs="Times New Roman"/>
                <w:sz w:val="20"/>
                <w:szCs w:val="20"/>
              </w:rPr>
              <w:t xml:space="preserve">: </w:t>
            </w:r>
            <w:r w:rsidRPr="006E3A0F">
              <w:rPr>
                <w:rFonts w:ascii="Times New Roman" w:hAnsi="Times New Roman" w:cs="Times New Roman"/>
                <w:b/>
                <w:bCs/>
                <w:sz w:val="20"/>
                <w:szCs w:val="20"/>
              </w:rPr>
              <w:t>Q22_0422_15</w:t>
            </w:r>
            <w:r w:rsidRPr="006E3A0F">
              <w:rPr>
                <w:rFonts w:ascii="Times New Roman" w:hAnsi="Times New Roman" w:cs="Times New Roman"/>
                <w:sz w:val="20"/>
                <w:szCs w:val="20"/>
              </w:rPr>
              <w:t xml:space="preserve"> </w:t>
            </w:r>
          </w:p>
          <w:p w14:paraId="49706C03"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For </w:t>
            </w:r>
            <w:r w:rsidRPr="006E3A0F">
              <w:rPr>
                <w:rFonts w:ascii="Times New Roman" w:hAnsi="Times New Roman" w:cs="Times New Roman"/>
                <w:b/>
                <w:bCs/>
                <w:sz w:val="20"/>
                <w:szCs w:val="20"/>
              </w:rPr>
              <w:t>(Scoring Criteria) Enriched Property Services</w:t>
            </w:r>
            <w:r w:rsidRPr="006E3A0F">
              <w:rPr>
                <w:rFonts w:ascii="Times New Roman" w:hAnsi="Times New Roman" w:cs="Times New Roman"/>
                <w:sz w:val="20"/>
                <w:szCs w:val="20"/>
              </w:rPr>
              <w:t>, can you please clarify how DCA expects the 3</w:t>
            </w:r>
            <w:r w:rsidRPr="006E3A0F">
              <w:rPr>
                <w:rFonts w:ascii="Times New Roman" w:hAnsi="Times New Roman" w:cs="Times New Roman"/>
                <w:sz w:val="20"/>
                <w:szCs w:val="20"/>
                <w:vertAlign w:val="superscript"/>
              </w:rPr>
              <w:t>rd</w:t>
            </w:r>
            <w:r w:rsidRPr="006E3A0F">
              <w:rPr>
                <w:rFonts w:ascii="Times New Roman" w:hAnsi="Times New Roman" w:cs="Times New Roman"/>
                <w:sz w:val="20"/>
                <w:szCs w:val="20"/>
              </w:rPr>
              <w:t xml:space="preserve"> Party Contracting process to play out and what it means to be compliant with this commitment? </w:t>
            </w:r>
          </w:p>
          <w:p w14:paraId="78EC8F12" w14:textId="77777777" w:rsidR="00FD1900" w:rsidRPr="006E3A0F" w:rsidRDefault="00FD1900" w:rsidP="00304B2F">
            <w:pPr>
              <w:contextualSpacing/>
              <w:rPr>
                <w:rFonts w:ascii="Times New Roman" w:hAnsi="Times New Roman" w:cs="Times New Roman"/>
                <w:sz w:val="20"/>
                <w:szCs w:val="20"/>
              </w:rPr>
            </w:pPr>
          </w:p>
          <w:p w14:paraId="26399988"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Answer</w:t>
            </w:r>
            <w:r w:rsidRPr="006E3A0F">
              <w:rPr>
                <w:rFonts w:ascii="Times New Roman" w:hAnsi="Times New Roman" w:cs="Times New Roman"/>
                <w:sz w:val="20"/>
                <w:szCs w:val="20"/>
              </w:rPr>
              <w:t xml:space="preserve">: </w:t>
            </w:r>
          </w:p>
          <w:p w14:paraId="0AC3B0C7"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DCA has consolidated responses to related questions submitted in one Enforcement Clarifications document in Scoring Documents and Data on the DCA website (</w:t>
            </w:r>
            <w:hyperlink r:id="rId21">
              <w:r w:rsidRPr="006E3A0F">
                <w:rPr>
                  <w:rStyle w:val="Hyperlink"/>
                  <w:rFonts w:ascii="Times New Roman" w:hAnsi="Times New Roman" w:cs="Times New Roman"/>
                  <w:color w:val="auto"/>
                  <w:sz w:val="20"/>
                  <w:szCs w:val="20"/>
                </w:rPr>
                <w:t>click here</w:t>
              </w:r>
            </w:hyperlink>
            <w:r w:rsidRPr="006E3A0F">
              <w:rPr>
                <w:rFonts w:ascii="Times New Roman" w:hAnsi="Times New Roman" w:cs="Times New Roman"/>
                <w:sz w:val="20"/>
                <w:szCs w:val="20"/>
              </w:rPr>
              <w:t xml:space="preserve">). </w:t>
            </w:r>
          </w:p>
          <w:p w14:paraId="106188E1" w14:textId="77777777" w:rsidR="00FD1900" w:rsidRPr="006E3A0F" w:rsidRDefault="00FD1900" w:rsidP="00304B2F">
            <w:pPr>
              <w:rPr>
                <w:rFonts w:ascii="Times New Roman" w:hAnsi="Times New Roman" w:cs="Times New Roman"/>
                <w:sz w:val="20"/>
                <w:szCs w:val="20"/>
              </w:rPr>
            </w:pPr>
          </w:p>
          <w:p w14:paraId="08CCD744" w14:textId="77777777" w:rsidR="00FD1900" w:rsidRPr="006E3A0F" w:rsidRDefault="00FD1900" w:rsidP="00304B2F">
            <w:pPr>
              <w:pStyle w:val="ListParagraph"/>
              <w:numPr>
                <w:ilvl w:val="0"/>
                <w:numId w:val="3"/>
              </w:numPr>
              <w:rPr>
                <w:rFonts w:ascii="Times New Roman" w:hAnsi="Times New Roman" w:cs="Times New Roman"/>
                <w:sz w:val="20"/>
                <w:szCs w:val="20"/>
              </w:rPr>
            </w:pPr>
            <w:r w:rsidRPr="006E3A0F">
              <w:rPr>
                <w:rFonts w:ascii="Times New Roman" w:hAnsi="Times New Roman" w:cs="Times New Roman"/>
                <w:sz w:val="20"/>
                <w:szCs w:val="20"/>
              </w:rPr>
              <w:t>Because this document in part introduces new detail regarding post-award policy, this document is open for public comment through Friday, April 29</w:t>
            </w:r>
            <w:r w:rsidRPr="006E3A0F">
              <w:rPr>
                <w:rFonts w:ascii="Times New Roman" w:hAnsi="Times New Roman" w:cs="Times New Roman"/>
                <w:sz w:val="20"/>
                <w:szCs w:val="20"/>
                <w:vertAlign w:val="superscript"/>
              </w:rPr>
              <w:t>th</w:t>
            </w:r>
            <w:r w:rsidRPr="006E3A0F">
              <w:rPr>
                <w:rFonts w:ascii="Times New Roman" w:hAnsi="Times New Roman" w:cs="Times New Roman"/>
                <w:sz w:val="20"/>
                <w:szCs w:val="20"/>
              </w:rPr>
              <w:t xml:space="preserve">, 2022. </w:t>
            </w:r>
            <w:r w:rsidRPr="006E3A0F">
              <w:rPr>
                <w:rFonts w:ascii="Times New Roman" w:hAnsi="Times New Roman" w:cs="Times New Roman"/>
                <w:sz w:val="20"/>
                <w:szCs w:val="20"/>
              </w:rPr>
              <w:br/>
            </w:r>
          </w:p>
          <w:p w14:paraId="356AEFAB" w14:textId="77777777" w:rsidR="00FD1900" w:rsidRPr="006E3A0F" w:rsidRDefault="00FD1900" w:rsidP="00304B2F">
            <w:pPr>
              <w:pStyle w:val="ListParagraph"/>
              <w:numPr>
                <w:ilvl w:val="0"/>
                <w:numId w:val="3"/>
              </w:numPr>
              <w:rPr>
                <w:rFonts w:ascii="Times New Roman" w:hAnsi="Times New Roman" w:cs="Times New Roman"/>
                <w:sz w:val="20"/>
                <w:szCs w:val="20"/>
              </w:rPr>
            </w:pPr>
            <w:r w:rsidRPr="006E3A0F">
              <w:rPr>
                <w:rFonts w:ascii="Times New Roman" w:hAnsi="Times New Roman" w:cs="Times New Roman"/>
                <w:sz w:val="20"/>
                <w:szCs w:val="20"/>
              </w:rPr>
              <w:t xml:space="preserve">Except for purposes of helping applicants decide whether to select this points option in their application, this document has no impact on application preparation for the 9% Credits Competitive Round. </w:t>
            </w:r>
          </w:p>
          <w:p w14:paraId="62795427" w14:textId="77777777" w:rsidR="00FD1900" w:rsidRPr="006E3A0F" w:rsidRDefault="00FD1900" w:rsidP="00304B2F">
            <w:pPr>
              <w:textAlignment w:val="baseline"/>
              <w:rPr>
                <w:rFonts w:ascii="Times New Roman" w:eastAsia="Times New Roman" w:hAnsi="Times New Roman" w:cs="Times New Roman"/>
                <w:b/>
                <w:bCs/>
                <w:sz w:val="20"/>
                <w:szCs w:val="20"/>
              </w:rPr>
            </w:pPr>
          </w:p>
        </w:tc>
      </w:tr>
      <w:tr w:rsidR="00FD1900" w:rsidRPr="006E3A0F" w14:paraId="5C8FD83A" w14:textId="77777777" w:rsidTr="1995616E">
        <w:trPr>
          <w:jc w:val="center"/>
        </w:trPr>
        <w:tc>
          <w:tcPr>
            <w:tcW w:w="2157" w:type="dxa"/>
            <w:shd w:val="clear" w:color="auto" w:fill="auto"/>
            <w:tcMar>
              <w:top w:w="72" w:type="dxa"/>
              <w:left w:w="115" w:type="dxa"/>
              <w:bottom w:w="72" w:type="dxa"/>
              <w:right w:w="115" w:type="dxa"/>
            </w:tcMar>
            <w:vAlign w:val="center"/>
          </w:tcPr>
          <w:p w14:paraId="48D54D87"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14:paraId="3A0BFFDF"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1.05</w:t>
            </w:r>
          </w:p>
          <w:p w14:paraId="7963E0F4"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Core </w:t>
            </w:r>
            <w:proofErr w:type="gramStart"/>
            <w:r w:rsidRPr="006E3A0F">
              <w:rPr>
                <w:rFonts w:ascii="Times New Roman" w:hAnsi="Times New Roman" w:cs="Times New Roman"/>
                <w:sz w:val="20"/>
                <w:szCs w:val="20"/>
              </w:rPr>
              <w:t>Plan;</w:t>
            </w:r>
            <w:proofErr w:type="gramEnd"/>
          </w:p>
          <w:p w14:paraId="07B9F3C5"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Geographic Pools</w:t>
            </w:r>
          </w:p>
        </w:tc>
        <w:tc>
          <w:tcPr>
            <w:tcW w:w="9590" w:type="dxa"/>
            <w:shd w:val="clear" w:color="auto" w:fill="auto"/>
            <w:tcMar>
              <w:top w:w="72" w:type="dxa"/>
              <w:left w:w="115" w:type="dxa"/>
              <w:bottom w:w="72" w:type="dxa"/>
              <w:right w:w="115" w:type="dxa"/>
            </w:tcMar>
            <w:vAlign w:val="center"/>
          </w:tcPr>
          <w:p w14:paraId="03C97B4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Q22_0412_01 </w:t>
            </w:r>
          </w:p>
          <w:p w14:paraId="6389FFF1"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Does an existing project with Section 515 financing and project based rental assistance from USDA qualify as Rural if it is not included on the list of USDA Rural areas on the USDA website? </w:t>
            </w:r>
          </w:p>
          <w:p w14:paraId="402CBB82"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0F2246D7"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31046D1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No, only properties in USDA eligible areas (outside of the Atlanta Metro pool) are in the Rural pool (see </w:t>
            </w:r>
            <w:r w:rsidRPr="006E3A0F">
              <w:rPr>
                <w:rFonts w:ascii="Times New Roman" w:eastAsia="Times New Roman" w:hAnsi="Times New Roman" w:cs="Times New Roman"/>
                <w:b/>
                <w:bCs/>
                <w:sz w:val="20"/>
                <w:szCs w:val="20"/>
              </w:rPr>
              <w:t>Core Plan, Geographic Pools</w:t>
            </w:r>
            <w:r w:rsidRPr="006E3A0F">
              <w:rPr>
                <w:rFonts w:ascii="Times New Roman" w:eastAsia="Times New Roman" w:hAnsi="Times New Roman" w:cs="Times New Roman"/>
                <w:sz w:val="20"/>
                <w:szCs w:val="20"/>
              </w:rPr>
              <w:t>).  </w:t>
            </w:r>
          </w:p>
          <w:p w14:paraId="11D8D92E"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47106F6F"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See question </w:t>
            </w:r>
            <w:r w:rsidRPr="006E3A0F">
              <w:rPr>
                <w:rFonts w:ascii="Times New Roman" w:eastAsia="Times New Roman" w:hAnsi="Times New Roman" w:cs="Times New Roman"/>
                <w:b/>
                <w:bCs/>
                <w:sz w:val="20"/>
                <w:szCs w:val="20"/>
              </w:rPr>
              <w:t>Q0222_03</w:t>
            </w:r>
            <w:r w:rsidRPr="006E3A0F">
              <w:rPr>
                <w:rFonts w:ascii="Times New Roman" w:eastAsia="Times New Roman" w:hAnsi="Times New Roman" w:cs="Times New Roman"/>
                <w:sz w:val="20"/>
                <w:szCs w:val="20"/>
              </w:rPr>
              <w:t xml:space="preserve"> posted on 3/3/22 regarding eligibility of solely assisted USDA 515 properties. </w:t>
            </w:r>
          </w:p>
        </w:tc>
      </w:tr>
      <w:tr w:rsidR="00FD1900" w:rsidRPr="006E3A0F" w14:paraId="637932CE" w14:textId="77777777" w:rsidTr="1995616E">
        <w:trPr>
          <w:jc w:val="center"/>
        </w:trPr>
        <w:tc>
          <w:tcPr>
            <w:tcW w:w="2157" w:type="dxa"/>
            <w:shd w:val="clear" w:color="auto" w:fill="auto"/>
            <w:tcMar>
              <w:top w:w="72" w:type="dxa"/>
              <w:left w:w="115" w:type="dxa"/>
              <w:bottom w:w="72" w:type="dxa"/>
              <w:right w:w="115" w:type="dxa"/>
            </w:tcMar>
            <w:vAlign w:val="center"/>
          </w:tcPr>
          <w:p w14:paraId="15672049"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14:paraId="304E439F"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3.05</w:t>
            </w:r>
          </w:p>
          <w:p w14:paraId="4584FFF5"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1A5C21A3"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5B833691"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 xml:space="preserve">Question: </w:t>
            </w:r>
            <w:r w:rsidRPr="006E3A0F">
              <w:rPr>
                <w:rFonts w:ascii="Times New Roman" w:hAnsi="Times New Roman" w:cs="Times New Roman"/>
                <w:sz w:val="20"/>
                <w:szCs w:val="20"/>
              </w:rPr>
              <w:t>Q22_0419_04</w:t>
            </w:r>
          </w:p>
          <w:p w14:paraId="53D13609"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The QAP states: Driving or walking routes must originate from geo-coordinates of the pedestrian or vehicle site entrance and end at the geo-coordinates of the desirable amenity. The desirable form states Driving or walking routes must originate from geo-coordinates of the desirable amenity and end at the geo-coordinates of the pedestrian or vehicle site entrance. Which one of those are correct above?</w:t>
            </w:r>
          </w:p>
          <w:p w14:paraId="1C12DD8D" w14:textId="77777777" w:rsidR="00FD1900" w:rsidRPr="006E3A0F" w:rsidRDefault="00FD1900" w:rsidP="00304B2F">
            <w:pPr>
              <w:contextualSpacing/>
              <w:rPr>
                <w:rFonts w:ascii="Times New Roman" w:hAnsi="Times New Roman" w:cs="Times New Roman"/>
                <w:sz w:val="20"/>
                <w:szCs w:val="20"/>
              </w:rPr>
            </w:pPr>
          </w:p>
          <w:p w14:paraId="1ACA1B61" w14:textId="77777777" w:rsidR="00FD1900" w:rsidRPr="006E3A0F" w:rsidRDefault="00FD1900" w:rsidP="00304B2F">
            <w:pPr>
              <w:contextualSpacing/>
              <w:rPr>
                <w:rFonts w:ascii="Times New Roman" w:hAnsi="Times New Roman" w:cs="Times New Roman"/>
                <w:b/>
                <w:bCs/>
                <w:sz w:val="20"/>
                <w:szCs w:val="20"/>
              </w:rPr>
            </w:pPr>
            <w:r w:rsidRPr="006E3A0F">
              <w:rPr>
                <w:rFonts w:ascii="Times New Roman" w:hAnsi="Times New Roman" w:cs="Times New Roman"/>
                <w:b/>
                <w:bCs/>
                <w:sz w:val="20"/>
                <w:szCs w:val="20"/>
              </w:rPr>
              <w:t>Answer:</w:t>
            </w:r>
          </w:p>
          <w:p w14:paraId="568911B5" w14:textId="77777777" w:rsidR="00FD1900" w:rsidRPr="006E3A0F" w:rsidRDefault="00FD1900" w:rsidP="00304B2F">
            <w:pPr>
              <w:contextualSpacing/>
              <w:rPr>
                <w:rFonts w:ascii="Times New Roman" w:hAnsi="Times New Roman" w:cs="Times New Roman"/>
                <w:b/>
                <w:bCs/>
                <w:sz w:val="20"/>
                <w:szCs w:val="20"/>
              </w:rPr>
            </w:pPr>
            <w:r w:rsidRPr="006E3A0F">
              <w:rPr>
                <w:rFonts w:ascii="Times New Roman" w:hAnsi="Times New Roman" w:cs="Times New Roman"/>
                <w:sz w:val="20"/>
                <w:szCs w:val="20"/>
              </w:rPr>
              <w:t>The QAP language is correct- “Driving or walking routes must originate from geo-coordinates of the pedestrian or vehicle site entrance and end at the geo-coordinates of the desirable amenity”. The version of the form updated and posted to the Scoring Documents and Data page of the DCA website on 4/20/22 has been adjusted to remove this QAP language (</w:t>
            </w:r>
            <w:hyperlink r:id="rId22" w:history="1">
              <w:r w:rsidRPr="006E3A0F">
                <w:rPr>
                  <w:rStyle w:val="Hyperlink"/>
                  <w:rFonts w:ascii="Times New Roman" w:hAnsi="Times New Roman" w:cs="Times New Roman"/>
                  <w:color w:val="auto"/>
                  <w:sz w:val="20"/>
                  <w:szCs w:val="20"/>
                </w:rPr>
                <w:t>click here</w:t>
              </w:r>
            </w:hyperlink>
            <w:r w:rsidRPr="006E3A0F">
              <w:rPr>
                <w:rFonts w:ascii="Times New Roman" w:hAnsi="Times New Roman" w:cs="Times New Roman"/>
                <w:sz w:val="20"/>
                <w:szCs w:val="20"/>
              </w:rPr>
              <w:t xml:space="preserve">). Applicants should reference the QAP for applicable requirements. </w:t>
            </w:r>
          </w:p>
        </w:tc>
      </w:tr>
      <w:tr w:rsidR="00FD1900" w:rsidRPr="006E3A0F" w14:paraId="41B498FF" w14:textId="77777777" w:rsidTr="1995616E">
        <w:trPr>
          <w:jc w:val="center"/>
        </w:trPr>
        <w:tc>
          <w:tcPr>
            <w:tcW w:w="2157" w:type="dxa"/>
            <w:shd w:val="clear" w:color="auto" w:fill="auto"/>
            <w:tcMar>
              <w:top w:w="72" w:type="dxa"/>
              <w:left w:w="115" w:type="dxa"/>
              <w:bottom w:w="72" w:type="dxa"/>
              <w:right w:w="115" w:type="dxa"/>
            </w:tcMar>
            <w:vAlign w:val="center"/>
          </w:tcPr>
          <w:p w14:paraId="3B9EF1D0"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14:paraId="5BAF7E65"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3.05</w:t>
            </w:r>
          </w:p>
          <w:p w14:paraId="7690CD9E"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2C2D19F0"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5948E99F"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Q22_0405_03 </w:t>
            </w:r>
          </w:p>
          <w:p w14:paraId="5D376601"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The current desirable-undesirable certification has a different distance requirement for Rural development to that stated in the 2022 QAP. Will DCA post a revised version? </w:t>
            </w:r>
          </w:p>
          <w:p w14:paraId="31512E1F"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12633B79"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03ED4D21"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The Desirable/Undesirable Activities Certification has been updated and posted to the 2022 QAP – Scoring Documents and Data Overview page of the DCA website (</w:t>
            </w:r>
            <w:hyperlink r:id="rId23" w:tgtFrame="_blank" w:history="1">
              <w:r w:rsidRPr="006E3A0F">
                <w:rPr>
                  <w:rFonts w:ascii="Times New Roman" w:eastAsia="Times New Roman" w:hAnsi="Times New Roman" w:cs="Times New Roman"/>
                  <w:sz w:val="20"/>
                  <w:szCs w:val="20"/>
                  <w:u w:val="single"/>
                </w:rPr>
                <w:t>click here</w:t>
              </w:r>
            </w:hyperlink>
            <w:r w:rsidRPr="006E3A0F">
              <w:rPr>
                <w:rFonts w:ascii="Times New Roman" w:eastAsia="Times New Roman" w:hAnsi="Times New Roman" w:cs="Times New Roman"/>
                <w:sz w:val="20"/>
                <w:szCs w:val="20"/>
              </w:rPr>
              <w:t>). </w:t>
            </w:r>
          </w:p>
        </w:tc>
      </w:tr>
      <w:tr w:rsidR="00FD1900" w:rsidRPr="006E3A0F" w14:paraId="5014C0F7" w14:textId="77777777" w:rsidTr="1995616E">
        <w:trPr>
          <w:jc w:val="center"/>
        </w:trPr>
        <w:tc>
          <w:tcPr>
            <w:tcW w:w="2157" w:type="dxa"/>
            <w:shd w:val="clear" w:color="auto" w:fill="auto"/>
            <w:tcMar>
              <w:top w:w="72" w:type="dxa"/>
              <w:left w:w="115" w:type="dxa"/>
              <w:bottom w:w="72" w:type="dxa"/>
              <w:right w:w="115" w:type="dxa"/>
            </w:tcMar>
            <w:vAlign w:val="center"/>
          </w:tcPr>
          <w:p w14:paraId="485E3658"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14:paraId="6157A14A"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3.06</w:t>
            </w:r>
          </w:p>
          <w:p w14:paraId="79D36D1F"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3F0E24EA"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Community Transportation Options </w:t>
            </w:r>
          </w:p>
        </w:tc>
        <w:tc>
          <w:tcPr>
            <w:tcW w:w="9590" w:type="dxa"/>
            <w:shd w:val="clear" w:color="auto" w:fill="auto"/>
            <w:tcMar>
              <w:top w:w="72" w:type="dxa"/>
              <w:left w:w="115" w:type="dxa"/>
              <w:bottom w:w="72" w:type="dxa"/>
              <w:right w:w="115" w:type="dxa"/>
            </w:tcMar>
            <w:vAlign w:val="center"/>
          </w:tcPr>
          <w:p w14:paraId="1CAAF928"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Question</w:t>
            </w:r>
            <w:r w:rsidRPr="006E3A0F">
              <w:rPr>
                <w:rFonts w:ascii="Times New Roman" w:hAnsi="Times New Roman" w:cs="Times New Roman"/>
                <w:sz w:val="20"/>
                <w:szCs w:val="20"/>
              </w:rPr>
              <w:t>: Q22_0330_02</w:t>
            </w:r>
          </w:p>
          <w:p w14:paraId="66252655"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BACKGROUND: Section VI. Community Transportation Options, subsection B defines a transit hub as "a station that has three or more bus routes, rail options, and/or other affordable mass transit options". In prior rounds, points have been awarded for various types of transit hubs (</w:t>
            </w:r>
            <w:proofErr w:type="gramStart"/>
            <w:r w:rsidRPr="006E3A0F">
              <w:rPr>
                <w:rFonts w:ascii="Times New Roman" w:eastAsia="Times New Roman" w:hAnsi="Times New Roman" w:cs="Times New Roman"/>
                <w:sz w:val="20"/>
                <w:szCs w:val="20"/>
              </w:rPr>
              <w:t>e.g.</w:t>
            </w:r>
            <w:proofErr w:type="gramEnd"/>
            <w:r w:rsidRPr="006E3A0F">
              <w:rPr>
                <w:rFonts w:ascii="Times New Roman" w:eastAsia="Times New Roman" w:hAnsi="Times New Roman" w:cs="Times New Roman"/>
                <w:sz w:val="20"/>
                <w:szCs w:val="20"/>
              </w:rPr>
              <w:t xml:space="preserve">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3A3C6A90" w14:textId="77777777" w:rsidR="00FD1900" w:rsidRPr="006E3A0F" w:rsidRDefault="00FD1900" w:rsidP="00304B2F">
            <w:pPr>
              <w:rPr>
                <w:rFonts w:ascii="Times New Roman" w:eastAsia="Times New Roman" w:hAnsi="Times New Roman" w:cs="Times New Roman"/>
                <w:sz w:val="20"/>
                <w:szCs w:val="20"/>
              </w:rPr>
            </w:pPr>
          </w:p>
          <w:p w14:paraId="3AD0EE6E"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QUESTION: Could a series of bus stops in very close proximity constitute a station? For example, a series of 3 distinct MARTA bus stops in downtown Hapeville are within a ~</w:t>
            </w:r>
            <w:proofErr w:type="gramStart"/>
            <w:r w:rsidRPr="006E3A0F">
              <w:rPr>
                <w:rFonts w:ascii="Times New Roman" w:eastAsia="Times New Roman" w:hAnsi="Times New Roman" w:cs="Times New Roman"/>
                <w:sz w:val="20"/>
                <w:szCs w:val="20"/>
              </w:rPr>
              <w:t>725 foot</w:t>
            </w:r>
            <w:proofErr w:type="gramEnd"/>
            <w:r w:rsidRPr="006E3A0F">
              <w:rPr>
                <w:rFonts w:ascii="Times New Roman" w:eastAsia="Times New Roman" w:hAnsi="Times New Roman" w:cs="Times New Roman"/>
                <w:sz w:val="20"/>
                <w:szCs w:val="20"/>
              </w:rPr>
              <w:t xml:space="preserve"> walk of each other. Compare the proximity of these stops to MARTA's Lindbergh Center Transit Station in Atlanta. Lindbergh's two bus loops are separated by an ~</w:t>
            </w:r>
            <w:proofErr w:type="gramStart"/>
            <w:r w:rsidRPr="006E3A0F">
              <w:rPr>
                <w:rFonts w:ascii="Times New Roman" w:eastAsia="Times New Roman" w:hAnsi="Times New Roman" w:cs="Times New Roman"/>
                <w:sz w:val="20"/>
                <w:szCs w:val="20"/>
              </w:rPr>
              <w:t>825 foot</w:t>
            </w:r>
            <w:proofErr w:type="gramEnd"/>
            <w:r w:rsidRPr="006E3A0F">
              <w:rPr>
                <w:rFonts w:ascii="Times New Roman" w:eastAsia="Times New Roman" w:hAnsi="Times New Roman" w:cs="Times New Roman"/>
                <w:sz w:val="20"/>
                <w:szCs w:val="20"/>
              </w:rPr>
              <w:t xml:space="preserve"> walk (~100 feet farther apart than the series of bus stops in Hapeville). Could the series of bus stops in downtown Hapeville constitute a station/transit hub, given that they are in closer proximity than the bus loops of Lindbergh Station? </w:t>
            </w:r>
          </w:p>
          <w:p w14:paraId="7C57BCD0" w14:textId="77777777" w:rsidR="00FD1900" w:rsidRPr="006E3A0F" w:rsidRDefault="00FD1900" w:rsidP="00304B2F">
            <w:pPr>
              <w:contextualSpacing/>
              <w:rPr>
                <w:rFonts w:ascii="Times New Roman" w:hAnsi="Times New Roman" w:cs="Times New Roman"/>
                <w:sz w:val="20"/>
                <w:szCs w:val="20"/>
              </w:rPr>
            </w:pPr>
          </w:p>
          <w:p w14:paraId="4CF36302"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Answer</w:t>
            </w:r>
            <w:r w:rsidRPr="006E3A0F">
              <w:rPr>
                <w:rFonts w:ascii="Times New Roman" w:hAnsi="Times New Roman" w:cs="Times New Roman"/>
                <w:sz w:val="20"/>
                <w:szCs w:val="20"/>
              </w:rPr>
              <w:t>:</w:t>
            </w:r>
          </w:p>
          <w:p w14:paraId="302A2FD9" w14:textId="77777777" w:rsidR="00FD1900" w:rsidRPr="006E3A0F" w:rsidRDefault="00FD1900" w:rsidP="00304B2F">
            <w:pPr>
              <w:contextualSpacing/>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Section VI. Community Transportation Options, </w:t>
            </w:r>
            <w:r w:rsidRPr="006E3A0F">
              <w:rPr>
                <w:rFonts w:ascii="Times New Roman" w:eastAsia="Times New Roman" w:hAnsi="Times New Roman" w:cs="Times New Roman"/>
                <w:b/>
                <w:bCs/>
                <w:sz w:val="20"/>
                <w:szCs w:val="20"/>
              </w:rPr>
              <w:t>subsection A</w:t>
            </w:r>
            <w:r w:rsidRPr="006E3A0F">
              <w:rPr>
                <w:rFonts w:ascii="Times New Roman" w:eastAsia="Times New Roman" w:hAnsi="Times New Roman" w:cs="Times New Roman"/>
                <w:sz w:val="20"/>
                <w:szCs w:val="20"/>
              </w:rPr>
              <w:t xml:space="preserve"> defines a transit hub as “a station that has three or more bus routes, rail options, and/or other affordable mass transit options.” </w:t>
            </w:r>
          </w:p>
          <w:p w14:paraId="5D7A75CA" w14:textId="77777777" w:rsidR="00FD1900" w:rsidRPr="006E3A0F" w:rsidRDefault="00FD1900" w:rsidP="00304B2F">
            <w:pPr>
              <w:contextualSpacing/>
              <w:rPr>
                <w:rFonts w:ascii="Times New Roman" w:eastAsia="Times New Roman" w:hAnsi="Times New Roman" w:cs="Times New Roman"/>
                <w:sz w:val="20"/>
                <w:szCs w:val="20"/>
              </w:rPr>
            </w:pPr>
          </w:p>
          <w:p w14:paraId="3E05BE0B" w14:textId="77777777" w:rsidR="00FD1900" w:rsidRPr="006E3A0F" w:rsidRDefault="00FD1900" w:rsidP="00304B2F">
            <w:pPr>
              <w:pStyle w:val="ListParagraph"/>
              <w:numPr>
                <w:ilvl w:val="0"/>
                <w:numId w:val="34"/>
              </w:num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“A station” refers to a single location. </w:t>
            </w:r>
          </w:p>
          <w:p w14:paraId="7D5888E7" w14:textId="77777777" w:rsidR="00FD1900" w:rsidRPr="006E3A0F" w:rsidRDefault="00FD1900" w:rsidP="00304B2F">
            <w:pPr>
              <w:pStyle w:val="ListParagraph"/>
              <w:numPr>
                <w:ilvl w:val="1"/>
                <w:numId w:val="34"/>
              </w:num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The 2021 Q&amp;A referenced asked whether a station requires a “large structure.” In the context of that question, DCA’s response was intended to affirm that, for example, a single bus stop with three intersecting bus routes would not be disqualified due to its lacking a “large structure” often associated with the term “station.” </w:t>
            </w:r>
          </w:p>
          <w:p w14:paraId="48890F1D" w14:textId="77777777" w:rsidR="00FD1900" w:rsidRPr="006E3A0F" w:rsidRDefault="00FD1900" w:rsidP="00304B2F">
            <w:pPr>
              <w:pStyle w:val="ListParagraph"/>
              <w:numPr>
                <w:ilvl w:val="1"/>
                <w:numId w:val="34"/>
              </w:num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A series of bus stops in close proximity do not operate at a single location and therefore do not constitute a transit hub.</w:t>
            </w:r>
            <w:r w:rsidRPr="006E3A0F">
              <w:rPr>
                <w:rFonts w:ascii="Times New Roman" w:eastAsia="Times New Roman" w:hAnsi="Times New Roman" w:cs="Times New Roman"/>
                <w:sz w:val="20"/>
                <w:szCs w:val="20"/>
              </w:rPr>
              <w:br/>
            </w:r>
          </w:p>
          <w:p w14:paraId="4D15957D" w14:textId="77777777" w:rsidR="00FD1900" w:rsidRPr="006E3A0F" w:rsidRDefault="00FD1900" w:rsidP="00304B2F">
            <w:pPr>
              <w:pStyle w:val="ListParagraph"/>
              <w:numPr>
                <w:ilvl w:val="0"/>
                <w:numId w:val="34"/>
              </w:num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Please note that the QAP qualifies transit hubs based on the number of transit routes at a station, not stops or loops. This question compares an area with three nearby bus stops to a station with two bus loops, neither of which confirms how many routes operate at any of the physical locations. Therefore, the question does not contain sufficient information to assess whether either circumstance qualifies under this section.</w:t>
            </w:r>
          </w:p>
        </w:tc>
      </w:tr>
      <w:tr w:rsidR="00FD1900" w:rsidRPr="006E3A0F" w14:paraId="7F5D1927" w14:textId="77777777" w:rsidTr="1995616E">
        <w:trPr>
          <w:jc w:val="center"/>
        </w:trPr>
        <w:tc>
          <w:tcPr>
            <w:tcW w:w="2157" w:type="dxa"/>
            <w:shd w:val="clear" w:color="auto" w:fill="auto"/>
            <w:tcMar>
              <w:top w:w="72" w:type="dxa"/>
              <w:left w:w="115" w:type="dxa"/>
              <w:bottom w:w="72" w:type="dxa"/>
              <w:right w:w="115" w:type="dxa"/>
            </w:tcMar>
            <w:vAlign w:val="center"/>
          </w:tcPr>
          <w:p w14:paraId="473B946E"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14:paraId="53BA0B7D"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3.10</w:t>
            </w:r>
          </w:p>
          <w:p w14:paraId="235797D9"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726926B6"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Stable Communities</w:t>
            </w:r>
          </w:p>
        </w:tc>
        <w:tc>
          <w:tcPr>
            <w:tcW w:w="9590" w:type="dxa"/>
            <w:shd w:val="clear" w:color="auto" w:fill="auto"/>
            <w:tcMar>
              <w:top w:w="72" w:type="dxa"/>
              <w:left w:w="115" w:type="dxa"/>
              <w:bottom w:w="72" w:type="dxa"/>
              <w:right w:w="115" w:type="dxa"/>
            </w:tcMar>
            <w:vAlign w:val="center"/>
          </w:tcPr>
          <w:p w14:paraId="46FF0DE0"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Question</w:t>
            </w:r>
            <w:r w:rsidRPr="006E3A0F">
              <w:rPr>
                <w:rFonts w:ascii="Times New Roman" w:hAnsi="Times New Roman" w:cs="Times New Roman"/>
                <w:sz w:val="20"/>
                <w:szCs w:val="20"/>
              </w:rPr>
              <w:t>: Q22_0419_03</w:t>
            </w:r>
          </w:p>
          <w:p w14:paraId="41C42AA8"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When looking at the updated DCA Health and Economic Indicators table, I am unable to find the census tract that a site is located in. The census tract is shown on the 2019 tabs and life expectancy tabs but does not appear on the 2020 tabs of the spreadsheet. Can you please clarify as to why the census tract does not appear? </w:t>
            </w:r>
          </w:p>
          <w:p w14:paraId="1DA55888" w14:textId="77777777" w:rsidR="00FD1900" w:rsidRPr="006E3A0F" w:rsidRDefault="00FD1900" w:rsidP="00304B2F">
            <w:pPr>
              <w:contextualSpacing/>
              <w:rPr>
                <w:rFonts w:ascii="Times New Roman" w:hAnsi="Times New Roman" w:cs="Times New Roman"/>
                <w:sz w:val="20"/>
                <w:szCs w:val="20"/>
              </w:rPr>
            </w:pPr>
          </w:p>
          <w:p w14:paraId="6B4229A7"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Answer</w:t>
            </w:r>
            <w:r w:rsidRPr="006E3A0F">
              <w:rPr>
                <w:rFonts w:ascii="Times New Roman" w:hAnsi="Times New Roman" w:cs="Times New Roman"/>
                <w:sz w:val="20"/>
                <w:szCs w:val="20"/>
              </w:rPr>
              <w:t xml:space="preserve">: </w:t>
            </w:r>
          </w:p>
          <w:p w14:paraId="6444DA1C"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Census Tracts are updated once per decade, following the Decennial Census. The 2020 Census data is based on the Census Tracts, as defined by the 2020 Decennial Census. The Census Bureau published a file showing relationships between 2010 and 2020 Census Tracts, which DCA has uploaded to the Scoring Documents and Data page of the DCA website (</w:t>
            </w:r>
            <w:hyperlink r:id="rId24" w:history="1">
              <w:r w:rsidRPr="006E3A0F">
                <w:rPr>
                  <w:rStyle w:val="Hyperlink"/>
                  <w:rFonts w:ascii="Times New Roman" w:hAnsi="Times New Roman" w:cs="Times New Roman"/>
                  <w:color w:val="auto"/>
                  <w:sz w:val="20"/>
                  <w:szCs w:val="20"/>
                </w:rPr>
                <w:t>click here</w:t>
              </w:r>
            </w:hyperlink>
            <w:r w:rsidRPr="006E3A0F">
              <w:rPr>
                <w:rFonts w:ascii="Times New Roman" w:hAnsi="Times New Roman" w:cs="Times New Roman"/>
                <w:sz w:val="20"/>
                <w:szCs w:val="20"/>
              </w:rPr>
              <w:t>).</w:t>
            </w:r>
          </w:p>
          <w:p w14:paraId="40705A7C" w14:textId="77777777" w:rsidR="00FD1900" w:rsidRPr="006E3A0F" w:rsidRDefault="00FD1900" w:rsidP="00304B2F">
            <w:pPr>
              <w:rPr>
                <w:rFonts w:ascii="Times New Roman" w:hAnsi="Times New Roman" w:cs="Times New Roman"/>
                <w:sz w:val="20"/>
                <w:szCs w:val="20"/>
              </w:rPr>
            </w:pPr>
          </w:p>
          <w:p w14:paraId="314C199E"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To help applicants understand how Census Tracts have changed, DCA has added layers to the Housing Tax Credit Properties Map showing 2010 Census Tracts and 2020 Census Tracts. You may identify your site’s new Census Tract number and associated values for Stable Communities Health and Economic Indicators data through the following steps:</w:t>
            </w:r>
          </w:p>
          <w:p w14:paraId="4F7FA2AE" w14:textId="77777777" w:rsidR="00FD1900" w:rsidRPr="006E3A0F" w:rsidRDefault="00FD1900" w:rsidP="00304B2F">
            <w:pPr>
              <w:pStyle w:val="ListParagraph"/>
              <w:numPr>
                <w:ilvl w:val="0"/>
                <w:numId w:val="39"/>
              </w:numPr>
              <w:rPr>
                <w:rFonts w:ascii="Times New Roman" w:hAnsi="Times New Roman" w:cs="Times New Roman"/>
                <w:sz w:val="20"/>
                <w:szCs w:val="20"/>
              </w:rPr>
            </w:pPr>
            <w:r w:rsidRPr="006E3A0F">
              <w:rPr>
                <w:rFonts w:ascii="Times New Roman" w:hAnsi="Times New Roman" w:cs="Times New Roman"/>
                <w:sz w:val="20"/>
                <w:szCs w:val="20"/>
              </w:rPr>
              <w:t>Open the Housing Tax Credit Properties Map (</w:t>
            </w:r>
            <w:hyperlink r:id="rId25" w:history="1">
              <w:r w:rsidRPr="006E3A0F">
                <w:rPr>
                  <w:rStyle w:val="Hyperlink"/>
                  <w:rFonts w:ascii="Times New Roman" w:hAnsi="Times New Roman" w:cs="Times New Roman"/>
                  <w:color w:val="auto"/>
                  <w:sz w:val="20"/>
                  <w:szCs w:val="20"/>
                </w:rPr>
                <w:t>click here</w:t>
              </w:r>
            </w:hyperlink>
            <w:r w:rsidRPr="006E3A0F">
              <w:rPr>
                <w:rFonts w:ascii="Times New Roman" w:hAnsi="Times New Roman" w:cs="Times New Roman"/>
                <w:sz w:val="20"/>
                <w:szCs w:val="20"/>
              </w:rPr>
              <w:t>)</w:t>
            </w:r>
          </w:p>
          <w:p w14:paraId="6E90D6B5" w14:textId="77777777" w:rsidR="00FD1900" w:rsidRPr="006E3A0F" w:rsidRDefault="00FD1900" w:rsidP="00304B2F">
            <w:pPr>
              <w:pStyle w:val="ListParagraph"/>
              <w:numPr>
                <w:ilvl w:val="0"/>
                <w:numId w:val="39"/>
              </w:numPr>
              <w:rPr>
                <w:rFonts w:ascii="Times New Roman" w:hAnsi="Times New Roman" w:cs="Times New Roman"/>
                <w:sz w:val="20"/>
                <w:szCs w:val="20"/>
              </w:rPr>
            </w:pPr>
            <w:r w:rsidRPr="006E3A0F">
              <w:rPr>
                <w:rFonts w:ascii="Times New Roman" w:hAnsi="Times New Roman" w:cs="Times New Roman"/>
                <w:sz w:val="20"/>
                <w:szCs w:val="20"/>
              </w:rPr>
              <w:t>Enter your site’s address or coordinates in the search bar</w:t>
            </w:r>
          </w:p>
          <w:p w14:paraId="4589D45E" w14:textId="77777777" w:rsidR="00FD1900" w:rsidRPr="006E3A0F" w:rsidRDefault="00FD1900" w:rsidP="00304B2F">
            <w:pPr>
              <w:pStyle w:val="ListParagraph"/>
              <w:rPr>
                <w:rFonts w:ascii="Times New Roman" w:hAnsi="Times New Roman" w:cs="Times New Roman"/>
                <w:sz w:val="20"/>
                <w:szCs w:val="20"/>
              </w:rPr>
            </w:pPr>
            <w:r w:rsidRPr="006E3A0F">
              <w:rPr>
                <w:rFonts w:ascii="Times New Roman" w:hAnsi="Times New Roman" w:cs="Times New Roman"/>
                <w:noProof/>
                <w:sz w:val="20"/>
                <w:szCs w:val="20"/>
              </w:rPr>
              <w:drawing>
                <wp:inline distT="0" distB="0" distL="0" distR="0" wp14:anchorId="0449961E" wp14:editId="1610B9E5">
                  <wp:extent cx="4710989" cy="208924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33639" cy="2099288"/>
                          </a:xfrm>
                          <a:prstGeom prst="rect">
                            <a:avLst/>
                          </a:prstGeom>
                        </pic:spPr>
                      </pic:pic>
                    </a:graphicData>
                  </a:graphic>
                </wp:inline>
              </w:drawing>
            </w:r>
          </w:p>
          <w:p w14:paraId="53A4E24E" w14:textId="77777777" w:rsidR="00FD1900" w:rsidRPr="006E3A0F" w:rsidRDefault="00FD1900" w:rsidP="00304B2F">
            <w:pPr>
              <w:pStyle w:val="ListParagraph"/>
              <w:numPr>
                <w:ilvl w:val="0"/>
                <w:numId w:val="39"/>
              </w:numPr>
              <w:rPr>
                <w:rFonts w:ascii="Times New Roman" w:hAnsi="Times New Roman" w:cs="Times New Roman"/>
                <w:sz w:val="20"/>
                <w:szCs w:val="20"/>
              </w:rPr>
            </w:pPr>
            <w:r w:rsidRPr="006E3A0F">
              <w:rPr>
                <w:rFonts w:ascii="Times New Roman" w:hAnsi="Times New Roman" w:cs="Times New Roman"/>
                <w:sz w:val="20"/>
                <w:szCs w:val="20"/>
              </w:rPr>
              <w:t>Click on the site location</w:t>
            </w:r>
          </w:p>
          <w:p w14:paraId="778AA11A" w14:textId="77777777" w:rsidR="00FD1900" w:rsidRPr="006E3A0F" w:rsidRDefault="00FD1900" w:rsidP="00304B2F">
            <w:pPr>
              <w:pStyle w:val="ListParagraph"/>
              <w:keepNext/>
              <w:numPr>
                <w:ilvl w:val="0"/>
                <w:numId w:val="39"/>
              </w:numPr>
              <w:rPr>
                <w:rFonts w:ascii="Times New Roman" w:hAnsi="Times New Roman" w:cs="Times New Roman"/>
                <w:sz w:val="20"/>
                <w:szCs w:val="20"/>
              </w:rPr>
            </w:pPr>
            <w:r w:rsidRPr="006E3A0F">
              <w:rPr>
                <w:rFonts w:ascii="Times New Roman" w:hAnsi="Times New Roman" w:cs="Times New Roman"/>
                <w:sz w:val="20"/>
                <w:szCs w:val="20"/>
              </w:rPr>
              <w:t>Click the arrows in the pop-up box to find the 2020 Census Tract number</w:t>
            </w:r>
          </w:p>
          <w:p w14:paraId="1C534953" w14:textId="77777777" w:rsidR="00FD1900" w:rsidRPr="006E3A0F" w:rsidRDefault="00FD1900" w:rsidP="00304B2F">
            <w:pPr>
              <w:pStyle w:val="ListParagraph"/>
              <w:keepNext/>
              <w:rPr>
                <w:rFonts w:ascii="Times New Roman" w:hAnsi="Times New Roman" w:cs="Times New Roman"/>
                <w:sz w:val="20"/>
                <w:szCs w:val="20"/>
              </w:rPr>
            </w:pPr>
            <w:r w:rsidRPr="006E3A0F">
              <w:rPr>
                <w:rFonts w:ascii="Times New Roman" w:hAnsi="Times New Roman" w:cs="Times New Roman"/>
                <w:noProof/>
                <w:sz w:val="20"/>
                <w:szCs w:val="20"/>
              </w:rPr>
              <w:drawing>
                <wp:inline distT="0" distB="0" distL="0" distR="0" wp14:anchorId="1AB83420" wp14:editId="27B4705D">
                  <wp:extent cx="4564684" cy="282317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5191" cy="2829677"/>
                          </a:xfrm>
                          <a:prstGeom prst="rect">
                            <a:avLst/>
                          </a:prstGeom>
                        </pic:spPr>
                      </pic:pic>
                    </a:graphicData>
                  </a:graphic>
                </wp:inline>
              </w:drawing>
            </w:r>
          </w:p>
          <w:p w14:paraId="4230B7C4" w14:textId="77777777" w:rsidR="00FD1900" w:rsidRPr="006E3A0F" w:rsidRDefault="00FD1900" w:rsidP="00304B2F">
            <w:pPr>
              <w:pStyle w:val="ListParagraph"/>
              <w:numPr>
                <w:ilvl w:val="0"/>
                <w:numId w:val="39"/>
              </w:numPr>
              <w:rPr>
                <w:rFonts w:ascii="Times New Roman" w:hAnsi="Times New Roman" w:cs="Times New Roman"/>
                <w:sz w:val="20"/>
                <w:szCs w:val="20"/>
              </w:rPr>
            </w:pPr>
            <w:r w:rsidRPr="006E3A0F">
              <w:rPr>
                <w:rFonts w:ascii="Times New Roman" w:hAnsi="Times New Roman" w:cs="Times New Roman"/>
                <w:sz w:val="20"/>
                <w:szCs w:val="20"/>
              </w:rPr>
              <w:t>Click the arrows to find 2020 Stable Communities data</w:t>
            </w:r>
          </w:p>
          <w:p w14:paraId="6206A009" w14:textId="77777777" w:rsidR="00FD1900" w:rsidRPr="006E3A0F" w:rsidRDefault="00FD1900" w:rsidP="00304B2F">
            <w:pPr>
              <w:pStyle w:val="ListParagraph"/>
              <w:rPr>
                <w:rFonts w:ascii="Times New Roman" w:hAnsi="Times New Roman" w:cs="Times New Roman"/>
                <w:sz w:val="20"/>
                <w:szCs w:val="20"/>
              </w:rPr>
            </w:pPr>
            <w:r w:rsidRPr="006E3A0F">
              <w:rPr>
                <w:rFonts w:ascii="Times New Roman" w:hAnsi="Times New Roman" w:cs="Times New Roman"/>
                <w:noProof/>
                <w:sz w:val="20"/>
                <w:szCs w:val="20"/>
              </w:rPr>
              <w:drawing>
                <wp:inline distT="0" distB="0" distL="0" distR="0" wp14:anchorId="5047773A" wp14:editId="60B5C4EF">
                  <wp:extent cx="4198924" cy="307786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12342" cy="3087702"/>
                          </a:xfrm>
                          <a:prstGeom prst="rect">
                            <a:avLst/>
                          </a:prstGeom>
                        </pic:spPr>
                      </pic:pic>
                    </a:graphicData>
                  </a:graphic>
                </wp:inline>
              </w:drawing>
            </w:r>
          </w:p>
          <w:p w14:paraId="33365E33" w14:textId="77777777" w:rsidR="00FD1900" w:rsidRPr="006E3A0F" w:rsidRDefault="00FD1900" w:rsidP="00304B2F">
            <w:pPr>
              <w:rPr>
                <w:rFonts w:ascii="Times New Roman" w:hAnsi="Times New Roman" w:cs="Times New Roman"/>
                <w:sz w:val="20"/>
                <w:szCs w:val="20"/>
              </w:rPr>
            </w:pPr>
          </w:p>
          <w:p w14:paraId="47C897B4"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If you are unable to identify your site’s 2020 Census Tract following the above steps, please submit the site’s address or coordinates through the Q&amp;A Survey.</w:t>
            </w:r>
          </w:p>
          <w:p w14:paraId="7570B1AC" w14:textId="77777777" w:rsidR="00FD1900" w:rsidRPr="006E3A0F" w:rsidRDefault="00FD1900" w:rsidP="00304B2F">
            <w:pPr>
              <w:textAlignment w:val="baseline"/>
              <w:rPr>
                <w:rFonts w:ascii="Times New Roman" w:eastAsia="Times New Roman" w:hAnsi="Times New Roman" w:cs="Times New Roman"/>
                <w:b/>
                <w:bCs/>
                <w:sz w:val="20"/>
                <w:szCs w:val="20"/>
              </w:rPr>
            </w:pPr>
          </w:p>
        </w:tc>
      </w:tr>
      <w:tr w:rsidR="00FD1900" w:rsidRPr="006E3A0F" w14:paraId="04BEABBA" w14:textId="77777777" w:rsidTr="1995616E">
        <w:trPr>
          <w:jc w:val="center"/>
        </w:trPr>
        <w:tc>
          <w:tcPr>
            <w:tcW w:w="2157" w:type="dxa"/>
            <w:shd w:val="clear" w:color="auto" w:fill="auto"/>
            <w:tcMar>
              <w:top w:w="72" w:type="dxa"/>
              <w:left w:w="115" w:type="dxa"/>
              <w:bottom w:w="72" w:type="dxa"/>
              <w:right w:w="115" w:type="dxa"/>
            </w:tcMar>
            <w:vAlign w:val="center"/>
          </w:tcPr>
          <w:p w14:paraId="319AEF2B"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14:paraId="1FD62428"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3.17</w:t>
            </w:r>
          </w:p>
          <w:p w14:paraId="7535DCB5"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2E610537"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5B11D364"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Q22_0221_06</w:t>
            </w:r>
            <w:r w:rsidRPr="006E3A0F">
              <w:rPr>
                <w:rStyle w:val="eop"/>
                <w:sz w:val="20"/>
                <w:szCs w:val="20"/>
              </w:rPr>
              <w:t> </w:t>
            </w:r>
          </w:p>
          <w:p w14:paraId="55E776F2"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 xml:space="preserve">If Applicant takes points for </w:t>
            </w:r>
            <w:r w:rsidRPr="006E3A0F">
              <w:rPr>
                <w:rStyle w:val="normaltextrun"/>
                <w:b/>
                <w:bCs/>
                <w:sz w:val="20"/>
                <w:szCs w:val="20"/>
              </w:rPr>
              <w:t>Scoring, Minority- and Women-Owned Business Engagement, A. Engagement Commitment and Reporting</w:t>
            </w:r>
            <w:r w:rsidRPr="006E3A0F">
              <w:rPr>
                <w:rStyle w:val="normaltextrun"/>
                <w:sz w:val="20"/>
                <w:szCs w:val="20"/>
              </w:rPr>
              <w:t xml:space="preserve">, and </w:t>
            </w:r>
            <w:r w:rsidRPr="006E3A0F">
              <w:rPr>
                <w:rStyle w:val="advancedproofingissue"/>
                <w:rFonts w:eastAsiaTheme="majorEastAsia"/>
                <w:sz w:val="20"/>
                <w:szCs w:val="20"/>
              </w:rPr>
              <w:t>is able to</w:t>
            </w:r>
            <w:r w:rsidRPr="006E3A0F">
              <w:rPr>
                <w:rStyle w:val="normaltextrun"/>
                <w:sz w:val="20"/>
                <w:szCs w:val="20"/>
              </w:rPr>
              <w:t xml:space="preserve"> get several QBs certified as MBE/WBEs by the Final Allocation Application, and attempts to reach the 5% of total construction hard costs requirement, but reaches an amount less than 5%, has the Applicant still met the scoring requirement, </w:t>
            </w:r>
            <w:r w:rsidRPr="006E3A0F">
              <w:rPr>
                <w:rStyle w:val="advancedproofingissue"/>
                <w:rFonts w:eastAsiaTheme="majorEastAsia"/>
                <w:sz w:val="20"/>
                <w:szCs w:val="20"/>
              </w:rPr>
              <w:t>as long as</w:t>
            </w:r>
            <w:r w:rsidRPr="006E3A0F">
              <w:rPr>
                <w:rStyle w:val="normaltextrun"/>
                <w:sz w:val="20"/>
                <w:szCs w:val="20"/>
              </w:rPr>
              <w:t xml:space="preserve"> this is explained in a report at Final Allocation Application?</w:t>
            </w:r>
            <w:r w:rsidRPr="006E3A0F">
              <w:rPr>
                <w:rStyle w:val="eop"/>
                <w:sz w:val="20"/>
                <w:szCs w:val="20"/>
              </w:rPr>
              <w:t> </w:t>
            </w:r>
          </w:p>
          <w:p w14:paraId="2BCB1707"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293F3DB6"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 </w:t>
            </w:r>
            <w:r w:rsidRPr="006E3A0F">
              <w:rPr>
                <w:rStyle w:val="eop"/>
                <w:sz w:val="20"/>
                <w:szCs w:val="20"/>
              </w:rPr>
              <w:t> </w:t>
            </w:r>
          </w:p>
          <w:p w14:paraId="7A2F449B"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 xml:space="preserve">Yes. DCA will assess compliance with this commitment based on meaningful attempts to reach the 5% threshold and a complete, detailed report submitted with the 8609 </w:t>
            </w:r>
            <w:proofErr w:type="gramStart"/>
            <w:r w:rsidRPr="006E3A0F">
              <w:rPr>
                <w:rStyle w:val="contextualspellingandgrammarerror"/>
                <w:rFonts w:eastAsiaTheme="majorEastAsia"/>
                <w:sz w:val="20"/>
                <w:szCs w:val="20"/>
              </w:rPr>
              <w:t>application</w:t>
            </w:r>
            <w:proofErr w:type="gramEnd"/>
            <w:r w:rsidRPr="006E3A0F">
              <w:rPr>
                <w:rStyle w:val="normaltextrun"/>
                <w:sz w:val="20"/>
                <w:szCs w:val="20"/>
              </w:rPr>
              <w:t>. </w:t>
            </w:r>
            <w:r w:rsidRPr="006E3A0F">
              <w:rPr>
                <w:rStyle w:val="eop"/>
                <w:sz w:val="20"/>
                <w:szCs w:val="20"/>
              </w:rPr>
              <w:t> </w:t>
            </w:r>
          </w:p>
          <w:p w14:paraId="0267F82E"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69A8B894"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Examples of how DCA will assess “meaningful attempts” include, but are not limited to: </w:t>
            </w:r>
            <w:r w:rsidRPr="006E3A0F">
              <w:rPr>
                <w:rStyle w:val="eop"/>
                <w:sz w:val="20"/>
                <w:szCs w:val="20"/>
              </w:rPr>
              <w:t> </w:t>
            </w:r>
          </w:p>
          <w:p w14:paraId="08BDE4A2" w14:textId="77777777" w:rsidR="00FD1900" w:rsidRPr="006E3A0F" w:rsidRDefault="00FD1900" w:rsidP="00304B2F">
            <w:pPr>
              <w:pStyle w:val="paragraph"/>
              <w:numPr>
                <w:ilvl w:val="0"/>
                <w:numId w:val="40"/>
              </w:numPr>
              <w:spacing w:before="0" w:beforeAutospacing="0" w:after="0" w:afterAutospacing="0"/>
              <w:ind w:left="1080" w:firstLine="0"/>
              <w:textAlignment w:val="baseline"/>
              <w:rPr>
                <w:sz w:val="20"/>
                <w:szCs w:val="20"/>
              </w:rPr>
            </w:pPr>
            <w:r w:rsidRPr="006E3A0F">
              <w:rPr>
                <w:rStyle w:val="normaltextrun"/>
                <w:sz w:val="20"/>
                <w:szCs w:val="20"/>
              </w:rPr>
              <w:t xml:space="preserve">the extent of outreach efforts to engage QBs described and evidence substantiating these </w:t>
            </w:r>
            <w:proofErr w:type="gramStart"/>
            <w:r w:rsidRPr="006E3A0F">
              <w:rPr>
                <w:rStyle w:val="contextualspellingandgrammarerror"/>
                <w:rFonts w:eastAsiaTheme="majorEastAsia"/>
                <w:sz w:val="20"/>
                <w:szCs w:val="20"/>
              </w:rPr>
              <w:t>efforts;</w:t>
            </w:r>
            <w:proofErr w:type="gramEnd"/>
            <w:r w:rsidRPr="006E3A0F">
              <w:rPr>
                <w:rStyle w:val="eop"/>
                <w:sz w:val="20"/>
                <w:szCs w:val="20"/>
              </w:rPr>
              <w:t> </w:t>
            </w:r>
          </w:p>
          <w:p w14:paraId="77F8BD51" w14:textId="77777777" w:rsidR="00FD1900" w:rsidRPr="006E3A0F" w:rsidRDefault="00FD1900" w:rsidP="00304B2F">
            <w:pPr>
              <w:pStyle w:val="paragraph"/>
              <w:numPr>
                <w:ilvl w:val="0"/>
                <w:numId w:val="40"/>
              </w:numPr>
              <w:spacing w:before="0" w:beforeAutospacing="0" w:after="0" w:afterAutospacing="0"/>
              <w:ind w:left="1080" w:firstLine="0"/>
              <w:textAlignment w:val="baseline"/>
              <w:rPr>
                <w:sz w:val="20"/>
                <w:szCs w:val="20"/>
              </w:rPr>
            </w:pPr>
            <w:r w:rsidRPr="006E3A0F">
              <w:rPr>
                <w:rStyle w:val="normaltextrun"/>
                <w:sz w:val="20"/>
                <w:szCs w:val="20"/>
              </w:rPr>
              <w:t>comparison of successes between Engagement Reports submitted within the same geographic area. </w:t>
            </w:r>
            <w:r w:rsidRPr="006E3A0F">
              <w:rPr>
                <w:rStyle w:val="eop"/>
                <w:sz w:val="20"/>
                <w:szCs w:val="20"/>
              </w:rPr>
              <w:t> </w:t>
            </w:r>
          </w:p>
          <w:p w14:paraId="1C83BB8C" w14:textId="77777777" w:rsidR="00FD1900" w:rsidRPr="006E3A0F" w:rsidRDefault="00FD1900" w:rsidP="00304B2F">
            <w:pPr>
              <w:textAlignment w:val="baseline"/>
              <w:rPr>
                <w:rFonts w:ascii="Times New Roman" w:eastAsia="Times New Roman" w:hAnsi="Times New Roman" w:cs="Times New Roman"/>
                <w:b/>
                <w:bCs/>
                <w:sz w:val="20"/>
                <w:szCs w:val="20"/>
              </w:rPr>
            </w:pPr>
          </w:p>
        </w:tc>
      </w:tr>
      <w:tr w:rsidR="00FD1900" w:rsidRPr="006E3A0F" w14:paraId="09BD364B" w14:textId="77777777" w:rsidTr="1995616E">
        <w:trPr>
          <w:jc w:val="center"/>
        </w:trPr>
        <w:tc>
          <w:tcPr>
            <w:tcW w:w="2157" w:type="dxa"/>
            <w:shd w:val="clear" w:color="auto" w:fill="auto"/>
            <w:tcMar>
              <w:top w:w="72" w:type="dxa"/>
              <w:left w:w="115" w:type="dxa"/>
              <w:bottom w:w="72" w:type="dxa"/>
              <w:right w:w="115" w:type="dxa"/>
            </w:tcMar>
            <w:vAlign w:val="center"/>
          </w:tcPr>
          <w:p w14:paraId="21CEA516"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14:paraId="0F9FFE68"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3.20</w:t>
            </w:r>
          </w:p>
          <w:p w14:paraId="07EFA537"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0FA1E2C2"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DCA Community Initiatives</w:t>
            </w:r>
          </w:p>
        </w:tc>
        <w:tc>
          <w:tcPr>
            <w:tcW w:w="9590" w:type="dxa"/>
            <w:shd w:val="clear" w:color="auto" w:fill="auto"/>
            <w:tcMar>
              <w:top w:w="72" w:type="dxa"/>
              <w:left w:w="115" w:type="dxa"/>
              <w:bottom w:w="72" w:type="dxa"/>
              <w:right w:w="115" w:type="dxa"/>
            </w:tcMar>
            <w:vAlign w:val="center"/>
          </w:tcPr>
          <w:p w14:paraId="5084F3A8"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Q22_0413_15 </w:t>
            </w:r>
          </w:p>
          <w:p w14:paraId="1784634D"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How can we confirm if a community is a GICH Certified Alumni community? </w:t>
            </w:r>
          </w:p>
          <w:p w14:paraId="4CE250B2"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213EA0B2"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7AA792F2"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A list of current Certified Alumni communities is available on the UGA GICH website under </w:t>
            </w:r>
            <w:r w:rsidRPr="006E3A0F">
              <w:rPr>
                <w:rFonts w:ascii="Times New Roman" w:eastAsia="Times New Roman" w:hAnsi="Times New Roman" w:cs="Times New Roman"/>
                <w:i/>
                <w:iCs/>
                <w:sz w:val="20"/>
                <w:szCs w:val="20"/>
              </w:rPr>
              <w:t>Resources – For Alumni Communities</w:t>
            </w:r>
            <w:r w:rsidRPr="006E3A0F">
              <w:rPr>
                <w:rFonts w:ascii="Times New Roman" w:eastAsia="Times New Roman" w:hAnsi="Times New Roman" w:cs="Times New Roman"/>
                <w:sz w:val="20"/>
                <w:szCs w:val="20"/>
              </w:rPr>
              <w:t xml:space="preserve"> (</w:t>
            </w:r>
            <w:hyperlink r:id="rId29" w:tgtFrame="_blank" w:history="1">
              <w:r w:rsidRPr="006E3A0F">
                <w:rPr>
                  <w:rFonts w:ascii="Times New Roman" w:eastAsia="Times New Roman" w:hAnsi="Times New Roman" w:cs="Times New Roman"/>
                  <w:sz w:val="20"/>
                  <w:szCs w:val="20"/>
                  <w:u w:val="single"/>
                </w:rPr>
                <w:t>click here</w:t>
              </w:r>
            </w:hyperlink>
            <w:r w:rsidRPr="006E3A0F">
              <w:rPr>
                <w:rFonts w:ascii="Times New Roman" w:eastAsia="Times New Roman" w:hAnsi="Times New Roman" w:cs="Times New Roman"/>
                <w:sz w:val="20"/>
                <w:szCs w:val="20"/>
              </w:rPr>
              <w:t xml:space="preserve">). This link has also been added to the Scoring Documents and Data page of the DCA website </w:t>
            </w:r>
            <w:r w:rsidRPr="006E3A0F">
              <w:rPr>
                <w:rFonts w:ascii="Times New Roman" w:hAnsi="Times New Roman" w:cs="Times New Roman"/>
                <w:sz w:val="20"/>
                <w:szCs w:val="20"/>
              </w:rPr>
              <w:t>(</w:t>
            </w:r>
            <w:hyperlink r:id="rId30" w:history="1">
              <w:r w:rsidRPr="006E3A0F">
                <w:rPr>
                  <w:rStyle w:val="Hyperlink"/>
                  <w:rFonts w:ascii="Times New Roman" w:hAnsi="Times New Roman" w:cs="Times New Roman"/>
                  <w:color w:val="auto"/>
                  <w:sz w:val="20"/>
                  <w:szCs w:val="20"/>
                </w:rPr>
                <w:t>click here</w:t>
              </w:r>
            </w:hyperlink>
            <w:r w:rsidRPr="006E3A0F">
              <w:rPr>
                <w:rFonts w:ascii="Times New Roman" w:hAnsi="Times New Roman" w:cs="Times New Roman"/>
                <w:sz w:val="20"/>
                <w:szCs w:val="20"/>
              </w:rPr>
              <w:t>).</w:t>
            </w:r>
          </w:p>
        </w:tc>
      </w:tr>
      <w:tr w:rsidR="00FD1900" w:rsidRPr="006E3A0F" w14:paraId="0A37A33F" w14:textId="77777777" w:rsidTr="1995616E">
        <w:trPr>
          <w:jc w:val="center"/>
        </w:trPr>
        <w:tc>
          <w:tcPr>
            <w:tcW w:w="2157" w:type="dxa"/>
            <w:shd w:val="clear" w:color="auto" w:fill="auto"/>
            <w:tcMar>
              <w:top w:w="72" w:type="dxa"/>
              <w:left w:w="115" w:type="dxa"/>
              <w:bottom w:w="72" w:type="dxa"/>
              <w:right w:w="115" w:type="dxa"/>
            </w:tcMar>
            <w:vAlign w:val="center"/>
          </w:tcPr>
          <w:p w14:paraId="3AD88FC5"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21105F12"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2.06</w:t>
            </w:r>
          </w:p>
          <w:p w14:paraId="0C1BFB9A"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288FF00E"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Appraisals</w:t>
            </w:r>
          </w:p>
        </w:tc>
        <w:tc>
          <w:tcPr>
            <w:tcW w:w="9590" w:type="dxa"/>
            <w:shd w:val="clear" w:color="auto" w:fill="auto"/>
            <w:tcMar>
              <w:top w:w="72" w:type="dxa"/>
              <w:left w:w="115" w:type="dxa"/>
              <w:bottom w:w="72" w:type="dxa"/>
              <w:right w:w="115" w:type="dxa"/>
            </w:tcMar>
            <w:vAlign w:val="center"/>
          </w:tcPr>
          <w:p w14:paraId="34F909E6"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Q22_0404_01 </w:t>
            </w:r>
          </w:p>
          <w:p w14:paraId="50FD9AF7"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Can you please clarify if an appraisal is required to be submitted with Application Submission for a 9% new construction submittal or is an appraisal required if our project receives an award? </w:t>
            </w:r>
          </w:p>
          <w:p w14:paraId="2C2ECA7A"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1A1A6E82"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030E2FF2"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(Threshold) Appraisals</w:t>
            </w:r>
            <w:r w:rsidRPr="006E3A0F">
              <w:rPr>
                <w:rFonts w:ascii="Times New Roman" w:eastAsia="Times New Roman" w:hAnsi="Times New Roman" w:cs="Times New Roman"/>
                <w:sz w:val="20"/>
                <w:szCs w:val="20"/>
              </w:rPr>
              <w:t xml:space="preserve"> indicates the following instances in which Applicants must submit an appraisal at Application Submission: </w:t>
            </w:r>
          </w:p>
          <w:p w14:paraId="52520BAA" w14:textId="77777777" w:rsidR="00FD1900" w:rsidRPr="006E3A0F" w:rsidRDefault="00FD1900" w:rsidP="00304B2F">
            <w:pPr>
              <w:numPr>
                <w:ilvl w:val="0"/>
                <w:numId w:val="35"/>
              </w:numPr>
              <w:ind w:left="1080" w:firstLine="0"/>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Application is claiming acquisition credits for existing structures </w:t>
            </w:r>
          </w:p>
          <w:p w14:paraId="30964DCE" w14:textId="77777777" w:rsidR="00FD1900" w:rsidRPr="006E3A0F" w:rsidRDefault="00FD1900" w:rsidP="00304B2F">
            <w:pPr>
              <w:numPr>
                <w:ilvl w:val="0"/>
                <w:numId w:val="35"/>
              </w:numPr>
              <w:ind w:left="1080" w:firstLine="0"/>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Application has an Identity of Interest between the buyer and seller </w:t>
            </w:r>
          </w:p>
          <w:p w14:paraId="1133A889" w14:textId="77777777" w:rsidR="00FD1900" w:rsidRPr="006E3A0F" w:rsidRDefault="00FD1900" w:rsidP="00304B2F">
            <w:pPr>
              <w:numPr>
                <w:ilvl w:val="0"/>
                <w:numId w:val="36"/>
              </w:numPr>
              <w:ind w:left="1800" w:firstLine="0"/>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Includes seller that is a member of the proposed Project Team, including a limited partner </w:t>
            </w:r>
          </w:p>
          <w:p w14:paraId="05D55B4D"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651C500B" w14:textId="77777777" w:rsidR="00FD1900" w:rsidRPr="006E3A0F" w:rsidRDefault="00FD1900" w:rsidP="00304B2F">
            <w:pPr>
              <w:textAlignment w:val="baseline"/>
              <w:rPr>
                <w:rStyle w:val="normaltextrun"/>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During review, before closing, or upon closing, DCA may commission an appraisal or require submission of an appraisal commissioned by a lender or a DCA-approved appraiser. </w:t>
            </w:r>
          </w:p>
        </w:tc>
      </w:tr>
      <w:tr w:rsidR="00FD1900" w:rsidRPr="006E3A0F" w14:paraId="60A0F709" w14:textId="77777777" w:rsidTr="1995616E">
        <w:trPr>
          <w:jc w:val="center"/>
        </w:trPr>
        <w:tc>
          <w:tcPr>
            <w:tcW w:w="2157" w:type="dxa"/>
            <w:shd w:val="clear" w:color="auto" w:fill="auto"/>
            <w:tcMar>
              <w:top w:w="72" w:type="dxa"/>
              <w:left w:w="115" w:type="dxa"/>
              <w:bottom w:w="72" w:type="dxa"/>
              <w:right w:w="115" w:type="dxa"/>
            </w:tcMar>
            <w:vAlign w:val="center"/>
          </w:tcPr>
          <w:p w14:paraId="137E54EC"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708C9B94"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2.15</w:t>
            </w:r>
          </w:p>
          <w:p w14:paraId="5D395F4B"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7D09BB0D"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Rehabilitation Standards</w:t>
            </w:r>
          </w:p>
        </w:tc>
        <w:tc>
          <w:tcPr>
            <w:tcW w:w="9590" w:type="dxa"/>
            <w:shd w:val="clear" w:color="auto" w:fill="auto"/>
            <w:tcMar>
              <w:top w:w="72" w:type="dxa"/>
              <w:left w:w="115" w:type="dxa"/>
              <w:bottom w:w="72" w:type="dxa"/>
              <w:right w:w="115" w:type="dxa"/>
            </w:tcMar>
            <w:vAlign w:val="center"/>
          </w:tcPr>
          <w:p w14:paraId="7959D6C2"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Question</w:t>
            </w:r>
            <w:r w:rsidRPr="006E3A0F">
              <w:rPr>
                <w:rFonts w:ascii="Times New Roman" w:hAnsi="Times New Roman" w:cs="Times New Roman"/>
                <w:sz w:val="20"/>
                <w:szCs w:val="20"/>
              </w:rPr>
              <w:t>: Q22_0314_01</w:t>
            </w:r>
          </w:p>
          <w:p w14:paraId="0690C631"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Paragraph B of </w:t>
            </w:r>
            <w:r w:rsidRPr="006E3A0F">
              <w:rPr>
                <w:rFonts w:ascii="Times New Roman" w:eastAsia="Times New Roman" w:hAnsi="Times New Roman" w:cs="Times New Roman"/>
                <w:b/>
                <w:bCs/>
                <w:sz w:val="20"/>
                <w:szCs w:val="20"/>
              </w:rPr>
              <w:t>(Threshold) Rehabilitation Standards</w:t>
            </w:r>
            <w:r w:rsidRPr="006E3A0F">
              <w:rPr>
                <w:rFonts w:ascii="Times New Roman" w:eastAsia="Times New Roman" w:hAnsi="Times New Roman" w:cs="Times New Roman"/>
                <w:sz w:val="20"/>
                <w:szCs w:val="20"/>
              </w:rPr>
              <w:t xml:space="preserve"> requires a Physical Needs Assessment and Capital Reserve Study completed by a DCA-qualified consultant.  Can you please direct me to a list of the qualified consultants posted on the DCA website?</w:t>
            </w:r>
          </w:p>
          <w:p w14:paraId="7B10070F" w14:textId="77777777" w:rsidR="00FD1900" w:rsidRPr="006E3A0F" w:rsidRDefault="00FD1900" w:rsidP="00304B2F">
            <w:pPr>
              <w:contextualSpacing/>
              <w:rPr>
                <w:rFonts w:ascii="Times New Roman" w:hAnsi="Times New Roman" w:cs="Times New Roman"/>
                <w:sz w:val="20"/>
                <w:szCs w:val="20"/>
              </w:rPr>
            </w:pPr>
          </w:p>
          <w:p w14:paraId="30EBD2AC" w14:textId="77777777" w:rsidR="00FD1900" w:rsidRPr="006E3A0F" w:rsidRDefault="00FD1900" w:rsidP="00304B2F">
            <w:pPr>
              <w:rPr>
                <w:rFonts w:ascii="Times New Roman" w:hAnsi="Times New Roman" w:cs="Times New Roman"/>
                <w:b/>
                <w:bCs/>
                <w:sz w:val="20"/>
                <w:szCs w:val="20"/>
              </w:rPr>
            </w:pPr>
            <w:r w:rsidRPr="006E3A0F">
              <w:rPr>
                <w:rFonts w:ascii="Times New Roman" w:hAnsi="Times New Roman" w:cs="Times New Roman"/>
                <w:b/>
                <w:bCs/>
                <w:sz w:val="20"/>
                <w:szCs w:val="20"/>
              </w:rPr>
              <w:t>Answer:</w:t>
            </w:r>
          </w:p>
          <w:p w14:paraId="61FDCCA6" w14:textId="77777777" w:rsidR="00FD1900" w:rsidRPr="006E3A0F" w:rsidRDefault="00FD1900" w:rsidP="00304B2F">
            <w:pPr>
              <w:rPr>
                <w:rStyle w:val="normaltextrun"/>
                <w:rFonts w:ascii="Times New Roman" w:eastAsia="MS Mincho" w:hAnsi="Times New Roman" w:cs="Times New Roman"/>
                <w:b/>
                <w:bCs/>
                <w:sz w:val="20"/>
                <w:szCs w:val="20"/>
              </w:rPr>
            </w:pPr>
            <w:r w:rsidRPr="006E3A0F">
              <w:rPr>
                <w:rFonts w:ascii="Times New Roman" w:eastAsia="Times New Roman" w:hAnsi="Times New Roman" w:cs="Times New Roman"/>
                <w:sz w:val="20"/>
                <w:szCs w:val="20"/>
              </w:rPr>
              <w:t xml:space="preserve">DCA does not have a list of qualified consultants posted to our website. </w:t>
            </w:r>
            <w:r w:rsidRPr="006E3A0F">
              <w:rPr>
                <w:rFonts w:ascii="Times New Roman" w:hAnsi="Times New Roman" w:cs="Times New Roman"/>
                <w:sz w:val="20"/>
                <w:szCs w:val="20"/>
              </w:rPr>
              <w:t xml:space="preserve">Per the 2022 QAP, </w:t>
            </w:r>
            <w:r w:rsidRPr="006E3A0F">
              <w:rPr>
                <w:rFonts w:ascii="Times New Roman" w:eastAsia="Calibri" w:hAnsi="Times New Roman" w:cs="Times New Roman"/>
                <w:sz w:val="20"/>
                <w:szCs w:val="20"/>
              </w:rPr>
              <w:t xml:space="preserve">a “Qualified Consultant” is any individual who meets the experience requirements and qualifications as notated in the </w:t>
            </w:r>
            <w:r w:rsidRPr="006E3A0F">
              <w:rPr>
                <w:rFonts w:ascii="Times New Roman" w:eastAsia="Calibri" w:hAnsi="Times New Roman" w:cs="Times New Roman"/>
                <w:b/>
                <w:bCs/>
                <w:sz w:val="20"/>
                <w:szCs w:val="20"/>
              </w:rPr>
              <w:t>2022 Rehabilitation Guide</w:t>
            </w:r>
            <w:r w:rsidRPr="006E3A0F">
              <w:rPr>
                <w:rFonts w:ascii="Times New Roman" w:eastAsia="Calibri" w:hAnsi="Times New Roman" w:cs="Times New Roman"/>
                <w:sz w:val="20"/>
                <w:szCs w:val="20"/>
              </w:rPr>
              <w:t xml:space="preserve">, section </w:t>
            </w:r>
            <w:r w:rsidRPr="006E3A0F">
              <w:rPr>
                <w:rFonts w:ascii="Times New Roman" w:eastAsia="Calibri" w:hAnsi="Times New Roman" w:cs="Times New Roman"/>
                <w:b/>
                <w:bCs/>
                <w:sz w:val="20"/>
                <w:szCs w:val="20"/>
              </w:rPr>
              <w:t>5. Physical Needs Assessments</w:t>
            </w:r>
            <w:r w:rsidRPr="006E3A0F">
              <w:rPr>
                <w:rFonts w:ascii="Times New Roman" w:eastAsia="Calibri" w:hAnsi="Times New Roman" w:cs="Times New Roman"/>
                <w:sz w:val="20"/>
                <w:szCs w:val="20"/>
              </w:rPr>
              <w:t xml:space="preserve">, subsection </w:t>
            </w:r>
            <w:r w:rsidRPr="006E3A0F">
              <w:rPr>
                <w:rFonts w:ascii="Times New Roman" w:eastAsia="Calibri" w:hAnsi="Times New Roman" w:cs="Times New Roman"/>
                <w:b/>
                <w:bCs/>
                <w:sz w:val="20"/>
                <w:szCs w:val="20"/>
              </w:rPr>
              <w:t xml:space="preserve">A. “Qualified Consultant.” </w:t>
            </w:r>
            <w:r w:rsidRPr="006E3A0F">
              <w:rPr>
                <w:rFonts w:ascii="Times New Roman" w:eastAsia="Calibri" w:hAnsi="Times New Roman" w:cs="Times New Roman"/>
                <w:sz w:val="20"/>
                <w:szCs w:val="20"/>
              </w:rPr>
              <w:t>The report must include a certification that the report was prepared by an individual who meets the above-listed experience requirements and qualifications to be considered a Qualified Consultant.</w:t>
            </w:r>
          </w:p>
        </w:tc>
      </w:tr>
      <w:tr w:rsidR="00FD1900" w:rsidRPr="006E3A0F" w14:paraId="7C8A4C63" w14:textId="77777777" w:rsidTr="1995616E">
        <w:trPr>
          <w:jc w:val="center"/>
        </w:trPr>
        <w:tc>
          <w:tcPr>
            <w:tcW w:w="2157" w:type="dxa"/>
            <w:shd w:val="clear" w:color="auto" w:fill="auto"/>
            <w:tcMar>
              <w:top w:w="72" w:type="dxa"/>
              <w:left w:w="115" w:type="dxa"/>
              <w:bottom w:w="72" w:type="dxa"/>
              <w:right w:w="115" w:type="dxa"/>
            </w:tcMar>
            <w:vAlign w:val="center"/>
          </w:tcPr>
          <w:p w14:paraId="1A320258"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0B9096EE"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2.17</w:t>
            </w:r>
          </w:p>
          <w:p w14:paraId="44FADB56"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66BD58E4"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Building Sustainability</w:t>
            </w:r>
          </w:p>
        </w:tc>
        <w:tc>
          <w:tcPr>
            <w:tcW w:w="9590" w:type="dxa"/>
            <w:shd w:val="clear" w:color="auto" w:fill="auto"/>
            <w:tcMar>
              <w:top w:w="72" w:type="dxa"/>
              <w:left w:w="115" w:type="dxa"/>
              <w:bottom w:w="72" w:type="dxa"/>
              <w:right w:w="115" w:type="dxa"/>
            </w:tcMar>
            <w:vAlign w:val="center"/>
          </w:tcPr>
          <w:p w14:paraId="09081D31"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Q1221_01</w:t>
            </w:r>
            <w:r w:rsidRPr="006E3A0F">
              <w:rPr>
                <w:rStyle w:val="eop"/>
                <w:sz w:val="20"/>
                <w:szCs w:val="20"/>
              </w:rPr>
              <w:t> </w:t>
            </w:r>
          </w:p>
          <w:p w14:paraId="175485AB"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 xml:space="preserve">(Threshold) Building Sustainability, C. DCA Building Sustainability </w:t>
            </w:r>
            <w:r w:rsidRPr="006E3A0F">
              <w:rPr>
                <w:rStyle w:val="normaltextrun"/>
                <w:sz w:val="20"/>
                <w:szCs w:val="20"/>
              </w:rPr>
              <w:t>requires applicants to complete DCA’s virtual Building Sustainability training. Who is required to obtain the training and certificate, and how can that person obtain the training and certificate?</w:t>
            </w:r>
            <w:r w:rsidRPr="006E3A0F">
              <w:rPr>
                <w:rStyle w:val="eop"/>
                <w:sz w:val="20"/>
                <w:szCs w:val="20"/>
              </w:rPr>
              <w:t> </w:t>
            </w:r>
          </w:p>
          <w:p w14:paraId="2098B2B0"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1D0BBAF1"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 </w:t>
            </w:r>
            <w:r w:rsidRPr="006E3A0F">
              <w:rPr>
                <w:rStyle w:val="eop"/>
                <w:sz w:val="20"/>
                <w:szCs w:val="20"/>
              </w:rPr>
              <w:t> </w:t>
            </w:r>
          </w:p>
          <w:p w14:paraId="660F8172"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Applicants (defined as “the General Partner” in the QAP) must complete DCA’s virtual Building Sustainability training.</w:t>
            </w:r>
            <w:r w:rsidRPr="006E3A0F">
              <w:rPr>
                <w:rStyle w:val="eop"/>
                <w:sz w:val="20"/>
                <w:szCs w:val="20"/>
              </w:rPr>
              <w:t> </w:t>
            </w:r>
          </w:p>
          <w:p w14:paraId="7BE5E0B5"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3CEA67FB" w14:textId="77777777" w:rsidR="00FD1900" w:rsidRPr="006E3A0F" w:rsidRDefault="00FD1900" w:rsidP="00304B2F">
            <w:pPr>
              <w:pStyle w:val="paragraph"/>
              <w:spacing w:before="0" w:beforeAutospacing="0" w:after="0" w:afterAutospacing="0"/>
              <w:textAlignment w:val="baseline"/>
              <w:rPr>
                <w:sz w:val="20"/>
                <w:szCs w:val="20"/>
              </w:rPr>
            </w:pPr>
            <w:r w:rsidRPr="006E3A0F">
              <w:rPr>
                <w:sz w:val="20"/>
                <w:szCs w:val="20"/>
              </w:rPr>
              <w:t>The training is posted to the DCA YouTube page (</w:t>
            </w:r>
            <w:hyperlink r:id="rId31" w:tgtFrame="_blank" w:history="1">
              <w:r w:rsidRPr="006E3A0F">
                <w:rPr>
                  <w:rStyle w:val="normaltextrun"/>
                  <w:sz w:val="20"/>
                  <w:szCs w:val="20"/>
                  <w:u w:val="single"/>
                </w:rPr>
                <w:t>click here</w:t>
              </w:r>
            </w:hyperlink>
            <w:r w:rsidRPr="006E3A0F">
              <w:rPr>
                <w:sz w:val="20"/>
                <w:szCs w:val="20"/>
              </w:rPr>
              <w:t>).</w:t>
            </w:r>
          </w:p>
          <w:p w14:paraId="07A3D524" w14:textId="77777777" w:rsidR="00FD1900" w:rsidRPr="006E3A0F" w:rsidRDefault="00FD1900" w:rsidP="00304B2F">
            <w:pPr>
              <w:pStyle w:val="paragraph"/>
              <w:spacing w:before="0" w:beforeAutospacing="0" w:after="0" w:afterAutospacing="0"/>
              <w:textAlignment w:val="baseline"/>
              <w:rPr>
                <w:rStyle w:val="normaltextrun"/>
                <w:b/>
                <w:bCs/>
                <w:sz w:val="20"/>
                <w:szCs w:val="20"/>
              </w:rPr>
            </w:pPr>
          </w:p>
          <w:p w14:paraId="33346819" w14:textId="77777777" w:rsidR="00FD1900" w:rsidRPr="006E3A0F" w:rsidRDefault="00FD1900" w:rsidP="00304B2F">
            <w:pPr>
              <w:pStyle w:val="paragraph"/>
              <w:spacing w:before="0" w:beforeAutospacing="0" w:after="0" w:afterAutospacing="0"/>
              <w:textAlignment w:val="baseline"/>
              <w:rPr>
                <w:rStyle w:val="normaltextrun"/>
                <w:b/>
                <w:bCs/>
                <w:sz w:val="20"/>
                <w:szCs w:val="20"/>
              </w:rPr>
            </w:pPr>
            <w:r w:rsidRPr="006E3A0F">
              <w:rPr>
                <w:rStyle w:val="normaltextrun"/>
                <w:sz w:val="20"/>
                <w:szCs w:val="20"/>
                <w:shd w:val="clear" w:color="auto" w:fill="FFFFFF"/>
              </w:rPr>
              <w:t>Please note, the YouTube video will not generate a Certificate of Participation.  Applicants will certify completion of the training in the Building Sustainability section of the Core Application, which will also include a link to the Building Sustainability training video linked above.</w:t>
            </w:r>
          </w:p>
        </w:tc>
      </w:tr>
      <w:tr w:rsidR="00FD1900" w:rsidRPr="006E3A0F" w14:paraId="30189F29" w14:textId="77777777" w:rsidTr="1995616E">
        <w:trPr>
          <w:jc w:val="center"/>
        </w:trPr>
        <w:tc>
          <w:tcPr>
            <w:tcW w:w="2157" w:type="dxa"/>
            <w:shd w:val="clear" w:color="auto" w:fill="auto"/>
            <w:tcMar>
              <w:top w:w="72" w:type="dxa"/>
              <w:left w:w="115" w:type="dxa"/>
              <w:bottom w:w="72" w:type="dxa"/>
              <w:right w:w="115" w:type="dxa"/>
            </w:tcMar>
            <w:vAlign w:val="center"/>
          </w:tcPr>
          <w:p w14:paraId="60A172D7"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2CBF8C21"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2.21</w:t>
            </w:r>
          </w:p>
          <w:p w14:paraId="4B6FA8A7"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15A5E045"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Eligibility for Credit Under the Preservation Set Asides</w:t>
            </w:r>
          </w:p>
        </w:tc>
        <w:tc>
          <w:tcPr>
            <w:tcW w:w="9590" w:type="dxa"/>
            <w:shd w:val="clear" w:color="auto" w:fill="auto"/>
            <w:tcMar>
              <w:top w:w="72" w:type="dxa"/>
              <w:left w:w="115" w:type="dxa"/>
              <w:bottom w:w="72" w:type="dxa"/>
              <w:right w:w="115" w:type="dxa"/>
            </w:tcMar>
            <w:vAlign w:val="center"/>
          </w:tcPr>
          <w:p w14:paraId="17996321"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Q22_0405_01 </w:t>
            </w:r>
          </w:p>
          <w:p w14:paraId="727C94F8"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If a project qualifies as a Preservation 9% HTC and a Preservation 9% HUD, are we allowed to apply under both categories for a single project? </w:t>
            </w:r>
          </w:p>
          <w:p w14:paraId="306BDFD6"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3576E464"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2D24AD64"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The QAP states in </w:t>
            </w:r>
            <w:r w:rsidRPr="006E3A0F">
              <w:rPr>
                <w:rFonts w:ascii="Times New Roman" w:eastAsia="Times New Roman" w:hAnsi="Times New Roman" w:cs="Times New Roman"/>
                <w:b/>
                <w:bCs/>
                <w:sz w:val="20"/>
                <w:szCs w:val="20"/>
              </w:rPr>
              <w:t>(Threshold) Eligibility for Credit Under the Preservation Set Asides</w:t>
            </w:r>
            <w:r w:rsidRPr="006E3A0F">
              <w:rPr>
                <w:rFonts w:ascii="Times New Roman" w:eastAsia="Times New Roman" w:hAnsi="Times New Roman" w:cs="Times New Roman"/>
                <w:sz w:val="20"/>
                <w:szCs w:val="20"/>
              </w:rPr>
              <w:t xml:space="preserve">, “Applications may not compete in multiple preservation set asides.” This was intended to address the staff time associated with </w:t>
            </w:r>
            <w:proofErr w:type="gramStart"/>
            <w:r w:rsidRPr="006E3A0F">
              <w:rPr>
                <w:rFonts w:ascii="Times New Roman" w:eastAsia="Times New Roman" w:hAnsi="Times New Roman" w:cs="Times New Roman"/>
                <w:sz w:val="20"/>
                <w:szCs w:val="20"/>
              </w:rPr>
              <w:t>separately-ranked</w:t>
            </w:r>
            <w:proofErr w:type="gramEnd"/>
            <w:r w:rsidRPr="006E3A0F">
              <w:rPr>
                <w:rFonts w:ascii="Times New Roman" w:eastAsia="Times New Roman" w:hAnsi="Times New Roman" w:cs="Times New Roman"/>
                <w:sz w:val="20"/>
                <w:szCs w:val="20"/>
              </w:rPr>
              <w:t xml:space="preserve"> Preservation Set Asides and, in certain instances, the distinct scoring criteria between set asides.  </w:t>
            </w:r>
          </w:p>
          <w:p w14:paraId="731C9FBB"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2C28B0F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Since the QAP defines an “Application” based on “the set of required and requested documents” rather than a specific development, a project team interested in submitting the same development for multiple Preservation Set Asides can submit multiple applications and associated fees.</w:t>
            </w:r>
          </w:p>
        </w:tc>
      </w:tr>
      <w:tr w:rsidR="00FD1900" w:rsidRPr="006E3A0F" w14:paraId="42E04464" w14:textId="77777777" w:rsidTr="1995616E">
        <w:trPr>
          <w:jc w:val="center"/>
        </w:trPr>
        <w:tc>
          <w:tcPr>
            <w:tcW w:w="2157" w:type="dxa"/>
            <w:shd w:val="clear" w:color="auto" w:fill="auto"/>
            <w:tcMar>
              <w:top w:w="72" w:type="dxa"/>
              <w:left w:w="115" w:type="dxa"/>
              <w:bottom w:w="72" w:type="dxa"/>
              <w:right w:w="115" w:type="dxa"/>
            </w:tcMar>
            <w:vAlign w:val="center"/>
          </w:tcPr>
          <w:p w14:paraId="3B9EB5AC"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52AC4FCA"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3.06</w:t>
            </w:r>
          </w:p>
          <w:p w14:paraId="377DDD16"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729773A0"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Community Transportation Options</w:t>
            </w:r>
          </w:p>
        </w:tc>
        <w:tc>
          <w:tcPr>
            <w:tcW w:w="9590" w:type="dxa"/>
            <w:shd w:val="clear" w:color="auto" w:fill="auto"/>
            <w:tcMar>
              <w:top w:w="72" w:type="dxa"/>
              <w:left w:w="115" w:type="dxa"/>
              <w:bottom w:w="72" w:type="dxa"/>
              <w:right w:w="115" w:type="dxa"/>
            </w:tcMar>
            <w:vAlign w:val="center"/>
          </w:tcPr>
          <w:p w14:paraId="373BAAC6"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Question</w:t>
            </w:r>
            <w:r w:rsidRPr="006E3A0F">
              <w:rPr>
                <w:rFonts w:ascii="Times New Roman" w:hAnsi="Times New Roman" w:cs="Times New Roman"/>
                <w:sz w:val="20"/>
                <w:szCs w:val="20"/>
              </w:rPr>
              <w:t>: Q22_0330_02</w:t>
            </w:r>
          </w:p>
          <w:p w14:paraId="07134C45"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 </w:t>
            </w:r>
            <w:r w:rsidRPr="006E3A0F">
              <w:rPr>
                <w:rFonts w:ascii="Times New Roman" w:eastAsia="Times New Roman" w:hAnsi="Times New Roman" w:cs="Times New Roman"/>
                <w:b/>
                <w:bCs/>
                <w:sz w:val="20"/>
                <w:szCs w:val="20"/>
              </w:rPr>
              <w:t>(Scoring) Community Transportation Options, A. Transit-Oriented Development</w:t>
            </w:r>
            <w:r w:rsidRPr="006E3A0F">
              <w:rPr>
                <w:rFonts w:ascii="Times New Roman" w:eastAsia="Times New Roman" w:hAnsi="Times New Roman" w:cs="Times New Roman"/>
                <w:sz w:val="20"/>
                <w:szCs w:val="20"/>
              </w:rPr>
              <w:t xml:space="preserve"> defines a transit hub as "a station that has three or more bus routes, rail options, and/or other affordable mass transit options". In prior rounds, points have been awarded for various types of transit hubs (</w:t>
            </w:r>
            <w:proofErr w:type="gramStart"/>
            <w:r w:rsidRPr="006E3A0F">
              <w:rPr>
                <w:rFonts w:ascii="Times New Roman" w:eastAsia="Times New Roman" w:hAnsi="Times New Roman" w:cs="Times New Roman"/>
                <w:sz w:val="20"/>
                <w:szCs w:val="20"/>
              </w:rPr>
              <w:t>e.g.</w:t>
            </w:r>
            <w:proofErr w:type="gramEnd"/>
            <w:r w:rsidRPr="006E3A0F">
              <w:rPr>
                <w:rFonts w:ascii="Times New Roman" w:eastAsia="Times New Roman" w:hAnsi="Times New Roman" w:cs="Times New Roman"/>
                <w:sz w:val="20"/>
                <w:szCs w:val="20"/>
              </w:rPr>
              <w:t xml:space="preserve">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0A619A7B" w14:textId="77777777" w:rsidR="00FD1900" w:rsidRPr="006E3A0F" w:rsidRDefault="00FD1900" w:rsidP="00304B2F">
            <w:pPr>
              <w:rPr>
                <w:rFonts w:ascii="Times New Roman" w:eastAsia="Times New Roman" w:hAnsi="Times New Roman" w:cs="Times New Roman"/>
                <w:sz w:val="20"/>
                <w:szCs w:val="20"/>
              </w:rPr>
            </w:pPr>
          </w:p>
          <w:p w14:paraId="5D7028FD"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Could a series of bus stops in very close proximity constitute a station? For example, a series of 3 distinct MARTA bus stops in downtown Hapeville are within a ~</w:t>
            </w:r>
            <w:proofErr w:type="gramStart"/>
            <w:r w:rsidRPr="006E3A0F">
              <w:rPr>
                <w:rFonts w:ascii="Times New Roman" w:eastAsia="Times New Roman" w:hAnsi="Times New Roman" w:cs="Times New Roman"/>
                <w:sz w:val="20"/>
                <w:szCs w:val="20"/>
              </w:rPr>
              <w:t>725 foot</w:t>
            </w:r>
            <w:proofErr w:type="gramEnd"/>
            <w:r w:rsidRPr="006E3A0F">
              <w:rPr>
                <w:rFonts w:ascii="Times New Roman" w:eastAsia="Times New Roman" w:hAnsi="Times New Roman" w:cs="Times New Roman"/>
                <w:sz w:val="20"/>
                <w:szCs w:val="20"/>
              </w:rPr>
              <w:t xml:space="preserve"> walk of each other. Compare the proximity of these stops to MARTA's Lindbergh Center Transit Station in Atlanta. Lindbergh's two bus loops are separated by an ~</w:t>
            </w:r>
            <w:proofErr w:type="gramStart"/>
            <w:r w:rsidRPr="006E3A0F">
              <w:rPr>
                <w:rFonts w:ascii="Times New Roman" w:eastAsia="Times New Roman" w:hAnsi="Times New Roman" w:cs="Times New Roman"/>
                <w:sz w:val="20"/>
                <w:szCs w:val="20"/>
              </w:rPr>
              <w:t>825 foot</w:t>
            </w:r>
            <w:proofErr w:type="gramEnd"/>
            <w:r w:rsidRPr="006E3A0F">
              <w:rPr>
                <w:rFonts w:ascii="Times New Roman" w:eastAsia="Times New Roman" w:hAnsi="Times New Roman" w:cs="Times New Roman"/>
                <w:sz w:val="20"/>
                <w:szCs w:val="20"/>
              </w:rPr>
              <w:t xml:space="preserve"> walk (~100 feet farther apart than the series of bus stops in Hapeville). Could the series of bus stops in downtown Hapeville constitute a station/transit hub, given that they are in closer proximity than the bus loops of Lindbergh Station? </w:t>
            </w:r>
          </w:p>
          <w:p w14:paraId="32E1569D" w14:textId="77777777" w:rsidR="00FD1900" w:rsidRPr="006E3A0F" w:rsidRDefault="00FD1900" w:rsidP="00304B2F">
            <w:pPr>
              <w:contextualSpacing/>
              <w:rPr>
                <w:rFonts w:ascii="Times New Roman" w:hAnsi="Times New Roman" w:cs="Times New Roman"/>
                <w:sz w:val="20"/>
                <w:szCs w:val="20"/>
              </w:rPr>
            </w:pPr>
          </w:p>
          <w:p w14:paraId="09C4A3AC"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Answer</w:t>
            </w:r>
            <w:r w:rsidRPr="006E3A0F">
              <w:rPr>
                <w:rFonts w:ascii="Times New Roman" w:hAnsi="Times New Roman" w:cs="Times New Roman"/>
                <w:sz w:val="20"/>
                <w:szCs w:val="20"/>
              </w:rPr>
              <w:t>:</w:t>
            </w:r>
          </w:p>
          <w:p w14:paraId="57C7C0C5"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While the term station is not more specifically defined in the QAP, it does refer to transit lines operating at a single overarching location. </w:t>
            </w:r>
          </w:p>
          <w:p w14:paraId="253B23C1" w14:textId="77777777" w:rsidR="00FD1900" w:rsidRPr="006E3A0F" w:rsidRDefault="00FD1900" w:rsidP="00304B2F">
            <w:pPr>
              <w:rPr>
                <w:rFonts w:ascii="Times New Roman" w:eastAsia="Times New Roman" w:hAnsi="Times New Roman" w:cs="Times New Roman"/>
                <w:sz w:val="20"/>
                <w:szCs w:val="20"/>
              </w:rPr>
            </w:pPr>
          </w:p>
          <w:p w14:paraId="68D762F3"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Further, the example described above (three bus stops) would, on its own, be insufficient to qualify as a transit station under the QAP definition. </w:t>
            </w:r>
            <w:r w:rsidRPr="006E3A0F">
              <w:rPr>
                <w:rFonts w:ascii="Times New Roman" w:eastAsia="Times New Roman" w:hAnsi="Times New Roman" w:cs="Times New Roman"/>
                <w:sz w:val="20"/>
                <w:szCs w:val="20"/>
              </w:rPr>
              <w:br/>
            </w:r>
          </w:p>
          <w:p w14:paraId="29FBFB31" w14:textId="77777777" w:rsidR="00FD1900" w:rsidRPr="006E3A0F" w:rsidRDefault="00FD1900" w:rsidP="00304B2F">
            <w:pPr>
              <w:rPr>
                <w:rStyle w:val="normaltextrun"/>
                <w:rFonts w:ascii="Times New Roman" w:hAnsi="Times New Roman" w:cs="Times New Roman"/>
                <w:b/>
                <w:bCs/>
                <w:sz w:val="20"/>
                <w:szCs w:val="20"/>
              </w:rPr>
            </w:pPr>
            <w:r w:rsidRPr="006E3A0F">
              <w:rPr>
                <w:rFonts w:ascii="Times New Roman" w:eastAsia="Times New Roman" w:hAnsi="Times New Roman" w:cs="Times New Roman"/>
                <w:sz w:val="20"/>
                <w:szCs w:val="20"/>
              </w:rPr>
              <w:t>A series of bus stops in close proximity does not constitute a transit hub.</w:t>
            </w:r>
          </w:p>
        </w:tc>
      </w:tr>
      <w:tr w:rsidR="00FD1900" w:rsidRPr="006E3A0F" w14:paraId="29009A09" w14:textId="77777777" w:rsidTr="1995616E">
        <w:trPr>
          <w:jc w:val="center"/>
        </w:trPr>
        <w:tc>
          <w:tcPr>
            <w:tcW w:w="2157" w:type="dxa"/>
            <w:shd w:val="clear" w:color="auto" w:fill="auto"/>
            <w:tcMar>
              <w:top w:w="72" w:type="dxa"/>
              <w:left w:w="115" w:type="dxa"/>
              <w:bottom w:w="72" w:type="dxa"/>
              <w:right w:w="115" w:type="dxa"/>
            </w:tcMar>
            <w:vAlign w:val="center"/>
          </w:tcPr>
          <w:p w14:paraId="30AC9602"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680390DB"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3.09</w:t>
            </w:r>
          </w:p>
          <w:p w14:paraId="6BD9225C"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0408067B"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Community Transformation</w:t>
            </w:r>
          </w:p>
        </w:tc>
        <w:tc>
          <w:tcPr>
            <w:tcW w:w="9590" w:type="dxa"/>
            <w:shd w:val="clear" w:color="auto" w:fill="auto"/>
            <w:tcMar>
              <w:top w:w="72" w:type="dxa"/>
              <w:left w:w="115" w:type="dxa"/>
              <w:bottom w:w="72" w:type="dxa"/>
              <w:right w:w="115" w:type="dxa"/>
            </w:tcMar>
            <w:vAlign w:val="center"/>
          </w:tcPr>
          <w:p w14:paraId="42ED5541"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Question: Q22_0330_03</w:t>
            </w:r>
            <w:r w:rsidRPr="006E3A0F">
              <w:rPr>
                <w:rStyle w:val="eop"/>
                <w:sz w:val="20"/>
                <w:szCs w:val="20"/>
              </w:rPr>
              <w:t> </w:t>
            </w:r>
          </w:p>
          <w:p w14:paraId="25EC7DC6"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 xml:space="preserve">The applicant submitted several questions related to phased developments with the same underlying </w:t>
            </w:r>
            <w:r w:rsidRPr="006E3A0F">
              <w:rPr>
                <w:rStyle w:val="normaltextrun"/>
                <w:b/>
                <w:bCs/>
                <w:sz w:val="20"/>
                <w:szCs w:val="20"/>
              </w:rPr>
              <w:t>Community Transformation</w:t>
            </w:r>
            <w:r w:rsidRPr="006E3A0F">
              <w:rPr>
                <w:rStyle w:val="normaltextrun"/>
                <w:sz w:val="20"/>
                <w:szCs w:val="20"/>
              </w:rPr>
              <w:t xml:space="preserve"> team and plan, paired with answers below. </w:t>
            </w:r>
            <w:r w:rsidRPr="006E3A0F">
              <w:rPr>
                <w:rStyle w:val="eop"/>
                <w:sz w:val="20"/>
                <w:szCs w:val="20"/>
              </w:rPr>
              <w:t> </w:t>
            </w:r>
          </w:p>
          <w:p w14:paraId="7CA1E2A0"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69802230"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w:t>
            </w:r>
            <w:r w:rsidRPr="006E3A0F">
              <w:rPr>
                <w:rStyle w:val="eop"/>
                <w:sz w:val="20"/>
                <w:szCs w:val="20"/>
              </w:rPr>
              <w:t> </w:t>
            </w:r>
          </w:p>
          <w:p w14:paraId="73AC7442"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i/>
                <w:iCs/>
                <w:sz w:val="20"/>
                <w:szCs w:val="20"/>
              </w:rPr>
              <w:t>“For phased developments that received Community Transformation points in the initial phase, what is required to claim points for subsequent phases?” </w:t>
            </w:r>
            <w:r w:rsidRPr="006E3A0F">
              <w:rPr>
                <w:rStyle w:val="eop"/>
                <w:sz w:val="20"/>
                <w:szCs w:val="20"/>
              </w:rPr>
              <w:t> </w:t>
            </w:r>
          </w:p>
          <w:p w14:paraId="39F50C9A" w14:textId="77777777" w:rsidR="00FD1900" w:rsidRPr="006E3A0F" w:rsidRDefault="00FD1900" w:rsidP="00304B2F">
            <w:pPr>
              <w:pStyle w:val="paragraph"/>
              <w:spacing w:before="0" w:beforeAutospacing="0" w:after="0" w:afterAutospacing="0"/>
              <w:textAlignment w:val="baseline"/>
              <w:rPr>
                <w:rStyle w:val="eop"/>
                <w:sz w:val="20"/>
                <w:szCs w:val="20"/>
              </w:rPr>
            </w:pPr>
            <w:r w:rsidRPr="006E3A0F">
              <w:rPr>
                <w:rStyle w:val="normaltextrun"/>
                <w:i/>
                <w:iCs/>
                <w:sz w:val="20"/>
                <w:szCs w:val="20"/>
              </w:rPr>
              <w:t>“Do the points originally awarded to the project apply to both phases or would the second phase submission need to compete for the limited supply of points in the current round?”</w:t>
            </w:r>
            <w:r w:rsidRPr="006E3A0F">
              <w:rPr>
                <w:rStyle w:val="eop"/>
                <w:sz w:val="20"/>
                <w:szCs w:val="20"/>
              </w:rPr>
              <w:t> </w:t>
            </w:r>
          </w:p>
          <w:p w14:paraId="08F136E8" w14:textId="77777777" w:rsidR="00FD1900" w:rsidRPr="006E3A0F" w:rsidRDefault="00FD1900" w:rsidP="00304B2F">
            <w:pPr>
              <w:pStyle w:val="paragraph"/>
              <w:spacing w:before="0" w:beforeAutospacing="0" w:after="0" w:afterAutospacing="0"/>
              <w:textAlignment w:val="baseline"/>
              <w:rPr>
                <w:sz w:val="20"/>
                <w:szCs w:val="20"/>
              </w:rPr>
            </w:pPr>
          </w:p>
          <w:p w14:paraId="28D41649" w14:textId="77777777" w:rsidR="00FD1900" w:rsidRPr="006E3A0F" w:rsidRDefault="00FD1900" w:rsidP="00304B2F">
            <w:pPr>
              <w:pStyle w:val="paragraph"/>
              <w:spacing w:before="0" w:beforeAutospacing="0" w:after="0" w:afterAutospacing="0"/>
              <w:ind w:left="720"/>
              <w:textAlignment w:val="baseline"/>
              <w:rPr>
                <w:sz w:val="20"/>
                <w:szCs w:val="20"/>
              </w:rPr>
            </w:pPr>
            <w:r w:rsidRPr="006E3A0F">
              <w:rPr>
                <w:rStyle w:val="normaltextrun"/>
                <w:b/>
                <w:bCs/>
                <w:sz w:val="20"/>
                <w:szCs w:val="20"/>
              </w:rPr>
              <w:t>(Scoring) Community Transformation</w:t>
            </w:r>
            <w:r w:rsidRPr="006E3A0F">
              <w:rPr>
                <w:rStyle w:val="normaltextrun"/>
                <w:sz w:val="20"/>
                <w:szCs w:val="20"/>
              </w:rPr>
              <w:t xml:space="preserve"> points received by an application in one Competitive Round are only applicable to said application for said round. DCA staff will review the 2022 application without consideration for the first except where explicitly stated in the QAP (e.g., </w:t>
            </w:r>
            <w:r w:rsidRPr="006E3A0F">
              <w:rPr>
                <w:rStyle w:val="normaltextrun"/>
                <w:b/>
                <w:bCs/>
                <w:sz w:val="20"/>
                <w:szCs w:val="20"/>
              </w:rPr>
              <w:t>(Scoring) Community Transformation</w:t>
            </w:r>
            <w:r w:rsidRPr="006E3A0F">
              <w:rPr>
                <w:rStyle w:val="normaltextrun"/>
                <w:sz w:val="20"/>
                <w:szCs w:val="20"/>
              </w:rPr>
              <w:t xml:space="preserve">, subsection </w:t>
            </w:r>
            <w:r w:rsidRPr="006E3A0F">
              <w:rPr>
                <w:rStyle w:val="normaltextrun"/>
                <w:b/>
                <w:bCs/>
                <w:sz w:val="20"/>
                <w:szCs w:val="20"/>
              </w:rPr>
              <w:t>A. Community-Based Developer</w:t>
            </w:r>
            <w:r w:rsidRPr="006E3A0F">
              <w:rPr>
                <w:rStyle w:val="normaltextrun"/>
                <w:sz w:val="20"/>
                <w:szCs w:val="20"/>
              </w:rPr>
              <w:t xml:space="preserve">, item </w:t>
            </w:r>
            <w:r w:rsidRPr="006E3A0F">
              <w:rPr>
                <w:rStyle w:val="normaltextrun"/>
                <w:b/>
                <w:bCs/>
                <w:sz w:val="20"/>
                <w:szCs w:val="20"/>
              </w:rPr>
              <w:t>4. Equitable Allocation</w:t>
            </w:r>
            <w:r w:rsidRPr="006E3A0F">
              <w:rPr>
                <w:rStyle w:val="normaltextrun"/>
                <w:sz w:val="20"/>
                <w:szCs w:val="20"/>
              </w:rPr>
              <w:t>).</w:t>
            </w:r>
            <w:r w:rsidRPr="006E3A0F">
              <w:rPr>
                <w:rStyle w:val="eop"/>
                <w:sz w:val="20"/>
                <w:szCs w:val="20"/>
              </w:rPr>
              <w:t> </w:t>
            </w:r>
          </w:p>
          <w:p w14:paraId="6B67A43E" w14:textId="77777777" w:rsidR="00FD1900" w:rsidRPr="006E3A0F" w:rsidRDefault="00FD1900" w:rsidP="00304B2F">
            <w:pPr>
              <w:pStyle w:val="paragraph"/>
              <w:spacing w:before="0" w:beforeAutospacing="0" w:after="0" w:afterAutospacing="0"/>
              <w:textAlignment w:val="baseline"/>
              <w:rPr>
                <w:rStyle w:val="normaltextrun"/>
                <w:i/>
                <w:iCs/>
                <w:sz w:val="20"/>
                <w:szCs w:val="20"/>
              </w:rPr>
            </w:pPr>
          </w:p>
          <w:p w14:paraId="0214C16F" w14:textId="77777777" w:rsidR="00FD1900" w:rsidRPr="006E3A0F" w:rsidRDefault="00FD1900" w:rsidP="00304B2F">
            <w:pPr>
              <w:pStyle w:val="paragraph"/>
              <w:spacing w:before="0" w:beforeAutospacing="0" w:after="0" w:afterAutospacing="0"/>
              <w:textAlignment w:val="baseline"/>
              <w:rPr>
                <w:rStyle w:val="eop"/>
                <w:sz w:val="20"/>
                <w:szCs w:val="20"/>
              </w:rPr>
            </w:pPr>
            <w:r w:rsidRPr="006E3A0F">
              <w:rPr>
                <w:rStyle w:val="normaltextrun"/>
                <w:i/>
                <w:iCs/>
                <w:sz w:val="20"/>
                <w:szCs w:val="20"/>
              </w:rPr>
              <w:t>“Can the same community-based team and CQB be used for both phases?”</w:t>
            </w:r>
            <w:r w:rsidRPr="006E3A0F">
              <w:rPr>
                <w:rStyle w:val="eop"/>
                <w:sz w:val="20"/>
                <w:szCs w:val="20"/>
              </w:rPr>
              <w:t> </w:t>
            </w:r>
          </w:p>
          <w:p w14:paraId="714D69CE" w14:textId="77777777" w:rsidR="00FD1900" w:rsidRPr="006E3A0F" w:rsidRDefault="00FD1900" w:rsidP="00304B2F">
            <w:pPr>
              <w:pStyle w:val="paragraph"/>
              <w:spacing w:before="0" w:beforeAutospacing="0" w:after="0" w:afterAutospacing="0"/>
              <w:textAlignment w:val="baseline"/>
              <w:rPr>
                <w:sz w:val="20"/>
                <w:szCs w:val="20"/>
              </w:rPr>
            </w:pPr>
          </w:p>
          <w:p w14:paraId="41E103AB" w14:textId="77777777" w:rsidR="00FD1900" w:rsidRPr="006E3A0F" w:rsidRDefault="00FD1900" w:rsidP="00304B2F">
            <w:pPr>
              <w:pStyle w:val="paragraph"/>
              <w:spacing w:before="0" w:beforeAutospacing="0" w:after="0" w:afterAutospacing="0"/>
              <w:ind w:left="720"/>
              <w:textAlignment w:val="baseline"/>
              <w:rPr>
                <w:sz w:val="20"/>
                <w:szCs w:val="20"/>
              </w:rPr>
            </w:pPr>
            <w:r w:rsidRPr="006E3A0F">
              <w:rPr>
                <w:rStyle w:val="normaltextrun"/>
                <w:sz w:val="20"/>
                <w:szCs w:val="20"/>
              </w:rPr>
              <w:t>Yes. The QAP does not prohibit use of the same community-based team or CQB.</w:t>
            </w:r>
            <w:r w:rsidRPr="006E3A0F">
              <w:rPr>
                <w:rStyle w:val="eop"/>
                <w:sz w:val="20"/>
                <w:szCs w:val="20"/>
              </w:rPr>
              <w:t> </w:t>
            </w:r>
          </w:p>
          <w:p w14:paraId="70567D07" w14:textId="77777777" w:rsidR="00FD1900" w:rsidRPr="006E3A0F" w:rsidRDefault="00FD1900" w:rsidP="00304B2F">
            <w:pPr>
              <w:pStyle w:val="paragraph"/>
              <w:spacing w:before="0" w:beforeAutospacing="0" w:after="0" w:afterAutospacing="0"/>
              <w:textAlignment w:val="baseline"/>
              <w:rPr>
                <w:rStyle w:val="normaltextrun"/>
                <w:i/>
                <w:iCs/>
                <w:sz w:val="20"/>
                <w:szCs w:val="20"/>
              </w:rPr>
            </w:pPr>
          </w:p>
          <w:p w14:paraId="41076171" w14:textId="77777777" w:rsidR="00FD1900" w:rsidRPr="006E3A0F" w:rsidRDefault="00FD1900" w:rsidP="00304B2F">
            <w:pPr>
              <w:pStyle w:val="paragraph"/>
              <w:spacing w:before="0" w:beforeAutospacing="0" w:after="0" w:afterAutospacing="0"/>
              <w:textAlignment w:val="baseline"/>
              <w:rPr>
                <w:rStyle w:val="eop"/>
                <w:sz w:val="20"/>
                <w:szCs w:val="20"/>
              </w:rPr>
            </w:pPr>
            <w:r w:rsidRPr="006E3A0F">
              <w:rPr>
                <w:rStyle w:val="normaltextrun"/>
                <w:i/>
                <w:iCs/>
                <w:sz w:val="20"/>
                <w:szCs w:val="20"/>
              </w:rPr>
              <w:t>“Can the same Community Transformation Plan be used for both phases? If not, would an update to the original Community Transformation Plan suffice or would an entirely new plan be required?”</w:t>
            </w:r>
            <w:r w:rsidRPr="006E3A0F">
              <w:rPr>
                <w:rStyle w:val="eop"/>
                <w:sz w:val="20"/>
                <w:szCs w:val="20"/>
              </w:rPr>
              <w:t> </w:t>
            </w:r>
          </w:p>
          <w:p w14:paraId="5331F51B" w14:textId="77777777" w:rsidR="00FD1900" w:rsidRPr="006E3A0F" w:rsidRDefault="00FD1900" w:rsidP="00304B2F">
            <w:pPr>
              <w:pStyle w:val="paragraph"/>
              <w:spacing w:before="0" w:beforeAutospacing="0" w:after="0" w:afterAutospacing="0"/>
              <w:textAlignment w:val="baseline"/>
              <w:rPr>
                <w:sz w:val="20"/>
                <w:szCs w:val="20"/>
              </w:rPr>
            </w:pPr>
          </w:p>
          <w:p w14:paraId="3E94EA78" w14:textId="77777777" w:rsidR="00FD1900" w:rsidRPr="006E3A0F" w:rsidRDefault="00FD1900" w:rsidP="00304B2F">
            <w:pPr>
              <w:pStyle w:val="paragraph"/>
              <w:spacing w:before="0" w:beforeAutospacing="0" w:after="0" w:afterAutospacing="0"/>
              <w:ind w:left="720"/>
              <w:textAlignment w:val="baseline"/>
              <w:rPr>
                <w:rStyle w:val="eop"/>
                <w:sz w:val="20"/>
                <w:szCs w:val="20"/>
              </w:rPr>
            </w:pPr>
            <w:r w:rsidRPr="006E3A0F">
              <w:rPr>
                <w:rStyle w:val="normaltextrun"/>
                <w:sz w:val="20"/>
                <w:szCs w:val="20"/>
              </w:rPr>
              <w:t>The QAP specifies planning activities that must take place at certain times associated with the proposed development. These are applicable to the second phase. For example, “…Between notice of selection and 60 days prior to placed-in-service date…Undertake Community Engagement and Outreach as defined below…”</w:t>
            </w:r>
            <w:r w:rsidRPr="006E3A0F">
              <w:rPr>
                <w:rStyle w:val="eop"/>
                <w:sz w:val="20"/>
                <w:szCs w:val="20"/>
              </w:rPr>
              <w:t> </w:t>
            </w:r>
          </w:p>
          <w:p w14:paraId="71F3D961" w14:textId="77777777" w:rsidR="00FD1900" w:rsidRPr="006E3A0F" w:rsidRDefault="00FD1900" w:rsidP="00304B2F">
            <w:pPr>
              <w:pStyle w:val="paragraph"/>
              <w:spacing w:before="0" w:beforeAutospacing="0" w:after="0" w:afterAutospacing="0"/>
              <w:ind w:left="720"/>
              <w:textAlignment w:val="baseline"/>
              <w:rPr>
                <w:sz w:val="20"/>
                <w:szCs w:val="20"/>
              </w:rPr>
            </w:pPr>
          </w:p>
          <w:p w14:paraId="32E74BA2" w14:textId="77777777" w:rsidR="00FD1900" w:rsidRPr="006E3A0F" w:rsidRDefault="00FD1900" w:rsidP="00304B2F">
            <w:pPr>
              <w:pStyle w:val="paragraph"/>
              <w:spacing w:before="0" w:beforeAutospacing="0" w:after="0" w:afterAutospacing="0"/>
              <w:ind w:left="720"/>
              <w:textAlignment w:val="baseline"/>
              <w:rPr>
                <w:sz w:val="20"/>
                <w:szCs w:val="20"/>
              </w:rPr>
            </w:pPr>
            <w:r w:rsidRPr="006E3A0F">
              <w:rPr>
                <w:rStyle w:val="normaltextrun"/>
                <w:sz w:val="20"/>
                <w:szCs w:val="20"/>
              </w:rPr>
              <w:t>For all other requirements, yes, an updated plan suffices for the second phase. </w:t>
            </w:r>
            <w:r w:rsidRPr="006E3A0F">
              <w:rPr>
                <w:rStyle w:val="eop"/>
                <w:sz w:val="20"/>
                <w:szCs w:val="20"/>
              </w:rPr>
              <w:t> </w:t>
            </w:r>
          </w:p>
          <w:p w14:paraId="6E4D672E" w14:textId="77777777" w:rsidR="00FD1900" w:rsidRPr="006E3A0F" w:rsidRDefault="00FD1900" w:rsidP="00304B2F">
            <w:pPr>
              <w:pStyle w:val="paragraph"/>
              <w:spacing w:before="0" w:beforeAutospacing="0" w:after="0" w:afterAutospacing="0"/>
              <w:textAlignment w:val="baseline"/>
              <w:rPr>
                <w:rStyle w:val="normaltextrun"/>
                <w:i/>
                <w:iCs/>
                <w:sz w:val="20"/>
                <w:szCs w:val="20"/>
              </w:rPr>
            </w:pPr>
          </w:p>
          <w:p w14:paraId="2A7C4E0B" w14:textId="77777777" w:rsidR="00FD1900" w:rsidRPr="006E3A0F" w:rsidRDefault="00FD1900" w:rsidP="00304B2F">
            <w:pPr>
              <w:pStyle w:val="paragraph"/>
              <w:spacing w:before="0" w:beforeAutospacing="0" w:after="0" w:afterAutospacing="0"/>
              <w:textAlignment w:val="baseline"/>
              <w:rPr>
                <w:rStyle w:val="eop"/>
                <w:sz w:val="20"/>
                <w:szCs w:val="20"/>
              </w:rPr>
            </w:pPr>
            <w:r w:rsidRPr="006E3A0F">
              <w:rPr>
                <w:rStyle w:val="normaltextrun"/>
                <w:i/>
                <w:iCs/>
                <w:sz w:val="20"/>
                <w:szCs w:val="20"/>
              </w:rPr>
              <w:t>“Does the time between phases have any bearing on answers to the above questions (</w:t>
            </w:r>
            <w:proofErr w:type="gramStart"/>
            <w:r w:rsidRPr="006E3A0F">
              <w:rPr>
                <w:rStyle w:val="contextualspellingandgrammarerror"/>
                <w:rFonts w:eastAsiaTheme="majorEastAsia"/>
                <w:i/>
                <w:iCs/>
                <w:sz w:val="20"/>
                <w:szCs w:val="20"/>
              </w:rPr>
              <w:t>e.g.</w:t>
            </w:r>
            <w:proofErr w:type="gramEnd"/>
            <w:r w:rsidRPr="006E3A0F">
              <w:rPr>
                <w:rStyle w:val="normaltextrun"/>
                <w:i/>
                <w:iCs/>
                <w:sz w:val="20"/>
                <w:szCs w:val="20"/>
              </w:rPr>
              <w:t xml:space="preserve"> if proposed phases are in back-to-back funding rounds)?”</w:t>
            </w:r>
            <w:r w:rsidRPr="006E3A0F">
              <w:rPr>
                <w:rStyle w:val="eop"/>
                <w:sz w:val="20"/>
                <w:szCs w:val="20"/>
              </w:rPr>
              <w:t> </w:t>
            </w:r>
          </w:p>
          <w:p w14:paraId="7DCAB90F" w14:textId="77777777" w:rsidR="00FD1900" w:rsidRPr="006E3A0F" w:rsidRDefault="00FD1900" w:rsidP="00304B2F">
            <w:pPr>
              <w:pStyle w:val="paragraph"/>
              <w:spacing w:before="0" w:beforeAutospacing="0" w:after="0" w:afterAutospacing="0"/>
              <w:textAlignment w:val="baseline"/>
              <w:rPr>
                <w:sz w:val="20"/>
                <w:szCs w:val="20"/>
              </w:rPr>
            </w:pPr>
          </w:p>
          <w:p w14:paraId="652A7613" w14:textId="77777777" w:rsidR="00FD1900" w:rsidRPr="006E3A0F" w:rsidRDefault="00FD1900" w:rsidP="00304B2F">
            <w:pPr>
              <w:pStyle w:val="paragraph"/>
              <w:spacing w:before="0" w:beforeAutospacing="0" w:after="0" w:afterAutospacing="0"/>
              <w:ind w:left="720"/>
              <w:textAlignment w:val="baseline"/>
              <w:rPr>
                <w:sz w:val="20"/>
                <w:szCs w:val="20"/>
              </w:rPr>
            </w:pPr>
            <w:r w:rsidRPr="006E3A0F">
              <w:rPr>
                <w:rStyle w:val="normaltextrun"/>
                <w:sz w:val="20"/>
                <w:szCs w:val="20"/>
              </w:rPr>
              <w:t xml:space="preserve">Only where it is specifically mentioned in the QAP (e.g., item </w:t>
            </w:r>
            <w:r w:rsidRPr="006E3A0F">
              <w:rPr>
                <w:rStyle w:val="normaltextrun"/>
                <w:b/>
                <w:bCs/>
                <w:sz w:val="20"/>
                <w:szCs w:val="20"/>
              </w:rPr>
              <w:t>4. Equitable Allocation</w:t>
            </w:r>
            <w:r w:rsidRPr="006E3A0F">
              <w:rPr>
                <w:rStyle w:val="normaltextrun"/>
                <w:sz w:val="20"/>
                <w:szCs w:val="20"/>
              </w:rPr>
              <w:t>). </w:t>
            </w:r>
            <w:r w:rsidRPr="006E3A0F">
              <w:rPr>
                <w:rStyle w:val="eop"/>
                <w:sz w:val="20"/>
                <w:szCs w:val="20"/>
              </w:rPr>
              <w:t> </w:t>
            </w:r>
          </w:p>
        </w:tc>
      </w:tr>
      <w:tr w:rsidR="00FD1900" w:rsidRPr="006E3A0F" w14:paraId="6E326661" w14:textId="77777777" w:rsidTr="1995616E">
        <w:trPr>
          <w:jc w:val="center"/>
        </w:trPr>
        <w:tc>
          <w:tcPr>
            <w:tcW w:w="2157" w:type="dxa"/>
            <w:shd w:val="clear" w:color="auto" w:fill="auto"/>
            <w:tcMar>
              <w:top w:w="72" w:type="dxa"/>
              <w:left w:w="115" w:type="dxa"/>
              <w:bottom w:w="72" w:type="dxa"/>
              <w:right w:w="115" w:type="dxa"/>
            </w:tcMar>
            <w:vAlign w:val="center"/>
          </w:tcPr>
          <w:p w14:paraId="17220AA9"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0FFFC280"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3.17</w:t>
            </w:r>
          </w:p>
          <w:p w14:paraId="61D55874"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50AF3D92"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6DD9E54D"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Q22_0221_05 </w:t>
            </w:r>
          </w:p>
          <w:p w14:paraId="5B3E9DF4"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In DCA's </w:t>
            </w:r>
            <w:r w:rsidRPr="006E3A0F">
              <w:rPr>
                <w:rFonts w:ascii="Times New Roman" w:eastAsia="Times New Roman" w:hAnsi="Times New Roman" w:cs="Times New Roman"/>
                <w:i/>
                <w:iCs/>
                <w:sz w:val="20"/>
                <w:szCs w:val="20"/>
              </w:rPr>
              <w:t>DCA Minority- and Women-Owned Business Engagement Policy</w:t>
            </w:r>
            <w:r w:rsidRPr="006E3A0F">
              <w:rPr>
                <w:rFonts w:ascii="Times New Roman" w:eastAsia="Times New Roman" w:hAnsi="Times New Roman" w:cs="Times New Roman"/>
                <w:sz w:val="20"/>
                <w:szCs w:val="20"/>
              </w:rPr>
              <w:t xml:space="preserve"> document, one of the categories of the NAICS codes that deems a QB as certified is Public Administration. Does this mean public entities such as a redevelopment authority, land development agencies, building standards agencies, etc. can be MBE/WBEs?  </w:t>
            </w:r>
          </w:p>
          <w:p w14:paraId="0C3E7189"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52964AB8"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6ABD464A"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DCA does not qualify or disqualify specific types of organizations from participation. DCA staff will assess whether the QB meets all requirements listed in the QAP.  </w:t>
            </w:r>
          </w:p>
          <w:p w14:paraId="7A3E6FBA"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48513386" w14:textId="77777777" w:rsidR="00FD1900" w:rsidRPr="006E3A0F" w:rsidRDefault="00FD1900" w:rsidP="00304B2F">
            <w:pPr>
              <w:textAlignment w:val="baseline"/>
              <w:rPr>
                <w:rStyle w:val="normaltextrun"/>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If the question above is intended to refer to whether such organizations are eligible to receive certifications under the certification programs listed in the posted </w:t>
            </w:r>
            <w:r w:rsidRPr="006E3A0F">
              <w:rPr>
                <w:rFonts w:ascii="Times New Roman" w:eastAsia="Times New Roman" w:hAnsi="Times New Roman" w:cs="Times New Roman"/>
                <w:i/>
                <w:iCs/>
                <w:sz w:val="20"/>
                <w:szCs w:val="20"/>
              </w:rPr>
              <w:t>DCA Minority- and Women-Owned Business Engagement Policy</w:t>
            </w:r>
            <w:r w:rsidRPr="006E3A0F">
              <w:rPr>
                <w:rFonts w:ascii="Times New Roman" w:eastAsia="Times New Roman" w:hAnsi="Times New Roman" w:cs="Times New Roman"/>
                <w:sz w:val="20"/>
                <w:szCs w:val="20"/>
              </w:rPr>
              <w:t xml:space="preserve"> (</w:t>
            </w:r>
            <w:hyperlink r:id="rId32" w:tgtFrame="_blank" w:history="1">
              <w:r w:rsidRPr="006E3A0F">
                <w:rPr>
                  <w:rFonts w:ascii="Times New Roman" w:eastAsia="Times New Roman" w:hAnsi="Times New Roman" w:cs="Times New Roman"/>
                  <w:sz w:val="20"/>
                  <w:szCs w:val="20"/>
                  <w:u w:val="single"/>
                </w:rPr>
                <w:t>click here</w:t>
              </w:r>
            </w:hyperlink>
            <w:r w:rsidRPr="006E3A0F">
              <w:rPr>
                <w:rFonts w:ascii="Times New Roman" w:eastAsia="Times New Roman" w:hAnsi="Times New Roman" w:cs="Times New Roman"/>
                <w:sz w:val="20"/>
                <w:szCs w:val="20"/>
              </w:rPr>
              <w:t>), then please direct the question to the programs themselves. DCA is not able to provide guidance about non-DCA programs.  </w:t>
            </w:r>
          </w:p>
        </w:tc>
      </w:tr>
      <w:tr w:rsidR="00FD1900" w:rsidRPr="006E3A0F" w14:paraId="63A2D259" w14:textId="77777777" w:rsidTr="1995616E">
        <w:trPr>
          <w:jc w:val="center"/>
        </w:trPr>
        <w:tc>
          <w:tcPr>
            <w:tcW w:w="2157" w:type="dxa"/>
            <w:shd w:val="clear" w:color="auto" w:fill="auto"/>
            <w:tcMar>
              <w:top w:w="72" w:type="dxa"/>
              <w:left w:w="115" w:type="dxa"/>
              <w:bottom w:w="72" w:type="dxa"/>
              <w:right w:w="115" w:type="dxa"/>
            </w:tcMar>
            <w:vAlign w:val="center"/>
          </w:tcPr>
          <w:p w14:paraId="1E8E9B1D"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5FE17562"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3.21</w:t>
            </w:r>
          </w:p>
          <w:p w14:paraId="6761263D"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1504D2BF"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14:paraId="7515A208"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Q22_0304_08 </w:t>
            </w:r>
          </w:p>
          <w:p w14:paraId="59F5F308"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If a </w:t>
            </w:r>
            <w:proofErr w:type="gramStart"/>
            <w:r w:rsidRPr="006E3A0F">
              <w:rPr>
                <w:rFonts w:ascii="Times New Roman" w:eastAsia="Times New Roman" w:hAnsi="Times New Roman" w:cs="Times New Roman"/>
                <w:sz w:val="20"/>
                <w:szCs w:val="20"/>
              </w:rPr>
              <w:t>City</w:t>
            </w:r>
            <w:proofErr w:type="gramEnd"/>
            <w:r w:rsidRPr="006E3A0F">
              <w:rPr>
                <w:rFonts w:ascii="Times New Roman" w:eastAsia="Times New Roman" w:hAnsi="Times New Roman" w:cs="Times New Roman"/>
                <w:sz w:val="20"/>
                <w:szCs w:val="20"/>
              </w:rPr>
              <w:t xml:space="preserve"> agrees to sell a property it owns to a developer for less than the appraised value of the property, can the difference between sale price and appraised value be counted as a City government grant to the project? </w:t>
            </w:r>
          </w:p>
          <w:p w14:paraId="4B7969EC"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0BE171C8"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62D6C079"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No. Reducing the cost of a line item in the development budget does not constitute a grant. </w:t>
            </w:r>
          </w:p>
        </w:tc>
      </w:tr>
      <w:tr w:rsidR="00FD1900" w:rsidRPr="006E3A0F" w14:paraId="78F2C6BD" w14:textId="77777777" w:rsidTr="1995616E">
        <w:trPr>
          <w:jc w:val="center"/>
        </w:trPr>
        <w:tc>
          <w:tcPr>
            <w:tcW w:w="2157" w:type="dxa"/>
            <w:shd w:val="clear" w:color="auto" w:fill="auto"/>
            <w:tcMar>
              <w:top w:w="72" w:type="dxa"/>
              <w:left w:w="115" w:type="dxa"/>
              <w:bottom w:w="72" w:type="dxa"/>
              <w:right w:w="115" w:type="dxa"/>
            </w:tcMar>
            <w:vAlign w:val="center"/>
          </w:tcPr>
          <w:p w14:paraId="786C8BDA"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773E1D22"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3.24</w:t>
            </w:r>
          </w:p>
          <w:p w14:paraId="24F093C5"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3C61AE21"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Integrated Supportive Housing</w:t>
            </w:r>
          </w:p>
        </w:tc>
        <w:tc>
          <w:tcPr>
            <w:tcW w:w="9590" w:type="dxa"/>
            <w:shd w:val="clear" w:color="auto" w:fill="auto"/>
            <w:tcMar>
              <w:top w:w="72" w:type="dxa"/>
              <w:left w:w="115" w:type="dxa"/>
              <w:bottom w:w="72" w:type="dxa"/>
              <w:right w:w="115" w:type="dxa"/>
            </w:tcMar>
            <w:vAlign w:val="center"/>
          </w:tcPr>
          <w:p w14:paraId="0A61FF5C"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Q1124_01 </w:t>
            </w:r>
          </w:p>
          <w:p w14:paraId="6C8E17F4"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At the 2022 QAP Workshop, DCA indicated that </w:t>
            </w:r>
            <w:r w:rsidRPr="006E3A0F">
              <w:rPr>
                <w:rFonts w:ascii="Times New Roman" w:eastAsia="Times New Roman" w:hAnsi="Times New Roman" w:cs="Times New Roman"/>
                <w:b/>
                <w:bCs/>
                <w:sz w:val="20"/>
                <w:szCs w:val="20"/>
              </w:rPr>
              <w:t>(Scoring) Integrated Supportive Housing</w:t>
            </w:r>
            <w:r w:rsidRPr="006E3A0F">
              <w:rPr>
                <w:rFonts w:ascii="Times New Roman" w:eastAsia="Times New Roman" w:hAnsi="Times New Roman" w:cs="Times New Roman"/>
                <w:sz w:val="20"/>
                <w:szCs w:val="20"/>
              </w:rPr>
              <w:t xml:space="preserve">, option </w:t>
            </w:r>
            <w:r w:rsidRPr="006E3A0F">
              <w:rPr>
                <w:rFonts w:ascii="Times New Roman" w:eastAsia="Times New Roman" w:hAnsi="Times New Roman" w:cs="Times New Roman"/>
                <w:b/>
                <w:bCs/>
                <w:sz w:val="20"/>
                <w:szCs w:val="20"/>
              </w:rPr>
              <w:t>D. DCA Section 811 Commitments: Prior Performance</w:t>
            </w:r>
            <w:r w:rsidRPr="006E3A0F">
              <w:rPr>
                <w:rFonts w:ascii="Times New Roman" w:eastAsia="Times New Roman" w:hAnsi="Times New Roman" w:cs="Times New Roman"/>
                <w:sz w:val="20"/>
                <w:szCs w:val="20"/>
              </w:rPr>
              <w:t xml:space="preserve"> would be scored such that everybody gets the 2 points by default, and only if there was a prior performance issue related to the “Property requirements” bullets listed in the QAP under this section would DCA deduct the two points. </w:t>
            </w:r>
          </w:p>
          <w:p w14:paraId="2239D9F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206A8E0D" w14:textId="77777777" w:rsidR="00FD1900" w:rsidRPr="006E3A0F" w:rsidRDefault="00FD1900" w:rsidP="00304B2F">
            <w:pPr>
              <w:numPr>
                <w:ilvl w:val="0"/>
                <w:numId w:val="37"/>
              </w:numPr>
              <w:ind w:left="1080" w:firstLine="0"/>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For some applicants, DCA has never reached out to the owners about 811 contracting even if they took the points. And some applicants did not apply under prior QAPs and thus never had the opportunity to take the points. Are these applicants also eligible for these two points by default under the 2022 round? </w:t>
            </w:r>
          </w:p>
          <w:p w14:paraId="32D8559A" w14:textId="77777777" w:rsidR="00FD1900" w:rsidRPr="006E3A0F" w:rsidRDefault="00FD1900" w:rsidP="00304B2F">
            <w:pPr>
              <w:ind w:left="720"/>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3058B65C" w14:textId="77777777" w:rsidR="00FD1900" w:rsidRPr="006E3A0F" w:rsidRDefault="00FD1900" w:rsidP="00304B2F">
            <w:pPr>
              <w:numPr>
                <w:ilvl w:val="0"/>
                <w:numId w:val="38"/>
              </w:numPr>
              <w:ind w:left="1080" w:firstLine="0"/>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DCA also stated at the Workshop that if staff identified any issues, they would communicate these issues to the owners during the Pre-Application phase and owners would have the opportunity to correct these issues before a point penalty is applied. Since this was conveyed verbally at the Workshop, I’m confirming that this is in fact the case.  </w:t>
            </w:r>
          </w:p>
          <w:p w14:paraId="5658B0DA"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23857556"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51F32B6C"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To the first question: yes, all applicants will receive the 2 points under option D. by default.  </w:t>
            </w:r>
          </w:p>
          <w:p w14:paraId="78D5BD8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3AD3CD96"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To the second question: DCA has completed its review of 811 agreement “Prior Performance.” Staff identified issues that under a subsequent competitive round may result in a points penalty. However, all issues identified occurred prior to the 2022 QAP being finalized. Therefore, under the 2022 Competitive Round, DCA will not deduct any points under this section.  </w:t>
            </w:r>
          </w:p>
          <w:p w14:paraId="6A82D785"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3892F5F7" w14:textId="77777777" w:rsidR="00FD1900" w:rsidRPr="006E3A0F" w:rsidRDefault="00FD1900" w:rsidP="00304B2F">
            <w:pPr>
              <w:textAlignment w:val="baseline"/>
              <w:rPr>
                <w:rStyle w:val="normaltextrun"/>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DCA is in the process of communicating with owners about the issues identified, so that they can be aware of the points penalty risk in the future.  </w:t>
            </w:r>
          </w:p>
        </w:tc>
      </w:tr>
      <w:tr w:rsidR="00FD1900" w:rsidRPr="006E3A0F" w14:paraId="1BCC2B6B" w14:textId="77777777" w:rsidTr="1995616E">
        <w:trPr>
          <w:jc w:val="center"/>
        </w:trPr>
        <w:tc>
          <w:tcPr>
            <w:tcW w:w="2157" w:type="dxa"/>
            <w:shd w:val="clear" w:color="auto" w:fill="auto"/>
            <w:tcMar>
              <w:top w:w="72" w:type="dxa"/>
              <w:left w:w="115" w:type="dxa"/>
              <w:bottom w:w="72" w:type="dxa"/>
              <w:right w:w="115" w:type="dxa"/>
            </w:tcMar>
            <w:vAlign w:val="center"/>
          </w:tcPr>
          <w:p w14:paraId="14BF41D7"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084D8E48"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3.26</w:t>
            </w:r>
          </w:p>
          <w:p w14:paraId="225803F9"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259D3A8E"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Affordability Loss Risk</w:t>
            </w:r>
          </w:p>
        </w:tc>
        <w:tc>
          <w:tcPr>
            <w:tcW w:w="9590" w:type="dxa"/>
            <w:shd w:val="clear" w:color="auto" w:fill="auto"/>
            <w:tcMar>
              <w:top w:w="72" w:type="dxa"/>
              <w:left w:w="115" w:type="dxa"/>
              <w:bottom w:w="72" w:type="dxa"/>
              <w:right w:w="115" w:type="dxa"/>
            </w:tcMar>
            <w:vAlign w:val="center"/>
          </w:tcPr>
          <w:p w14:paraId="1BDC1DEC"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Q22_1119_01 </w:t>
            </w:r>
          </w:p>
          <w:p w14:paraId="6674B362"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I have a question regarding the requirement that if we are to use HUD PBRA rents, it needs to have at least 10 years remaining and how it may affect the scoring section under </w:t>
            </w:r>
            <w:r w:rsidRPr="006E3A0F">
              <w:rPr>
                <w:rFonts w:ascii="Times New Roman" w:eastAsia="Times New Roman" w:hAnsi="Times New Roman" w:cs="Times New Roman"/>
                <w:b/>
                <w:bCs/>
                <w:sz w:val="20"/>
                <w:szCs w:val="20"/>
              </w:rPr>
              <w:t>(Scoring) Affordability Loss Risk</w:t>
            </w:r>
            <w:r w:rsidRPr="006E3A0F">
              <w:rPr>
                <w:rFonts w:ascii="Times New Roman" w:eastAsia="Times New Roman" w:hAnsi="Times New Roman" w:cs="Times New Roman"/>
                <w:sz w:val="20"/>
                <w:szCs w:val="20"/>
              </w:rPr>
              <w:t>. </w:t>
            </w:r>
          </w:p>
          <w:p w14:paraId="2612AFD6"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35F07A89"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6599B2C8"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From the 2022 QAP Workshop slides: “[Affordability Loss Risk] is, by design, expected to impact the rankings in different set asides in different ways. This is the primary reason for having distinct set asides by preservation type (e.g., scoring RAD and existing Housing Tax Credit properties separately).” </w:t>
            </w:r>
          </w:p>
          <w:p w14:paraId="546C9AC4"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657A318F"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The </w:t>
            </w:r>
            <w:r w:rsidRPr="006E3A0F">
              <w:rPr>
                <w:rFonts w:ascii="Times New Roman" w:eastAsia="Times New Roman" w:hAnsi="Times New Roman" w:cs="Times New Roman"/>
                <w:i/>
                <w:iCs/>
                <w:sz w:val="20"/>
                <w:szCs w:val="20"/>
              </w:rPr>
              <w:t>Affordability Loss Risk Form</w:t>
            </w:r>
            <w:r w:rsidRPr="006E3A0F">
              <w:rPr>
                <w:rFonts w:ascii="Times New Roman" w:eastAsia="Times New Roman" w:hAnsi="Times New Roman" w:cs="Times New Roman"/>
                <w:sz w:val="20"/>
                <w:szCs w:val="20"/>
              </w:rPr>
              <w:t xml:space="preserve"> (under Scoring Documents and Data, </w:t>
            </w:r>
            <w:hyperlink r:id="rId33" w:tgtFrame="_blank" w:history="1">
              <w:r w:rsidRPr="006E3A0F">
                <w:rPr>
                  <w:rFonts w:ascii="Times New Roman" w:eastAsia="Times New Roman" w:hAnsi="Times New Roman" w:cs="Times New Roman"/>
                  <w:sz w:val="20"/>
                  <w:szCs w:val="20"/>
                  <w:u w:val="single"/>
                </w:rPr>
                <w:t>click here</w:t>
              </w:r>
            </w:hyperlink>
            <w:r w:rsidRPr="006E3A0F">
              <w:rPr>
                <w:rFonts w:ascii="Times New Roman" w:eastAsia="Times New Roman" w:hAnsi="Times New Roman" w:cs="Times New Roman"/>
                <w:sz w:val="20"/>
                <w:szCs w:val="20"/>
              </w:rPr>
              <w:t>) covers three criteria for ranking. Again, from the QAP Workshop slides, “For certain set asides, it may even be the case that an individual [criterion] does not result in meaningful variation between applications.” In these instances, point determinations will be based on the other ranking criteria.</w:t>
            </w:r>
          </w:p>
        </w:tc>
      </w:tr>
      <w:tr w:rsidR="00FD1900" w:rsidRPr="006E3A0F" w14:paraId="179365AC" w14:textId="77777777" w:rsidTr="1995616E">
        <w:trPr>
          <w:jc w:val="center"/>
        </w:trPr>
        <w:tc>
          <w:tcPr>
            <w:tcW w:w="2157" w:type="dxa"/>
            <w:shd w:val="clear" w:color="auto" w:fill="auto"/>
            <w:tcMar>
              <w:top w:w="72" w:type="dxa"/>
              <w:left w:w="115" w:type="dxa"/>
              <w:bottom w:w="72" w:type="dxa"/>
              <w:right w:w="115" w:type="dxa"/>
            </w:tcMar>
            <w:vAlign w:val="center"/>
          </w:tcPr>
          <w:p w14:paraId="02AA7401"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6030EC74"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1.06</w:t>
            </w:r>
          </w:p>
          <w:p w14:paraId="4FEC10C8"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Core </w:t>
            </w:r>
            <w:proofErr w:type="gramStart"/>
            <w:r w:rsidRPr="006E3A0F">
              <w:rPr>
                <w:rFonts w:ascii="Times New Roman" w:hAnsi="Times New Roman" w:cs="Times New Roman"/>
                <w:sz w:val="20"/>
                <w:szCs w:val="20"/>
              </w:rPr>
              <w:t>Plan;</w:t>
            </w:r>
            <w:proofErr w:type="gramEnd"/>
          </w:p>
          <w:p w14:paraId="2E4CB60E"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Evaluation of 9% Tax Credit Competitive Applications</w:t>
            </w:r>
          </w:p>
        </w:tc>
        <w:tc>
          <w:tcPr>
            <w:tcW w:w="9590" w:type="dxa"/>
            <w:shd w:val="clear" w:color="auto" w:fill="auto"/>
            <w:tcMar>
              <w:top w:w="72" w:type="dxa"/>
              <w:left w:w="115" w:type="dxa"/>
              <w:bottom w:w="72" w:type="dxa"/>
              <w:right w:w="115" w:type="dxa"/>
            </w:tcMar>
            <w:vAlign w:val="center"/>
          </w:tcPr>
          <w:p w14:paraId="4FF0F20E" w14:textId="77777777" w:rsidR="00FD1900" w:rsidRPr="006E3A0F" w:rsidRDefault="00FD1900" w:rsidP="00304B2F">
            <w:pPr>
              <w:pStyle w:val="paragraph"/>
              <w:spacing w:before="0" w:beforeAutospacing="0" w:after="0" w:afterAutospacing="0"/>
              <w:textAlignment w:val="baseline"/>
              <w:rPr>
                <w:rFonts w:eastAsia="MS Mincho"/>
                <w:sz w:val="20"/>
                <w:szCs w:val="20"/>
              </w:rPr>
            </w:pPr>
            <w:r w:rsidRPr="006E3A0F">
              <w:rPr>
                <w:rStyle w:val="normaltextrun"/>
                <w:rFonts w:eastAsia="MS Mincho"/>
                <w:b/>
                <w:bCs/>
                <w:sz w:val="20"/>
                <w:szCs w:val="20"/>
              </w:rPr>
              <w:t>Question</w:t>
            </w:r>
            <w:r w:rsidRPr="006E3A0F">
              <w:rPr>
                <w:rStyle w:val="normaltextrun"/>
                <w:rFonts w:eastAsia="MS Mincho"/>
                <w:sz w:val="20"/>
                <w:szCs w:val="20"/>
              </w:rPr>
              <w:t>: Q22_0319_01</w:t>
            </w:r>
            <w:r w:rsidRPr="006E3A0F">
              <w:rPr>
                <w:rStyle w:val="eop"/>
                <w:rFonts w:eastAsia="MS Mincho"/>
                <w:sz w:val="20"/>
                <w:szCs w:val="20"/>
              </w:rPr>
              <w:t> </w:t>
            </w:r>
          </w:p>
          <w:p w14:paraId="6982DB0D" w14:textId="77777777" w:rsidR="00FD1900" w:rsidRPr="006E3A0F" w:rsidRDefault="00FD1900" w:rsidP="00304B2F">
            <w:pPr>
              <w:pStyle w:val="paragraph"/>
              <w:spacing w:before="0" w:beforeAutospacing="0" w:after="0" w:afterAutospacing="0"/>
              <w:textAlignment w:val="baseline"/>
              <w:rPr>
                <w:rFonts w:eastAsia="MS Mincho"/>
                <w:sz w:val="20"/>
                <w:szCs w:val="20"/>
              </w:rPr>
            </w:pPr>
            <w:r w:rsidRPr="006E3A0F">
              <w:rPr>
                <w:rStyle w:val="normaltextrun"/>
                <w:rFonts w:eastAsia="MS Mincho"/>
                <w:sz w:val="20"/>
                <w:szCs w:val="20"/>
              </w:rPr>
              <w:t>Will DCA fund two applications in the same city within the Atlanta Metro Pool if they are serving different tenancies and the lower scoring of the two projects is still a higher scoring project in the Atlanta Metro Pool?</w:t>
            </w:r>
            <w:r w:rsidRPr="006E3A0F">
              <w:rPr>
                <w:rStyle w:val="eop"/>
                <w:rFonts w:eastAsia="MS Mincho"/>
                <w:sz w:val="20"/>
                <w:szCs w:val="20"/>
              </w:rPr>
              <w:t> </w:t>
            </w:r>
          </w:p>
          <w:p w14:paraId="5C1A6500" w14:textId="77777777" w:rsidR="00FD1900" w:rsidRPr="006E3A0F" w:rsidRDefault="00FD1900" w:rsidP="00304B2F">
            <w:pPr>
              <w:pStyle w:val="paragraph"/>
              <w:spacing w:before="0" w:beforeAutospacing="0" w:after="0" w:afterAutospacing="0"/>
              <w:textAlignment w:val="baseline"/>
              <w:rPr>
                <w:rFonts w:eastAsia="MS Mincho"/>
                <w:sz w:val="20"/>
                <w:szCs w:val="20"/>
              </w:rPr>
            </w:pPr>
            <w:r w:rsidRPr="006E3A0F">
              <w:rPr>
                <w:rStyle w:val="eop"/>
                <w:rFonts w:eastAsia="MS Mincho"/>
                <w:sz w:val="20"/>
                <w:szCs w:val="20"/>
              </w:rPr>
              <w:t> </w:t>
            </w:r>
          </w:p>
          <w:p w14:paraId="7BA1A4B0" w14:textId="77777777" w:rsidR="00FD1900" w:rsidRPr="006E3A0F" w:rsidRDefault="00FD1900" w:rsidP="00304B2F">
            <w:pPr>
              <w:pStyle w:val="paragraph"/>
              <w:spacing w:before="0" w:beforeAutospacing="0" w:after="0" w:afterAutospacing="0"/>
              <w:textAlignment w:val="baseline"/>
              <w:rPr>
                <w:rFonts w:eastAsia="MS Mincho"/>
                <w:sz w:val="20"/>
                <w:szCs w:val="20"/>
              </w:rPr>
            </w:pPr>
            <w:r w:rsidRPr="006E3A0F">
              <w:rPr>
                <w:rStyle w:val="normaltextrun"/>
                <w:rFonts w:eastAsia="MS Mincho"/>
                <w:b/>
                <w:bCs/>
                <w:sz w:val="20"/>
                <w:szCs w:val="20"/>
              </w:rPr>
              <w:t>Answer</w:t>
            </w:r>
            <w:r w:rsidRPr="006E3A0F">
              <w:rPr>
                <w:rStyle w:val="normaltextrun"/>
                <w:rFonts w:eastAsia="MS Mincho"/>
                <w:sz w:val="20"/>
                <w:szCs w:val="20"/>
              </w:rPr>
              <w:t>:</w:t>
            </w:r>
            <w:r w:rsidRPr="006E3A0F">
              <w:rPr>
                <w:rStyle w:val="eop"/>
                <w:rFonts w:eastAsia="MS Mincho"/>
                <w:sz w:val="20"/>
                <w:szCs w:val="20"/>
              </w:rPr>
              <w:t> </w:t>
            </w:r>
          </w:p>
          <w:p w14:paraId="0337DF2A" w14:textId="77777777" w:rsidR="00FD1900" w:rsidRPr="006E3A0F" w:rsidRDefault="00FD1900" w:rsidP="00304B2F">
            <w:pPr>
              <w:pStyle w:val="paragraph"/>
              <w:spacing w:before="0" w:beforeAutospacing="0" w:after="0" w:afterAutospacing="0"/>
              <w:textAlignment w:val="baseline"/>
              <w:rPr>
                <w:rFonts w:eastAsia="MS Mincho"/>
                <w:sz w:val="20"/>
                <w:szCs w:val="20"/>
              </w:rPr>
            </w:pPr>
            <w:r w:rsidRPr="006E3A0F">
              <w:rPr>
                <w:rStyle w:val="normaltextrun"/>
                <w:rFonts w:eastAsia="MS Mincho"/>
                <w:sz w:val="20"/>
                <w:szCs w:val="20"/>
              </w:rPr>
              <w:t>Yes. Since the developments serve different tenancies, only the geographic limitations apply. The following two apply to the Atlanta Metro Pool:  </w:t>
            </w:r>
            <w:r w:rsidRPr="006E3A0F">
              <w:rPr>
                <w:rStyle w:val="eop"/>
                <w:rFonts w:eastAsia="MS Mincho"/>
                <w:sz w:val="20"/>
                <w:szCs w:val="20"/>
              </w:rPr>
              <w:t> </w:t>
            </w:r>
          </w:p>
          <w:p w14:paraId="1178FF0A" w14:textId="77777777" w:rsidR="00FD1900" w:rsidRPr="006E3A0F" w:rsidRDefault="00FD1900" w:rsidP="00304B2F">
            <w:pPr>
              <w:pStyle w:val="paragraph"/>
              <w:spacing w:before="0" w:beforeAutospacing="0" w:after="0" w:afterAutospacing="0"/>
              <w:textAlignment w:val="baseline"/>
              <w:rPr>
                <w:rFonts w:eastAsia="MS Mincho"/>
                <w:sz w:val="20"/>
                <w:szCs w:val="20"/>
              </w:rPr>
            </w:pPr>
            <w:r w:rsidRPr="006E3A0F">
              <w:rPr>
                <w:rStyle w:val="eop"/>
                <w:rFonts w:eastAsia="MS Mincho"/>
                <w:sz w:val="20"/>
                <w:szCs w:val="20"/>
              </w:rPr>
              <w:t> </w:t>
            </w:r>
          </w:p>
          <w:p w14:paraId="69DCDFA0" w14:textId="77777777" w:rsidR="00FD1900" w:rsidRPr="006E3A0F" w:rsidRDefault="00FD1900" w:rsidP="00304B2F">
            <w:pPr>
              <w:pStyle w:val="paragraph"/>
              <w:numPr>
                <w:ilvl w:val="0"/>
                <w:numId w:val="31"/>
              </w:numPr>
              <w:spacing w:before="0" w:beforeAutospacing="0" w:after="0" w:afterAutospacing="0"/>
              <w:ind w:left="1080" w:firstLine="0"/>
              <w:textAlignment w:val="baseline"/>
              <w:rPr>
                <w:rFonts w:eastAsia="MS Mincho"/>
                <w:sz w:val="20"/>
                <w:szCs w:val="20"/>
              </w:rPr>
            </w:pPr>
            <w:r w:rsidRPr="006E3A0F">
              <w:rPr>
                <w:rStyle w:val="normaltextrun"/>
                <w:rFonts w:eastAsia="MS Mincho"/>
                <w:b/>
                <w:bCs/>
                <w:i/>
                <w:iCs/>
                <w:sz w:val="20"/>
                <w:szCs w:val="20"/>
              </w:rPr>
              <w:t>(Core Plan)</w:t>
            </w:r>
            <w:r w:rsidRPr="006E3A0F">
              <w:rPr>
                <w:rStyle w:val="normaltextrun"/>
                <w:rFonts w:eastAsia="MS Mincho"/>
                <w:sz w:val="20"/>
                <w:szCs w:val="20"/>
              </w:rPr>
              <w:t xml:space="preserve"> </w:t>
            </w:r>
            <w:r w:rsidRPr="006E3A0F">
              <w:rPr>
                <w:rStyle w:val="normaltextrun"/>
                <w:rFonts w:eastAsia="MS Mincho"/>
                <w:b/>
                <w:bCs/>
                <w:i/>
                <w:iCs/>
                <w:sz w:val="20"/>
                <w:szCs w:val="20"/>
              </w:rPr>
              <w:t>Evaluation of 9% Tax Credit Applications</w:t>
            </w:r>
            <w:r w:rsidRPr="006E3A0F">
              <w:rPr>
                <w:rStyle w:val="normaltextrun"/>
                <w:rFonts w:eastAsia="MS Mincho"/>
                <w:i/>
                <w:iCs/>
                <w:sz w:val="20"/>
                <w:szCs w:val="20"/>
              </w:rPr>
              <w:t>,</w:t>
            </w:r>
            <w:r w:rsidRPr="006E3A0F">
              <w:rPr>
                <w:rStyle w:val="normaltextrun"/>
                <w:rFonts w:eastAsia="MS Mincho"/>
                <w:b/>
                <w:bCs/>
                <w:i/>
                <w:iCs/>
                <w:sz w:val="20"/>
                <w:szCs w:val="20"/>
              </w:rPr>
              <w:t xml:space="preserve"> </w:t>
            </w:r>
            <w:r w:rsidRPr="006E3A0F">
              <w:rPr>
                <w:rStyle w:val="normaltextrun"/>
                <w:rFonts w:eastAsia="MS Mincho"/>
                <w:i/>
                <w:iCs/>
                <w:sz w:val="20"/>
                <w:szCs w:val="20"/>
              </w:rPr>
              <w:t>subsection 3.</w:t>
            </w:r>
            <w:r w:rsidRPr="006E3A0F">
              <w:rPr>
                <w:rStyle w:val="normaltextrun"/>
                <w:rFonts w:eastAsia="MS Mincho"/>
                <w:b/>
                <w:bCs/>
                <w:i/>
                <w:iCs/>
                <w:sz w:val="20"/>
                <w:szCs w:val="20"/>
              </w:rPr>
              <w:t xml:space="preserve"> Geographic Allocation Limitations for Projects selected in the New Supply Competitive Process</w:t>
            </w:r>
            <w:r w:rsidRPr="006E3A0F">
              <w:rPr>
                <w:rStyle w:val="normaltextrun"/>
                <w:rFonts w:eastAsia="MS Mincho"/>
                <w:sz w:val="20"/>
                <w:szCs w:val="20"/>
              </w:rPr>
              <w:t> </w:t>
            </w:r>
            <w:r w:rsidRPr="006E3A0F">
              <w:rPr>
                <w:rStyle w:val="eop"/>
                <w:rFonts w:eastAsia="MS Mincho"/>
                <w:sz w:val="20"/>
                <w:szCs w:val="20"/>
              </w:rPr>
              <w:t> </w:t>
            </w:r>
          </w:p>
          <w:p w14:paraId="597BE86C" w14:textId="77777777" w:rsidR="00FD1900" w:rsidRPr="006E3A0F" w:rsidRDefault="00FD1900" w:rsidP="00304B2F">
            <w:pPr>
              <w:pStyle w:val="paragraph"/>
              <w:numPr>
                <w:ilvl w:val="0"/>
                <w:numId w:val="32"/>
              </w:numPr>
              <w:spacing w:before="0" w:beforeAutospacing="0" w:after="0" w:afterAutospacing="0"/>
              <w:ind w:left="1800" w:firstLine="0"/>
              <w:textAlignment w:val="baseline"/>
              <w:rPr>
                <w:rFonts w:eastAsia="MS Mincho"/>
                <w:sz w:val="20"/>
                <w:szCs w:val="20"/>
              </w:rPr>
            </w:pPr>
            <w:r w:rsidRPr="006E3A0F">
              <w:rPr>
                <w:rStyle w:val="normaltextrun"/>
                <w:rFonts w:eastAsia="MS Mincho"/>
                <w:sz w:val="20"/>
                <w:szCs w:val="20"/>
              </w:rPr>
              <w:t>“DCA will select up to two Metro Pool Applications located in the same Local Government Boundary.”</w:t>
            </w:r>
            <w:r w:rsidRPr="006E3A0F">
              <w:rPr>
                <w:rStyle w:val="eop"/>
                <w:rFonts w:eastAsia="MS Mincho"/>
                <w:sz w:val="20"/>
                <w:szCs w:val="20"/>
              </w:rPr>
              <w:t> </w:t>
            </w:r>
          </w:p>
          <w:p w14:paraId="01905546" w14:textId="77777777" w:rsidR="00FD1900" w:rsidRPr="006E3A0F" w:rsidRDefault="00FD1900" w:rsidP="00304B2F">
            <w:pPr>
              <w:pStyle w:val="paragraph"/>
              <w:numPr>
                <w:ilvl w:val="0"/>
                <w:numId w:val="32"/>
              </w:numPr>
              <w:spacing w:before="0" w:beforeAutospacing="0" w:after="0" w:afterAutospacing="0"/>
              <w:ind w:left="1800" w:firstLine="0"/>
              <w:textAlignment w:val="baseline"/>
              <w:rPr>
                <w:rFonts w:eastAsia="MS Mincho"/>
                <w:sz w:val="20"/>
                <w:szCs w:val="20"/>
              </w:rPr>
            </w:pPr>
            <w:r w:rsidRPr="006E3A0F">
              <w:rPr>
                <w:rStyle w:val="normaltextrun"/>
                <w:rFonts w:eastAsia="MS Mincho"/>
                <w:sz w:val="20"/>
                <w:szCs w:val="20"/>
              </w:rPr>
              <w:t>“DCA will allocate up to 10% of Credits, excluding set asides, among Applications for funding in the City of Atlanta. DCA will not award less than an Applicant’s 9% Credit request to reach this cap.”</w:t>
            </w:r>
          </w:p>
          <w:p w14:paraId="19241056" w14:textId="77777777" w:rsidR="00FD1900" w:rsidRPr="006E3A0F" w:rsidRDefault="00FD1900" w:rsidP="00304B2F">
            <w:pPr>
              <w:textAlignment w:val="baseline"/>
              <w:rPr>
                <w:rFonts w:ascii="Times New Roman" w:eastAsia="Times New Roman" w:hAnsi="Times New Roman" w:cs="Times New Roman"/>
                <w:b/>
                <w:bCs/>
                <w:sz w:val="20"/>
                <w:szCs w:val="20"/>
              </w:rPr>
            </w:pPr>
          </w:p>
        </w:tc>
      </w:tr>
      <w:tr w:rsidR="00FD1900" w:rsidRPr="006E3A0F" w14:paraId="150AF079" w14:textId="77777777" w:rsidTr="1995616E">
        <w:trPr>
          <w:jc w:val="center"/>
        </w:trPr>
        <w:tc>
          <w:tcPr>
            <w:tcW w:w="2157" w:type="dxa"/>
            <w:shd w:val="clear" w:color="auto" w:fill="auto"/>
            <w:tcMar>
              <w:top w:w="72" w:type="dxa"/>
              <w:left w:w="115" w:type="dxa"/>
              <w:bottom w:w="72" w:type="dxa"/>
              <w:right w:w="115" w:type="dxa"/>
            </w:tcMar>
            <w:vAlign w:val="center"/>
          </w:tcPr>
          <w:p w14:paraId="0CB03FD5"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608D7D05"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2.07</w:t>
            </w:r>
          </w:p>
          <w:p w14:paraId="2F021893"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Threshold Criteria; Environmental Requirements</w:t>
            </w:r>
          </w:p>
        </w:tc>
        <w:tc>
          <w:tcPr>
            <w:tcW w:w="9590" w:type="dxa"/>
            <w:shd w:val="clear" w:color="auto" w:fill="auto"/>
            <w:tcMar>
              <w:top w:w="72" w:type="dxa"/>
              <w:left w:w="115" w:type="dxa"/>
              <w:bottom w:w="72" w:type="dxa"/>
              <w:right w:w="115" w:type="dxa"/>
            </w:tcMar>
            <w:vAlign w:val="center"/>
          </w:tcPr>
          <w:p w14:paraId="7E7582D6"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xml:space="preserve">: Q22_0330_01a </w:t>
            </w:r>
          </w:p>
          <w:p w14:paraId="7D2937DC"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In regard to the Environmental Manual: Asbestos - Section 7 requires that an asbestos survey must be performed on all buildings scheduled for rehabilitation.  Since asbestos was banned in 1989, there is no chance that a property built after 1989 would contain asbestos. In our case, the buildings were placed in service is 2008; is a visual survey sufficient by the Environmental Professional or does actual sampling need to be performed?  The cost to sample for asbestos is not warranted. </w:t>
            </w:r>
          </w:p>
          <w:p w14:paraId="3150F752" w14:textId="77777777" w:rsidR="00FD1900" w:rsidRPr="006E3A0F" w:rsidRDefault="00FD1900" w:rsidP="00304B2F">
            <w:pPr>
              <w:textAlignment w:val="baseline"/>
              <w:rPr>
                <w:rFonts w:ascii="Times New Roman" w:eastAsia="Times New Roman" w:hAnsi="Times New Roman" w:cs="Times New Roman"/>
                <w:sz w:val="20"/>
                <w:szCs w:val="20"/>
              </w:rPr>
            </w:pPr>
          </w:p>
          <w:p w14:paraId="0A2CDD22"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xml:space="preserve">: </w:t>
            </w:r>
          </w:p>
          <w:p w14:paraId="762C1ABE"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The asbestos ban regulation issued by EPA in 1989 was overturned by the court and therefore only applies to a few specific asbestos-containing materials. EPA’s National Emission Standard for Hazardous Air Pollutants (NESHAP) requires an asbestos survey prior to any renovation or demolition regardless of the date of construction. The residential structures, or the portion of the structures that will be demolished or renovated, must be thoroughly inspected for the presence of asbestos, including Category I and Category II non-friable ACM.</w:t>
            </w:r>
          </w:p>
        </w:tc>
      </w:tr>
      <w:tr w:rsidR="00FD1900" w:rsidRPr="006E3A0F" w14:paraId="2953D8DB" w14:textId="77777777" w:rsidTr="1995616E">
        <w:trPr>
          <w:jc w:val="center"/>
        </w:trPr>
        <w:tc>
          <w:tcPr>
            <w:tcW w:w="2157" w:type="dxa"/>
            <w:shd w:val="clear" w:color="auto" w:fill="auto"/>
            <w:tcMar>
              <w:top w:w="72" w:type="dxa"/>
              <w:left w:w="115" w:type="dxa"/>
              <w:bottom w:w="72" w:type="dxa"/>
              <w:right w:w="115" w:type="dxa"/>
            </w:tcMar>
            <w:vAlign w:val="center"/>
          </w:tcPr>
          <w:p w14:paraId="5FB818C3"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349AE3A2"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2.10</w:t>
            </w:r>
          </w:p>
          <w:p w14:paraId="351B7BD1"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7A69E314"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4B397485"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Q22_0323_01 </w:t>
            </w:r>
          </w:p>
          <w:p w14:paraId="7637EEB3"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I am hoping to get clarity on the Certifying Entity responsible for meeting </w:t>
            </w:r>
            <w:r w:rsidRPr="006E3A0F">
              <w:rPr>
                <w:rFonts w:ascii="Times New Roman" w:eastAsia="Times New Roman" w:hAnsi="Times New Roman" w:cs="Times New Roman"/>
                <w:b/>
                <w:bCs/>
                <w:sz w:val="20"/>
                <w:szCs w:val="20"/>
              </w:rPr>
              <w:t>(Threshold Criteria) Experience, Capacity and Performance Requirements for General Partner and Developer Entities, C. Requirements for Experience</w:t>
            </w:r>
            <w:r w:rsidRPr="006E3A0F">
              <w:rPr>
                <w:rFonts w:ascii="Times New Roman" w:eastAsia="Times New Roman" w:hAnsi="Times New Roman" w:cs="Times New Roman"/>
                <w:sz w:val="20"/>
                <w:szCs w:val="20"/>
              </w:rPr>
              <w:t>.” Can qualifying projects be outside of Georgia? </w:t>
            </w:r>
          </w:p>
          <w:p w14:paraId="5ACD47CE"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10489091"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4ADEBF46"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Yes, the requirements for experience (certifying entity) in the above-listed subsection can be met with Housing Tax Credit developments in any state.</w:t>
            </w:r>
          </w:p>
          <w:p w14:paraId="5E5CCDE6" w14:textId="77777777" w:rsidR="00FD1900" w:rsidRPr="006E3A0F" w:rsidRDefault="00FD1900" w:rsidP="00304B2F">
            <w:pPr>
              <w:textAlignment w:val="baseline"/>
              <w:rPr>
                <w:rFonts w:ascii="Times New Roman" w:eastAsia="Times New Roman" w:hAnsi="Times New Roman" w:cs="Times New Roman"/>
                <w:b/>
                <w:bCs/>
                <w:sz w:val="20"/>
                <w:szCs w:val="20"/>
              </w:rPr>
            </w:pPr>
          </w:p>
        </w:tc>
      </w:tr>
      <w:tr w:rsidR="00FD1900" w:rsidRPr="006E3A0F" w14:paraId="693C51FB" w14:textId="77777777" w:rsidTr="1995616E">
        <w:trPr>
          <w:jc w:val="center"/>
        </w:trPr>
        <w:tc>
          <w:tcPr>
            <w:tcW w:w="2157" w:type="dxa"/>
            <w:shd w:val="clear" w:color="auto" w:fill="auto"/>
            <w:tcMar>
              <w:top w:w="72" w:type="dxa"/>
              <w:left w:w="115" w:type="dxa"/>
              <w:bottom w:w="72" w:type="dxa"/>
              <w:right w:w="115" w:type="dxa"/>
            </w:tcMar>
            <w:vAlign w:val="center"/>
          </w:tcPr>
          <w:p w14:paraId="10B31D68"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427BDC13"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3.17</w:t>
            </w:r>
          </w:p>
          <w:p w14:paraId="24B68EB5"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0A8D8C60"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734EF173"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Q22_0216_08</w:t>
            </w:r>
            <w:r w:rsidRPr="006E3A0F">
              <w:rPr>
                <w:rStyle w:val="eop"/>
                <w:sz w:val="20"/>
                <w:szCs w:val="20"/>
              </w:rPr>
              <w:t>  </w:t>
            </w:r>
          </w:p>
          <w:p w14:paraId="3691B9EC"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 xml:space="preserve">The QAP states in </w:t>
            </w:r>
            <w:r w:rsidRPr="006E3A0F">
              <w:rPr>
                <w:rStyle w:val="normaltextrun"/>
                <w:b/>
                <w:bCs/>
                <w:sz w:val="20"/>
                <w:szCs w:val="20"/>
              </w:rPr>
              <w:t>Scoring, Minority- and Women-Owned Business Engagement, A. Engagement Commitment and Reporting</w:t>
            </w:r>
            <w:r w:rsidRPr="006E3A0F">
              <w:rPr>
                <w:rStyle w:val="normaltextrun"/>
                <w:sz w:val="20"/>
                <w:szCs w:val="20"/>
              </w:rPr>
              <w:t>:</w:t>
            </w:r>
            <w:r w:rsidRPr="006E3A0F">
              <w:rPr>
                <w:rStyle w:val="eop"/>
                <w:sz w:val="20"/>
                <w:szCs w:val="20"/>
              </w:rPr>
              <w:t> </w:t>
            </w:r>
          </w:p>
          <w:p w14:paraId="0F965101"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14AE44AB" w14:textId="77777777" w:rsidR="00FD1900" w:rsidRPr="006E3A0F" w:rsidRDefault="00FD1900" w:rsidP="00304B2F">
            <w:pPr>
              <w:pStyle w:val="paragraph"/>
              <w:spacing w:before="0" w:beforeAutospacing="0" w:after="0" w:afterAutospacing="0"/>
              <w:ind w:left="360"/>
              <w:textAlignment w:val="baseline"/>
              <w:rPr>
                <w:sz w:val="20"/>
                <w:szCs w:val="20"/>
              </w:rPr>
            </w:pPr>
            <w:r w:rsidRPr="006E3A0F">
              <w:rPr>
                <w:rStyle w:val="normaltextrun"/>
                <w:i/>
                <w:iCs/>
                <w:sz w:val="20"/>
                <w:szCs w:val="20"/>
              </w:rPr>
              <w:t>“Applicant commits to:</w:t>
            </w:r>
            <w:r w:rsidRPr="006E3A0F">
              <w:rPr>
                <w:rStyle w:val="eop"/>
                <w:sz w:val="20"/>
                <w:szCs w:val="20"/>
              </w:rPr>
              <w:t> </w:t>
            </w:r>
          </w:p>
          <w:p w14:paraId="7C8D1B86" w14:textId="77777777" w:rsidR="00FD1900" w:rsidRPr="006E3A0F" w:rsidRDefault="00FD1900" w:rsidP="00304B2F">
            <w:pPr>
              <w:pStyle w:val="paragraph"/>
              <w:numPr>
                <w:ilvl w:val="0"/>
                <w:numId w:val="33"/>
              </w:numPr>
              <w:spacing w:before="0" w:beforeAutospacing="0" w:after="0" w:afterAutospacing="0"/>
              <w:ind w:left="1080" w:firstLine="0"/>
              <w:textAlignment w:val="baseline"/>
              <w:rPr>
                <w:sz w:val="20"/>
                <w:szCs w:val="20"/>
              </w:rPr>
            </w:pPr>
            <w:r w:rsidRPr="006E3A0F">
              <w:rPr>
                <w:rStyle w:val="normaltextrun"/>
                <w:i/>
                <w:iCs/>
                <w:sz w:val="20"/>
                <w:szCs w:val="20"/>
              </w:rPr>
              <w:t>Engage QBs in the development or operation of the proposed property in amounts equal to approximately 5% of total construction hard costs as certified by the Independent Auditor Report in the Final Allocation Application.”</w:t>
            </w:r>
            <w:r w:rsidRPr="006E3A0F">
              <w:rPr>
                <w:rStyle w:val="eop"/>
                <w:sz w:val="20"/>
                <w:szCs w:val="20"/>
              </w:rPr>
              <w:t> </w:t>
            </w:r>
          </w:p>
          <w:p w14:paraId="4C65E7DA"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7C7C7FEA"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If the General Contractor employs sufficient qualified subcontractors who meet the NAICS requirements, and these subcontractors perform 5% or more of the audited hard construction costs, would the project then meet the criteria of A. Engagement Commitment and Reporting and receive the two points?</w:t>
            </w:r>
            <w:r w:rsidRPr="006E3A0F">
              <w:rPr>
                <w:rStyle w:val="eop"/>
                <w:sz w:val="20"/>
                <w:szCs w:val="20"/>
              </w:rPr>
              <w:t> </w:t>
            </w:r>
          </w:p>
          <w:p w14:paraId="4F443F86"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0845D9EA"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w:t>
            </w:r>
            <w:r w:rsidRPr="006E3A0F">
              <w:rPr>
                <w:rStyle w:val="normaltextrun"/>
                <w:strike/>
                <w:sz w:val="20"/>
                <w:szCs w:val="20"/>
              </w:rPr>
              <w:t> </w:t>
            </w:r>
            <w:r w:rsidRPr="006E3A0F">
              <w:rPr>
                <w:rStyle w:val="eop"/>
                <w:sz w:val="20"/>
                <w:szCs w:val="20"/>
              </w:rPr>
              <w:t> </w:t>
            </w:r>
          </w:p>
          <w:p w14:paraId="7AC59E80"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The QAP does not disallow subcontractors. Therefore, expenses paid to subcontractors that otherwise meet all QAP requirements under this section related to QBs are eligible to contribute towards the 5%. For example, if a General Contractor is not a QB, but three of the subcontractors are, then the expenses paid to the three subcontracting QBs are allowable expenses for contributing to the 5%.</w:t>
            </w:r>
            <w:r w:rsidRPr="006E3A0F">
              <w:rPr>
                <w:rStyle w:val="eop"/>
                <w:sz w:val="20"/>
                <w:szCs w:val="20"/>
              </w:rPr>
              <w:t> </w:t>
            </w:r>
          </w:p>
          <w:p w14:paraId="0A5E930F" w14:textId="77777777" w:rsidR="00FD1900" w:rsidRPr="006E3A0F" w:rsidRDefault="00FD1900" w:rsidP="00304B2F">
            <w:pPr>
              <w:textAlignment w:val="baseline"/>
              <w:rPr>
                <w:rFonts w:ascii="Times New Roman" w:eastAsia="Times New Roman" w:hAnsi="Times New Roman" w:cs="Times New Roman"/>
                <w:b/>
                <w:bCs/>
                <w:sz w:val="20"/>
                <w:szCs w:val="20"/>
              </w:rPr>
            </w:pPr>
          </w:p>
        </w:tc>
      </w:tr>
      <w:tr w:rsidR="00FD1900" w:rsidRPr="006E3A0F" w14:paraId="08318FF2" w14:textId="77777777" w:rsidTr="1995616E">
        <w:trPr>
          <w:jc w:val="center"/>
        </w:trPr>
        <w:tc>
          <w:tcPr>
            <w:tcW w:w="2157" w:type="dxa"/>
            <w:shd w:val="clear" w:color="auto" w:fill="auto"/>
            <w:tcMar>
              <w:top w:w="72" w:type="dxa"/>
              <w:left w:w="115" w:type="dxa"/>
              <w:bottom w:w="72" w:type="dxa"/>
              <w:right w:w="115" w:type="dxa"/>
            </w:tcMar>
            <w:vAlign w:val="center"/>
          </w:tcPr>
          <w:p w14:paraId="4A21F87A"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1446488C"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3.17</w:t>
            </w:r>
          </w:p>
          <w:p w14:paraId="6759EFBC"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004EE714"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6E038D54"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Q22_0223_05 </w:t>
            </w:r>
          </w:p>
          <w:p w14:paraId="1951D006"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Can non-profits qualify as a WBE/MBE? </w:t>
            </w:r>
          </w:p>
          <w:p w14:paraId="72A62575"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6AF7EAF1"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43FD200E"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DCA does not impose any boundaries around eligibility other than what is explicitly stated in the Minority- and Women-Owned Business Engagement Policy posted to the DCA website under </w:t>
            </w:r>
            <w:r w:rsidRPr="006E3A0F">
              <w:rPr>
                <w:rFonts w:ascii="Times New Roman" w:eastAsia="Times New Roman" w:hAnsi="Times New Roman" w:cs="Times New Roman"/>
                <w:i/>
                <w:iCs/>
                <w:sz w:val="20"/>
                <w:szCs w:val="20"/>
              </w:rPr>
              <w:t>Scoring Documents and Data</w:t>
            </w:r>
            <w:r w:rsidRPr="006E3A0F">
              <w:rPr>
                <w:rFonts w:ascii="Times New Roman" w:eastAsia="Times New Roman" w:hAnsi="Times New Roman" w:cs="Times New Roman"/>
                <w:sz w:val="20"/>
                <w:szCs w:val="20"/>
              </w:rPr>
              <w:t xml:space="preserve"> (</w:t>
            </w:r>
            <w:hyperlink r:id="rId34" w:tgtFrame="_blank" w:history="1">
              <w:r w:rsidRPr="006E3A0F">
                <w:rPr>
                  <w:rFonts w:ascii="Times New Roman" w:eastAsia="Times New Roman" w:hAnsi="Times New Roman" w:cs="Times New Roman"/>
                  <w:sz w:val="20"/>
                  <w:szCs w:val="20"/>
                  <w:u w:val="single"/>
                </w:rPr>
                <w:t>click here</w:t>
              </w:r>
            </w:hyperlink>
            <w:r w:rsidRPr="006E3A0F">
              <w:rPr>
                <w:rFonts w:ascii="Times New Roman" w:eastAsia="Times New Roman" w:hAnsi="Times New Roman" w:cs="Times New Roman"/>
                <w:sz w:val="20"/>
                <w:szCs w:val="20"/>
              </w:rPr>
              <w:t>).  </w:t>
            </w:r>
          </w:p>
          <w:p w14:paraId="60C38057"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471F7FD8"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Organizations interested in the certification programs should review the information posted on each program’s website and where anything is unclear, please direct those questions to the certification programs. DCA is not able to clarify policies for non-DCA programs.  </w:t>
            </w:r>
          </w:p>
          <w:p w14:paraId="1E784D13" w14:textId="77777777" w:rsidR="00FD1900" w:rsidRPr="006E3A0F" w:rsidRDefault="00FD1900" w:rsidP="00304B2F">
            <w:pPr>
              <w:textAlignment w:val="baseline"/>
              <w:rPr>
                <w:rFonts w:ascii="Times New Roman" w:eastAsia="Times New Roman" w:hAnsi="Times New Roman" w:cs="Times New Roman"/>
                <w:b/>
                <w:bCs/>
                <w:sz w:val="20"/>
                <w:szCs w:val="20"/>
              </w:rPr>
            </w:pPr>
          </w:p>
        </w:tc>
      </w:tr>
      <w:tr w:rsidR="00FD1900" w:rsidRPr="006E3A0F" w14:paraId="053FE80B" w14:textId="77777777" w:rsidTr="1995616E">
        <w:trPr>
          <w:jc w:val="center"/>
        </w:trPr>
        <w:tc>
          <w:tcPr>
            <w:tcW w:w="2157" w:type="dxa"/>
            <w:shd w:val="clear" w:color="auto" w:fill="auto"/>
            <w:tcMar>
              <w:top w:w="72" w:type="dxa"/>
              <w:left w:w="115" w:type="dxa"/>
              <w:bottom w:w="72" w:type="dxa"/>
              <w:right w:w="115" w:type="dxa"/>
            </w:tcMar>
            <w:vAlign w:val="center"/>
          </w:tcPr>
          <w:p w14:paraId="706BF9AC"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7956359D"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3.17</w:t>
            </w:r>
          </w:p>
          <w:p w14:paraId="7B53CB3B"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58A898BC"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56F83957"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Q22_0223_06  </w:t>
            </w:r>
          </w:p>
          <w:p w14:paraId="0BBC9EAB"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Which agencies and/or councils will certify business ownership? </w:t>
            </w:r>
          </w:p>
          <w:p w14:paraId="5E1FB45A"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0156BD5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77A946A7"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 The </w:t>
            </w:r>
            <w:r w:rsidRPr="006E3A0F">
              <w:rPr>
                <w:rFonts w:ascii="Times New Roman" w:eastAsia="Times New Roman" w:hAnsi="Times New Roman" w:cs="Times New Roman"/>
                <w:i/>
                <w:iCs/>
                <w:sz w:val="20"/>
                <w:szCs w:val="20"/>
              </w:rPr>
              <w:t>DCA Minority- and Women-Owned Business Engagement Policy</w:t>
            </w:r>
            <w:r w:rsidRPr="006E3A0F">
              <w:rPr>
                <w:rFonts w:ascii="Times New Roman" w:eastAsia="Times New Roman" w:hAnsi="Times New Roman" w:cs="Times New Roman"/>
                <w:sz w:val="20"/>
                <w:szCs w:val="20"/>
              </w:rPr>
              <w:t xml:space="preserve"> states: </w:t>
            </w:r>
          </w:p>
          <w:p w14:paraId="34087566"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438C8B51" w14:textId="77777777" w:rsidR="00FD1900" w:rsidRPr="006E3A0F" w:rsidRDefault="00FD1900" w:rsidP="00304B2F">
            <w:pPr>
              <w:ind w:left="720"/>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i/>
                <w:iCs/>
                <w:sz w:val="20"/>
                <w:szCs w:val="20"/>
              </w:rPr>
              <w:t>“To qualify for the Project Team or Prior Minority and Women-Owned Business Engagement points under the Minority- and Women-Owned Business Engagement scoring initiatives, an applicant may submit proof of either a State DBE/MBE certification or a Federal MBE Certification.</w:t>
            </w:r>
            <w:r w:rsidRPr="006E3A0F">
              <w:rPr>
                <w:rFonts w:ascii="Times New Roman" w:eastAsia="Times New Roman" w:hAnsi="Times New Roman" w:cs="Times New Roman"/>
                <w:sz w:val="20"/>
                <w:szCs w:val="20"/>
              </w:rPr>
              <w:t> </w:t>
            </w:r>
          </w:p>
          <w:p w14:paraId="01C98449" w14:textId="77777777" w:rsidR="00FD1900" w:rsidRPr="006E3A0F" w:rsidRDefault="00FD1900" w:rsidP="00304B2F">
            <w:pPr>
              <w:ind w:left="720"/>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2AE4A08A" w14:textId="77777777" w:rsidR="00FD1900" w:rsidRPr="006E3A0F" w:rsidRDefault="00FD1900" w:rsidP="00304B2F">
            <w:pPr>
              <w:ind w:left="720"/>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i/>
                <w:iCs/>
                <w:sz w:val="20"/>
                <w:szCs w:val="20"/>
              </w:rPr>
              <w:t>STATE CERTIFICATION</w:t>
            </w:r>
            <w:r w:rsidRPr="006E3A0F">
              <w:rPr>
                <w:rFonts w:ascii="Times New Roman" w:eastAsia="Times New Roman" w:hAnsi="Times New Roman" w:cs="Times New Roman"/>
                <w:sz w:val="20"/>
                <w:szCs w:val="20"/>
              </w:rPr>
              <w:t> </w:t>
            </w:r>
          </w:p>
          <w:p w14:paraId="1FEF9492" w14:textId="77777777" w:rsidR="00FD1900" w:rsidRPr="006E3A0F" w:rsidRDefault="00FD1900" w:rsidP="00304B2F">
            <w:pPr>
              <w:ind w:left="720"/>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i/>
                <w:iCs/>
                <w:sz w:val="20"/>
                <w:szCs w:val="20"/>
              </w:rPr>
              <w:t>Georgia Department of Administrative Services: Minority Business Enterprise Certification Georgia Department of Transportation Disadvantaged Business Enterprise (includes WBE)</w:t>
            </w:r>
            <w:r w:rsidRPr="006E3A0F">
              <w:rPr>
                <w:rFonts w:ascii="Times New Roman" w:eastAsia="Times New Roman" w:hAnsi="Times New Roman" w:cs="Times New Roman"/>
                <w:sz w:val="20"/>
                <w:szCs w:val="20"/>
              </w:rPr>
              <w:t> </w:t>
            </w:r>
          </w:p>
          <w:p w14:paraId="452365A1" w14:textId="77777777" w:rsidR="00FD1900" w:rsidRPr="006E3A0F" w:rsidRDefault="00FD1900" w:rsidP="00304B2F">
            <w:pPr>
              <w:ind w:left="720"/>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79FE9AFD" w14:textId="77777777" w:rsidR="00FD1900" w:rsidRPr="006E3A0F" w:rsidRDefault="00FD1900" w:rsidP="00304B2F">
            <w:pPr>
              <w:ind w:left="720"/>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i/>
                <w:iCs/>
                <w:sz w:val="20"/>
                <w:szCs w:val="20"/>
              </w:rPr>
              <w:t>FEDERAL CERTIFICATION</w:t>
            </w:r>
            <w:r w:rsidRPr="006E3A0F">
              <w:rPr>
                <w:rFonts w:ascii="Times New Roman" w:eastAsia="Times New Roman" w:hAnsi="Times New Roman" w:cs="Times New Roman"/>
                <w:sz w:val="20"/>
                <w:szCs w:val="20"/>
              </w:rPr>
              <w:t> </w:t>
            </w:r>
          </w:p>
          <w:p w14:paraId="378CE362" w14:textId="77777777" w:rsidR="00FD1900" w:rsidRPr="006E3A0F" w:rsidRDefault="00FD1900" w:rsidP="00304B2F">
            <w:pPr>
              <w:ind w:left="720"/>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i/>
                <w:iCs/>
                <w:sz w:val="20"/>
                <w:szCs w:val="20"/>
              </w:rPr>
              <w:t>National Minority Supplier Development Council (NMSDC)”</w:t>
            </w:r>
          </w:p>
          <w:p w14:paraId="32FBE9AA" w14:textId="77777777" w:rsidR="00FD1900" w:rsidRPr="006E3A0F" w:rsidRDefault="00FD1900" w:rsidP="00304B2F">
            <w:pPr>
              <w:textAlignment w:val="baseline"/>
              <w:rPr>
                <w:rFonts w:ascii="Times New Roman" w:eastAsia="Times New Roman" w:hAnsi="Times New Roman" w:cs="Times New Roman"/>
                <w:b/>
                <w:bCs/>
                <w:sz w:val="20"/>
                <w:szCs w:val="20"/>
              </w:rPr>
            </w:pPr>
          </w:p>
        </w:tc>
      </w:tr>
      <w:tr w:rsidR="00FD1900" w:rsidRPr="006E3A0F" w14:paraId="3FEF4D39" w14:textId="77777777" w:rsidTr="1995616E">
        <w:trPr>
          <w:jc w:val="center"/>
        </w:trPr>
        <w:tc>
          <w:tcPr>
            <w:tcW w:w="2157" w:type="dxa"/>
            <w:shd w:val="clear" w:color="auto" w:fill="auto"/>
            <w:tcMar>
              <w:top w:w="72" w:type="dxa"/>
              <w:left w:w="115" w:type="dxa"/>
              <w:bottom w:w="72" w:type="dxa"/>
              <w:right w:w="115" w:type="dxa"/>
            </w:tcMar>
            <w:vAlign w:val="center"/>
          </w:tcPr>
          <w:p w14:paraId="7FB593D5"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73F5482A"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2.07</w:t>
            </w:r>
          </w:p>
          <w:p w14:paraId="23DE61C7"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Threshold Criteria; Environmental Requirements</w:t>
            </w:r>
          </w:p>
        </w:tc>
        <w:tc>
          <w:tcPr>
            <w:tcW w:w="9590" w:type="dxa"/>
            <w:shd w:val="clear" w:color="auto" w:fill="auto"/>
            <w:tcMar>
              <w:top w:w="72" w:type="dxa"/>
              <w:left w:w="115" w:type="dxa"/>
              <w:bottom w:w="72" w:type="dxa"/>
              <w:right w:w="115" w:type="dxa"/>
            </w:tcMar>
            <w:vAlign w:val="center"/>
          </w:tcPr>
          <w:p w14:paraId="2559E623"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Q22_0329_02 </w:t>
            </w:r>
          </w:p>
          <w:p w14:paraId="04DE9433"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We are working on an acquisition rehabilitation, and we received Phase I ESA, dated 5/13/21. We are engaging an update for the report since it will exceed 6 months prior to the firm application. Does DCA require that we also receive an updated noise assessment and STC Calculation &amp; </w:t>
            </w:r>
            <w:proofErr w:type="spellStart"/>
            <w:r w:rsidRPr="006E3A0F">
              <w:rPr>
                <w:rFonts w:ascii="Times New Roman" w:eastAsia="Times New Roman" w:hAnsi="Times New Roman" w:cs="Times New Roman"/>
                <w:sz w:val="20"/>
                <w:szCs w:val="20"/>
              </w:rPr>
              <w:t>STraCAT</w:t>
            </w:r>
            <w:proofErr w:type="spellEnd"/>
            <w:r w:rsidRPr="006E3A0F">
              <w:rPr>
                <w:rFonts w:ascii="Times New Roman" w:eastAsia="Times New Roman" w:hAnsi="Times New Roman" w:cs="Times New Roman"/>
                <w:sz w:val="20"/>
                <w:szCs w:val="20"/>
              </w:rPr>
              <w:t xml:space="preserve"> Analysis? </w:t>
            </w:r>
          </w:p>
          <w:p w14:paraId="69E826F1"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0A2AD128"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27A6AAB3"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Per the DCA 2022 Environmental Manual, Noise Assessment must be completed within one hundred eighty (180) days before Application submission (P.27). An updated complete noise assessment including STC Calculation, </w:t>
            </w:r>
            <w:proofErr w:type="spellStart"/>
            <w:r w:rsidRPr="006E3A0F">
              <w:rPr>
                <w:rFonts w:ascii="Times New Roman" w:eastAsia="Times New Roman" w:hAnsi="Times New Roman" w:cs="Times New Roman"/>
                <w:sz w:val="20"/>
                <w:szCs w:val="20"/>
              </w:rPr>
              <w:t>STraCAT</w:t>
            </w:r>
            <w:proofErr w:type="spellEnd"/>
            <w:r w:rsidRPr="006E3A0F">
              <w:rPr>
                <w:rFonts w:ascii="Times New Roman" w:eastAsia="Times New Roman" w:hAnsi="Times New Roman" w:cs="Times New Roman"/>
                <w:sz w:val="20"/>
                <w:szCs w:val="20"/>
              </w:rPr>
              <w:t xml:space="preserve"> Analysis &amp; 10-year roadway projections is required. </w:t>
            </w:r>
          </w:p>
        </w:tc>
      </w:tr>
      <w:tr w:rsidR="00FD1900" w:rsidRPr="006E3A0F" w14:paraId="003240E9" w14:textId="77777777" w:rsidTr="1995616E">
        <w:trPr>
          <w:jc w:val="center"/>
        </w:trPr>
        <w:tc>
          <w:tcPr>
            <w:tcW w:w="2157" w:type="dxa"/>
            <w:shd w:val="clear" w:color="auto" w:fill="auto"/>
            <w:tcMar>
              <w:top w:w="72" w:type="dxa"/>
              <w:left w:w="115" w:type="dxa"/>
              <w:bottom w:w="72" w:type="dxa"/>
              <w:right w:w="115" w:type="dxa"/>
            </w:tcMar>
            <w:vAlign w:val="center"/>
          </w:tcPr>
          <w:p w14:paraId="5A726663"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71CEC645"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2.07</w:t>
            </w:r>
          </w:p>
          <w:p w14:paraId="24992AE5"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Threshold Criteria; Environmental Requirements </w:t>
            </w:r>
          </w:p>
        </w:tc>
        <w:tc>
          <w:tcPr>
            <w:tcW w:w="9590" w:type="dxa"/>
            <w:shd w:val="clear" w:color="auto" w:fill="auto"/>
            <w:tcMar>
              <w:top w:w="72" w:type="dxa"/>
              <w:left w:w="115" w:type="dxa"/>
              <w:bottom w:w="72" w:type="dxa"/>
              <w:right w:w="115" w:type="dxa"/>
            </w:tcMar>
            <w:vAlign w:val="center"/>
          </w:tcPr>
          <w:p w14:paraId="230F6757"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Q22_0330_01b </w:t>
            </w:r>
          </w:p>
          <w:p w14:paraId="20FC2769"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In regard to the Environmental Manual: Cultural Resources Survey - Section 12.3. states that "For all projects, if no literature/records review/report (literature review) or Phase I Cultural/Historic Resources Survey (Phase I survey) has been completed in the project area/APE in the last five years, it will be necessary, at a minimum, to conduct a literature review of the APE to determine if historic resources or archaeological sites are present."</w:t>
            </w:r>
          </w:p>
          <w:p w14:paraId="0480A078" w14:textId="77777777" w:rsidR="00FD1900" w:rsidRPr="006E3A0F" w:rsidRDefault="00FD1900" w:rsidP="00304B2F">
            <w:pPr>
              <w:textAlignment w:val="baseline"/>
              <w:rPr>
                <w:rFonts w:ascii="Times New Roman" w:eastAsia="Times New Roman" w:hAnsi="Times New Roman" w:cs="Times New Roman"/>
                <w:sz w:val="20"/>
                <w:szCs w:val="20"/>
              </w:rPr>
            </w:pPr>
          </w:p>
          <w:p w14:paraId="5598CD58"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Since this is part of the Historical Section, would you please confirm that this only applies to properties that are over 50 years old? In our case, we are preparing to renovate an existing project placed in service in 2008 with no new construction proposed. </w:t>
            </w:r>
          </w:p>
          <w:p w14:paraId="620A9A2F"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4BC9E885"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1BEA224A" w14:textId="77777777" w:rsidR="00FD1900" w:rsidRPr="006E3A0F" w:rsidRDefault="00FD1900" w:rsidP="00304B2F">
            <w:pPr>
              <w:textAlignment w:val="baseline"/>
              <w:rPr>
                <w:rStyle w:val="normaltextrun"/>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No, the Cultural Resources Survey is a minimum document required for the S106 and GEPA review process and is required for all properties regardless of their age and construction activity. Although the proposed development is the renovation of an existing building that is less than 50 years old, therefore not considered a historic building, there could be other historic properties (archaeological and historic) located within the proposed project’s area of potential effect (APE). Historic Preservation Division will review the S106/GEPA applications and determine if the project, as proposed, will have any adverse effects on any historic properties located in the APE. </w:t>
            </w:r>
          </w:p>
        </w:tc>
      </w:tr>
      <w:tr w:rsidR="00FD1900" w:rsidRPr="006E3A0F" w14:paraId="53047D52" w14:textId="77777777" w:rsidTr="1995616E">
        <w:trPr>
          <w:jc w:val="center"/>
        </w:trPr>
        <w:tc>
          <w:tcPr>
            <w:tcW w:w="2157" w:type="dxa"/>
            <w:shd w:val="clear" w:color="auto" w:fill="auto"/>
            <w:tcMar>
              <w:top w:w="72" w:type="dxa"/>
              <w:left w:w="115" w:type="dxa"/>
              <w:bottom w:w="72" w:type="dxa"/>
              <w:right w:w="115" w:type="dxa"/>
            </w:tcMar>
            <w:vAlign w:val="center"/>
          </w:tcPr>
          <w:p w14:paraId="22F0DDD3"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0D7A9D75"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3.07</w:t>
            </w:r>
          </w:p>
          <w:p w14:paraId="33F73D0A"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r w:rsidRPr="006E3A0F">
              <w:rPr>
                <w:rFonts w:ascii="Times New Roman" w:hAnsi="Times New Roman" w:cs="Times New Roman"/>
                <w:sz w:val="20"/>
                <w:szCs w:val="20"/>
              </w:rPr>
              <w:t xml:space="preserve"> </w:t>
            </w:r>
          </w:p>
          <w:p w14:paraId="2EED7091"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Quality Education Areas</w:t>
            </w:r>
          </w:p>
        </w:tc>
        <w:tc>
          <w:tcPr>
            <w:tcW w:w="9590" w:type="dxa"/>
            <w:shd w:val="clear" w:color="auto" w:fill="auto"/>
            <w:tcMar>
              <w:top w:w="72" w:type="dxa"/>
              <w:left w:w="115" w:type="dxa"/>
              <w:bottom w:w="72" w:type="dxa"/>
              <w:right w:w="115" w:type="dxa"/>
            </w:tcMar>
            <w:vAlign w:val="center"/>
          </w:tcPr>
          <w:p w14:paraId="66042C89"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Q22_0318_01</w:t>
            </w:r>
            <w:r w:rsidRPr="006E3A0F">
              <w:rPr>
                <w:rStyle w:val="eop"/>
                <w:sz w:val="20"/>
                <w:szCs w:val="20"/>
              </w:rPr>
              <w:t> </w:t>
            </w:r>
          </w:p>
          <w:p w14:paraId="492D7702"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With regards to Section VII. Quality Education Areas and the Option C - Scoring Data published on 2/14, we are noticing instances where the same school will show up in multiple rows with different CCRPI data. Can you explain how we differentiate the school data and what data should be used when scoring sites that fall in a school zone that is showing different data for the same school?</w:t>
            </w:r>
            <w:r w:rsidRPr="006E3A0F">
              <w:rPr>
                <w:rStyle w:val="eop"/>
                <w:sz w:val="20"/>
                <w:szCs w:val="20"/>
              </w:rPr>
              <w:t> </w:t>
            </w:r>
          </w:p>
          <w:p w14:paraId="703B6F80"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3331714B"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 </w:t>
            </w:r>
            <w:r w:rsidRPr="006E3A0F">
              <w:rPr>
                <w:rStyle w:val="eop"/>
                <w:sz w:val="20"/>
                <w:szCs w:val="20"/>
              </w:rPr>
              <w:t> </w:t>
            </w:r>
          </w:p>
          <w:p w14:paraId="0AD42463"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This typically occurs when the Department of Education (DOE) has changed the identifying information for a particular school from one year to the next. In such instances, applicants are encouraged to do the following:</w:t>
            </w:r>
            <w:r w:rsidRPr="006E3A0F">
              <w:rPr>
                <w:rStyle w:val="eop"/>
                <w:sz w:val="20"/>
                <w:szCs w:val="20"/>
              </w:rPr>
              <w:t> </w:t>
            </w:r>
            <w:r w:rsidRPr="006E3A0F">
              <w:rPr>
                <w:rStyle w:val="eop"/>
                <w:sz w:val="20"/>
                <w:szCs w:val="20"/>
              </w:rPr>
              <w:br/>
            </w:r>
          </w:p>
          <w:p w14:paraId="0784B127" w14:textId="77777777" w:rsidR="00FD1900" w:rsidRPr="006E3A0F" w:rsidRDefault="00FD1900" w:rsidP="00304B2F">
            <w:pPr>
              <w:pStyle w:val="paragraph"/>
              <w:numPr>
                <w:ilvl w:val="0"/>
                <w:numId w:val="25"/>
              </w:numPr>
              <w:spacing w:before="0" w:beforeAutospacing="0" w:after="0" w:afterAutospacing="0"/>
              <w:ind w:left="1080" w:firstLine="0"/>
              <w:textAlignment w:val="baseline"/>
              <w:rPr>
                <w:sz w:val="20"/>
                <w:szCs w:val="20"/>
              </w:rPr>
            </w:pPr>
            <w:r w:rsidRPr="006E3A0F">
              <w:rPr>
                <w:rStyle w:val="normaltextrun"/>
                <w:sz w:val="20"/>
                <w:szCs w:val="20"/>
              </w:rPr>
              <w:t>Confirm the score for each year by referencing the original DOE data for a given year.</w:t>
            </w:r>
            <w:r w:rsidRPr="006E3A0F">
              <w:rPr>
                <w:rStyle w:val="eop"/>
                <w:sz w:val="20"/>
                <w:szCs w:val="20"/>
              </w:rPr>
              <w:t> </w:t>
            </w:r>
          </w:p>
          <w:p w14:paraId="088CC7B7" w14:textId="77777777" w:rsidR="00FD1900" w:rsidRPr="006E3A0F" w:rsidRDefault="00FD1900" w:rsidP="00304B2F">
            <w:pPr>
              <w:pStyle w:val="paragraph"/>
              <w:numPr>
                <w:ilvl w:val="0"/>
                <w:numId w:val="26"/>
              </w:numPr>
              <w:spacing w:before="0" w:beforeAutospacing="0" w:after="0" w:afterAutospacing="0"/>
              <w:ind w:left="1800" w:firstLine="0"/>
              <w:textAlignment w:val="baseline"/>
              <w:rPr>
                <w:sz w:val="20"/>
                <w:szCs w:val="20"/>
              </w:rPr>
            </w:pPr>
            <w:hyperlink r:id="rId35" w:tgtFrame="_blank" w:history="1">
              <w:r w:rsidRPr="006E3A0F">
                <w:rPr>
                  <w:rStyle w:val="normaltextrun"/>
                  <w:sz w:val="20"/>
                  <w:szCs w:val="20"/>
                  <w:u w:val="single"/>
                </w:rPr>
                <w:t>(2018 and 2019 data) “College and Career Ready Performance Index”</w:t>
              </w:r>
            </w:hyperlink>
            <w:r w:rsidRPr="006E3A0F">
              <w:rPr>
                <w:rStyle w:val="eop"/>
                <w:sz w:val="20"/>
                <w:szCs w:val="20"/>
              </w:rPr>
              <w:t> </w:t>
            </w:r>
          </w:p>
          <w:p w14:paraId="1BD660D8" w14:textId="77777777" w:rsidR="00FD1900" w:rsidRPr="006E3A0F" w:rsidRDefault="00FD1900" w:rsidP="00304B2F">
            <w:pPr>
              <w:pStyle w:val="paragraph"/>
              <w:numPr>
                <w:ilvl w:val="0"/>
                <w:numId w:val="27"/>
              </w:numPr>
              <w:spacing w:before="0" w:beforeAutospacing="0" w:after="0" w:afterAutospacing="0"/>
              <w:ind w:left="1800" w:firstLine="0"/>
              <w:textAlignment w:val="baseline"/>
              <w:rPr>
                <w:sz w:val="20"/>
                <w:szCs w:val="20"/>
              </w:rPr>
            </w:pPr>
            <w:hyperlink r:id="rId36" w:tgtFrame="_blank" w:history="1">
              <w:r w:rsidRPr="006E3A0F">
                <w:rPr>
                  <w:rStyle w:val="normaltextrun"/>
                  <w:sz w:val="20"/>
                  <w:szCs w:val="20"/>
                  <w:u w:val="single"/>
                </w:rPr>
                <w:t>(2015 through 2017 data) “Archived CCRPI Data Files”</w:t>
              </w:r>
            </w:hyperlink>
            <w:r w:rsidRPr="006E3A0F">
              <w:rPr>
                <w:rStyle w:val="eop"/>
                <w:sz w:val="20"/>
                <w:szCs w:val="20"/>
              </w:rPr>
              <w:t> </w:t>
            </w:r>
          </w:p>
          <w:p w14:paraId="0A4DFC23" w14:textId="77777777" w:rsidR="00FD1900" w:rsidRPr="006E3A0F" w:rsidRDefault="00FD1900" w:rsidP="00304B2F">
            <w:pPr>
              <w:pStyle w:val="paragraph"/>
              <w:numPr>
                <w:ilvl w:val="0"/>
                <w:numId w:val="28"/>
              </w:numPr>
              <w:spacing w:before="0" w:beforeAutospacing="0" w:after="0" w:afterAutospacing="0"/>
              <w:ind w:left="1080" w:firstLine="0"/>
              <w:textAlignment w:val="baseline"/>
              <w:rPr>
                <w:sz w:val="20"/>
                <w:szCs w:val="20"/>
              </w:rPr>
            </w:pPr>
            <w:r w:rsidRPr="006E3A0F">
              <w:rPr>
                <w:rStyle w:val="normaltextrun"/>
                <w:sz w:val="20"/>
                <w:szCs w:val="20"/>
              </w:rPr>
              <w:t>Report the school and associated evidence to DCA through the Q&amp;A process. This allows the applicant to confirm whether DCA staff agree with the applicant's assessment prior to the application submission deadline.</w:t>
            </w:r>
            <w:r w:rsidRPr="006E3A0F">
              <w:rPr>
                <w:rStyle w:val="eop"/>
                <w:sz w:val="20"/>
                <w:szCs w:val="20"/>
              </w:rPr>
              <w:t> </w:t>
            </w:r>
          </w:p>
          <w:p w14:paraId="6CCE90FF" w14:textId="77777777" w:rsidR="00FD1900" w:rsidRPr="006E3A0F" w:rsidRDefault="00FD1900" w:rsidP="00304B2F">
            <w:pPr>
              <w:pStyle w:val="paragraph"/>
              <w:numPr>
                <w:ilvl w:val="0"/>
                <w:numId w:val="28"/>
              </w:numPr>
              <w:spacing w:before="0" w:beforeAutospacing="0" w:after="0" w:afterAutospacing="0"/>
              <w:ind w:left="1080" w:firstLine="0"/>
              <w:textAlignment w:val="baseline"/>
              <w:rPr>
                <w:sz w:val="20"/>
                <w:szCs w:val="20"/>
              </w:rPr>
            </w:pPr>
            <w:r w:rsidRPr="006E3A0F">
              <w:rPr>
                <w:rStyle w:val="normaltextrun"/>
                <w:sz w:val="20"/>
                <w:szCs w:val="20"/>
              </w:rPr>
              <w:t>Submit evidence with your tax credit application for any year(s) that a CCRPI score is incorrectly or inconsistently represented in “Option C-Scoring Data.xlsx”.</w:t>
            </w:r>
            <w:r w:rsidRPr="006E3A0F">
              <w:rPr>
                <w:rStyle w:val="eop"/>
                <w:sz w:val="20"/>
                <w:szCs w:val="20"/>
              </w:rPr>
              <w:t> </w:t>
            </w:r>
          </w:p>
          <w:p w14:paraId="4B9D6F03"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71B8A0FA"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 xml:space="preserve">The above instructions are from </w:t>
            </w:r>
            <w:r w:rsidRPr="006E3A0F">
              <w:rPr>
                <w:rStyle w:val="normaltextrun"/>
                <w:i/>
                <w:iCs/>
                <w:sz w:val="20"/>
                <w:szCs w:val="20"/>
              </w:rPr>
              <w:t xml:space="preserve">Quality Education Areas, Scoring Instructions </w:t>
            </w:r>
            <w:r w:rsidRPr="006E3A0F">
              <w:rPr>
                <w:rStyle w:val="normaltextrun"/>
                <w:sz w:val="20"/>
                <w:szCs w:val="20"/>
              </w:rPr>
              <w:t>posted previously to the DCA website (</w:t>
            </w:r>
            <w:hyperlink r:id="rId37" w:tgtFrame="_blank" w:history="1">
              <w:r w:rsidRPr="006E3A0F">
                <w:rPr>
                  <w:rStyle w:val="normaltextrun"/>
                  <w:sz w:val="20"/>
                  <w:szCs w:val="20"/>
                  <w:u w:val="single"/>
                </w:rPr>
                <w:t>click here</w:t>
              </w:r>
            </w:hyperlink>
            <w:r w:rsidRPr="006E3A0F">
              <w:rPr>
                <w:rStyle w:val="normaltextrun"/>
                <w:sz w:val="20"/>
                <w:szCs w:val="20"/>
              </w:rPr>
              <w:t>).</w:t>
            </w:r>
            <w:r w:rsidRPr="006E3A0F">
              <w:rPr>
                <w:rStyle w:val="eop"/>
                <w:sz w:val="20"/>
                <w:szCs w:val="20"/>
              </w:rPr>
              <w:t> </w:t>
            </w:r>
          </w:p>
        </w:tc>
      </w:tr>
      <w:tr w:rsidR="00FD1900" w:rsidRPr="006E3A0F" w14:paraId="0E484F0E" w14:textId="77777777" w:rsidTr="1995616E">
        <w:trPr>
          <w:jc w:val="center"/>
        </w:trPr>
        <w:tc>
          <w:tcPr>
            <w:tcW w:w="2157" w:type="dxa"/>
            <w:shd w:val="clear" w:color="auto" w:fill="auto"/>
            <w:tcMar>
              <w:top w:w="72" w:type="dxa"/>
              <w:left w:w="115" w:type="dxa"/>
              <w:bottom w:w="72" w:type="dxa"/>
              <w:right w:w="115" w:type="dxa"/>
            </w:tcMar>
            <w:vAlign w:val="center"/>
          </w:tcPr>
          <w:p w14:paraId="6E489F35"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7310AE16"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3.17</w:t>
            </w:r>
          </w:p>
          <w:p w14:paraId="61F36951"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521C34D9"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Minority- and Women-owned Business Engagement </w:t>
            </w:r>
          </w:p>
        </w:tc>
        <w:tc>
          <w:tcPr>
            <w:tcW w:w="9590" w:type="dxa"/>
            <w:shd w:val="clear" w:color="auto" w:fill="auto"/>
            <w:tcMar>
              <w:top w:w="72" w:type="dxa"/>
              <w:left w:w="115" w:type="dxa"/>
              <w:bottom w:w="72" w:type="dxa"/>
              <w:right w:w="115" w:type="dxa"/>
            </w:tcMar>
            <w:vAlign w:val="center"/>
          </w:tcPr>
          <w:p w14:paraId="1F243C4E" w14:textId="77777777" w:rsidR="00FD1900" w:rsidRPr="006E3A0F" w:rsidRDefault="00FD1900" w:rsidP="00304B2F">
            <w:pPr>
              <w:textAlignment w:val="baseline"/>
              <w:rPr>
                <w:rFonts w:ascii="Times New Roman" w:eastAsia="Times New Roman" w:hAnsi="Times New Roman" w:cs="Times New Roman"/>
                <w:b/>
                <w:bCs/>
                <w:sz w:val="20"/>
                <w:szCs w:val="20"/>
              </w:rPr>
            </w:pPr>
            <w:r w:rsidRPr="006E3A0F">
              <w:rPr>
                <w:rFonts w:ascii="Times New Roman" w:eastAsia="Times New Roman" w:hAnsi="Times New Roman" w:cs="Times New Roman"/>
                <w:b/>
                <w:bCs/>
                <w:sz w:val="20"/>
                <w:szCs w:val="20"/>
              </w:rPr>
              <w:t>Question: Q22_0401_17</w:t>
            </w:r>
          </w:p>
          <w:p w14:paraId="4C2A3D26"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I see </w:t>
            </w:r>
            <w:proofErr w:type="gramStart"/>
            <w:r w:rsidRPr="006E3A0F">
              <w:rPr>
                <w:rFonts w:ascii="Times New Roman" w:eastAsia="Times New Roman" w:hAnsi="Times New Roman" w:cs="Times New Roman"/>
                <w:sz w:val="20"/>
                <w:szCs w:val="20"/>
              </w:rPr>
              <w:t>the that</w:t>
            </w:r>
            <w:proofErr w:type="gramEnd"/>
            <w:r w:rsidRPr="006E3A0F">
              <w:rPr>
                <w:rFonts w:ascii="Times New Roman" w:eastAsia="Times New Roman" w:hAnsi="Times New Roman" w:cs="Times New Roman"/>
                <w:sz w:val="20"/>
                <w:szCs w:val="20"/>
              </w:rPr>
              <w:t xml:space="preserve"> DCA’s Minority- and Women-owned Business Engagement Policy document was updated. What was changed? </w:t>
            </w:r>
          </w:p>
          <w:p w14:paraId="0B78B938" w14:textId="77777777" w:rsidR="00FD1900" w:rsidRPr="006E3A0F" w:rsidRDefault="00FD1900" w:rsidP="00304B2F">
            <w:pPr>
              <w:textAlignment w:val="baseline"/>
              <w:rPr>
                <w:rFonts w:ascii="Times New Roman" w:eastAsia="Times New Roman" w:hAnsi="Times New Roman" w:cs="Times New Roman"/>
                <w:sz w:val="20"/>
                <w:szCs w:val="20"/>
              </w:rPr>
            </w:pPr>
          </w:p>
          <w:p w14:paraId="316647BA"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w:t>
            </w:r>
          </w:p>
          <w:p w14:paraId="3BDA6EC1"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DCA updated this document on April 5</w:t>
            </w:r>
            <w:r w:rsidRPr="006E3A0F">
              <w:rPr>
                <w:rFonts w:ascii="Times New Roman" w:eastAsia="Times New Roman" w:hAnsi="Times New Roman" w:cs="Times New Roman"/>
                <w:sz w:val="20"/>
                <w:szCs w:val="20"/>
                <w:vertAlign w:val="superscript"/>
              </w:rPr>
              <w:t>th</w:t>
            </w:r>
            <w:r w:rsidRPr="006E3A0F">
              <w:rPr>
                <w:rFonts w:ascii="Times New Roman" w:eastAsia="Times New Roman" w:hAnsi="Times New Roman" w:cs="Times New Roman"/>
                <w:sz w:val="20"/>
                <w:szCs w:val="20"/>
              </w:rPr>
              <w:t xml:space="preserve">. The only changes were removing references to a subsection that was included in the 2022 QAP drafted but was not included in the final 2022 QAP. </w:t>
            </w:r>
          </w:p>
          <w:p w14:paraId="45D7C731" w14:textId="77777777" w:rsidR="00FD1900" w:rsidRPr="006E3A0F" w:rsidRDefault="00FD1900" w:rsidP="00304B2F">
            <w:pPr>
              <w:textAlignment w:val="baseline"/>
              <w:rPr>
                <w:rFonts w:ascii="Times New Roman" w:eastAsia="Times New Roman" w:hAnsi="Times New Roman" w:cs="Times New Roman"/>
                <w:sz w:val="20"/>
                <w:szCs w:val="20"/>
              </w:rPr>
            </w:pPr>
          </w:p>
          <w:p w14:paraId="02017DEB"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The policy document is posted under “Scoring Documents and Data” under Application Manuals and Forms (</w:t>
            </w:r>
            <w:hyperlink r:id="rId38" w:history="1">
              <w:r w:rsidRPr="006E3A0F">
                <w:rPr>
                  <w:rStyle w:val="Hyperlink"/>
                  <w:rFonts w:ascii="Times New Roman" w:eastAsia="Times New Roman" w:hAnsi="Times New Roman" w:cs="Times New Roman"/>
                  <w:color w:val="auto"/>
                  <w:sz w:val="20"/>
                  <w:szCs w:val="20"/>
                </w:rPr>
                <w:t>click here</w:t>
              </w:r>
            </w:hyperlink>
            <w:r w:rsidRPr="006E3A0F">
              <w:rPr>
                <w:rFonts w:ascii="Times New Roman" w:eastAsia="Times New Roman" w:hAnsi="Times New Roman" w:cs="Times New Roman"/>
                <w:sz w:val="20"/>
                <w:szCs w:val="20"/>
              </w:rPr>
              <w:t xml:space="preserve">). </w:t>
            </w:r>
          </w:p>
        </w:tc>
      </w:tr>
      <w:tr w:rsidR="00FD1900" w:rsidRPr="006E3A0F" w14:paraId="187A0166" w14:textId="77777777" w:rsidTr="1995616E">
        <w:trPr>
          <w:jc w:val="center"/>
        </w:trPr>
        <w:tc>
          <w:tcPr>
            <w:tcW w:w="2157" w:type="dxa"/>
            <w:shd w:val="clear" w:color="auto" w:fill="auto"/>
            <w:tcMar>
              <w:top w:w="72" w:type="dxa"/>
              <w:left w:w="115" w:type="dxa"/>
              <w:bottom w:w="72" w:type="dxa"/>
              <w:right w:w="115" w:type="dxa"/>
            </w:tcMar>
            <w:vAlign w:val="center"/>
          </w:tcPr>
          <w:p w14:paraId="070D85C9"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2CD23541"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3.21</w:t>
            </w:r>
          </w:p>
          <w:p w14:paraId="1751D229"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38F836AD"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14:paraId="25566523"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Q22_0331_01</w:t>
            </w:r>
            <w:r w:rsidRPr="006E3A0F">
              <w:rPr>
                <w:rStyle w:val="eop"/>
                <w:sz w:val="20"/>
                <w:szCs w:val="20"/>
              </w:rPr>
              <w:t> </w:t>
            </w:r>
          </w:p>
          <w:p w14:paraId="7E72C4D4" w14:textId="77777777" w:rsidR="00FD1900" w:rsidRPr="006E3A0F" w:rsidRDefault="00FD1900" w:rsidP="00304B2F">
            <w:pPr>
              <w:pStyle w:val="paragraph"/>
              <w:spacing w:before="0" w:beforeAutospacing="0" w:after="0" w:afterAutospacing="0"/>
              <w:textAlignment w:val="baseline"/>
              <w:rPr>
                <w:rStyle w:val="normaltextrun"/>
                <w:sz w:val="20"/>
                <w:szCs w:val="20"/>
              </w:rPr>
            </w:pPr>
            <w:r w:rsidRPr="006E3A0F">
              <w:rPr>
                <w:rStyle w:val="normaltextrun"/>
                <w:sz w:val="20"/>
                <w:szCs w:val="20"/>
              </w:rPr>
              <w:t xml:space="preserve">Project Specific Question:  Will the following qualify for the 4 Favorable Financing Points under 2022 QAP Scoring Section </w:t>
            </w:r>
            <w:proofErr w:type="gramStart"/>
            <w:r w:rsidRPr="006E3A0F">
              <w:rPr>
                <w:rStyle w:val="contextualspellingandgrammarerror"/>
                <w:rFonts w:eastAsiaTheme="majorEastAsia"/>
                <w:sz w:val="20"/>
                <w:szCs w:val="20"/>
              </w:rPr>
              <w:t>XXI?|</w:t>
            </w:r>
            <w:proofErr w:type="gramEnd"/>
            <w:r w:rsidRPr="006E3A0F">
              <w:rPr>
                <w:rStyle w:val="normaltextrun"/>
                <w:sz w:val="20"/>
                <w:szCs w:val="20"/>
              </w:rPr>
              <w:t xml:space="preserve">|1. City grants/loans [_____________] to the City Housing Authority for the purpose of lending the funds to the Applicant under Scoring Section XXI.A. The City Housing Authority would serve as the conduit lender since the actual City is limited under Georgia law on its ability to make loans directly (whereas the City can make loans through its </w:t>
            </w:r>
            <w:proofErr w:type="gramStart"/>
            <w:r w:rsidRPr="006E3A0F">
              <w:rPr>
                <w:rStyle w:val="normaltextrun"/>
                <w:sz w:val="20"/>
                <w:szCs w:val="20"/>
              </w:rPr>
              <w:t>authorities)…</w:t>
            </w:r>
            <w:proofErr w:type="gramEnd"/>
            <w:r w:rsidRPr="006E3A0F">
              <w:rPr>
                <w:rStyle w:val="normaltextrun"/>
                <w:i/>
                <w:iCs/>
                <w:sz w:val="20"/>
                <w:szCs w:val="20"/>
              </w:rPr>
              <w:t>[remainder of question removed]</w:t>
            </w:r>
            <w:r w:rsidRPr="006E3A0F">
              <w:rPr>
                <w:rStyle w:val="normaltextrun"/>
                <w:sz w:val="20"/>
                <w:szCs w:val="20"/>
              </w:rPr>
              <w:t xml:space="preserve"> </w:t>
            </w:r>
          </w:p>
          <w:p w14:paraId="13F60669" w14:textId="77777777" w:rsidR="00FD1900" w:rsidRPr="006E3A0F" w:rsidRDefault="00FD1900" w:rsidP="00304B2F">
            <w:pPr>
              <w:pStyle w:val="paragraph"/>
              <w:spacing w:before="0" w:beforeAutospacing="0" w:after="0" w:afterAutospacing="0"/>
              <w:textAlignment w:val="baseline"/>
              <w:rPr>
                <w:sz w:val="20"/>
                <w:szCs w:val="20"/>
              </w:rPr>
            </w:pPr>
          </w:p>
          <w:p w14:paraId="60609454"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74273E78" w14:textId="77777777" w:rsidR="00FD1900" w:rsidRPr="006E3A0F" w:rsidRDefault="00FD1900" w:rsidP="00304B2F">
            <w:pPr>
              <w:pStyle w:val="paragraph"/>
              <w:spacing w:before="0" w:beforeAutospacing="0" w:after="0" w:afterAutospacing="0"/>
              <w:textAlignment w:val="baseline"/>
              <w:rPr>
                <w:rStyle w:val="eop"/>
                <w:sz w:val="20"/>
                <w:szCs w:val="20"/>
              </w:rPr>
            </w:pPr>
            <w:r w:rsidRPr="006E3A0F">
              <w:rPr>
                <w:rStyle w:val="normaltextrun"/>
                <w:b/>
                <w:bCs/>
                <w:sz w:val="20"/>
                <w:szCs w:val="20"/>
              </w:rPr>
              <w:t>Answer</w:t>
            </w:r>
            <w:r w:rsidRPr="006E3A0F">
              <w:rPr>
                <w:rStyle w:val="normaltextrun"/>
                <w:sz w:val="20"/>
                <w:szCs w:val="20"/>
              </w:rPr>
              <w:t>:</w:t>
            </w:r>
            <w:r w:rsidRPr="006E3A0F">
              <w:rPr>
                <w:rStyle w:val="eop"/>
                <w:sz w:val="20"/>
                <w:szCs w:val="20"/>
              </w:rPr>
              <w:t> </w:t>
            </w:r>
          </w:p>
          <w:p w14:paraId="20946746" w14:textId="77777777" w:rsidR="00FD1900" w:rsidRPr="006E3A0F" w:rsidRDefault="00FD1900" w:rsidP="00304B2F">
            <w:pPr>
              <w:pStyle w:val="paragraph"/>
              <w:spacing w:before="0" w:beforeAutospacing="0" w:after="0" w:afterAutospacing="0"/>
              <w:textAlignment w:val="baseline"/>
              <w:rPr>
                <w:sz w:val="20"/>
                <w:szCs w:val="20"/>
              </w:rPr>
            </w:pPr>
            <w:r w:rsidRPr="006E3A0F">
              <w:rPr>
                <w:sz w:val="20"/>
                <w:szCs w:val="20"/>
              </w:rPr>
              <w:t xml:space="preserve">First, please note that per </w:t>
            </w:r>
            <w:r w:rsidRPr="006E3A0F">
              <w:rPr>
                <w:i/>
                <w:iCs/>
                <w:sz w:val="20"/>
                <w:szCs w:val="20"/>
              </w:rPr>
              <w:t>Part I: Overview</w:t>
            </w:r>
            <w:r w:rsidRPr="006E3A0F">
              <w:rPr>
                <w:sz w:val="20"/>
                <w:szCs w:val="20"/>
              </w:rPr>
              <w:t xml:space="preserve"> of this Q&amp;A document, DCA does not have a separate process for project-specific questions. All questions are addressed publicly. </w:t>
            </w:r>
          </w:p>
          <w:p w14:paraId="784AAEA2" w14:textId="77777777" w:rsidR="00FD1900" w:rsidRPr="006E3A0F" w:rsidRDefault="00FD1900" w:rsidP="00304B2F">
            <w:pPr>
              <w:pStyle w:val="paragraph"/>
              <w:spacing w:before="0" w:beforeAutospacing="0" w:after="0" w:afterAutospacing="0"/>
              <w:textAlignment w:val="baseline"/>
              <w:rPr>
                <w:sz w:val="20"/>
                <w:szCs w:val="20"/>
              </w:rPr>
            </w:pPr>
            <w:r w:rsidRPr="006E3A0F">
              <w:rPr>
                <w:sz w:val="20"/>
                <w:szCs w:val="20"/>
              </w:rPr>
              <w:t xml:space="preserve"> </w:t>
            </w:r>
          </w:p>
          <w:p w14:paraId="641A849F" w14:textId="77777777" w:rsidR="00FD1900" w:rsidRPr="006E3A0F" w:rsidRDefault="00FD1900" w:rsidP="00304B2F">
            <w:pPr>
              <w:pStyle w:val="paragraph"/>
              <w:spacing w:before="0" w:beforeAutospacing="0" w:after="0" w:afterAutospacing="0"/>
              <w:textAlignment w:val="baseline"/>
              <w:rPr>
                <w:rStyle w:val="eop"/>
                <w:sz w:val="20"/>
                <w:szCs w:val="20"/>
              </w:rPr>
            </w:pPr>
            <w:r w:rsidRPr="006E3A0F">
              <w:rPr>
                <w:rStyle w:val="normaltextrun"/>
                <w:sz w:val="20"/>
                <w:szCs w:val="20"/>
              </w:rPr>
              <w:t xml:space="preserve">We have included the portion of the question above that asks: “Do Public Housing Authorities qualify as a ‘local’ entity for purposes of subsection </w:t>
            </w:r>
            <w:r w:rsidRPr="006E3A0F">
              <w:rPr>
                <w:rStyle w:val="normaltextrun"/>
                <w:b/>
                <w:bCs/>
                <w:sz w:val="20"/>
                <w:szCs w:val="20"/>
              </w:rPr>
              <w:t>A. Qualifying Sources for Favorable Financing</w:t>
            </w:r>
            <w:r w:rsidRPr="006E3A0F">
              <w:rPr>
                <w:rStyle w:val="normaltextrun"/>
                <w:sz w:val="20"/>
                <w:szCs w:val="20"/>
              </w:rPr>
              <w:t>, option 11. Other Federal, State, or local grant funds or loans?” </w:t>
            </w:r>
            <w:r w:rsidRPr="006E3A0F">
              <w:rPr>
                <w:rStyle w:val="eop"/>
                <w:sz w:val="20"/>
                <w:szCs w:val="20"/>
              </w:rPr>
              <w:t> </w:t>
            </w:r>
          </w:p>
          <w:p w14:paraId="685EA6B2" w14:textId="77777777" w:rsidR="00FD1900" w:rsidRPr="006E3A0F" w:rsidRDefault="00FD1900" w:rsidP="00304B2F">
            <w:pPr>
              <w:pStyle w:val="paragraph"/>
              <w:numPr>
                <w:ilvl w:val="0"/>
                <w:numId w:val="3"/>
              </w:numPr>
              <w:spacing w:before="0" w:beforeAutospacing="0" w:after="0" w:afterAutospacing="0"/>
              <w:textAlignment w:val="baseline"/>
              <w:rPr>
                <w:sz w:val="20"/>
                <w:szCs w:val="20"/>
              </w:rPr>
            </w:pPr>
            <w:r w:rsidRPr="006E3A0F">
              <w:rPr>
                <w:rStyle w:val="normaltextrun"/>
                <w:sz w:val="20"/>
                <w:szCs w:val="20"/>
              </w:rPr>
              <w:t>The answer to this question is, “Yes. PHAs qualify as a ‘local’ entity for purposes of option 11.” </w:t>
            </w:r>
            <w:r w:rsidRPr="006E3A0F">
              <w:rPr>
                <w:rStyle w:val="eop"/>
                <w:sz w:val="20"/>
                <w:szCs w:val="20"/>
              </w:rPr>
              <w:t> </w:t>
            </w:r>
          </w:p>
          <w:p w14:paraId="122DD9D3"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040A415B"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The remainder of the question did not seek clarification about DCA policy. Rather, the question is seeking confirmation that specific circumstances will qualify for points. DCA does not pre-approve the eligibility of specific circumstances through the Q&amp;A process. If there is a QAP provision that is unclear given your circumstances, please re-submit the question including both the QAP provision in question and an explanation of what is ambiguous about the QAP language. </w:t>
            </w:r>
            <w:r w:rsidRPr="006E3A0F">
              <w:rPr>
                <w:rStyle w:val="eop"/>
                <w:sz w:val="20"/>
                <w:szCs w:val="20"/>
              </w:rPr>
              <w:t> </w:t>
            </w:r>
          </w:p>
        </w:tc>
      </w:tr>
      <w:tr w:rsidR="00FD1900" w:rsidRPr="006E3A0F" w14:paraId="43A31A1E" w14:textId="77777777" w:rsidTr="1995616E">
        <w:trPr>
          <w:jc w:val="center"/>
        </w:trPr>
        <w:tc>
          <w:tcPr>
            <w:tcW w:w="2157" w:type="dxa"/>
            <w:shd w:val="clear" w:color="auto" w:fill="auto"/>
            <w:tcMar>
              <w:top w:w="72" w:type="dxa"/>
              <w:left w:w="115" w:type="dxa"/>
              <w:bottom w:w="72" w:type="dxa"/>
              <w:right w:w="115" w:type="dxa"/>
            </w:tcMar>
            <w:vAlign w:val="center"/>
          </w:tcPr>
          <w:p w14:paraId="1B946885"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277A6E37"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8.00</w:t>
            </w:r>
          </w:p>
          <w:p w14:paraId="1EE2FACA"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Additional Credits Policy </w:t>
            </w:r>
          </w:p>
        </w:tc>
        <w:tc>
          <w:tcPr>
            <w:tcW w:w="9590" w:type="dxa"/>
            <w:shd w:val="clear" w:color="auto" w:fill="auto"/>
            <w:tcMar>
              <w:top w:w="72" w:type="dxa"/>
              <w:left w:w="115" w:type="dxa"/>
              <w:bottom w:w="72" w:type="dxa"/>
              <w:right w:w="115" w:type="dxa"/>
            </w:tcMar>
            <w:vAlign w:val="center"/>
          </w:tcPr>
          <w:p w14:paraId="04BBE3D0"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Q22_0118_01</w:t>
            </w:r>
            <w:r w:rsidRPr="006E3A0F">
              <w:rPr>
                <w:rStyle w:val="eop"/>
                <w:sz w:val="20"/>
                <w:szCs w:val="20"/>
              </w:rPr>
              <w:t> </w:t>
            </w:r>
          </w:p>
          <w:p w14:paraId="371F6087"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If an applicant applied for additional credits for a 2019 or 2020 Competitive Award, in which 9% Competitive Round would the award limitation reduction apply?</w:t>
            </w:r>
            <w:r w:rsidRPr="006E3A0F">
              <w:rPr>
                <w:rStyle w:val="eop"/>
                <w:sz w:val="20"/>
                <w:szCs w:val="20"/>
              </w:rPr>
              <w:t> </w:t>
            </w:r>
          </w:p>
          <w:p w14:paraId="49C6FD33"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71EC656A"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 </w:t>
            </w:r>
            <w:r w:rsidRPr="006E3A0F">
              <w:rPr>
                <w:rStyle w:val="eop"/>
                <w:sz w:val="20"/>
                <w:szCs w:val="20"/>
              </w:rPr>
              <w:t> </w:t>
            </w:r>
          </w:p>
          <w:p w14:paraId="14FB9630"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 xml:space="preserve">The </w:t>
            </w:r>
            <w:r w:rsidRPr="006E3A0F">
              <w:rPr>
                <w:rStyle w:val="normaltextrun"/>
                <w:b/>
                <w:bCs/>
                <w:sz w:val="20"/>
                <w:szCs w:val="20"/>
              </w:rPr>
              <w:t xml:space="preserve">Additional Tax Credit (LIHTC) Allocations </w:t>
            </w:r>
            <w:r w:rsidRPr="006E3A0F">
              <w:rPr>
                <w:rStyle w:val="normaltextrun"/>
                <w:sz w:val="20"/>
                <w:szCs w:val="20"/>
              </w:rPr>
              <w:t>policy published April 2021 states:</w:t>
            </w:r>
            <w:r w:rsidRPr="006E3A0F">
              <w:rPr>
                <w:rStyle w:val="eop"/>
                <w:sz w:val="20"/>
                <w:szCs w:val="20"/>
              </w:rPr>
              <w:t> </w:t>
            </w:r>
          </w:p>
          <w:p w14:paraId="12BD5A86"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05468B2B" w14:textId="77777777" w:rsidR="00FD1900" w:rsidRPr="006E3A0F" w:rsidRDefault="00FD1900" w:rsidP="00304B2F">
            <w:pPr>
              <w:pStyle w:val="paragraph"/>
              <w:numPr>
                <w:ilvl w:val="0"/>
                <w:numId w:val="29"/>
              </w:numPr>
              <w:spacing w:before="0" w:beforeAutospacing="0" w:after="0" w:afterAutospacing="0"/>
              <w:ind w:left="1080" w:firstLine="0"/>
              <w:textAlignment w:val="baseline"/>
              <w:rPr>
                <w:sz w:val="20"/>
                <w:szCs w:val="20"/>
              </w:rPr>
            </w:pPr>
            <w:r w:rsidRPr="006E3A0F">
              <w:rPr>
                <w:rStyle w:val="normaltextrun"/>
                <w:b/>
                <w:bCs/>
                <w:i/>
                <w:iCs/>
                <w:sz w:val="20"/>
                <w:szCs w:val="20"/>
              </w:rPr>
              <w:t>“Ramifications for the 2022 9% Competitive Round</w:t>
            </w:r>
            <w:r w:rsidRPr="006E3A0F">
              <w:rPr>
                <w:rStyle w:val="normaltextrun"/>
                <w:i/>
                <w:iCs/>
                <w:sz w:val="20"/>
                <w:szCs w:val="20"/>
              </w:rPr>
              <w:t>:</w:t>
            </w:r>
            <w:r w:rsidRPr="006E3A0F">
              <w:rPr>
                <w:rStyle w:val="eop"/>
                <w:sz w:val="20"/>
                <w:szCs w:val="20"/>
              </w:rPr>
              <w:t> </w:t>
            </w:r>
          </w:p>
          <w:p w14:paraId="7E55A4D8" w14:textId="77777777" w:rsidR="00FD1900" w:rsidRPr="006E3A0F" w:rsidRDefault="00FD1900" w:rsidP="00304B2F">
            <w:pPr>
              <w:pStyle w:val="paragraph"/>
              <w:numPr>
                <w:ilvl w:val="0"/>
                <w:numId w:val="30"/>
              </w:numPr>
              <w:spacing w:before="0" w:beforeAutospacing="0" w:after="0" w:afterAutospacing="0"/>
              <w:ind w:left="1800" w:firstLine="0"/>
              <w:textAlignment w:val="baseline"/>
              <w:rPr>
                <w:sz w:val="20"/>
                <w:szCs w:val="20"/>
              </w:rPr>
            </w:pPr>
            <w:r w:rsidRPr="006E3A0F">
              <w:rPr>
                <w:rStyle w:val="normaltextrun"/>
                <w:i/>
                <w:iCs/>
                <w:sz w:val="20"/>
                <w:szCs w:val="20"/>
              </w:rPr>
              <w:t xml:space="preserve">For each additional credit </w:t>
            </w:r>
            <w:r w:rsidRPr="006E3A0F">
              <w:rPr>
                <w:rStyle w:val="normaltextrun"/>
                <w:b/>
                <w:bCs/>
                <w:i/>
                <w:iCs/>
                <w:sz w:val="20"/>
                <w:szCs w:val="20"/>
                <w:u w:val="single"/>
              </w:rPr>
              <w:t>requested</w:t>
            </w:r>
            <w:r w:rsidRPr="006E3A0F">
              <w:rPr>
                <w:rStyle w:val="normaltextrun"/>
                <w:i/>
                <w:iCs/>
                <w:sz w:val="20"/>
                <w:szCs w:val="20"/>
              </w:rPr>
              <w:t>, the Project Team award limitation will be reduced by 1.5X the amount of the request in the 2022 9% Competitive Round.”</w:t>
            </w:r>
            <w:r w:rsidRPr="006E3A0F">
              <w:rPr>
                <w:rStyle w:val="eop"/>
                <w:sz w:val="20"/>
                <w:szCs w:val="20"/>
              </w:rPr>
              <w:t> </w:t>
            </w:r>
          </w:p>
          <w:p w14:paraId="36A1E376"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7B9FFC68"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The applicant’s award limitation will be reduced in the 2022 9% Competitive Round, regardless of the year of the original award (2019 or 2020).</w:t>
            </w:r>
            <w:r w:rsidRPr="006E3A0F">
              <w:rPr>
                <w:rStyle w:val="eop"/>
                <w:sz w:val="20"/>
                <w:szCs w:val="20"/>
              </w:rPr>
              <w:t> </w:t>
            </w:r>
            <w:hyperlink r:id="rId39" w:tgtFrame="_blank" w:history="1">
              <w:r w:rsidRPr="006E3A0F">
                <w:rPr>
                  <w:rStyle w:val="normaltextrun"/>
                  <w:sz w:val="20"/>
                  <w:szCs w:val="20"/>
                  <w:u w:val="single"/>
                </w:rPr>
                <w:t>Click here</w:t>
              </w:r>
            </w:hyperlink>
            <w:r w:rsidRPr="006E3A0F">
              <w:rPr>
                <w:rStyle w:val="normaltextrun"/>
                <w:sz w:val="20"/>
                <w:szCs w:val="20"/>
              </w:rPr>
              <w:t xml:space="preserve"> to view the Additional Credits Policy.  </w:t>
            </w:r>
          </w:p>
        </w:tc>
      </w:tr>
      <w:tr w:rsidR="00FD1900" w:rsidRPr="006E3A0F" w14:paraId="6DF15130" w14:textId="77777777" w:rsidTr="1995616E">
        <w:trPr>
          <w:jc w:val="center"/>
        </w:trPr>
        <w:tc>
          <w:tcPr>
            <w:tcW w:w="2157" w:type="dxa"/>
            <w:shd w:val="clear" w:color="auto" w:fill="auto"/>
            <w:tcMar>
              <w:top w:w="72" w:type="dxa"/>
              <w:left w:w="115" w:type="dxa"/>
              <w:bottom w:w="72" w:type="dxa"/>
              <w:right w:w="115" w:type="dxa"/>
            </w:tcMar>
            <w:vAlign w:val="center"/>
          </w:tcPr>
          <w:p w14:paraId="632DBFF2"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6D2998F4"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1.13</w:t>
            </w:r>
          </w:p>
          <w:p w14:paraId="6FDDB403"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Core </w:t>
            </w:r>
            <w:proofErr w:type="gramStart"/>
            <w:r w:rsidRPr="006E3A0F">
              <w:rPr>
                <w:rFonts w:ascii="Times New Roman" w:hAnsi="Times New Roman" w:cs="Times New Roman"/>
                <w:sz w:val="20"/>
                <w:szCs w:val="20"/>
              </w:rPr>
              <w:t>Plan;</w:t>
            </w:r>
            <w:proofErr w:type="gramEnd"/>
          </w:p>
          <w:p w14:paraId="274FBC2C"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Submission Requirements and Award Limitations </w:t>
            </w:r>
          </w:p>
        </w:tc>
        <w:tc>
          <w:tcPr>
            <w:tcW w:w="9590" w:type="dxa"/>
            <w:shd w:val="clear" w:color="auto" w:fill="auto"/>
            <w:tcMar>
              <w:top w:w="72" w:type="dxa"/>
              <w:left w:w="115" w:type="dxa"/>
              <w:bottom w:w="72" w:type="dxa"/>
              <w:right w:w="115" w:type="dxa"/>
            </w:tcMar>
            <w:vAlign w:val="center"/>
          </w:tcPr>
          <w:p w14:paraId="38F298CF"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xml:space="preserve">: </w:t>
            </w:r>
            <w:r w:rsidRPr="006E3A0F">
              <w:rPr>
                <w:rStyle w:val="normaltextrun"/>
                <w:b/>
                <w:bCs/>
                <w:sz w:val="20"/>
                <w:szCs w:val="20"/>
              </w:rPr>
              <w:t>Q22_0330_15</w:t>
            </w:r>
            <w:r w:rsidRPr="006E3A0F">
              <w:rPr>
                <w:rStyle w:val="eop"/>
                <w:sz w:val="20"/>
                <w:szCs w:val="20"/>
              </w:rPr>
              <w:t> </w:t>
            </w:r>
          </w:p>
          <w:p w14:paraId="4DDD1936"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We received additional 9% credits under DCA's Additional Tax Credit (LIHTC) Allocations for 2020 9% LIHTC Awards (published April 2021). For a separate deal, we also received funding under the NHTF NOFA providing gap financing for the same purpose. Neither is likely to close by the 2022 9% Competitive Round application deadline. </w:t>
            </w:r>
            <w:r w:rsidRPr="006E3A0F">
              <w:rPr>
                <w:rStyle w:val="eop"/>
                <w:sz w:val="20"/>
                <w:szCs w:val="20"/>
              </w:rPr>
              <w:t> </w:t>
            </w:r>
          </w:p>
          <w:p w14:paraId="361D088E"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12DE048F"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(Core Plan) Submission Requirements and Award Limitations</w:t>
            </w:r>
            <w:r w:rsidRPr="006E3A0F">
              <w:rPr>
                <w:rStyle w:val="normaltextrun"/>
                <w:sz w:val="20"/>
                <w:szCs w:val="20"/>
              </w:rPr>
              <w:t xml:space="preserve"> says that “DCA will not fund any Application with an Owner and/or Developer that has a DCA property funded in the 2020 round or earlier that has not closed their financing and started construction on that property as of Application Submission.” Will DCA waive this requirement for awardees of either the Additional Credits Policy or associated NHTF NOFA?</w:t>
            </w:r>
            <w:r w:rsidRPr="006E3A0F">
              <w:rPr>
                <w:rStyle w:val="eop"/>
                <w:sz w:val="20"/>
                <w:szCs w:val="20"/>
              </w:rPr>
              <w:t> </w:t>
            </w:r>
          </w:p>
          <w:p w14:paraId="6A6194AC"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3C918990"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 </w:t>
            </w:r>
            <w:r w:rsidRPr="006E3A0F">
              <w:rPr>
                <w:rStyle w:val="eop"/>
                <w:sz w:val="20"/>
                <w:szCs w:val="20"/>
              </w:rPr>
              <w:t> </w:t>
            </w:r>
          </w:p>
          <w:p w14:paraId="3657358D"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 xml:space="preserve">DCA will not waive this requirement due to delays solely caused by construction cost increases. Therefore, receiving either an “additional credits” allocation or an NHTF award under the above-referenced NHTF NOFA will not be sufficient to receive a waiver of this Core Plan requirement. </w:t>
            </w:r>
            <w:r w:rsidRPr="006E3A0F">
              <w:rPr>
                <w:rStyle w:val="scxw118425629"/>
                <w:rFonts w:eastAsiaTheme="majorEastAsia"/>
                <w:sz w:val="20"/>
                <w:szCs w:val="20"/>
              </w:rPr>
              <w:t> </w:t>
            </w:r>
            <w:r w:rsidRPr="006E3A0F">
              <w:rPr>
                <w:sz w:val="20"/>
                <w:szCs w:val="20"/>
              </w:rPr>
              <w:br/>
            </w:r>
            <w:r w:rsidRPr="006E3A0F">
              <w:rPr>
                <w:rStyle w:val="eop"/>
                <w:sz w:val="20"/>
                <w:szCs w:val="20"/>
              </w:rPr>
              <w:t> </w:t>
            </w:r>
          </w:p>
          <w:p w14:paraId="4AAE2CB3"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Documents referenced above are: </w:t>
            </w:r>
            <w:r w:rsidRPr="006E3A0F">
              <w:rPr>
                <w:rStyle w:val="eop"/>
                <w:sz w:val="20"/>
                <w:szCs w:val="20"/>
              </w:rPr>
              <w:t> </w:t>
            </w:r>
          </w:p>
          <w:p w14:paraId="16F5BE00" w14:textId="77777777" w:rsidR="00FD1900" w:rsidRPr="006E3A0F" w:rsidRDefault="00FD1900" w:rsidP="00304B2F">
            <w:pPr>
              <w:pStyle w:val="paragraph"/>
              <w:numPr>
                <w:ilvl w:val="0"/>
                <w:numId w:val="22"/>
              </w:numPr>
              <w:spacing w:before="0" w:beforeAutospacing="0" w:after="0" w:afterAutospacing="0"/>
              <w:ind w:left="1080" w:firstLine="0"/>
              <w:textAlignment w:val="baseline"/>
              <w:rPr>
                <w:sz w:val="20"/>
                <w:szCs w:val="20"/>
              </w:rPr>
            </w:pPr>
            <w:r w:rsidRPr="006E3A0F">
              <w:rPr>
                <w:rStyle w:val="normaltextrun"/>
                <w:sz w:val="20"/>
                <w:szCs w:val="20"/>
              </w:rPr>
              <w:t>Additional Credits Policy (</w:t>
            </w:r>
            <w:hyperlink r:id="rId40" w:tgtFrame="_blank" w:history="1">
              <w:r w:rsidRPr="006E3A0F">
                <w:rPr>
                  <w:rStyle w:val="normaltextrun"/>
                  <w:sz w:val="20"/>
                  <w:szCs w:val="20"/>
                  <w:u w:val="single"/>
                </w:rPr>
                <w:t>click here</w:t>
              </w:r>
            </w:hyperlink>
            <w:r w:rsidRPr="006E3A0F">
              <w:rPr>
                <w:rStyle w:val="normaltextrun"/>
                <w:sz w:val="20"/>
                <w:szCs w:val="20"/>
              </w:rPr>
              <w:t>) </w:t>
            </w:r>
            <w:r w:rsidRPr="006E3A0F">
              <w:rPr>
                <w:rStyle w:val="eop"/>
                <w:sz w:val="20"/>
                <w:szCs w:val="20"/>
              </w:rPr>
              <w:t> </w:t>
            </w:r>
          </w:p>
          <w:p w14:paraId="6C86B9D9" w14:textId="77777777" w:rsidR="00FD1900" w:rsidRPr="006E3A0F" w:rsidRDefault="00FD1900" w:rsidP="00304B2F">
            <w:pPr>
              <w:pStyle w:val="paragraph"/>
              <w:numPr>
                <w:ilvl w:val="0"/>
                <w:numId w:val="22"/>
              </w:numPr>
              <w:spacing w:before="0" w:beforeAutospacing="0" w:after="0" w:afterAutospacing="0"/>
              <w:ind w:left="1080" w:firstLine="0"/>
              <w:textAlignment w:val="baseline"/>
              <w:rPr>
                <w:sz w:val="20"/>
                <w:szCs w:val="20"/>
              </w:rPr>
            </w:pPr>
            <w:r w:rsidRPr="006E3A0F">
              <w:rPr>
                <w:rStyle w:val="normaltextrun"/>
                <w:sz w:val="20"/>
                <w:szCs w:val="20"/>
              </w:rPr>
              <w:t>National Housing Trust Fund (NHTF) NOFA (</w:t>
            </w:r>
            <w:hyperlink r:id="rId41" w:tgtFrame="_blank" w:history="1">
              <w:r w:rsidRPr="006E3A0F">
                <w:rPr>
                  <w:rStyle w:val="normaltextrun"/>
                  <w:sz w:val="20"/>
                  <w:szCs w:val="20"/>
                  <w:u w:val="single"/>
                </w:rPr>
                <w:t>click here</w:t>
              </w:r>
            </w:hyperlink>
            <w:r w:rsidRPr="006E3A0F">
              <w:rPr>
                <w:rStyle w:val="normaltextrun"/>
                <w:sz w:val="20"/>
                <w:szCs w:val="20"/>
              </w:rPr>
              <w:t>)</w:t>
            </w:r>
          </w:p>
          <w:p w14:paraId="0794AE59" w14:textId="77777777" w:rsidR="00FD1900" w:rsidRPr="006E3A0F" w:rsidRDefault="00FD1900" w:rsidP="00304B2F">
            <w:pPr>
              <w:pStyle w:val="paragraph"/>
              <w:spacing w:before="0" w:beforeAutospacing="0" w:after="0" w:afterAutospacing="0"/>
              <w:textAlignment w:val="baseline"/>
              <w:rPr>
                <w:rStyle w:val="normaltextrun"/>
                <w:b/>
                <w:bCs/>
                <w:sz w:val="20"/>
                <w:szCs w:val="20"/>
              </w:rPr>
            </w:pPr>
          </w:p>
        </w:tc>
      </w:tr>
      <w:tr w:rsidR="00FD1900" w:rsidRPr="006E3A0F" w14:paraId="2D4B1F76" w14:textId="77777777" w:rsidTr="1995616E">
        <w:trPr>
          <w:jc w:val="center"/>
        </w:trPr>
        <w:tc>
          <w:tcPr>
            <w:tcW w:w="2157" w:type="dxa"/>
            <w:shd w:val="clear" w:color="auto" w:fill="auto"/>
            <w:tcMar>
              <w:top w:w="72" w:type="dxa"/>
              <w:left w:w="115" w:type="dxa"/>
              <w:bottom w:w="72" w:type="dxa"/>
              <w:right w:w="115" w:type="dxa"/>
            </w:tcMar>
            <w:vAlign w:val="center"/>
          </w:tcPr>
          <w:p w14:paraId="5DC49BDE"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5A9C702F"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3.05</w:t>
            </w:r>
          </w:p>
          <w:p w14:paraId="3E88A16D"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1AA5B116"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rFonts w:eastAsia="MS Mincho"/>
                <w:sz w:val="20"/>
                <w:szCs w:val="20"/>
              </w:rPr>
              <w:t xml:space="preserve">: </w:t>
            </w:r>
            <w:r w:rsidRPr="006E3A0F">
              <w:rPr>
                <w:rStyle w:val="normaltextrun"/>
                <w:sz w:val="20"/>
                <w:szCs w:val="20"/>
              </w:rPr>
              <w:t>Q22_0107_01</w:t>
            </w:r>
            <w:r w:rsidRPr="006E3A0F">
              <w:rPr>
                <w:rStyle w:val="eop"/>
                <w:sz w:val="20"/>
                <w:szCs w:val="20"/>
              </w:rPr>
              <w:t> </w:t>
            </w:r>
          </w:p>
          <w:p w14:paraId="61874E57"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 xml:space="preserve">Regarding </w:t>
            </w:r>
            <w:r w:rsidRPr="006E3A0F">
              <w:rPr>
                <w:rStyle w:val="normaltextrun"/>
                <w:rFonts w:eastAsia="MS Mincho"/>
                <w:sz w:val="20"/>
                <w:szCs w:val="20"/>
              </w:rPr>
              <w:t>(</w:t>
            </w:r>
            <w:r w:rsidRPr="006E3A0F">
              <w:rPr>
                <w:rStyle w:val="normaltextrun"/>
                <w:b/>
                <w:bCs/>
                <w:sz w:val="20"/>
                <w:szCs w:val="20"/>
              </w:rPr>
              <w:t>Scoring Criteria) Desirable/Undesirable Activities</w:t>
            </w:r>
            <w:r w:rsidRPr="006E3A0F">
              <w:rPr>
                <w:rStyle w:val="normaltextrun"/>
                <w:sz w:val="20"/>
                <w:szCs w:val="20"/>
              </w:rPr>
              <w:t>, subsection</w:t>
            </w:r>
            <w:r w:rsidRPr="006E3A0F">
              <w:rPr>
                <w:rStyle w:val="normaltextrun"/>
                <w:rFonts w:eastAsia="MS Mincho"/>
                <w:b/>
                <w:bCs/>
                <w:sz w:val="20"/>
                <w:szCs w:val="20"/>
              </w:rPr>
              <w:t xml:space="preserve"> </w:t>
            </w:r>
            <w:r w:rsidRPr="006E3A0F">
              <w:rPr>
                <w:rStyle w:val="normaltextrun"/>
                <w:b/>
                <w:bCs/>
                <w:sz w:val="20"/>
                <w:szCs w:val="20"/>
              </w:rPr>
              <w:t>A. Desirable Activities, 2. Eligibility</w:t>
            </w:r>
            <w:r w:rsidRPr="006E3A0F">
              <w:rPr>
                <w:rStyle w:val="normaltextrun"/>
                <w:rFonts w:eastAsia="MS Mincho"/>
                <w:sz w:val="20"/>
                <w:szCs w:val="20"/>
              </w:rPr>
              <w:t xml:space="preserve"> </w:t>
            </w:r>
            <w:r w:rsidRPr="006E3A0F">
              <w:rPr>
                <w:rStyle w:val="normaltextrun"/>
                <w:sz w:val="20"/>
                <w:szCs w:val="20"/>
              </w:rPr>
              <w:t>option (b): “Retail/clothing/department store (full range of clothing/household items)</w:t>
            </w:r>
            <w:r w:rsidRPr="006E3A0F">
              <w:rPr>
                <w:rStyle w:val="normaltextrun"/>
                <w:rFonts w:eastAsia="MS Mincho"/>
                <w:sz w:val="20"/>
                <w:szCs w:val="20"/>
              </w:rPr>
              <w:t>.” </w:t>
            </w:r>
            <w:r w:rsidRPr="006E3A0F">
              <w:rPr>
                <w:rStyle w:val="eop"/>
                <w:rFonts w:eastAsia="MS Mincho"/>
                <w:sz w:val="20"/>
                <w:szCs w:val="20"/>
              </w:rPr>
              <w:t> </w:t>
            </w:r>
          </w:p>
          <w:p w14:paraId="1ED54609"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rFonts w:eastAsia="MS Mincho"/>
                <w:sz w:val="20"/>
                <w:szCs w:val="20"/>
              </w:rPr>
              <w:t> </w:t>
            </w:r>
          </w:p>
          <w:p w14:paraId="76EC865B"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 xml:space="preserve">What is defined as a </w:t>
            </w:r>
            <w:r w:rsidRPr="006E3A0F">
              <w:rPr>
                <w:rStyle w:val="normaltextrun"/>
                <w:rFonts w:eastAsia="MS Mincho"/>
                <w:sz w:val="20"/>
                <w:szCs w:val="20"/>
              </w:rPr>
              <w:t>“</w:t>
            </w:r>
            <w:r w:rsidRPr="006E3A0F">
              <w:rPr>
                <w:rStyle w:val="normaltextrun"/>
                <w:sz w:val="20"/>
                <w:szCs w:val="20"/>
              </w:rPr>
              <w:t>household item?</w:t>
            </w:r>
            <w:r w:rsidRPr="006E3A0F">
              <w:rPr>
                <w:rStyle w:val="normaltextrun"/>
                <w:rFonts w:eastAsia="MS Mincho"/>
                <w:sz w:val="20"/>
                <w:szCs w:val="20"/>
              </w:rPr>
              <w:t>”</w:t>
            </w:r>
            <w:r w:rsidRPr="006E3A0F">
              <w:rPr>
                <w:rStyle w:val="eop"/>
                <w:rFonts w:eastAsia="MS Mincho"/>
                <w:sz w:val="20"/>
                <w:szCs w:val="20"/>
              </w:rPr>
              <w:t> </w:t>
            </w:r>
          </w:p>
          <w:p w14:paraId="6AEB4F03"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rFonts w:eastAsia="MS Mincho"/>
                <w:sz w:val="20"/>
                <w:szCs w:val="20"/>
              </w:rPr>
              <w:t> </w:t>
            </w:r>
          </w:p>
          <w:p w14:paraId="60430CF7"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rFonts w:eastAsia="MS Mincho"/>
                <w:sz w:val="20"/>
                <w:szCs w:val="20"/>
              </w:rPr>
              <w:t>:</w:t>
            </w:r>
            <w:r w:rsidRPr="006E3A0F">
              <w:rPr>
                <w:rStyle w:val="eop"/>
                <w:rFonts w:eastAsia="MS Mincho"/>
                <w:sz w:val="20"/>
                <w:szCs w:val="20"/>
              </w:rPr>
              <w:t> </w:t>
            </w:r>
          </w:p>
          <w:p w14:paraId="075548B5" w14:textId="77777777" w:rsidR="00FD1900" w:rsidRPr="006E3A0F" w:rsidRDefault="00FD1900" w:rsidP="00304B2F">
            <w:pPr>
              <w:pStyle w:val="paragraph"/>
              <w:spacing w:before="0" w:beforeAutospacing="0" w:after="0" w:afterAutospacing="0"/>
              <w:textAlignment w:val="baseline"/>
              <w:rPr>
                <w:rStyle w:val="eop"/>
                <w:sz w:val="20"/>
                <w:szCs w:val="20"/>
              </w:rPr>
            </w:pPr>
            <w:r w:rsidRPr="006E3A0F">
              <w:rPr>
                <w:rStyle w:val="normaltextrun"/>
                <w:sz w:val="20"/>
                <w:szCs w:val="20"/>
              </w:rPr>
              <w:t>“Household item” is defined more specifically. Because of this, the descriptor “full range” is more important for purposes of determining eligibility for stores that sell general merchandise that would be considered “household items.” </w:t>
            </w:r>
            <w:r w:rsidRPr="006E3A0F">
              <w:rPr>
                <w:rStyle w:val="eop"/>
                <w:sz w:val="20"/>
                <w:szCs w:val="20"/>
              </w:rPr>
              <w:t> </w:t>
            </w:r>
          </w:p>
          <w:p w14:paraId="6DD30D96" w14:textId="77777777" w:rsidR="00FD1900" w:rsidRPr="006E3A0F" w:rsidRDefault="00FD1900" w:rsidP="00304B2F">
            <w:pPr>
              <w:pStyle w:val="paragraph"/>
              <w:spacing w:before="0" w:beforeAutospacing="0" w:after="0" w:afterAutospacing="0"/>
              <w:textAlignment w:val="baseline"/>
              <w:rPr>
                <w:sz w:val="20"/>
                <w:szCs w:val="20"/>
              </w:rPr>
            </w:pPr>
          </w:p>
          <w:p w14:paraId="54BD186B"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For example: </w:t>
            </w:r>
            <w:r w:rsidRPr="006E3A0F">
              <w:rPr>
                <w:rStyle w:val="eop"/>
                <w:sz w:val="20"/>
                <w:szCs w:val="20"/>
              </w:rPr>
              <w:t> </w:t>
            </w:r>
          </w:p>
          <w:p w14:paraId="755EB47C" w14:textId="77777777" w:rsidR="00FD1900" w:rsidRPr="006E3A0F" w:rsidRDefault="00FD1900" w:rsidP="00304B2F">
            <w:pPr>
              <w:pStyle w:val="paragraph"/>
              <w:numPr>
                <w:ilvl w:val="0"/>
                <w:numId w:val="21"/>
              </w:numPr>
              <w:spacing w:before="0" w:beforeAutospacing="0" w:after="0" w:afterAutospacing="0"/>
              <w:textAlignment w:val="baseline"/>
              <w:rPr>
                <w:rStyle w:val="eop"/>
                <w:sz w:val="20"/>
                <w:szCs w:val="20"/>
              </w:rPr>
            </w:pPr>
            <w:r w:rsidRPr="006E3A0F">
              <w:rPr>
                <w:rStyle w:val="normaltextrun"/>
                <w:sz w:val="20"/>
                <w:szCs w:val="20"/>
              </w:rPr>
              <w:t>A store that focuses on one type of merchandise would not qualify under this option, except for clothing because it is stated explicitly in the QAP. </w:t>
            </w:r>
            <w:r w:rsidRPr="006E3A0F">
              <w:rPr>
                <w:rStyle w:val="eop"/>
                <w:sz w:val="20"/>
                <w:szCs w:val="20"/>
              </w:rPr>
              <w:t> </w:t>
            </w:r>
          </w:p>
          <w:p w14:paraId="4D3EDD4D" w14:textId="77777777" w:rsidR="00FD1900" w:rsidRPr="006E3A0F" w:rsidRDefault="00FD1900" w:rsidP="00304B2F">
            <w:pPr>
              <w:pStyle w:val="paragraph"/>
              <w:numPr>
                <w:ilvl w:val="0"/>
                <w:numId w:val="21"/>
              </w:numPr>
              <w:spacing w:before="0" w:beforeAutospacing="0" w:after="0" w:afterAutospacing="0"/>
              <w:textAlignment w:val="baseline"/>
              <w:rPr>
                <w:rStyle w:val="eop"/>
                <w:sz w:val="20"/>
                <w:szCs w:val="20"/>
              </w:rPr>
            </w:pPr>
            <w:r w:rsidRPr="006E3A0F">
              <w:rPr>
                <w:rStyle w:val="normaltextrun"/>
                <w:sz w:val="20"/>
                <w:szCs w:val="20"/>
              </w:rPr>
              <w:t>An example of a store that has been approved as selling a “full range” of household items in the past is Family Dollar. </w:t>
            </w:r>
            <w:r w:rsidRPr="006E3A0F">
              <w:rPr>
                <w:rStyle w:val="eop"/>
                <w:sz w:val="20"/>
                <w:szCs w:val="20"/>
              </w:rPr>
              <w:t> </w:t>
            </w:r>
          </w:p>
          <w:p w14:paraId="7FBCAE4F" w14:textId="77777777" w:rsidR="00FD1900" w:rsidRPr="006E3A0F" w:rsidRDefault="00FD1900" w:rsidP="00304B2F">
            <w:pPr>
              <w:pStyle w:val="paragraph"/>
              <w:numPr>
                <w:ilvl w:val="0"/>
                <w:numId w:val="21"/>
              </w:numPr>
              <w:spacing w:before="0" w:beforeAutospacing="0" w:after="0" w:afterAutospacing="0"/>
              <w:textAlignment w:val="baseline"/>
              <w:rPr>
                <w:sz w:val="20"/>
                <w:szCs w:val="20"/>
              </w:rPr>
            </w:pPr>
            <w:r w:rsidRPr="006E3A0F">
              <w:rPr>
                <w:rStyle w:val="normaltextrun"/>
                <w:sz w:val="20"/>
                <w:szCs w:val="20"/>
              </w:rPr>
              <w:t>An example of a store that has been denied eligibility is a gas station with a convenience store (denied due to the limited range of merchandise sold). </w:t>
            </w:r>
            <w:r w:rsidRPr="006E3A0F">
              <w:rPr>
                <w:rStyle w:val="eop"/>
                <w:sz w:val="20"/>
                <w:szCs w:val="20"/>
              </w:rPr>
              <w:t> </w:t>
            </w:r>
            <w:r w:rsidRPr="006E3A0F">
              <w:rPr>
                <w:rStyle w:val="eop"/>
                <w:sz w:val="20"/>
                <w:szCs w:val="20"/>
              </w:rPr>
              <w:br/>
            </w:r>
          </w:p>
          <w:p w14:paraId="0477F6A7"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 xml:space="preserve">As stated in </w:t>
            </w:r>
            <w:r w:rsidRPr="006E3A0F">
              <w:rPr>
                <w:rStyle w:val="normaltextrun"/>
                <w:b/>
                <w:bCs/>
                <w:sz w:val="20"/>
                <w:szCs w:val="20"/>
              </w:rPr>
              <w:t>(Scoring Criteria) Documentation and Justifications</w:t>
            </w:r>
            <w:r w:rsidRPr="006E3A0F">
              <w:rPr>
                <w:rStyle w:val="normaltextrun"/>
                <w:sz w:val="20"/>
                <w:szCs w:val="20"/>
              </w:rPr>
              <w:t>, “Applications must explain any alternate document to a minimum document.” If it is not self-evident for your proposed establishment, please include supporting documentation and elaborate in the comments section.</w:t>
            </w:r>
          </w:p>
          <w:p w14:paraId="093E1227" w14:textId="77777777" w:rsidR="00FD1900" w:rsidRPr="006E3A0F" w:rsidRDefault="00FD1900" w:rsidP="00304B2F">
            <w:pPr>
              <w:textAlignment w:val="baseline"/>
              <w:rPr>
                <w:rFonts w:ascii="Times New Roman" w:eastAsia="Times New Roman" w:hAnsi="Times New Roman" w:cs="Times New Roman"/>
                <w:b/>
                <w:bCs/>
                <w:sz w:val="20"/>
                <w:szCs w:val="20"/>
              </w:rPr>
            </w:pPr>
          </w:p>
        </w:tc>
      </w:tr>
      <w:tr w:rsidR="00FD1900" w:rsidRPr="006E3A0F" w14:paraId="4ADF502B" w14:textId="77777777" w:rsidTr="1995616E">
        <w:trPr>
          <w:jc w:val="center"/>
        </w:trPr>
        <w:tc>
          <w:tcPr>
            <w:tcW w:w="2157" w:type="dxa"/>
            <w:shd w:val="clear" w:color="auto" w:fill="auto"/>
            <w:tcMar>
              <w:top w:w="72" w:type="dxa"/>
              <w:left w:w="115" w:type="dxa"/>
              <w:bottom w:w="72" w:type="dxa"/>
              <w:right w:w="115" w:type="dxa"/>
            </w:tcMar>
            <w:vAlign w:val="center"/>
          </w:tcPr>
          <w:p w14:paraId="3602BBAC"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21E68C1B"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3.13</w:t>
            </w:r>
          </w:p>
          <w:p w14:paraId="24999A63"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33C492BF"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Phased Developments</w:t>
            </w:r>
          </w:p>
        </w:tc>
        <w:tc>
          <w:tcPr>
            <w:tcW w:w="9590" w:type="dxa"/>
            <w:shd w:val="clear" w:color="auto" w:fill="auto"/>
            <w:tcMar>
              <w:top w:w="72" w:type="dxa"/>
              <w:left w:w="115" w:type="dxa"/>
              <w:bottom w:w="72" w:type="dxa"/>
              <w:right w:w="115" w:type="dxa"/>
            </w:tcMar>
            <w:vAlign w:val="center"/>
          </w:tcPr>
          <w:p w14:paraId="173E6781"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xml:space="preserve">: </w:t>
            </w:r>
            <w:r w:rsidRPr="006E3A0F">
              <w:rPr>
                <w:rFonts w:ascii="Times New Roman" w:eastAsia="Times New Roman" w:hAnsi="Times New Roman" w:cs="Times New Roman"/>
                <w:b/>
                <w:bCs/>
                <w:sz w:val="20"/>
                <w:szCs w:val="20"/>
              </w:rPr>
              <w:t>Q1119_02</w:t>
            </w:r>
            <w:r w:rsidRPr="006E3A0F">
              <w:rPr>
                <w:rFonts w:ascii="Times New Roman" w:eastAsia="Times New Roman" w:hAnsi="Times New Roman" w:cs="Times New Roman"/>
                <w:sz w:val="20"/>
                <w:szCs w:val="20"/>
              </w:rPr>
              <w:t> </w:t>
            </w:r>
          </w:p>
          <w:p w14:paraId="50158998"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Scoring, Phased Development</w:t>
            </w:r>
            <w:r w:rsidRPr="006E3A0F">
              <w:rPr>
                <w:rFonts w:ascii="Times New Roman" w:eastAsia="Times New Roman" w:hAnsi="Times New Roman" w:cs="Times New Roman"/>
                <w:sz w:val="20"/>
                <w:szCs w:val="20"/>
              </w:rPr>
              <w:t xml:space="preserve"> states that at least one prior phase must have begun construction by the application deadline in order to claim the points.  This has the consequence of preventing a phase 2 from claiming phased project points in the consecutive year.  It is practically impossible for a project that is awarded in Nov. 2021 to have begun construction within 6 months of award. </w:t>
            </w:r>
          </w:p>
          <w:p w14:paraId="654C5BDE"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3D6D30B6"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Is this the intent of rule?  Is it possible for the start of site work to count as "start of construction"?  What can/should be used to show start of construction - is it only vertical construction? </w:t>
            </w:r>
          </w:p>
          <w:p w14:paraId="20F28086"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12395652"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3CB13FC3"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This provision is intended to ensure that construction and lease-up between multiple phases do not overlap. If construction hasn’t begun for a prior phase, DCA does not have reasonable assurance that the overlap will be avoided.  </w:t>
            </w:r>
          </w:p>
          <w:p w14:paraId="76E7E99D"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39FA1AB4" w14:textId="77777777" w:rsidR="00FD1900" w:rsidRPr="006E3A0F" w:rsidRDefault="00FD1900" w:rsidP="00304B2F">
            <w:pPr>
              <w:textAlignment w:val="baseline"/>
              <w:rPr>
                <w:rStyle w:val="normaltextrun"/>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The start of site work can qualify as construction commencement.  </w:t>
            </w:r>
          </w:p>
        </w:tc>
      </w:tr>
      <w:tr w:rsidR="00FD1900" w:rsidRPr="006E3A0F" w14:paraId="5EAAC72C" w14:textId="77777777" w:rsidTr="1995616E">
        <w:trPr>
          <w:jc w:val="center"/>
        </w:trPr>
        <w:tc>
          <w:tcPr>
            <w:tcW w:w="2157" w:type="dxa"/>
            <w:shd w:val="clear" w:color="auto" w:fill="auto"/>
            <w:tcMar>
              <w:top w:w="72" w:type="dxa"/>
              <w:left w:w="115" w:type="dxa"/>
              <w:bottom w:w="72" w:type="dxa"/>
              <w:right w:w="115" w:type="dxa"/>
            </w:tcMar>
            <w:vAlign w:val="center"/>
          </w:tcPr>
          <w:p w14:paraId="74136739"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276BDB3D"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3.17</w:t>
            </w:r>
          </w:p>
          <w:p w14:paraId="6FC66B6E"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2A14449D"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Minority- and Women-owned Business Engagement </w:t>
            </w:r>
          </w:p>
        </w:tc>
        <w:tc>
          <w:tcPr>
            <w:tcW w:w="9590" w:type="dxa"/>
            <w:shd w:val="clear" w:color="auto" w:fill="auto"/>
            <w:tcMar>
              <w:top w:w="72" w:type="dxa"/>
              <w:left w:w="115" w:type="dxa"/>
              <w:bottom w:w="72" w:type="dxa"/>
              <w:right w:w="115" w:type="dxa"/>
            </w:tcMar>
            <w:vAlign w:val="center"/>
          </w:tcPr>
          <w:p w14:paraId="6698F301"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Q22_0328_01 </w:t>
            </w:r>
          </w:p>
          <w:p w14:paraId="14AF6181"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Per the QAP’s definition of “Related Parties,” I am a Related Party to a qualified developer. </w:t>
            </w:r>
            <w:r w:rsidRPr="006E3A0F">
              <w:rPr>
                <w:rFonts w:ascii="Times New Roman" w:eastAsia="Times New Roman" w:hAnsi="Times New Roman" w:cs="Times New Roman"/>
                <w:b/>
                <w:bCs/>
                <w:sz w:val="20"/>
                <w:szCs w:val="20"/>
              </w:rPr>
              <w:t>(Scoring Criteria) Minority- and Women-Owned Business Engagement</w:t>
            </w:r>
            <w:r w:rsidRPr="006E3A0F">
              <w:rPr>
                <w:rFonts w:ascii="Times New Roman" w:eastAsia="Times New Roman" w:hAnsi="Times New Roman" w:cs="Times New Roman"/>
                <w:sz w:val="20"/>
                <w:szCs w:val="20"/>
              </w:rPr>
              <w:t xml:space="preserve"> states that one of the requirements of a “Qualified Business” (QB) is:  </w:t>
            </w:r>
          </w:p>
          <w:p w14:paraId="273C5A2C"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515C0853" w14:textId="77777777" w:rsidR="00FD1900" w:rsidRPr="006E3A0F" w:rsidRDefault="00FD1900" w:rsidP="00304B2F">
            <w:pPr>
              <w:ind w:left="720"/>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w:t>
            </w:r>
            <w:r w:rsidRPr="006E3A0F">
              <w:rPr>
                <w:rFonts w:ascii="Times New Roman" w:eastAsia="Times New Roman" w:hAnsi="Times New Roman" w:cs="Times New Roman"/>
                <w:i/>
                <w:iCs/>
                <w:sz w:val="20"/>
                <w:szCs w:val="20"/>
              </w:rPr>
              <w:t>QB is not a Related Party to an individual or entity that meets the requirements under Requirements for Experience (Certifying Entity).</w:t>
            </w:r>
            <w:r w:rsidRPr="006E3A0F">
              <w:rPr>
                <w:rFonts w:ascii="Times New Roman" w:eastAsia="Times New Roman" w:hAnsi="Times New Roman" w:cs="Times New Roman"/>
                <w:sz w:val="20"/>
                <w:szCs w:val="20"/>
              </w:rPr>
              <w:t>” </w:t>
            </w:r>
          </w:p>
          <w:p w14:paraId="52B836C9"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001AA6AC"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At the QAP Workshop, DCA staff told me that if I receive Probationary approval during the Pre-Application process, then I would still be eligible as a QB under this Scoring section. I am confirming this through the Q&amp;A </w:t>
            </w:r>
            <w:proofErr w:type="gramStart"/>
            <w:r w:rsidRPr="006E3A0F">
              <w:rPr>
                <w:rFonts w:ascii="Times New Roman" w:eastAsia="Times New Roman" w:hAnsi="Times New Roman" w:cs="Times New Roman"/>
                <w:sz w:val="20"/>
                <w:szCs w:val="20"/>
              </w:rPr>
              <w:t>process, since</w:t>
            </w:r>
            <w:proofErr w:type="gramEnd"/>
            <w:r w:rsidRPr="006E3A0F">
              <w:rPr>
                <w:rFonts w:ascii="Times New Roman" w:eastAsia="Times New Roman" w:hAnsi="Times New Roman" w:cs="Times New Roman"/>
                <w:sz w:val="20"/>
                <w:szCs w:val="20"/>
              </w:rPr>
              <w:t xml:space="preserve"> this was just verbal guidance.  </w:t>
            </w:r>
          </w:p>
          <w:p w14:paraId="1978CC4F"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4A42B28A"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7BC8370B"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The above-referenced guidance provided by DCA staff at the 2022 QAP Workshop was incorrect. As stated in the above QAP excerpt, if you are a Related Party to a qualified developer, this will disqualify your otherwise Qualified Business for purposes of </w:t>
            </w:r>
            <w:r w:rsidRPr="006E3A0F">
              <w:rPr>
                <w:rFonts w:ascii="Times New Roman" w:eastAsia="Times New Roman" w:hAnsi="Times New Roman" w:cs="Times New Roman"/>
                <w:b/>
                <w:bCs/>
                <w:sz w:val="20"/>
                <w:szCs w:val="20"/>
              </w:rPr>
              <w:t>Minority- and Women-Owned Business Engagement</w:t>
            </w:r>
            <w:r w:rsidRPr="006E3A0F">
              <w:rPr>
                <w:rFonts w:ascii="Times New Roman" w:eastAsia="Times New Roman" w:hAnsi="Times New Roman" w:cs="Times New Roman"/>
                <w:sz w:val="20"/>
                <w:szCs w:val="20"/>
              </w:rPr>
              <w:t>, even if you meet all other QB requirements.  </w:t>
            </w:r>
          </w:p>
          <w:p w14:paraId="4AF4AE63"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27D2DC84"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All applicants should be reminded that you cannot rely on any verbal statements from the QAP Workshop for purposes of application preparation. If you need to rely on verbal guidance, please submit it for confirmation through this Q&amp;A process. </w:t>
            </w:r>
            <w:hyperlink r:id="rId42" w:tgtFrame="_blank" w:history="1">
              <w:r w:rsidRPr="006E3A0F">
                <w:rPr>
                  <w:rFonts w:ascii="Times New Roman" w:eastAsia="Times New Roman" w:hAnsi="Times New Roman" w:cs="Times New Roman"/>
                  <w:sz w:val="20"/>
                  <w:szCs w:val="20"/>
                  <w:u w:val="single"/>
                </w:rPr>
                <w:t>Click here</w:t>
              </w:r>
            </w:hyperlink>
            <w:r w:rsidRPr="006E3A0F">
              <w:rPr>
                <w:rFonts w:ascii="Times New Roman" w:eastAsia="Times New Roman" w:hAnsi="Times New Roman" w:cs="Times New Roman"/>
                <w:sz w:val="20"/>
                <w:szCs w:val="20"/>
              </w:rPr>
              <w:t xml:space="preserve"> to review the full disclaimer.</w:t>
            </w:r>
          </w:p>
          <w:p w14:paraId="5F62718B" w14:textId="77777777" w:rsidR="00FD1900" w:rsidRPr="006E3A0F" w:rsidRDefault="00FD1900" w:rsidP="00304B2F">
            <w:pPr>
              <w:pStyle w:val="paragraph"/>
              <w:spacing w:before="0" w:beforeAutospacing="0" w:after="0" w:afterAutospacing="0"/>
              <w:textAlignment w:val="baseline"/>
              <w:rPr>
                <w:rStyle w:val="normaltextrun"/>
                <w:b/>
                <w:bCs/>
                <w:sz w:val="20"/>
                <w:szCs w:val="20"/>
              </w:rPr>
            </w:pPr>
          </w:p>
        </w:tc>
      </w:tr>
      <w:tr w:rsidR="00FD1900" w:rsidRPr="006E3A0F" w14:paraId="6670025E" w14:textId="77777777" w:rsidTr="1995616E">
        <w:trPr>
          <w:jc w:val="center"/>
        </w:trPr>
        <w:tc>
          <w:tcPr>
            <w:tcW w:w="2157" w:type="dxa"/>
            <w:shd w:val="clear" w:color="auto" w:fill="auto"/>
            <w:tcMar>
              <w:top w:w="72" w:type="dxa"/>
              <w:left w:w="115" w:type="dxa"/>
              <w:bottom w:w="72" w:type="dxa"/>
              <w:right w:w="115" w:type="dxa"/>
            </w:tcMar>
            <w:vAlign w:val="center"/>
          </w:tcPr>
          <w:p w14:paraId="58A7CF7B"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38CF7C1F"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3.21</w:t>
            </w:r>
          </w:p>
          <w:p w14:paraId="0AD99452"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p>
          <w:p w14:paraId="581BC635"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14:paraId="3C8FD6D7"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Q22_0104_01</w:t>
            </w:r>
            <w:r w:rsidRPr="006E3A0F">
              <w:rPr>
                <w:rStyle w:val="eop"/>
                <w:sz w:val="20"/>
                <w:szCs w:val="20"/>
              </w:rPr>
              <w:t> </w:t>
            </w:r>
          </w:p>
          <w:p w14:paraId="7531CC0C"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 xml:space="preserve">The local government has committed to providing the infrastructure for the development of affordable housing on a future LIHTC project.  It is a </w:t>
            </w:r>
            <w:proofErr w:type="gramStart"/>
            <w:r w:rsidRPr="006E3A0F">
              <w:rPr>
                <w:rStyle w:val="contextualspellingandgrammarerror"/>
                <w:rFonts w:eastAsiaTheme="majorEastAsia"/>
                <w:sz w:val="20"/>
                <w:szCs w:val="20"/>
              </w:rPr>
              <w:t>two phase</w:t>
            </w:r>
            <w:proofErr w:type="gramEnd"/>
            <w:r w:rsidRPr="006E3A0F">
              <w:rPr>
                <w:rStyle w:val="normaltextrun"/>
                <w:sz w:val="20"/>
                <w:szCs w:val="20"/>
              </w:rPr>
              <w:t xml:space="preserve"> project that will require roads, stormwater lines, water lines, sidewalks, etc.  The total cost of the infrastructure is approximately $4,000,000; or approximately $2,000,000 per phase based on the layout.  However, due to the configuration of the site, it would be impractical and inefficient to build the infrastructure in phases. </w:t>
            </w:r>
            <w:r w:rsidRPr="006E3A0F">
              <w:rPr>
                <w:rStyle w:val="eop"/>
                <w:sz w:val="20"/>
                <w:szCs w:val="20"/>
              </w:rPr>
              <w:t> </w:t>
            </w:r>
          </w:p>
          <w:p w14:paraId="126DCF50" w14:textId="77777777" w:rsidR="00FD1900" w:rsidRPr="006E3A0F" w:rsidRDefault="00FD1900" w:rsidP="00304B2F">
            <w:pPr>
              <w:pStyle w:val="paragraph"/>
              <w:numPr>
                <w:ilvl w:val="0"/>
                <w:numId w:val="23"/>
              </w:numPr>
              <w:spacing w:before="0" w:beforeAutospacing="0" w:after="0" w:afterAutospacing="0"/>
              <w:ind w:left="1080" w:firstLine="0"/>
              <w:textAlignment w:val="baseline"/>
              <w:rPr>
                <w:sz w:val="20"/>
                <w:szCs w:val="20"/>
              </w:rPr>
            </w:pPr>
            <w:r w:rsidRPr="006E3A0F">
              <w:rPr>
                <w:rStyle w:val="normaltextrun"/>
                <w:sz w:val="20"/>
                <w:szCs w:val="20"/>
              </w:rPr>
              <w:t>Would DCA consider allowing the construction of all the infrastructure in one phase of development and then assigning costs to Phase I and to Phase II in order to be eligible to score points under Favorable Financing for its share of the improvements that were completed with the first phase?  </w:t>
            </w:r>
            <w:r w:rsidRPr="006E3A0F">
              <w:rPr>
                <w:rStyle w:val="eop"/>
                <w:sz w:val="20"/>
                <w:szCs w:val="20"/>
              </w:rPr>
              <w:t> </w:t>
            </w:r>
          </w:p>
          <w:p w14:paraId="19B6F9B8" w14:textId="77777777" w:rsidR="00FD1900" w:rsidRPr="006E3A0F" w:rsidRDefault="00FD1900" w:rsidP="00304B2F">
            <w:pPr>
              <w:pStyle w:val="paragraph"/>
              <w:numPr>
                <w:ilvl w:val="0"/>
                <w:numId w:val="24"/>
              </w:numPr>
              <w:spacing w:before="0" w:beforeAutospacing="0" w:after="0" w:afterAutospacing="0"/>
              <w:ind w:left="1080" w:firstLine="0"/>
              <w:textAlignment w:val="baseline"/>
              <w:rPr>
                <w:sz w:val="20"/>
                <w:szCs w:val="20"/>
              </w:rPr>
            </w:pPr>
            <w:r w:rsidRPr="006E3A0F">
              <w:rPr>
                <w:rStyle w:val="normaltextrun"/>
                <w:sz w:val="20"/>
                <w:szCs w:val="20"/>
              </w:rPr>
              <w:t>Would the provision of the funding in two separate funding documents aid DCA in making this approval to cover two phases?  </w:t>
            </w:r>
            <w:r w:rsidRPr="006E3A0F">
              <w:rPr>
                <w:rStyle w:val="eop"/>
                <w:sz w:val="20"/>
                <w:szCs w:val="20"/>
              </w:rPr>
              <w:t> </w:t>
            </w:r>
          </w:p>
          <w:p w14:paraId="1B96D087" w14:textId="77777777" w:rsidR="00FD1900" w:rsidRPr="006E3A0F" w:rsidRDefault="00FD1900" w:rsidP="00304B2F">
            <w:pPr>
              <w:pStyle w:val="paragraph"/>
              <w:numPr>
                <w:ilvl w:val="0"/>
                <w:numId w:val="24"/>
              </w:numPr>
              <w:spacing w:before="0" w:beforeAutospacing="0" w:after="0" w:afterAutospacing="0"/>
              <w:ind w:left="1080" w:firstLine="0"/>
              <w:textAlignment w:val="baseline"/>
              <w:rPr>
                <w:sz w:val="20"/>
                <w:szCs w:val="20"/>
              </w:rPr>
            </w:pPr>
            <w:r w:rsidRPr="006E3A0F">
              <w:rPr>
                <w:rStyle w:val="normaltextrun"/>
                <w:sz w:val="20"/>
                <w:szCs w:val="20"/>
              </w:rPr>
              <w:t>Can DCA support this concept to develop all the infrastructure at one time and assign costs per phase to meet the Favorable Financing scoring requirements.  </w:t>
            </w:r>
            <w:r w:rsidRPr="006E3A0F">
              <w:rPr>
                <w:rStyle w:val="eop"/>
                <w:sz w:val="20"/>
                <w:szCs w:val="20"/>
              </w:rPr>
              <w:t> </w:t>
            </w:r>
          </w:p>
          <w:p w14:paraId="03CA85DE" w14:textId="77777777" w:rsidR="00FD1900" w:rsidRPr="006E3A0F" w:rsidRDefault="00FD1900" w:rsidP="00304B2F">
            <w:pPr>
              <w:pStyle w:val="paragraph"/>
              <w:numPr>
                <w:ilvl w:val="0"/>
                <w:numId w:val="24"/>
              </w:numPr>
              <w:spacing w:before="0" w:beforeAutospacing="0" w:after="0" w:afterAutospacing="0"/>
              <w:ind w:left="1080" w:firstLine="0"/>
              <w:textAlignment w:val="baseline"/>
              <w:rPr>
                <w:sz w:val="20"/>
                <w:szCs w:val="20"/>
              </w:rPr>
            </w:pPr>
            <w:r w:rsidRPr="006E3A0F">
              <w:rPr>
                <w:rStyle w:val="normaltextrun"/>
                <w:sz w:val="20"/>
                <w:szCs w:val="20"/>
              </w:rPr>
              <w:t xml:space="preserve">This funding source will qualify under “11. Other Federal, State, or local grant funds or loans.” </w:t>
            </w:r>
            <w:r w:rsidRPr="006E3A0F">
              <w:rPr>
                <w:rStyle w:val="scxw52255993"/>
                <w:sz w:val="20"/>
                <w:szCs w:val="20"/>
              </w:rPr>
              <w:t> </w:t>
            </w:r>
            <w:r w:rsidRPr="006E3A0F">
              <w:rPr>
                <w:rStyle w:val="eop"/>
                <w:sz w:val="20"/>
                <w:szCs w:val="20"/>
              </w:rPr>
              <w:t> </w:t>
            </w:r>
          </w:p>
          <w:p w14:paraId="0B7E3951"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04699D97"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 </w:t>
            </w:r>
            <w:r w:rsidRPr="006E3A0F">
              <w:rPr>
                <w:rStyle w:val="eop"/>
                <w:sz w:val="20"/>
                <w:szCs w:val="20"/>
              </w:rPr>
              <w:t> </w:t>
            </w:r>
          </w:p>
          <w:p w14:paraId="62CF5011"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 xml:space="preserve">The local government would indeed need to provide multiple funding documents so that DCA staff can confirm how much is attributable to the phase 1 application. Assuming all Favorable Financing requirements are </w:t>
            </w:r>
            <w:proofErr w:type="gramStart"/>
            <w:r w:rsidRPr="006E3A0F">
              <w:rPr>
                <w:rStyle w:val="contextualspellingandgrammarerror"/>
                <w:rFonts w:eastAsiaTheme="majorEastAsia"/>
                <w:sz w:val="20"/>
                <w:szCs w:val="20"/>
              </w:rPr>
              <w:t>met</w:t>
            </w:r>
            <w:proofErr w:type="gramEnd"/>
            <w:r w:rsidRPr="006E3A0F">
              <w:rPr>
                <w:rStyle w:val="normaltextrun"/>
                <w:sz w:val="20"/>
                <w:szCs w:val="20"/>
              </w:rPr>
              <w:t xml:space="preserve"> and the applicant details the methodology for proportionally allocating costs between each phase, then the phase 1 amount would be allowable for purposes of Favorable Financing under the 2022 9% Competitive Round. </w:t>
            </w:r>
            <w:r w:rsidRPr="006E3A0F">
              <w:rPr>
                <w:rStyle w:val="eop"/>
                <w:sz w:val="20"/>
                <w:szCs w:val="20"/>
              </w:rPr>
              <w:t> </w:t>
            </w:r>
          </w:p>
          <w:p w14:paraId="463F8E71"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0F485EF8" w14:textId="77777777" w:rsidR="00FD1900" w:rsidRPr="006E3A0F" w:rsidRDefault="00FD1900" w:rsidP="00304B2F">
            <w:pPr>
              <w:pStyle w:val="paragraph"/>
              <w:spacing w:before="0" w:beforeAutospacing="0" w:after="0" w:afterAutospacing="0"/>
              <w:textAlignment w:val="baseline"/>
              <w:rPr>
                <w:rStyle w:val="normaltextrun"/>
                <w:sz w:val="20"/>
                <w:szCs w:val="20"/>
              </w:rPr>
            </w:pPr>
            <w:r w:rsidRPr="006E3A0F">
              <w:rPr>
                <w:rStyle w:val="normaltextrun"/>
                <w:sz w:val="20"/>
                <w:szCs w:val="20"/>
              </w:rPr>
              <w:t>However, DCA cannot provide any guidance about whether the costs attributable to phase 2 will be allowable under Favorable Financing in a future application, because that would be clarifying policy for a future QAP. DCA can only provide guidance related to the 2022 QAP. </w:t>
            </w:r>
            <w:r w:rsidRPr="006E3A0F">
              <w:rPr>
                <w:rStyle w:val="eop"/>
                <w:sz w:val="20"/>
                <w:szCs w:val="20"/>
              </w:rPr>
              <w:t> </w:t>
            </w:r>
          </w:p>
        </w:tc>
      </w:tr>
      <w:tr w:rsidR="00FD1900" w:rsidRPr="006E3A0F" w14:paraId="0882748C" w14:textId="77777777" w:rsidTr="1995616E">
        <w:trPr>
          <w:jc w:val="center"/>
        </w:trPr>
        <w:tc>
          <w:tcPr>
            <w:tcW w:w="2157" w:type="dxa"/>
            <w:shd w:val="clear" w:color="auto" w:fill="auto"/>
            <w:tcMar>
              <w:top w:w="72" w:type="dxa"/>
              <w:left w:w="115" w:type="dxa"/>
              <w:bottom w:w="72" w:type="dxa"/>
              <w:right w:w="115" w:type="dxa"/>
            </w:tcMar>
            <w:vAlign w:val="center"/>
          </w:tcPr>
          <w:p w14:paraId="7217CBC7"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15F18642"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3.27</w:t>
            </w:r>
          </w:p>
          <w:p w14:paraId="6DB85A48"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r w:rsidRPr="006E3A0F">
              <w:rPr>
                <w:rFonts w:ascii="Times New Roman" w:hAnsi="Times New Roman" w:cs="Times New Roman"/>
                <w:sz w:val="20"/>
                <w:szCs w:val="20"/>
              </w:rPr>
              <w:t xml:space="preserve"> </w:t>
            </w:r>
          </w:p>
          <w:p w14:paraId="546C60DC"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PBRA Contracts</w:t>
            </w:r>
          </w:p>
        </w:tc>
        <w:tc>
          <w:tcPr>
            <w:tcW w:w="9590" w:type="dxa"/>
            <w:shd w:val="clear" w:color="auto" w:fill="auto"/>
            <w:tcMar>
              <w:top w:w="72" w:type="dxa"/>
              <w:left w:w="115" w:type="dxa"/>
              <w:bottom w:w="72" w:type="dxa"/>
              <w:right w:w="115" w:type="dxa"/>
            </w:tcMar>
            <w:vAlign w:val="center"/>
          </w:tcPr>
          <w:p w14:paraId="5CCCB68E"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xml:space="preserve">: </w:t>
            </w:r>
            <w:r w:rsidRPr="006E3A0F">
              <w:rPr>
                <w:rFonts w:ascii="Times New Roman" w:eastAsia="Times New Roman" w:hAnsi="Times New Roman" w:cs="Times New Roman"/>
                <w:b/>
                <w:bCs/>
                <w:sz w:val="20"/>
                <w:szCs w:val="20"/>
              </w:rPr>
              <w:t>Q22_0307_01</w:t>
            </w:r>
            <w:r w:rsidRPr="006E3A0F">
              <w:rPr>
                <w:rFonts w:ascii="Times New Roman" w:eastAsia="Times New Roman" w:hAnsi="Times New Roman" w:cs="Times New Roman"/>
                <w:sz w:val="20"/>
                <w:szCs w:val="20"/>
              </w:rPr>
              <w:t> </w:t>
            </w:r>
          </w:p>
          <w:p w14:paraId="34844F3C"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Would an applicant be eligible for points under </w:t>
            </w:r>
            <w:r w:rsidRPr="006E3A0F">
              <w:rPr>
                <w:rFonts w:ascii="Times New Roman" w:eastAsia="Times New Roman" w:hAnsi="Times New Roman" w:cs="Times New Roman"/>
                <w:b/>
                <w:bCs/>
                <w:sz w:val="20"/>
                <w:szCs w:val="20"/>
              </w:rPr>
              <w:t>(Scoring Criteria) PBRA Contracts</w:t>
            </w:r>
            <w:r w:rsidRPr="006E3A0F">
              <w:rPr>
                <w:rFonts w:ascii="Times New Roman" w:eastAsia="Times New Roman" w:hAnsi="Times New Roman" w:cs="Times New Roman"/>
                <w:sz w:val="20"/>
                <w:szCs w:val="20"/>
              </w:rPr>
              <w:t xml:space="preserve"> if the PBRA would be conditional upon receipt of a Credit award, but the PBRA contract would be in effect on or before the units are placed in service? </w:t>
            </w:r>
          </w:p>
          <w:p w14:paraId="52E08EFB"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0BDA1964"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490CBB83" w14:textId="77777777" w:rsidR="00FD1900" w:rsidRPr="006E3A0F" w:rsidRDefault="00FD1900" w:rsidP="00304B2F">
            <w:pPr>
              <w:textAlignment w:val="baseline"/>
              <w:rPr>
                <w:rStyle w:val="normaltextrun"/>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Assuming all other requirements related to the associated PBRA agreements are met (e.g., requirements listed in </w:t>
            </w:r>
            <w:r w:rsidRPr="006E3A0F">
              <w:rPr>
                <w:rFonts w:ascii="Times New Roman" w:eastAsia="Times New Roman" w:hAnsi="Times New Roman" w:cs="Times New Roman"/>
                <w:b/>
                <w:bCs/>
                <w:sz w:val="20"/>
                <w:szCs w:val="20"/>
              </w:rPr>
              <w:t>(Threshold Criteria) Project Feasibility)</w:t>
            </w:r>
            <w:r w:rsidRPr="006E3A0F">
              <w:rPr>
                <w:rFonts w:ascii="Times New Roman" w:eastAsia="Times New Roman" w:hAnsi="Times New Roman" w:cs="Times New Roman"/>
                <w:sz w:val="20"/>
                <w:szCs w:val="20"/>
              </w:rPr>
              <w:t xml:space="preserve">, such PBRA contracts would be eligible for points under </w:t>
            </w:r>
            <w:r w:rsidRPr="006E3A0F">
              <w:rPr>
                <w:rFonts w:ascii="Times New Roman" w:eastAsia="Times New Roman" w:hAnsi="Times New Roman" w:cs="Times New Roman"/>
                <w:b/>
                <w:bCs/>
                <w:sz w:val="20"/>
                <w:szCs w:val="20"/>
              </w:rPr>
              <w:t>(Scoring Criteria) PBRA Contracts</w:t>
            </w:r>
            <w:r w:rsidRPr="006E3A0F">
              <w:rPr>
                <w:rFonts w:ascii="Times New Roman" w:eastAsia="Times New Roman" w:hAnsi="Times New Roman" w:cs="Times New Roman"/>
                <w:sz w:val="20"/>
                <w:szCs w:val="20"/>
              </w:rPr>
              <w:t>. The contracts being conditional on a tax credit award is not a disqualifying factor.  </w:t>
            </w:r>
          </w:p>
        </w:tc>
      </w:tr>
      <w:tr w:rsidR="00FD1900" w:rsidRPr="006E3A0F" w14:paraId="2FC84423" w14:textId="77777777" w:rsidTr="1995616E">
        <w:trPr>
          <w:jc w:val="center"/>
        </w:trPr>
        <w:tc>
          <w:tcPr>
            <w:tcW w:w="2157" w:type="dxa"/>
            <w:shd w:val="clear" w:color="auto" w:fill="auto"/>
            <w:tcMar>
              <w:top w:w="72" w:type="dxa"/>
              <w:left w:w="115" w:type="dxa"/>
              <w:bottom w:w="72" w:type="dxa"/>
              <w:right w:w="115" w:type="dxa"/>
            </w:tcMar>
            <w:vAlign w:val="center"/>
          </w:tcPr>
          <w:p w14:paraId="0FBDDE2D"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02012A7C"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3.07</w:t>
            </w:r>
          </w:p>
          <w:p w14:paraId="01C78B20"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r w:rsidRPr="006E3A0F">
              <w:rPr>
                <w:rFonts w:ascii="Times New Roman" w:hAnsi="Times New Roman" w:cs="Times New Roman"/>
                <w:sz w:val="20"/>
                <w:szCs w:val="20"/>
              </w:rPr>
              <w:t xml:space="preserve"> </w:t>
            </w:r>
          </w:p>
          <w:p w14:paraId="5F310751"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Quality Education Areas</w:t>
            </w:r>
          </w:p>
        </w:tc>
        <w:tc>
          <w:tcPr>
            <w:tcW w:w="9590" w:type="dxa"/>
            <w:shd w:val="clear" w:color="auto" w:fill="auto"/>
            <w:tcMar>
              <w:top w:w="72" w:type="dxa"/>
              <w:left w:w="115" w:type="dxa"/>
              <w:bottom w:w="72" w:type="dxa"/>
              <w:right w:w="115" w:type="dxa"/>
            </w:tcMar>
            <w:vAlign w:val="center"/>
          </w:tcPr>
          <w:p w14:paraId="76F2A435"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Q22_0317_15 </w:t>
            </w:r>
          </w:p>
          <w:p w14:paraId="55926C21"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DCA took public comments through February 28</w:t>
            </w:r>
            <w:r w:rsidRPr="006E3A0F">
              <w:rPr>
                <w:rFonts w:ascii="Times New Roman" w:eastAsia="Times New Roman" w:hAnsi="Times New Roman" w:cs="Times New Roman"/>
                <w:sz w:val="20"/>
                <w:szCs w:val="20"/>
                <w:vertAlign w:val="superscript"/>
              </w:rPr>
              <w:t>th</w:t>
            </w:r>
            <w:r w:rsidRPr="006E3A0F">
              <w:rPr>
                <w:rFonts w:ascii="Times New Roman" w:eastAsia="Times New Roman" w:hAnsi="Times New Roman" w:cs="Times New Roman"/>
                <w:sz w:val="20"/>
                <w:szCs w:val="20"/>
              </w:rPr>
              <w:t xml:space="preserve"> for “Option C - Scoring Data.xlsx,” which is necessary to score schools under </w:t>
            </w:r>
            <w:r w:rsidRPr="006E3A0F">
              <w:rPr>
                <w:rFonts w:ascii="Times New Roman" w:eastAsia="Times New Roman" w:hAnsi="Times New Roman" w:cs="Times New Roman"/>
                <w:b/>
                <w:bCs/>
                <w:sz w:val="20"/>
                <w:szCs w:val="20"/>
              </w:rPr>
              <w:t>(Scoring Criteria) Quality Education Areas.</w:t>
            </w:r>
            <w:r w:rsidRPr="006E3A0F">
              <w:rPr>
                <w:rFonts w:ascii="Times New Roman" w:eastAsia="Times New Roman" w:hAnsi="Times New Roman" w:cs="Times New Roman"/>
                <w:sz w:val="20"/>
                <w:szCs w:val="20"/>
              </w:rPr>
              <w:t xml:space="preserve"> What public comments did DCA receive and how is DCA responding to them?  </w:t>
            </w:r>
          </w:p>
          <w:p w14:paraId="6D4B16F6"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74BCC79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0940C43F"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DCA received public comments articulating the following:  </w:t>
            </w:r>
            <w:r w:rsidRPr="006E3A0F">
              <w:rPr>
                <w:rFonts w:ascii="Times New Roman" w:eastAsia="Times New Roman" w:hAnsi="Times New Roman" w:cs="Times New Roman"/>
                <w:sz w:val="20"/>
                <w:szCs w:val="20"/>
              </w:rPr>
              <w:br/>
              <w:t> </w:t>
            </w:r>
          </w:p>
          <w:p w14:paraId="14B54BC7" w14:textId="77777777" w:rsidR="00FD1900" w:rsidRPr="006E3A0F" w:rsidRDefault="00FD1900" w:rsidP="00304B2F">
            <w:pPr>
              <w:numPr>
                <w:ilvl w:val="0"/>
                <w:numId w:val="19"/>
              </w:numPr>
              <w:ind w:left="1080" w:firstLine="0"/>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The “top 75%” provision in the QAP is unclear (“Average CCRPI score over the same time period is in the top 75% of all statewide average scores for the grade cluster”). Multiple methodologies for this calculation can be reasonably interpreted from the same language.  </w:t>
            </w:r>
            <w:r w:rsidRPr="006E3A0F">
              <w:rPr>
                <w:rFonts w:ascii="Times New Roman" w:eastAsia="Times New Roman" w:hAnsi="Times New Roman" w:cs="Times New Roman"/>
                <w:sz w:val="20"/>
                <w:szCs w:val="20"/>
              </w:rPr>
              <w:br/>
            </w:r>
          </w:p>
          <w:p w14:paraId="0A28CF30" w14:textId="77777777" w:rsidR="00FD1900" w:rsidRPr="006E3A0F" w:rsidRDefault="00FD1900" w:rsidP="00304B2F">
            <w:pPr>
              <w:numPr>
                <w:ilvl w:val="0"/>
                <w:numId w:val="19"/>
              </w:numPr>
              <w:ind w:left="1080" w:firstLine="0"/>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DCA did not post the dataset until February 14, 2022. To justifiably preclude methodologies that differed from DCA’s intent but could be inferred from the ambiguous QAP language, DCA would have needed to publish the data necessary to score earlier.  </w:t>
            </w:r>
          </w:p>
          <w:p w14:paraId="5AA11943"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7152FB59"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DCA staff agree with both of the above public comments. Therefore, for purposes of the 2022 Competitive round, DCA will allow schools to qualify under a methodology submitted during the public comment period which is more expansive than the intended methodology. Staff determined that the QAP language was ambiguous enough that it encompassed this alternative interpretation. Under this alternative methodology, schools will be eligible under option C if both of the following are true:  </w:t>
            </w:r>
          </w:p>
          <w:p w14:paraId="178187A3"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5F3D26E5"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Condition 1</w:t>
            </w:r>
            <w:r w:rsidRPr="006E3A0F">
              <w:rPr>
                <w:rFonts w:ascii="Times New Roman" w:eastAsia="Times New Roman" w:hAnsi="Times New Roman" w:cs="Times New Roman"/>
                <w:sz w:val="20"/>
                <w:szCs w:val="20"/>
              </w:rPr>
              <w:t>: School’s CCRPI growth between 2015-2019 is positive. This is treated the same as under the originally posted “Option C – Scoring Data.xlsx” file. See columns under the header “Year-over-year change is positive?” to confirm positive growth for a school.  </w:t>
            </w:r>
          </w:p>
          <w:p w14:paraId="4809FF4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42920ED8"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Condition 2:</w:t>
            </w:r>
            <w:r w:rsidRPr="006E3A0F">
              <w:rPr>
                <w:rFonts w:ascii="Times New Roman" w:eastAsia="Times New Roman" w:hAnsi="Times New Roman" w:cs="Times New Roman"/>
                <w:sz w:val="20"/>
                <w:szCs w:val="20"/>
              </w:rPr>
              <w:t xml:space="preserve"> School’s average score between 2015 and 2019 is above the thresholds in the below table. </w:t>
            </w:r>
            <w:r w:rsidRPr="006E3A0F">
              <w:rPr>
                <w:rFonts w:ascii="Times New Roman" w:eastAsia="Times New Roman" w:hAnsi="Times New Roman" w:cs="Times New Roman"/>
                <w:sz w:val="20"/>
                <w:szCs w:val="20"/>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5"/>
              <w:gridCol w:w="2325"/>
              <w:gridCol w:w="2325"/>
              <w:gridCol w:w="2325"/>
            </w:tblGrid>
            <w:tr w:rsidR="00FD1900" w:rsidRPr="006E3A0F" w14:paraId="664B90E3" w14:textId="77777777" w:rsidTr="0060522B">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78505114" w14:textId="77777777" w:rsidR="00FD1900" w:rsidRPr="006E3A0F" w:rsidRDefault="00FD1900" w:rsidP="00304B2F">
                  <w:pPr>
                    <w:spacing w:after="0" w:line="240" w:lineRule="auto"/>
                    <w:jc w:val="cente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i/>
                      <w:iCs/>
                      <w:sz w:val="20"/>
                      <w:szCs w:val="20"/>
                    </w:rPr>
                    <w:t>Grade cluster</w:t>
                  </w:r>
                  <w:r w:rsidRPr="006E3A0F">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3C435996" w14:textId="77777777" w:rsidR="00FD1900" w:rsidRPr="006E3A0F" w:rsidRDefault="00FD1900" w:rsidP="00304B2F">
                  <w:pPr>
                    <w:spacing w:after="0" w:line="240" w:lineRule="auto"/>
                    <w:jc w:val="cente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Elementary</w:t>
                  </w:r>
                  <w:r w:rsidRPr="006E3A0F">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7ED0A9ED" w14:textId="77777777" w:rsidR="00FD1900" w:rsidRPr="006E3A0F" w:rsidRDefault="00FD1900" w:rsidP="00304B2F">
                  <w:pPr>
                    <w:spacing w:after="0" w:line="240" w:lineRule="auto"/>
                    <w:jc w:val="cente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Middle</w:t>
                  </w:r>
                  <w:r w:rsidRPr="006E3A0F">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2613F285" w14:textId="77777777" w:rsidR="00FD1900" w:rsidRPr="006E3A0F" w:rsidRDefault="00FD1900" w:rsidP="00304B2F">
                  <w:pPr>
                    <w:spacing w:after="0" w:line="240" w:lineRule="auto"/>
                    <w:jc w:val="cente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High</w:t>
                  </w:r>
                  <w:r w:rsidRPr="006E3A0F">
                    <w:rPr>
                      <w:rFonts w:ascii="Times New Roman" w:eastAsia="Times New Roman" w:hAnsi="Times New Roman" w:cs="Times New Roman"/>
                      <w:sz w:val="20"/>
                      <w:szCs w:val="20"/>
                    </w:rPr>
                    <w:t> </w:t>
                  </w:r>
                </w:p>
              </w:tc>
            </w:tr>
            <w:tr w:rsidR="00FD1900" w:rsidRPr="006E3A0F" w14:paraId="5F23CA4A" w14:textId="77777777" w:rsidTr="0060522B">
              <w:tc>
                <w:tcPr>
                  <w:tcW w:w="2325" w:type="dxa"/>
                  <w:tcBorders>
                    <w:top w:val="nil"/>
                    <w:left w:val="single" w:sz="6" w:space="0" w:color="auto"/>
                    <w:bottom w:val="single" w:sz="6" w:space="0" w:color="auto"/>
                    <w:right w:val="single" w:sz="6" w:space="0" w:color="auto"/>
                  </w:tcBorders>
                  <w:shd w:val="clear" w:color="auto" w:fill="auto"/>
                  <w:hideMark/>
                </w:tcPr>
                <w:p w14:paraId="7C02339F" w14:textId="77777777" w:rsidR="00FD1900" w:rsidRPr="006E3A0F" w:rsidRDefault="00FD1900" w:rsidP="00304B2F">
                  <w:pPr>
                    <w:spacing w:after="0" w:line="240" w:lineRule="auto"/>
                    <w:jc w:val="cente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i/>
                      <w:iCs/>
                      <w:sz w:val="20"/>
                      <w:szCs w:val="20"/>
                    </w:rPr>
                    <w:t>Average score</w:t>
                  </w:r>
                  <w:r w:rsidRPr="006E3A0F">
                    <w:rPr>
                      <w:rFonts w:ascii="Times New Roman" w:eastAsia="Times New Roman" w:hAnsi="Times New Roman" w:cs="Times New Roman"/>
                      <w:sz w:val="20"/>
                      <w:szCs w:val="20"/>
                    </w:rPr>
                    <w:t> </w:t>
                  </w:r>
                </w:p>
                <w:p w14:paraId="7B834ED3" w14:textId="77777777" w:rsidR="00FD1900" w:rsidRPr="006E3A0F" w:rsidRDefault="00FD1900" w:rsidP="00304B2F">
                  <w:pPr>
                    <w:spacing w:after="0" w:line="240" w:lineRule="auto"/>
                    <w:jc w:val="cente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i/>
                      <w:iCs/>
                      <w:sz w:val="20"/>
                      <w:szCs w:val="20"/>
                    </w:rPr>
                    <w:t>(2015-2019)</w:t>
                  </w:r>
                  <w:r w:rsidRPr="006E3A0F">
                    <w:rPr>
                      <w:rFonts w:ascii="Times New Roman" w:eastAsia="Times New Roman" w:hAnsi="Times New Roman" w:cs="Times New Roman"/>
                      <w:sz w:val="20"/>
                      <w:szCs w:val="20"/>
                    </w:rPr>
                    <w:t> </w:t>
                  </w:r>
                </w:p>
              </w:tc>
              <w:tc>
                <w:tcPr>
                  <w:tcW w:w="2325" w:type="dxa"/>
                  <w:tcBorders>
                    <w:top w:val="nil"/>
                    <w:left w:val="nil"/>
                    <w:bottom w:val="single" w:sz="6" w:space="0" w:color="auto"/>
                    <w:right w:val="single" w:sz="6" w:space="0" w:color="auto"/>
                  </w:tcBorders>
                  <w:shd w:val="clear" w:color="auto" w:fill="auto"/>
                  <w:hideMark/>
                </w:tcPr>
                <w:p w14:paraId="7773DC6D" w14:textId="77777777" w:rsidR="00FD1900" w:rsidRPr="006E3A0F" w:rsidRDefault="00FD1900" w:rsidP="00304B2F">
                  <w:pPr>
                    <w:spacing w:after="0" w:line="240" w:lineRule="auto"/>
                    <w:jc w:val="cente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56.745 </w:t>
                  </w:r>
                </w:p>
                <w:p w14:paraId="32DC3177" w14:textId="77777777" w:rsidR="00FD1900" w:rsidRPr="006E3A0F" w:rsidRDefault="00FD1900" w:rsidP="00304B2F">
                  <w:pPr>
                    <w:spacing w:after="0" w:line="240" w:lineRule="auto"/>
                    <w:jc w:val="cente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tc>
              <w:tc>
                <w:tcPr>
                  <w:tcW w:w="2325" w:type="dxa"/>
                  <w:tcBorders>
                    <w:top w:val="nil"/>
                    <w:left w:val="nil"/>
                    <w:bottom w:val="single" w:sz="6" w:space="0" w:color="auto"/>
                    <w:right w:val="single" w:sz="6" w:space="0" w:color="auto"/>
                  </w:tcBorders>
                  <w:shd w:val="clear" w:color="auto" w:fill="auto"/>
                  <w:hideMark/>
                </w:tcPr>
                <w:p w14:paraId="4462836A" w14:textId="77777777" w:rsidR="00FD1900" w:rsidRPr="006E3A0F" w:rsidRDefault="00FD1900" w:rsidP="00304B2F">
                  <w:pPr>
                    <w:spacing w:after="0" w:line="240" w:lineRule="auto"/>
                    <w:jc w:val="cente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55.335 </w:t>
                  </w:r>
                </w:p>
              </w:tc>
              <w:tc>
                <w:tcPr>
                  <w:tcW w:w="2325" w:type="dxa"/>
                  <w:tcBorders>
                    <w:top w:val="nil"/>
                    <w:left w:val="nil"/>
                    <w:bottom w:val="single" w:sz="6" w:space="0" w:color="auto"/>
                    <w:right w:val="single" w:sz="6" w:space="0" w:color="auto"/>
                  </w:tcBorders>
                  <w:shd w:val="clear" w:color="auto" w:fill="auto"/>
                  <w:hideMark/>
                </w:tcPr>
                <w:p w14:paraId="1258438A" w14:textId="77777777" w:rsidR="00FD1900" w:rsidRPr="006E3A0F" w:rsidRDefault="00FD1900" w:rsidP="00304B2F">
                  <w:pPr>
                    <w:spacing w:after="0" w:line="240" w:lineRule="auto"/>
                    <w:jc w:val="cente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57.39 </w:t>
                  </w:r>
                </w:p>
              </w:tc>
            </w:tr>
          </w:tbl>
          <w:p w14:paraId="7B146BD2"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5979498E"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To confirm a school’s average score, see the column labeled “Average score” in “Option C – Scoring Data.xlsx.”  </w:t>
            </w:r>
          </w:p>
          <w:p w14:paraId="1D07A694"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498E3503"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Please note that this exception applies to the 2022 Competitive Round only. In any subsequent competitive rounds relying on the same QAP language, school eligibility will be based on the designations indicated in the “Option C – Scoring Data.xlsx” file posted to the DCA website. </w:t>
            </w:r>
          </w:p>
          <w:p w14:paraId="6F94853C" w14:textId="77777777" w:rsidR="00FD1900" w:rsidRPr="006E3A0F" w:rsidRDefault="00FD1900" w:rsidP="00304B2F">
            <w:pPr>
              <w:pStyle w:val="paragraph"/>
              <w:spacing w:before="0" w:beforeAutospacing="0" w:after="0" w:afterAutospacing="0"/>
              <w:textAlignment w:val="baseline"/>
              <w:rPr>
                <w:rStyle w:val="normaltextrun"/>
                <w:b/>
                <w:bCs/>
                <w:sz w:val="20"/>
                <w:szCs w:val="20"/>
              </w:rPr>
            </w:pPr>
          </w:p>
        </w:tc>
      </w:tr>
      <w:tr w:rsidR="00FD1900" w:rsidRPr="006E3A0F" w14:paraId="35E29E9A" w14:textId="77777777" w:rsidTr="1995616E">
        <w:trPr>
          <w:jc w:val="center"/>
        </w:trPr>
        <w:tc>
          <w:tcPr>
            <w:tcW w:w="2157" w:type="dxa"/>
            <w:shd w:val="clear" w:color="auto" w:fill="auto"/>
            <w:tcMar>
              <w:top w:w="72" w:type="dxa"/>
              <w:left w:w="115" w:type="dxa"/>
              <w:bottom w:w="72" w:type="dxa"/>
              <w:right w:w="115" w:type="dxa"/>
            </w:tcMar>
            <w:vAlign w:val="center"/>
          </w:tcPr>
          <w:p w14:paraId="30EAB793"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37915978"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3.08</w:t>
            </w:r>
          </w:p>
          <w:p w14:paraId="5E222CFB"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r w:rsidRPr="006E3A0F">
              <w:rPr>
                <w:rFonts w:ascii="Times New Roman" w:hAnsi="Times New Roman" w:cs="Times New Roman"/>
                <w:sz w:val="20"/>
                <w:szCs w:val="20"/>
              </w:rPr>
              <w:t xml:space="preserve"> </w:t>
            </w:r>
          </w:p>
          <w:p w14:paraId="60247199"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Revitalization / Redevelopment Plans</w:t>
            </w:r>
          </w:p>
        </w:tc>
        <w:tc>
          <w:tcPr>
            <w:tcW w:w="9590" w:type="dxa"/>
            <w:shd w:val="clear" w:color="auto" w:fill="auto"/>
            <w:tcMar>
              <w:top w:w="72" w:type="dxa"/>
              <w:left w:w="115" w:type="dxa"/>
              <w:bottom w:w="72" w:type="dxa"/>
              <w:right w:w="115" w:type="dxa"/>
            </w:tcMar>
            <w:vAlign w:val="center"/>
          </w:tcPr>
          <w:p w14:paraId="7126E14E"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Q22_0302_04</w:t>
            </w:r>
            <w:r w:rsidRPr="006E3A0F">
              <w:rPr>
                <w:rStyle w:val="eop"/>
                <w:sz w:val="20"/>
                <w:szCs w:val="20"/>
              </w:rPr>
              <w:t> </w:t>
            </w:r>
          </w:p>
          <w:p w14:paraId="7B9E6EA9"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 xml:space="preserve">Regarding </w:t>
            </w:r>
            <w:r w:rsidRPr="006E3A0F">
              <w:rPr>
                <w:rStyle w:val="normaltextrun"/>
                <w:b/>
                <w:bCs/>
                <w:sz w:val="20"/>
                <w:szCs w:val="20"/>
              </w:rPr>
              <w:t>(Scoring Criteria) Revitalization/Redevelopment Plans</w:t>
            </w:r>
            <w:r w:rsidRPr="006E3A0F">
              <w:rPr>
                <w:rStyle w:val="normaltextrun"/>
                <w:sz w:val="20"/>
                <w:szCs w:val="20"/>
              </w:rPr>
              <w:t>, subsection</w:t>
            </w:r>
            <w:r w:rsidRPr="006E3A0F">
              <w:rPr>
                <w:rStyle w:val="normaltextrun"/>
                <w:b/>
                <w:bCs/>
                <w:sz w:val="20"/>
                <w:szCs w:val="20"/>
              </w:rPr>
              <w:t xml:space="preserve"> A. Revitalization Plan/Qualified Census Tract</w:t>
            </w:r>
            <w:r w:rsidRPr="006E3A0F">
              <w:rPr>
                <w:rStyle w:val="normaltextrun"/>
                <w:sz w:val="20"/>
                <w:szCs w:val="20"/>
              </w:rPr>
              <w:t>,</w:t>
            </w:r>
            <w:r w:rsidRPr="006E3A0F">
              <w:rPr>
                <w:rStyle w:val="scxw120489810"/>
                <w:rFonts w:eastAsiaTheme="majorEastAsia"/>
                <w:sz w:val="20"/>
                <w:szCs w:val="20"/>
              </w:rPr>
              <w:t> </w:t>
            </w:r>
            <w:r w:rsidRPr="006E3A0F">
              <w:rPr>
                <w:rStyle w:val="normaltextrun"/>
                <w:sz w:val="20"/>
                <w:szCs w:val="20"/>
              </w:rPr>
              <w:t>to be eligible for the “One (1) additional point [for] Local Government …financial commitment to advancing the CRP”, does the investment have to be located within a 0.5-mile radius of the proposed site, considering to be eligible for at least 1 point under subsection B. Third-Party Capital Investment, the investment would need to be within a 0.5-mile radius of the site?</w:t>
            </w:r>
            <w:r w:rsidRPr="006E3A0F">
              <w:rPr>
                <w:rStyle w:val="eop"/>
                <w:sz w:val="20"/>
                <w:szCs w:val="20"/>
              </w:rPr>
              <w:t> </w:t>
            </w:r>
          </w:p>
          <w:p w14:paraId="08083705"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3E336467"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 </w:t>
            </w:r>
            <w:r w:rsidRPr="006E3A0F">
              <w:rPr>
                <w:rStyle w:val="eop"/>
                <w:sz w:val="20"/>
                <w:szCs w:val="20"/>
              </w:rPr>
              <w:t> </w:t>
            </w:r>
          </w:p>
          <w:p w14:paraId="549F95FD"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The QAP states:</w:t>
            </w:r>
            <w:r w:rsidRPr="006E3A0F">
              <w:rPr>
                <w:rStyle w:val="eop"/>
                <w:sz w:val="20"/>
                <w:szCs w:val="20"/>
              </w:rPr>
              <w:t> </w:t>
            </w:r>
          </w:p>
          <w:p w14:paraId="0949EB32"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73D0A04C" w14:textId="77777777" w:rsidR="00FD1900" w:rsidRPr="006E3A0F" w:rsidRDefault="00FD1900" w:rsidP="00304B2F">
            <w:pPr>
              <w:pStyle w:val="paragraph"/>
              <w:spacing w:before="0" w:beforeAutospacing="0" w:after="0" w:afterAutospacing="0"/>
              <w:ind w:left="720"/>
              <w:textAlignment w:val="baseline"/>
              <w:rPr>
                <w:sz w:val="20"/>
                <w:szCs w:val="20"/>
              </w:rPr>
            </w:pPr>
            <w:r w:rsidRPr="006E3A0F">
              <w:rPr>
                <w:rStyle w:val="normaltextrun"/>
                <w:i/>
                <w:iCs/>
                <w:sz w:val="20"/>
                <w:szCs w:val="20"/>
              </w:rPr>
              <w:t xml:space="preserve">“Applications eligible for the above points are also eligible for any or </w:t>
            </w:r>
            <w:r w:rsidRPr="006E3A0F">
              <w:rPr>
                <w:rStyle w:val="advancedproofingissue"/>
                <w:i/>
                <w:iCs/>
                <w:sz w:val="20"/>
                <w:szCs w:val="20"/>
              </w:rPr>
              <w:t>all of</w:t>
            </w:r>
            <w:r w:rsidRPr="006E3A0F">
              <w:rPr>
                <w:rStyle w:val="normaltextrun"/>
                <w:i/>
                <w:iCs/>
                <w:sz w:val="20"/>
                <w:szCs w:val="20"/>
              </w:rPr>
              <w:t xml:space="preserve"> the following:</w:t>
            </w:r>
            <w:r w:rsidRPr="006E3A0F">
              <w:rPr>
                <w:rStyle w:val="eop"/>
                <w:sz w:val="20"/>
                <w:szCs w:val="20"/>
              </w:rPr>
              <w:t> </w:t>
            </w:r>
          </w:p>
          <w:p w14:paraId="25A27A39" w14:textId="77777777" w:rsidR="00FD1900" w:rsidRPr="006E3A0F" w:rsidRDefault="00FD1900" w:rsidP="00304B2F">
            <w:pPr>
              <w:pStyle w:val="paragraph"/>
              <w:numPr>
                <w:ilvl w:val="0"/>
                <w:numId w:val="17"/>
              </w:numPr>
              <w:spacing w:before="0" w:beforeAutospacing="0" w:after="0" w:afterAutospacing="0"/>
              <w:ind w:left="2160" w:firstLine="0"/>
              <w:textAlignment w:val="baseline"/>
              <w:rPr>
                <w:sz w:val="20"/>
                <w:szCs w:val="20"/>
              </w:rPr>
            </w:pPr>
            <w:r w:rsidRPr="006E3A0F">
              <w:rPr>
                <w:rStyle w:val="normaltextrun"/>
                <w:b/>
                <w:bCs/>
                <w:i/>
                <w:iCs/>
                <w:sz w:val="20"/>
                <w:szCs w:val="20"/>
              </w:rPr>
              <w:t>One (1) additional point</w:t>
            </w:r>
            <w:r w:rsidRPr="006E3A0F">
              <w:rPr>
                <w:rStyle w:val="normaltextrun"/>
                <w:i/>
                <w:iCs/>
                <w:sz w:val="20"/>
                <w:szCs w:val="20"/>
              </w:rPr>
              <w:t xml:space="preserve"> if the Local Government demonstrates financial commitment to advancing the CRP in the form of funds raised, funds allocated, tax incentives, or local government fee waivers. Funds raised or allocated are only eligible for this point if the amount would be eligible for at least one (1) point under subsection </w:t>
            </w:r>
            <w:r w:rsidRPr="006E3A0F">
              <w:rPr>
                <w:rStyle w:val="normaltextrun"/>
                <w:sz w:val="20"/>
                <w:szCs w:val="20"/>
              </w:rPr>
              <w:t>B. Third-Party Capital Investment</w:t>
            </w:r>
            <w:r w:rsidRPr="006E3A0F">
              <w:rPr>
                <w:rStyle w:val="normaltextrun"/>
                <w:i/>
                <w:iCs/>
                <w:sz w:val="20"/>
                <w:szCs w:val="20"/>
              </w:rPr>
              <w:t>.”</w:t>
            </w:r>
            <w:r w:rsidRPr="006E3A0F">
              <w:rPr>
                <w:rStyle w:val="eop"/>
                <w:sz w:val="20"/>
                <w:szCs w:val="20"/>
              </w:rPr>
              <w:t> </w:t>
            </w:r>
          </w:p>
          <w:p w14:paraId="6537A4DC"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22BC890E" w14:textId="77777777" w:rsidR="00FD1900" w:rsidRPr="006E3A0F" w:rsidRDefault="00FD1900" w:rsidP="00304B2F">
            <w:pPr>
              <w:pStyle w:val="paragraph"/>
              <w:spacing w:before="0" w:beforeAutospacing="0" w:after="0" w:afterAutospacing="0"/>
              <w:textAlignment w:val="baseline"/>
              <w:rPr>
                <w:rStyle w:val="normaltextrun"/>
                <w:sz w:val="20"/>
                <w:szCs w:val="20"/>
              </w:rPr>
            </w:pPr>
            <w:r w:rsidRPr="006E3A0F">
              <w:rPr>
                <w:rStyle w:val="normaltextrun"/>
                <w:sz w:val="20"/>
                <w:szCs w:val="20"/>
              </w:rPr>
              <w:t xml:space="preserve">To be eligible for this point, just the </w:t>
            </w:r>
            <w:r w:rsidRPr="006E3A0F">
              <w:rPr>
                <w:rStyle w:val="normaltextrun"/>
                <w:sz w:val="20"/>
                <w:szCs w:val="20"/>
                <w:u w:val="single"/>
              </w:rPr>
              <w:t>amount</w:t>
            </w:r>
            <w:r w:rsidRPr="006E3A0F">
              <w:rPr>
                <w:rStyle w:val="normaltextrun"/>
                <w:sz w:val="20"/>
                <w:szCs w:val="20"/>
              </w:rPr>
              <w:t xml:space="preserve"> of funds raised or allocated must be eligible for at least one (1) point under subsection </w:t>
            </w:r>
            <w:r w:rsidRPr="006E3A0F">
              <w:rPr>
                <w:rStyle w:val="normaltextrun"/>
                <w:i/>
                <w:iCs/>
                <w:sz w:val="20"/>
                <w:szCs w:val="20"/>
              </w:rPr>
              <w:t>B. Third-Party Capital Investment</w:t>
            </w:r>
            <w:r w:rsidRPr="006E3A0F">
              <w:rPr>
                <w:rStyle w:val="normaltextrun"/>
                <w:sz w:val="20"/>
                <w:szCs w:val="20"/>
              </w:rPr>
              <w:t>. The Local Government financial commitment must advance the CRP but is not required to occur within 0.5-mile radius of the proposed site.</w:t>
            </w:r>
            <w:r w:rsidRPr="006E3A0F">
              <w:rPr>
                <w:rStyle w:val="eop"/>
                <w:sz w:val="20"/>
                <w:szCs w:val="20"/>
              </w:rPr>
              <w:t> </w:t>
            </w:r>
          </w:p>
        </w:tc>
      </w:tr>
      <w:tr w:rsidR="00FD1900" w:rsidRPr="006E3A0F" w14:paraId="4F0197AD" w14:textId="77777777" w:rsidTr="1995616E">
        <w:trPr>
          <w:jc w:val="center"/>
        </w:trPr>
        <w:tc>
          <w:tcPr>
            <w:tcW w:w="2157" w:type="dxa"/>
            <w:shd w:val="clear" w:color="auto" w:fill="auto"/>
            <w:tcMar>
              <w:top w:w="72" w:type="dxa"/>
              <w:left w:w="115" w:type="dxa"/>
              <w:bottom w:w="72" w:type="dxa"/>
              <w:right w:w="115" w:type="dxa"/>
            </w:tcMar>
            <w:vAlign w:val="center"/>
          </w:tcPr>
          <w:p w14:paraId="51EB3C7B"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487C1FE9"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3.10</w:t>
            </w:r>
          </w:p>
          <w:p w14:paraId="5CE116B1"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r w:rsidRPr="006E3A0F">
              <w:rPr>
                <w:rFonts w:ascii="Times New Roman" w:hAnsi="Times New Roman" w:cs="Times New Roman"/>
                <w:sz w:val="20"/>
                <w:szCs w:val="20"/>
              </w:rPr>
              <w:t xml:space="preserve"> </w:t>
            </w:r>
          </w:p>
          <w:p w14:paraId="42307777"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Stable Communities</w:t>
            </w:r>
          </w:p>
        </w:tc>
        <w:tc>
          <w:tcPr>
            <w:tcW w:w="9590" w:type="dxa"/>
            <w:shd w:val="clear" w:color="auto" w:fill="auto"/>
            <w:tcMar>
              <w:top w:w="72" w:type="dxa"/>
              <w:left w:w="115" w:type="dxa"/>
              <w:bottom w:w="72" w:type="dxa"/>
              <w:right w:w="115" w:type="dxa"/>
            </w:tcMar>
            <w:vAlign w:val="center"/>
          </w:tcPr>
          <w:p w14:paraId="5863F109"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Q22_0304_15 </w:t>
            </w:r>
          </w:p>
          <w:p w14:paraId="0D22DA3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I see the DCA Health and Economic Indicators Table (for </w:t>
            </w:r>
            <w:r w:rsidRPr="006E3A0F">
              <w:rPr>
                <w:rFonts w:ascii="Times New Roman" w:eastAsia="Times New Roman" w:hAnsi="Times New Roman" w:cs="Times New Roman"/>
                <w:b/>
                <w:bCs/>
                <w:sz w:val="20"/>
                <w:szCs w:val="20"/>
              </w:rPr>
              <w:t>(Scoring Criteria)</w:t>
            </w:r>
            <w:r w:rsidRPr="006E3A0F">
              <w:rPr>
                <w:rFonts w:ascii="Times New Roman" w:eastAsia="Times New Roman" w:hAnsi="Times New Roman" w:cs="Times New Roman"/>
                <w:sz w:val="20"/>
                <w:szCs w:val="20"/>
              </w:rPr>
              <w:t xml:space="preserve"> </w:t>
            </w:r>
            <w:r w:rsidRPr="006E3A0F">
              <w:rPr>
                <w:rFonts w:ascii="Times New Roman" w:eastAsia="Times New Roman" w:hAnsi="Times New Roman" w:cs="Times New Roman"/>
                <w:b/>
                <w:bCs/>
                <w:sz w:val="20"/>
                <w:szCs w:val="20"/>
              </w:rPr>
              <w:t>Stable Communities</w:t>
            </w:r>
            <w:r w:rsidRPr="006E3A0F">
              <w:rPr>
                <w:rFonts w:ascii="Times New Roman" w:eastAsia="Times New Roman" w:hAnsi="Times New Roman" w:cs="Times New Roman"/>
                <w:sz w:val="20"/>
                <w:szCs w:val="20"/>
              </w:rPr>
              <w:t xml:space="preserve">, subsection B.) is posted to the website under </w:t>
            </w:r>
            <w:r w:rsidRPr="006E3A0F">
              <w:rPr>
                <w:rFonts w:ascii="Times New Roman" w:eastAsia="Times New Roman" w:hAnsi="Times New Roman" w:cs="Times New Roman"/>
                <w:i/>
                <w:iCs/>
                <w:sz w:val="20"/>
                <w:szCs w:val="20"/>
              </w:rPr>
              <w:t>Application Manuals and Forms, 2022 Scoring Documents and Data</w:t>
            </w:r>
            <w:r w:rsidRPr="006E3A0F">
              <w:rPr>
                <w:rFonts w:ascii="Times New Roman" w:eastAsia="Times New Roman" w:hAnsi="Times New Roman" w:cs="Times New Roman"/>
                <w:sz w:val="20"/>
                <w:szCs w:val="20"/>
              </w:rPr>
              <w:t>. Are there any changes to this document relative to the version that was posted on 2/15/22 for public comment?  </w:t>
            </w:r>
          </w:p>
          <w:p w14:paraId="0D1916D7"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168E00D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60C1E2B5"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Yes, the DCA Health and Economic Indicators Table posted under </w:t>
            </w:r>
            <w:r w:rsidRPr="006E3A0F">
              <w:rPr>
                <w:rFonts w:ascii="Times New Roman" w:eastAsia="Times New Roman" w:hAnsi="Times New Roman" w:cs="Times New Roman"/>
                <w:i/>
                <w:iCs/>
                <w:sz w:val="20"/>
                <w:szCs w:val="20"/>
              </w:rPr>
              <w:t>Application Manuals and Forms, 2022 Scoring Documents and Data</w:t>
            </w:r>
            <w:r w:rsidRPr="006E3A0F">
              <w:rPr>
                <w:rFonts w:ascii="Times New Roman" w:eastAsia="Times New Roman" w:hAnsi="Times New Roman" w:cs="Times New Roman"/>
                <w:sz w:val="20"/>
                <w:szCs w:val="20"/>
              </w:rPr>
              <w:t xml:space="preserve"> (</w:t>
            </w:r>
            <w:hyperlink r:id="rId43" w:history="1">
              <w:r w:rsidRPr="006E3A0F">
                <w:rPr>
                  <w:rStyle w:val="Hyperlink"/>
                  <w:rFonts w:ascii="Times New Roman" w:eastAsia="Times New Roman" w:hAnsi="Times New Roman" w:cs="Times New Roman"/>
                  <w:color w:val="auto"/>
                  <w:sz w:val="20"/>
                  <w:szCs w:val="20"/>
                </w:rPr>
                <w:t>click here</w:t>
              </w:r>
            </w:hyperlink>
            <w:r w:rsidRPr="006E3A0F">
              <w:rPr>
                <w:rFonts w:ascii="Times New Roman" w:eastAsia="Times New Roman" w:hAnsi="Times New Roman" w:cs="Times New Roman"/>
                <w:sz w:val="20"/>
                <w:szCs w:val="20"/>
              </w:rPr>
              <w:t>) includes 2018 and 2019 Census 5-Year ACS data, whereas the version posted on 2/15/22 for public comment only included 2019 Census data. Consistent with prior years, DCA indicated that the 2020 Census data would be included once the Census released the data and applicants would be allowed to claim points using both 2019 and 2020 Census data. </w:t>
            </w:r>
          </w:p>
          <w:p w14:paraId="09232DF9"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25A7525F"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However, since the release of the 2020 data was postponed from its original December release date to mid-March, DCA will allow applicants to claim points using 2018 and 2019 data. If the Census releases the 2020 data prior to the 9% application deadline, DCA will add the datasets to the Health and Economic Indicators Table and applicants will be allowed to claim points using 2018, 2019, and 2020 data. </w:t>
            </w:r>
          </w:p>
          <w:p w14:paraId="1F0FC0BC"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3A61A4F1"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DCA is pursuing this strategy for the 2022 9% Credit round because of the significantly delayed release of the 2020 Census data. This strategy applies to the 2022 9% Credit round only.</w:t>
            </w:r>
          </w:p>
        </w:tc>
      </w:tr>
      <w:tr w:rsidR="00FD1900" w:rsidRPr="006E3A0F" w14:paraId="37030377" w14:textId="77777777" w:rsidTr="1995616E">
        <w:trPr>
          <w:jc w:val="center"/>
        </w:trPr>
        <w:tc>
          <w:tcPr>
            <w:tcW w:w="2157" w:type="dxa"/>
            <w:shd w:val="clear" w:color="auto" w:fill="auto"/>
            <w:tcMar>
              <w:top w:w="72" w:type="dxa"/>
              <w:left w:w="115" w:type="dxa"/>
              <w:bottom w:w="72" w:type="dxa"/>
              <w:right w:w="115" w:type="dxa"/>
            </w:tcMar>
            <w:vAlign w:val="center"/>
          </w:tcPr>
          <w:p w14:paraId="0B24B7CB"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1AABA876"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3.14</w:t>
            </w:r>
          </w:p>
          <w:p w14:paraId="466A75CF"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r w:rsidRPr="006E3A0F">
              <w:rPr>
                <w:rFonts w:ascii="Times New Roman" w:hAnsi="Times New Roman" w:cs="Times New Roman"/>
                <w:sz w:val="20"/>
                <w:szCs w:val="20"/>
              </w:rPr>
              <w:t xml:space="preserve"> </w:t>
            </w:r>
          </w:p>
          <w:p w14:paraId="7D364FDA"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14:paraId="27A24D3E"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Q22_0315_50</w:t>
            </w:r>
          </w:p>
          <w:p w14:paraId="1879FE7F"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The Housing Tax Credit Properties Map (in </w:t>
            </w:r>
            <w:r w:rsidRPr="006E3A0F">
              <w:rPr>
                <w:rFonts w:ascii="Times New Roman" w:eastAsia="Times New Roman" w:hAnsi="Times New Roman" w:cs="Times New Roman"/>
                <w:i/>
                <w:iCs/>
                <w:sz w:val="20"/>
                <w:szCs w:val="20"/>
              </w:rPr>
              <w:t>Scoring Documents and Data</w:t>
            </w:r>
            <w:r w:rsidRPr="006E3A0F">
              <w:rPr>
                <w:rFonts w:ascii="Times New Roman" w:eastAsia="Times New Roman" w:hAnsi="Times New Roman" w:cs="Times New Roman"/>
                <w:sz w:val="20"/>
                <w:szCs w:val="20"/>
              </w:rPr>
              <w:t xml:space="preserve"> on the website, </w:t>
            </w:r>
            <w:hyperlink r:id="rId44" w:history="1">
              <w:r w:rsidRPr="006E3A0F">
                <w:rPr>
                  <w:rStyle w:val="Hyperlink"/>
                  <w:rFonts w:ascii="Times New Roman" w:eastAsia="Times New Roman" w:hAnsi="Times New Roman" w:cs="Times New Roman"/>
                  <w:color w:val="auto"/>
                  <w:sz w:val="20"/>
                  <w:szCs w:val="20"/>
                </w:rPr>
                <w:t>click here</w:t>
              </w:r>
            </w:hyperlink>
            <w:r w:rsidRPr="006E3A0F">
              <w:rPr>
                <w:rFonts w:ascii="Times New Roman" w:eastAsia="Times New Roman" w:hAnsi="Times New Roman" w:cs="Times New Roman"/>
                <w:sz w:val="20"/>
                <w:szCs w:val="20"/>
              </w:rPr>
              <w:t>) was updated on 3/15/22. What was changed?</w:t>
            </w:r>
          </w:p>
          <w:p w14:paraId="1B24FFBE" w14:textId="77777777" w:rsidR="00FD1900" w:rsidRPr="006E3A0F" w:rsidRDefault="00FD1900" w:rsidP="00304B2F">
            <w:pPr>
              <w:rPr>
                <w:rFonts w:ascii="Times New Roman" w:eastAsia="Times New Roman" w:hAnsi="Times New Roman" w:cs="Times New Roman"/>
                <w:sz w:val="20"/>
                <w:szCs w:val="20"/>
              </w:rPr>
            </w:pPr>
          </w:p>
          <w:p w14:paraId="7573D8F0"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w:t>
            </w:r>
          </w:p>
          <w:p w14:paraId="785662E0"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DCA made the following two changes:</w:t>
            </w:r>
          </w:p>
          <w:p w14:paraId="251C1699" w14:textId="77777777" w:rsidR="00FD1900" w:rsidRPr="006E3A0F" w:rsidRDefault="00FD1900" w:rsidP="00304B2F">
            <w:pPr>
              <w:rPr>
                <w:rFonts w:ascii="Times New Roman" w:eastAsia="Times New Roman" w:hAnsi="Times New Roman" w:cs="Times New Roman"/>
                <w:sz w:val="20"/>
                <w:szCs w:val="20"/>
              </w:rPr>
            </w:pPr>
          </w:p>
          <w:p w14:paraId="419BC2B9" w14:textId="77777777" w:rsidR="00FD1900" w:rsidRPr="006E3A0F" w:rsidRDefault="00FD1900" w:rsidP="00304B2F">
            <w:pPr>
              <w:pStyle w:val="ListParagraph"/>
              <w:numPr>
                <w:ilvl w:val="0"/>
                <w:numId w:val="18"/>
              </w:num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Properties awarded under the 2021 9% Credit round have been added to the map. </w:t>
            </w:r>
          </w:p>
          <w:p w14:paraId="0F8A1691" w14:textId="77777777" w:rsidR="00FD1900" w:rsidRPr="006E3A0F" w:rsidRDefault="00FD1900" w:rsidP="00304B2F">
            <w:pPr>
              <w:pStyle w:val="ListParagraph"/>
              <w:numPr>
                <w:ilvl w:val="0"/>
                <w:numId w:val="18"/>
              </w:num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DCA changed the coordinates for 49 properties that were identified to be mapped in an incorrect location. </w:t>
            </w:r>
          </w:p>
          <w:p w14:paraId="3F90669B" w14:textId="77777777" w:rsidR="00FD1900" w:rsidRPr="006E3A0F" w:rsidRDefault="00FD1900" w:rsidP="00304B2F">
            <w:pPr>
              <w:rPr>
                <w:rFonts w:ascii="Times New Roman" w:eastAsia="Times New Roman" w:hAnsi="Times New Roman" w:cs="Times New Roman"/>
                <w:sz w:val="20"/>
                <w:szCs w:val="20"/>
              </w:rPr>
            </w:pPr>
          </w:p>
          <w:p w14:paraId="21BD2F69"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DCA requests that applicants who identify any additional errors report them to DCA. To report an error, please submit the property through the online Q&amp;A survey (</w:t>
            </w:r>
            <w:hyperlink r:id="rId45" w:history="1">
              <w:r w:rsidRPr="006E3A0F">
                <w:rPr>
                  <w:rStyle w:val="Hyperlink"/>
                  <w:rFonts w:ascii="Times New Roman" w:eastAsia="Times New Roman" w:hAnsi="Times New Roman" w:cs="Times New Roman"/>
                  <w:color w:val="auto"/>
                  <w:sz w:val="20"/>
                  <w:szCs w:val="20"/>
                </w:rPr>
                <w:t>click here</w:t>
              </w:r>
            </w:hyperlink>
            <w:r w:rsidRPr="006E3A0F">
              <w:rPr>
                <w:rFonts w:ascii="Times New Roman" w:eastAsia="Times New Roman" w:hAnsi="Times New Roman" w:cs="Times New Roman"/>
                <w:sz w:val="20"/>
                <w:szCs w:val="20"/>
              </w:rPr>
              <w:t xml:space="preserve"> and select “Submit a question”), including: </w:t>
            </w:r>
          </w:p>
          <w:p w14:paraId="71D0A695" w14:textId="77777777" w:rsidR="00FD1900" w:rsidRPr="006E3A0F" w:rsidRDefault="00FD1900" w:rsidP="00304B2F">
            <w:pPr>
              <w:rPr>
                <w:rFonts w:ascii="Times New Roman" w:eastAsia="Times New Roman" w:hAnsi="Times New Roman" w:cs="Times New Roman"/>
                <w:sz w:val="20"/>
                <w:szCs w:val="20"/>
              </w:rPr>
            </w:pPr>
          </w:p>
          <w:p w14:paraId="6C93A15B" w14:textId="77777777" w:rsidR="00FD1900" w:rsidRPr="006E3A0F" w:rsidRDefault="00FD1900" w:rsidP="00304B2F">
            <w:pPr>
              <w:pStyle w:val="ListParagraph"/>
              <w:numPr>
                <w:ilvl w:val="0"/>
                <w:numId w:val="3"/>
              </w:num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Project number </w:t>
            </w:r>
          </w:p>
          <w:p w14:paraId="76A20A61" w14:textId="77777777" w:rsidR="00FD1900" w:rsidRPr="006E3A0F" w:rsidRDefault="00FD1900" w:rsidP="00304B2F">
            <w:pPr>
              <w:pStyle w:val="ListParagraph"/>
              <w:numPr>
                <w:ilvl w:val="0"/>
                <w:numId w:val="3"/>
              </w:num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Project name</w:t>
            </w:r>
          </w:p>
          <w:p w14:paraId="417521DA" w14:textId="77777777" w:rsidR="00FD1900" w:rsidRPr="006E3A0F" w:rsidRDefault="00FD1900" w:rsidP="00304B2F">
            <w:pPr>
              <w:pStyle w:val="ListParagraph"/>
              <w:numPr>
                <w:ilvl w:val="0"/>
                <w:numId w:val="3"/>
              </w:num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Coordinates or address of correct location</w:t>
            </w:r>
          </w:p>
          <w:p w14:paraId="45A0705A" w14:textId="77777777" w:rsidR="00FD1900" w:rsidRPr="006E3A0F" w:rsidRDefault="00FD1900" w:rsidP="00304B2F">
            <w:pPr>
              <w:pStyle w:val="ListParagraph"/>
              <w:numPr>
                <w:ilvl w:val="0"/>
                <w:numId w:val="3"/>
              </w:num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Relevant documentation (if available)</w:t>
            </w:r>
          </w:p>
        </w:tc>
      </w:tr>
      <w:tr w:rsidR="00FD1900" w:rsidRPr="006E3A0F" w14:paraId="44F82ED7" w14:textId="77777777" w:rsidTr="1995616E">
        <w:trPr>
          <w:jc w:val="center"/>
        </w:trPr>
        <w:tc>
          <w:tcPr>
            <w:tcW w:w="2157" w:type="dxa"/>
            <w:shd w:val="clear" w:color="auto" w:fill="auto"/>
            <w:tcMar>
              <w:top w:w="72" w:type="dxa"/>
              <w:left w:w="115" w:type="dxa"/>
              <w:bottom w:w="72" w:type="dxa"/>
              <w:right w:w="115" w:type="dxa"/>
            </w:tcMar>
            <w:vAlign w:val="center"/>
          </w:tcPr>
          <w:p w14:paraId="09A8ACBF"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26F7DDED"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3.14</w:t>
            </w:r>
          </w:p>
          <w:p w14:paraId="0E098BF7"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r w:rsidRPr="006E3A0F">
              <w:rPr>
                <w:rFonts w:ascii="Times New Roman" w:hAnsi="Times New Roman" w:cs="Times New Roman"/>
                <w:sz w:val="20"/>
                <w:szCs w:val="20"/>
              </w:rPr>
              <w:t xml:space="preserve"> </w:t>
            </w:r>
          </w:p>
          <w:p w14:paraId="1F4B456B"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14:paraId="25B2E6AD"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Q22_0107_01</w:t>
            </w:r>
            <w:r w:rsidRPr="006E3A0F">
              <w:rPr>
                <w:rStyle w:val="eop"/>
                <w:sz w:val="20"/>
                <w:szCs w:val="20"/>
              </w:rPr>
              <w:t> </w:t>
            </w:r>
          </w:p>
          <w:p w14:paraId="5B48354A"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7C314BCB"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To be eligible for points in (</w:t>
            </w:r>
            <w:r w:rsidRPr="006E3A0F">
              <w:rPr>
                <w:rStyle w:val="normaltextrun"/>
                <w:b/>
                <w:bCs/>
                <w:sz w:val="20"/>
                <w:szCs w:val="20"/>
              </w:rPr>
              <w:t>Scoring Criteria) Previous Projects</w:t>
            </w:r>
            <w:r w:rsidRPr="006E3A0F">
              <w:rPr>
                <w:rStyle w:val="normaltextrun"/>
                <w:sz w:val="20"/>
                <w:szCs w:val="20"/>
              </w:rPr>
              <w:t>, subsection</w:t>
            </w:r>
            <w:r w:rsidRPr="006E3A0F">
              <w:rPr>
                <w:rStyle w:val="normaltextrun"/>
                <w:b/>
                <w:bCs/>
                <w:sz w:val="20"/>
                <w:szCs w:val="20"/>
              </w:rPr>
              <w:t xml:space="preserve"> B. Four to Six Years Lookback Period and B. Two to Three Years Lookback Period: Transit Proximity</w:t>
            </w:r>
            <w:r w:rsidRPr="006E3A0F">
              <w:rPr>
                <w:rStyle w:val="normaltextrun"/>
                <w:sz w:val="20"/>
                <w:szCs w:val="20"/>
              </w:rPr>
              <w:t>, applications in the Metro pools must not be within a 1-mile radius of a 9% Credit development awarded within a specific number of previous DCA competitive funding cycles. </w:t>
            </w:r>
            <w:r w:rsidRPr="006E3A0F">
              <w:rPr>
                <w:rStyle w:val="eop"/>
                <w:sz w:val="20"/>
                <w:szCs w:val="20"/>
              </w:rPr>
              <w:t> </w:t>
            </w:r>
          </w:p>
          <w:p w14:paraId="0A35AAE1"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47E91E3A"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Is the distance measured between the geo-coordinates of the existing development that was awarded credits in prior rounds, and the geo-coordinates of the 2022 application, which would be at the main entrance to the property?</w:t>
            </w:r>
            <w:r w:rsidRPr="006E3A0F">
              <w:rPr>
                <w:rStyle w:val="eop"/>
                <w:sz w:val="20"/>
                <w:szCs w:val="20"/>
              </w:rPr>
              <w:t> </w:t>
            </w:r>
          </w:p>
          <w:p w14:paraId="55398284"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1A50EDED"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 </w:t>
            </w:r>
            <w:r w:rsidRPr="006E3A0F">
              <w:rPr>
                <w:rStyle w:val="eop"/>
                <w:sz w:val="20"/>
                <w:szCs w:val="20"/>
              </w:rPr>
              <w:t> </w:t>
            </w:r>
          </w:p>
          <w:p w14:paraId="2DC46D1F"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 xml:space="preserve">DCA provided the following guidance during the 2021 9% Competitive Round (see Q0129_01). This guidance still holds for purposes of the 2022 9% Competitive Round (see </w:t>
            </w:r>
            <w:r w:rsidRPr="006E3A0F">
              <w:rPr>
                <w:rStyle w:val="normaltextrun"/>
                <w:b/>
                <w:bCs/>
                <w:sz w:val="20"/>
                <w:szCs w:val="20"/>
              </w:rPr>
              <w:t>Q0129_01</w:t>
            </w:r>
            <w:r w:rsidRPr="006E3A0F">
              <w:rPr>
                <w:rStyle w:val="normaltextrun"/>
                <w:sz w:val="20"/>
                <w:szCs w:val="20"/>
              </w:rPr>
              <w:t>): </w:t>
            </w:r>
            <w:r w:rsidRPr="006E3A0F">
              <w:rPr>
                <w:rStyle w:val="eop"/>
                <w:sz w:val="20"/>
                <w:szCs w:val="20"/>
              </w:rPr>
              <w:t> </w:t>
            </w:r>
          </w:p>
          <w:p w14:paraId="639B17CD"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4FECEFA2"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i/>
                <w:iCs/>
                <w:sz w:val="20"/>
                <w:szCs w:val="20"/>
              </w:rPr>
              <w:t>“Where small differences in distance have a practical impact under the section goals, the QAP will specify a starting point (e.g., walking accessibility of an amenity). </w:t>
            </w:r>
            <w:r w:rsidRPr="006E3A0F">
              <w:rPr>
                <w:rStyle w:val="eop"/>
                <w:sz w:val="20"/>
                <w:szCs w:val="20"/>
              </w:rPr>
              <w:t> </w:t>
            </w:r>
          </w:p>
          <w:p w14:paraId="4FB203B9"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7B45C34B"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i/>
                <w:iCs/>
                <w:sz w:val="20"/>
                <w:szCs w:val="20"/>
              </w:rPr>
              <w:t>Some section goals are not sensitive to small distance differences (e.g., equitable allocation of DCA resources across the state). In such cases, DCA staff confirm point eligibility based on any of the following location information provided in the application:</w:t>
            </w:r>
            <w:r w:rsidRPr="006E3A0F">
              <w:rPr>
                <w:rStyle w:val="eop"/>
                <w:sz w:val="20"/>
                <w:szCs w:val="20"/>
              </w:rPr>
              <w:t> </w:t>
            </w:r>
          </w:p>
          <w:p w14:paraId="3E621473"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53B75186" w14:textId="77777777" w:rsidR="00FD1900" w:rsidRPr="006E3A0F" w:rsidRDefault="00FD1900" w:rsidP="00304B2F">
            <w:pPr>
              <w:pStyle w:val="paragraph"/>
              <w:numPr>
                <w:ilvl w:val="0"/>
                <w:numId w:val="16"/>
              </w:numPr>
              <w:spacing w:before="0" w:beforeAutospacing="0" w:after="0" w:afterAutospacing="0"/>
              <w:ind w:left="1080" w:firstLine="0"/>
              <w:textAlignment w:val="baseline"/>
              <w:rPr>
                <w:sz w:val="20"/>
                <w:szCs w:val="20"/>
              </w:rPr>
            </w:pPr>
            <w:r w:rsidRPr="006E3A0F">
              <w:rPr>
                <w:rStyle w:val="normaltextrun"/>
                <w:i/>
                <w:iCs/>
                <w:sz w:val="20"/>
                <w:szCs w:val="20"/>
              </w:rPr>
              <w:t>Location information from the application’s general information section (geocoordinates or site address) </w:t>
            </w:r>
            <w:r w:rsidRPr="006E3A0F">
              <w:rPr>
                <w:rStyle w:val="eop"/>
                <w:sz w:val="20"/>
                <w:szCs w:val="20"/>
              </w:rPr>
              <w:t> </w:t>
            </w:r>
          </w:p>
          <w:p w14:paraId="3ABF620A" w14:textId="77777777" w:rsidR="00FD1900" w:rsidRPr="006E3A0F" w:rsidRDefault="00FD1900" w:rsidP="00304B2F">
            <w:pPr>
              <w:pStyle w:val="paragraph"/>
              <w:numPr>
                <w:ilvl w:val="0"/>
                <w:numId w:val="16"/>
              </w:numPr>
              <w:spacing w:before="0" w:beforeAutospacing="0" w:after="0" w:afterAutospacing="0"/>
              <w:ind w:left="1080" w:firstLine="0"/>
              <w:textAlignment w:val="baseline"/>
              <w:rPr>
                <w:sz w:val="20"/>
                <w:szCs w:val="20"/>
              </w:rPr>
            </w:pPr>
            <w:r w:rsidRPr="006E3A0F">
              <w:rPr>
                <w:rStyle w:val="normaltextrun"/>
                <w:i/>
                <w:iCs/>
                <w:sz w:val="20"/>
                <w:szCs w:val="20"/>
              </w:rPr>
              <w:t>Geocoordinates of the pedestrian site entrance </w:t>
            </w:r>
            <w:r w:rsidRPr="006E3A0F">
              <w:rPr>
                <w:rStyle w:val="eop"/>
                <w:sz w:val="20"/>
                <w:szCs w:val="20"/>
              </w:rPr>
              <w:t> </w:t>
            </w:r>
          </w:p>
          <w:p w14:paraId="5B20E3BC"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17CD95CA"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i/>
                <w:iCs/>
                <w:sz w:val="20"/>
                <w:szCs w:val="20"/>
              </w:rPr>
              <w:t>If an applicant notices a point differential based off measuring from a pedestrian/vehicle site entrance, geo-coordinates, or address, they should note the difference in the supporting documentation and applicant comment box of the application. In such instances where the QAP is silent on starting point and multiple starting points are relevant, the starting point location may be construed in favor of the applicant.”</w:t>
            </w:r>
            <w:r w:rsidRPr="006E3A0F">
              <w:rPr>
                <w:rStyle w:val="eop"/>
                <w:sz w:val="20"/>
                <w:szCs w:val="20"/>
              </w:rPr>
              <w:t> </w:t>
            </w:r>
          </w:p>
        </w:tc>
      </w:tr>
      <w:tr w:rsidR="00FD1900" w:rsidRPr="006E3A0F" w14:paraId="313CBBBD" w14:textId="77777777" w:rsidTr="1995616E">
        <w:trPr>
          <w:jc w:val="center"/>
        </w:trPr>
        <w:tc>
          <w:tcPr>
            <w:tcW w:w="2157" w:type="dxa"/>
            <w:shd w:val="clear" w:color="auto" w:fill="auto"/>
            <w:tcMar>
              <w:top w:w="72" w:type="dxa"/>
              <w:left w:w="115" w:type="dxa"/>
              <w:bottom w:w="72" w:type="dxa"/>
              <w:right w:w="115" w:type="dxa"/>
            </w:tcMar>
            <w:vAlign w:val="center"/>
          </w:tcPr>
          <w:p w14:paraId="0029BA63"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5BE017FE"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3.14</w:t>
            </w:r>
          </w:p>
          <w:p w14:paraId="3F0555AC"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Scoring </w:t>
            </w:r>
            <w:proofErr w:type="gramStart"/>
            <w:r w:rsidRPr="006E3A0F">
              <w:rPr>
                <w:rFonts w:ascii="Times New Roman" w:hAnsi="Times New Roman" w:cs="Times New Roman"/>
                <w:sz w:val="20"/>
                <w:szCs w:val="20"/>
              </w:rPr>
              <w:t>Criteria;</w:t>
            </w:r>
            <w:proofErr w:type="gramEnd"/>
            <w:r w:rsidRPr="006E3A0F">
              <w:rPr>
                <w:rFonts w:ascii="Times New Roman" w:hAnsi="Times New Roman" w:cs="Times New Roman"/>
                <w:sz w:val="20"/>
                <w:szCs w:val="20"/>
              </w:rPr>
              <w:t xml:space="preserve"> </w:t>
            </w:r>
          </w:p>
          <w:p w14:paraId="4AB48D03"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14:paraId="0B928AA7"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Q22_0308_02 </w:t>
            </w:r>
          </w:p>
          <w:p w14:paraId="0FDDE4FD"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In (</w:t>
            </w:r>
            <w:r w:rsidRPr="006E3A0F">
              <w:rPr>
                <w:rFonts w:ascii="Times New Roman" w:eastAsia="Times New Roman" w:hAnsi="Times New Roman" w:cs="Times New Roman"/>
                <w:b/>
                <w:bCs/>
                <w:sz w:val="20"/>
                <w:szCs w:val="20"/>
              </w:rPr>
              <w:t>Scoring Criteria) Previous Projects</w:t>
            </w:r>
            <w:r w:rsidRPr="006E3A0F">
              <w:rPr>
                <w:rFonts w:ascii="Times New Roman" w:eastAsia="Times New Roman" w:hAnsi="Times New Roman" w:cs="Times New Roman"/>
                <w:sz w:val="20"/>
                <w:szCs w:val="20"/>
              </w:rPr>
              <w:t xml:space="preserve">, will DCA consider a </w:t>
            </w:r>
            <w:proofErr w:type="gramStart"/>
            <w:r w:rsidRPr="006E3A0F">
              <w:rPr>
                <w:rFonts w:ascii="Times New Roman" w:eastAsia="Times New Roman" w:hAnsi="Times New Roman" w:cs="Times New Roman"/>
                <w:sz w:val="20"/>
                <w:szCs w:val="20"/>
              </w:rPr>
              <w:t>previously-funded</w:t>
            </w:r>
            <w:proofErr w:type="gramEnd"/>
            <w:r w:rsidRPr="006E3A0F">
              <w:rPr>
                <w:rFonts w:ascii="Times New Roman" w:eastAsia="Times New Roman" w:hAnsi="Times New Roman" w:cs="Times New Roman"/>
                <w:sz w:val="20"/>
                <w:szCs w:val="20"/>
              </w:rPr>
              <w:t xml:space="preserve"> project to be within a current Local Government Boundary (LGB) if it was not within that LGB when DCA made the award, but was annexed into that LGB after the award was made? </w:t>
            </w:r>
          </w:p>
          <w:p w14:paraId="4EA679DA"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639D8605"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2D2B684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The following response was provided to a similar question during the 2021 9% Competitive Round Q&amp;A process (see Q0121_02 from 2021 QAP Q&amp;A):  </w:t>
            </w:r>
          </w:p>
          <w:p w14:paraId="754B3172"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60B4C638"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i/>
                <w:iCs/>
                <w:sz w:val="20"/>
                <w:szCs w:val="20"/>
              </w:rPr>
              <w:t>“</w:t>
            </w:r>
            <w:r w:rsidRPr="006E3A0F">
              <w:rPr>
                <w:rFonts w:ascii="Times New Roman" w:eastAsia="Times New Roman" w:hAnsi="Times New Roman" w:cs="Times New Roman"/>
                <w:b/>
                <w:bCs/>
                <w:i/>
                <w:iCs/>
                <w:sz w:val="20"/>
                <w:szCs w:val="20"/>
              </w:rPr>
              <w:t>Previous Projects</w:t>
            </w:r>
            <w:r w:rsidRPr="006E3A0F">
              <w:rPr>
                <w:rFonts w:ascii="Times New Roman" w:eastAsia="Times New Roman" w:hAnsi="Times New Roman" w:cs="Times New Roman"/>
                <w:i/>
                <w:iCs/>
                <w:sz w:val="20"/>
                <w:szCs w:val="20"/>
              </w:rPr>
              <w:t xml:space="preserve"> states in subsection A. </w:t>
            </w:r>
            <w:proofErr w:type="gramStart"/>
            <w:r w:rsidRPr="006E3A0F">
              <w:rPr>
                <w:rFonts w:ascii="Times New Roman" w:eastAsia="Times New Roman" w:hAnsi="Times New Roman" w:cs="Times New Roman"/>
                <w:i/>
                <w:iCs/>
                <w:sz w:val="20"/>
                <w:szCs w:val="20"/>
              </w:rPr>
              <w:t>that points</w:t>
            </w:r>
            <w:proofErr w:type="gramEnd"/>
            <w:r w:rsidRPr="006E3A0F">
              <w:rPr>
                <w:rFonts w:ascii="Times New Roman" w:eastAsia="Times New Roman" w:hAnsi="Times New Roman" w:cs="Times New Roman"/>
                <w:i/>
                <w:iCs/>
                <w:sz w:val="20"/>
                <w:szCs w:val="20"/>
              </w:rPr>
              <w:t xml:space="preserve"> “will be awarded if the proposed development site is within a </w:t>
            </w:r>
            <w:r w:rsidRPr="006E3A0F">
              <w:rPr>
                <w:rFonts w:ascii="Times New Roman" w:eastAsia="Times New Roman" w:hAnsi="Times New Roman" w:cs="Times New Roman"/>
                <w:i/>
                <w:iCs/>
                <w:sz w:val="20"/>
                <w:szCs w:val="20"/>
                <w:u w:val="single"/>
              </w:rPr>
              <w:t>current</w:t>
            </w:r>
            <w:r w:rsidRPr="006E3A0F">
              <w:rPr>
                <w:rFonts w:ascii="Times New Roman" w:eastAsia="Times New Roman" w:hAnsi="Times New Roman" w:cs="Times New Roman"/>
                <w:i/>
                <w:iCs/>
                <w:sz w:val="20"/>
                <w:szCs w:val="20"/>
              </w:rPr>
              <w:t xml:space="preserve"> Local Government Boundary that has not been awarded 9% Credits…” </w:t>
            </w:r>
            <w:r w:rsidRPr="006E3A0F">
              <w:rPr>
                <w:rFonts w:ascii="Times New Roman" w:eastAsia="Times New Roman" w:hAnsi="Times New Roman" w:cs="Times New Roman"/>
                <w:sz w:val="20"/>
                <w:szCs w:val="20"/>
              </w:rPr>
              <w:t> </w:t>
            </w:r>
          </w:p>
          <w:p w14:paraId="12252A17"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36CC5C5E"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i/>
                <w:iCs/>
                <w:sz w:val="20"/>
                <w:szCs w:val="20"/>
              </w:rPr>
              <w:t>The above language intends to equitably distribute 9% credits across local government jurisdictions. As such, DCA evaluates this section based on current municipal boundaries. A municipality that has annexed a property funded under a previous 9% Competitive Round has received the prior-year award. </w:t>
            </w:r>
            <w:r w:rsidRPr="006E3A0F">
              <w:rPr>
                <w:rFonts w:ascii="Times New Roman" w:eastAsia="Times New Roman" w:hAnsi="Times New Roman" w:cs="Times New Roman"/>
                <w:sz w:val="20"/>
                <w:szCs w:val="20"/>
              </w:rPr>
              <w:t> </w:t>
            </w:r>
          </w:p>
          <w:p w14:paraId="59005BD6"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7DD00AD6" w14:textId="77777777" w:rsidR="00FD1900" w:rsidRPr="006E3A0F" w:rsidRDefault="00FD1900" w:rsidP="00304B2F">
            <w:pPr>
              <w:textAlignment w:val="baseline"/>
              <w:rPr>
                <w:rStyle w:val="normaltextrun"/>
                <w:rFonts w:ascii="Times New Roman" w:eastAsia="Times New Roman" w:hAnsi="Times New Roman" w:cs="Times New Roman"/>
                <w:sz w:val="20"/>
                <w:szCs w:val="20"/>
              </w:rPr>
            </w:pPr>
            <w:r w:rsidRPr="006E3A0F">
              <w:rPr>
                <w:rFonts w:ascii="Times New Roman" w:eastAsia="Times New Roman" w:hAnsi="Times New Roman" w:cs="Times New Roman"/>
                <w:i/>
                <w:iCs/>
                <w:sz w:val="20"/>
                <w:szCs w:val="20"/>
              </w:rPr>
              <w:t>Where applicable elsewhere in the QAP, DCA approaches this analysis in the same way (e.g., tiebreakers).”</w:t>
            </w:r>
            <w:r w:rsidRPr="006E3A0F">
              <w:rPr>
                <w:rFonts w:ascii="Times New Roman" w:eastAsia="Times New Roman" w:hAnsi="Times New Roman" w:cs="Times New Roman"/>
                <w:sz w:val="20"/>
                <w:szCs w:val="20"/>
              </w:rPr>
              <w:t> </w:t>
            </w:r>
          </w:p>
        </w:tc>
      </w:tr>
      <w:tr w:rsidR="00FD1900" w:rsidRPr="006E3A0F" w14:paraId="669255CD" w14:textId="77777777" w:rsidTr="1995616E">
        <w:trPr>
          <w:jc w:val="center"/>
        </w:trPr>
        <w:tc>
          <w:tcPr>
            <w:tcW w:w="2157" w:type="dxa"/>
            <w:shd w:val="clear" w:color="auto" w:fill="auto"/>
            <w:tcMar>
              <w:top w:w="72" w:type="dxa"/>
              <w:left w:w="115" w:type="dxa"/>
              <w:bottom w:w="72" w:type="dxa"/>
              <w:right w:w="115" w:type="dxa"/>
            </w:tcMar>
            <w:vAlign w:val="center"/>
          </w:tcPr>
          <w:p w14:paraId="01FB0F37"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17836462"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9.00</w:t>
            </w:r>
          </w:p>
          <w:p w14:paraId="26AECE4F"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1B2D7ADA"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Q22_Q1222_01</w:t>
            </w:r>
            <w:r w:rsidRPr="006E3A0F">
              <w:rPr>
                <w:rStyle w:val="eop"/>
                <w:sz w:val="20"/>
                <w:szCs w:val="20"/>
              </w:rPr>
              <w:t> </w:t>
            </w:r>
          </w:p>
          <w:p w14:paraId="3ACEC1FB"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Could a two-phase development, purchased as one project, be submitted for Credits as one project under one application, given the scoring is the same for both phases?</w:t>
            </w:r>
            <w:r w:rsidRPr="006E3A0F">
              <w:rPr>
                <w:rStyle w:val="eop"/>
                <w:sz w:val="20"/>
                <w:szCs w:val="20"/>
              </w:rPr>
              <w:t> </w:t>
            </w:r>
          </w:p>
          <w:p w14:paraId="28F48A49"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4869CCAA"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 </w:t>
            </w:r>
            <w:r w:rsidRPr="006E3A0F">
              <w:rPr>
                <w:rStyle w:val="eop"/>
                <w:sz w:val="20"/>
                <w:szCs w:val="20"/>
              </w:rPr>
              <w:t> </w:t>
            </w:r>
          </w:p>
          <w:p w14:paraId="1DDD6DCD"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Yes, assuming the combined application meets all applicable requirements in the QAP, combining both phases of a multi-phase development for one tax credit application is allowed. </w:t>
            </w:r>
            <w:r w:rsidRPr="006E3A0F">
              <w:rPr>
                <w:rStyle w:val="eop"/>
                <w:sz w:val="20"/>
                <w:szCs w:val="20"/>
              </w:rPr>
              <w:t> </w:t>
            </w:r>
          </w:p>
          <w:p w14:paraId="52CA155B"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2DA233A1"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Please also see the following QAP excerpts that may be applicable, depending on the circumstances: </w:t>
            </w:r>
            <w:r w:rsidRPr="006E3A0F">
              <w:rPr>
                <w:rStyle w:val="eop"/>
                <w:sz w:val="20"/>
                <w:szCs w:val="20"/>
              </w:rPr>
              <w:t> </w:t>
            </w:r>
          </w:p>
          <w:p w14:paraId="42A36CB9"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128EC8C1" w14:textId="77777777" w:rsidR="00FD1900" w:rsidRPr="006E3A0F" w:rsidRDefault="00FD1900" w:rsidP="00304B2F">
            <w:pPr>
              <w:pStyle w:val="paragraph"/>
              <w:numPr>
                <w:ilvl w:val="0"/>
                <w:numId w:val="20"/>
              </w:numPr>
              <w:spacing w:before="0" w:beforeAutospacing="0" w:after="0" w:afterAutospacing="0"/>
              <w:ind w:left="1080" w:firstLine="0"/>
              <w:textAlignment w:val="baseline"/>
              <w:rPr>
                <w:sz w:val="20"/>
                <w:szCs w:val="20"/>
              </w:rPr>
            </w:pPr>
            <w:r w:rsidRPr="006E3A0F">
              <w:rPr>
                <w:rStyle w:val="normaltextrun"/>
                <w:sz w:val="20"/>
                <w:szCs w:val="20"/>
              </w:rPr>
              <w:t>(</w:t>
            </w:r>
            <w:r w:rsidRPr="006E3A0F">
              <w:rPr>
                <w:rStyle w:val="normaltextrun"/>
                <w:b/>
                <w:bCs/>
                <w:sz w:val="20"/>
                <w:szCs w:val="20"/>
              </w:rPr>
              <w:t>Core Plan</w:t>
            </w:r>
            <w:r w:rsidRPr="006E3A0F">
              <w:rPr>
                <w:rStyle w:val="normaltextrun"/>
                <w:sz w:val="20"/>
                <w:szCs w:val="20"/>
              </w:rPr>
              <w:t xml:space="preserve">), </w:t>
            </w:r>
            <w:r w:rsidRPr="006E3A0F">
              <w:rPr>
                <w:rStyle w:val="normaltextrun"/>
                <w:b/>
                <w:bCs/>
                <w:sz w:val="20"/>
                <w:szCs w:val="20"/>
              </w:rPr>
              <w:t>Eligibility of Certain Project Configurations</w:t>
            </w:r>
            <w:r w:rsidRPr="006E3A0F">
              <w:rPr>
                <w:rStyle w:val="normaltextrun"/>
                <w:sz w:val="20"/>
                <w:szCs w:val="20"/>
              </w:rPr>
              <w:t xml:space="preserve">, subsection </w:t>
            </w:r>
            <w:r w:rsidRPr="006E3A0F">
              <w:rPr>
                <w:rStyle w:val="normaltextrun"/>
                <w:b/>
                <w:bCs/>
                <w:sz w:val="20"/>
                <w:szCs w:val="20"/>
              </w:rPr>
              <w:t>A. Eligibility of Scattered Sites</w:t>
            </w:r>
            <w:r w:rsidRPr="006E3A0F">
              <w:rPr>
                <w:rStyle w:val="normaltextrun"/>
                <w:sz w:val="20"/>
                <w:szCs w:val="20"/>
              </w:rPr>
              <w:t> </w:t>
            </w:r>
            <w:r w:rsidRPr="006E3A0F">
              <w:rPr>
                <w:rStyle w:val="eop"/>
                <w:sz w:val="20"/>
                <w:szCs w:val="20"/>
              </w:rPr>
              <w:t> </w:t>
            </w:r>
          </w:p>
          <w:p w14:paraId="0AB85BE6" w14:textId="77777777" w:rsidR="00FD1900" w:rsidRPr="006E3A0F" w:rsidRDefault="00FD1900" w:rsidP="00304B2F">
            <w:pPr>
              <w:pStyle w:val="paragraph"/>
              <w:numPr>
                <w:ilvl w:val="0"/>
                <w:numId w:val="20"/>
              </w:numPr>
              <w:spacing w:before="0" w:beforeAutospacing="0" w:after="0" w:afterAutospacing="0"/>
              <w:ind w:left="1080" w:firstLine="0"/>
              <w:textAlignment w:val="baseline"/>
              <w:rPr>
                <w:sz w:val="20"/>
                <w:szCs w:val="20"/>
              </w:rPr>
            </w:pPr>
            <w:r w:rsidRPr="006E3A0F">
              <w:rPr>
                <w:rStyle w:val="normaltextrun"/>
                <w:b/>
                <w:bCs/>
                <w:sz w:val="20"/>
                <w:szCs w:val="20"/>
              </w:rPr>
              <w:t>(Core Plan) 4% Federal Credit – Bond Financed Projects</w:t>
            </w:r>
            <w:r w:rsidRPr="006E3A0F">
              <w:rPr>
                <w:rStyle w:val="normaltextrun"/>
                <w:sz w:val="20"/>
                <w:szCs w:val="20"/>
              </w:rPr>
              <w:t xml:space="preserve">, subsection </w:t>
            </w:r>
            <w:r w:rsidRPr="006E3A0F">
              <w:rPr>
                <w:rStyle w:val="normaltextrun"/>
                <w:b/>
                <w:bCs/>
                <w:sz w:val="20"/>
                <w:szCs w:val="20"/>
              </w:rPr>
              <w:t>B. Application Restrictions:</w:t>
            </w:r>
            <w:r w:rsidRPr="006E3A0F">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 </w:t>
            </w:r>
            <w:r w:rsidRPr="006E3A0F">
              <w:rPr>
                <w:rStyle w:val="eop"/>
                <w:sz w:val="20"/>
                <w:szCs w:val="20"/>
              </w:rPr>
              <w:t> </w:t>
            </w:r>
          </w:p>
          <w:p w14:paraId="5DAA3A7A" w14:textId="77777777" w:rsidR="00FD1900" w:rsidRPr="006E3A0F" w:rsidRDefault="00FD1900" w:rsidP="00304B2F">
            <w:pPr>
              <w:textAlignment w:val="baseline"/>
              <w:rPr>
                <w:rFonts w:ascii="Times New Roman" w:eastAsia="Times New Roman" w:hAnsi="Times New Roman" w:cs="Times New Roman"/>
                <w:b/>
                <w:bCs/>
                <w:sz w:val="20"/>
                <w:szCs w:val="20"/>
              </w:rPr>
            </w:pPr>
          </w:p>
        </w:tc>
      </w:tr>
      <w:tr w:rsidR="00FD1900" w:rsidRPr="006E3A0F" w14:paraId="534F4533" w14:textId="77777777" w:rsidTr="1995616E">
        <w:trPr>
          <w:jc w:val="center"/>
        </w:trPr>
        <w:tc>
          <w:tcPr>
            <w:tcW w:w="2157" w:type="dxa"/>
            <w:shd w:val="clear" w:color="auto" w:fill="auto"/>
            <w:tcMar>
              <w:top w:w="72" w:type="dxa"/>
              <w:left w:w="115" w:type="dxa"/>
              <w:bottom w:w="72" w:type="dxa"/>
              <w:right w:w="115" w:type="dxa"/>
            </w:tcMar>
            <w:vAlign w:val="center"/>
          </w:tcPr>
          <w:p w14:paraId="16F28080"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70387EF8"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2.03</w:t>
            </w:r>
          </w:p>
          <w:p w14:paraId="426BF371"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42671FED"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Tenancy Characteristics </w:t>
            </w:r>
          </w:p>
        </w:tc>
        <w:tc>
          <w:tcPr>
            <w:tcW w:w="9590" w:type="dxa"/>
            <w:shd w:val="clear" w:color="auto" w:fill="auto"/>
            <w:tcMar>
              <w:top w:w="72" w:type="dxa"/>
              <w:left w:w="115" w:type="dxa"/>
              <w:bottom w:w="72" w:type="dxa"/>
              <w:right w:w="115" w:type="dxa"/>
            </w:tcMar>
            <w:vAlign w:val="center"/>
          </w:tcPr>
          <w:p w14:paraId="094093D4"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Q22_0309_08</w:t>
            </w:r>
          </w:p>
          <w:p w14:paraId="0D73DF7F"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Our proposed project is an acquisition rehabilitation that was originally built in 1985 with HUD 202 funds. It is not a PHA property. The current tenancy allows ages 62+ as well as those ages 18+ with physical disabilities. Based on our interpretation, this would be a project categorized as "Other" tenancy, which was confirmed by DCA Q&amp;A released on 2/26/21 for the 2021 application. We plan to upload supporting documents that were requested at the 2021 pre-application to confirm the tenancy. Please confirm if anything else is needed at pre-application for the "other" category.</w:t>
            </w:r>
            <w:r w:rsidRPr="006E3A0F">
              <w:rPr>
                <w:rFonts w:ascii="Times New Roman" w:eastAsia="Times New Roman" w:hAnsi="Times New Roman" w:cs="Times New Roman"/>
                <w:sz w:val="20"/>
                <w:szCs w:val="20"/>
              </w:rPr>
              <w:br/>
              <w:t xml:space="preserve"> </w:t>
            </w:r>
          </w:p>
          <w:p w14:paraId="3151B672"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xml:space="preserve">: </w:t>
            </w:r>
          </w:p>
          <w:p w14:paraId="26D10CCE"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2021 Q&amp;A response Q0223_01 states:</w:t>
            </w:r>
          </w:p>
          <w:p w14:paraId="3CE50910" w14:textId="77777777" w:rsidR="00FD1900" w:rsidRPr="006E3A0F" w:rsidRDefault="00FD1900" w:rsidP="00304B2F">
            <w:pPr>
              <w:ind w:left="720"/>
              <w:rPr>
                <w:rFonts w:ascii="Times New Roman" w:eastAsia="Times New Roman" w:hAnsi="Times New Roman" w:cs="Times New Roman"/>
                <w:i/>
                <w:iCs/>
                <w:sz w:val="20"/>
                <w:szCs w:val="20"/>
              </w:rPr>
            </w:pPr>
          </w:p>
          <w:p w14:paraId="39997691" w14:textId="77777777" w:rsidR="00FD1900" w:rsidRPr="006E3A0F" w:rsidRDefault="00FD1900" w:rsidP="00304B2F">
            <w:pPr>
              <w:ind w:left="720"/>
              <w:rPr>
                <w:rFonts w:ascii="Times New Roman" w:eastAsia="Times New Roman" w:hAnsi="Times New Roman" w:cs="Times New Roman"/>
                <w:sz w:val="20"/>
                <w:szCs w:val="20"/>
              </w:rPr>
            </w:pPr>
            <w:r w:rsidRPr="006E3A0F">
              <w:rPr>
                <w:rFonts w:ascii="Times New Roman" w:eastAsia="Times New Roman" w:hAnsi="Times New Roman" w:cs="Times New Roman"/>
                <w:i/>
                <w:iCs/>
                <w:sz w:val="20"/>
                <w:szCs w:val="20"/>
              </w:rPr>
              <w:t xml:space="preserve">“As part of the Pre-Application and Full Application, if the above-referenced property is eligible for the 9% Competitive Round, please select Tenancy “other.” </w:t>
            </w:r>
          </w:p>
          <w:p w14:paraId="4F6664A7" w14:textId="77777777" w:rsidR="00FD1900" w:rsidRPr="006E3A0F" w:rsidRDefault="00FD1900" w:rsidP="00304B2F">
            <w:pPr>
              <w:ind w:left="720"/>
              <w:rPr>
                <w:rFonts w:ascii="Times New Roman" w:eastAsia="Times New Roman" w:hAnsi="Times New Roman" w:cs="Times New Roman"/>
                <w:i/>
                <w:iCs/>
                <w:sz w:val="20"/>
                <w:szCs w:val="20"/>
              </w:rPr>
            </w:pPr>
          </w:p>
          <w:p w14:paraId="26303B8D" w14:textId="77777777" w:rsidR="00FD1900" w:rsidRPr="006E3A0F" w:rsidRDefault="00FD1900" w:rsidP="00304B2F">
            <w:pPr>
              <w:ind w:left="720"/>
              <w:rPr>
                <w:rFonts w:ascii="Times New Roman" w:eastAsia="Times New Roman" w:hAnsi="Times New Roman" w:cs="Times New Roman"/>
                <w:sz w:val="20"/>
                <w:szCs w:val="20"/>
              </w:rPr>
            </w:pPr>
            <w:r w:rsidRPr="006E3A0F">
              <w:rPr>
                <w:rFonts w:ascii="Times New Roman" w:eastAsia="Times New Roman" w:hAnsi="Times New Roman" w:cs="Times New Roman"/>
                <w:i/>
                <w:iCs/>
                <w:sz w:val="20"/>
                <w:szCs w:val="20"/>
              </w:rPr>
              <w:t>Please provide any supporting documentation tied to the property which lists the above tenancy restriction for DCA review.”</w:t>
            </w:r>
          </w:p>
          <w:p w14:paraId="236964BE" w14:textId="77777777" w:rsidR="00FD1900" w:rsidRPr="006E3A0F" w:rsidRDefault="00FD1900" w:rsidP="00304B2F">
            <w:pPr>
              <w:ind w:left="720"/>
              <w:rPr>
                <w:rFonts w:ascii="Times New Roman" w:eastAsia="Times New Roman" w:hAnsi="Times New Roman" w:cs="Times New Roman"/>
                <w:i/>
                <w:iCs/>
                <w:sz w:val="20"/>
                <w:szCs w:val="20"/>
              </w:rPr>
            </w:pPr>
          </w:p>
          <w:p w14:paraId="1D4AA2AB"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DCA will request additional documentation during Pre-Application review if needed.</w:t>
            </w:r>
          </w:p>
        </w:tc>
      </w:tr>
      <w:tr w:rsidR="00FD1900" w:rsidRPr="006E3A0F" w14:paraId="185A41C4" w14:textId="77777777" w:rsidTr="1995616E">
        <w:trPr>
          <w:jc w:val="center"/>
        </w:trPr>
        <w:tc>
          <w:tcPr>
            <w:tcW w:w="2157" w:type="dxa"/>
            <w:shd w:val="clear" w:color="auto" w:fill="auto"/>
            <w:tcMar>
              <w:top w:w="72" w:type="dxa"/>
              <w:left w:w="115" w:type="dxa"/>
              <w:bottom w:w="72" w:type="dxa"/>
              <w:right w:w="115" w:type="dxa"/>
            </w:tcMar>
            <w:vAlign w:val="center"/>
          </w:tcPr>
          <w:p w14:paraId="231E8F85"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66749A8F"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2.03</w:t>
            </w:r>
          </w:p>
          <w:p w14:paraId="225A5776"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7EDA18D7"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Tenancy Characteristics</w:t>
            </w:r>
          </w:p>
          <w:p w14:paraId="0FF7DB2E" w14:textId="77777777" w:rsidR="00FD1900" w:rsidRPr="006E3A0F" w:rsidRDefault="00FD1900" w:rsidP="00304B2F">
            <w:pPr>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32A03CEB" w14:textId="77777777" w:rsidR="00FD1900" w:rsidRPr="006E3A0F" w:rsidRDefault="00FD1900" w:rsidP="00304B2F">
            <w:pPr>
              <w:spacing w:after="160" w:line="259" w:lineRule="auto"/>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xml:space="preserve">: Q22_0310_03 </w:t>
            </w:r>
          </w:p>
          <w:p w14:paraId="484DC89B" w14:textId="77777777" w:rsidR="00FD1900" w:rsidRPr="006E3A0F" w:rsidRDefault="00FD1900" w:rsidP="00304B2F">
            <w:pPr>
              <w:spacing w:after="160" w:line="259" w:lineRule="auto"/>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Our application proposes to rehabilitate an existing Housing Tax Credit property that is 75% family and 25% elderly. Our circumstances are: </w:t>
            </w:r>
          </w:p>
          <w:p w14:paraId="6B15B5DA" w14:textId="77777777" w:rsidR="00FD1900" w:rsidRPr="006E3A0F" w:rsidRDefault="00FD1900" w:rsidP="00304B2F">
            <w:pPr>
              <w:pStyle w:val="ListParagraph"/>
              <w:numPr>
                <w:ilvl w:val="0"/>
                <w:numId w:val="14"/>
              </w:numPr>
              <w:spacing w:after="160"/>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We understand that per Q1222_01 published 3/9/22, this application must indicate only one tenancy. </w:t>
            </w:r>
          </w:p>
          <w:p w14:paraId="3AEE5A57" w14:textId="77777777" w:rsidR="00FD1900" w:rsidRPr="006E3A0F" w:rsidRDefault="00FD1900" w:rsidP="00304B2F">
            <w:pPr>
              <w:pStyle w:val="ListParagraph"/>
              <w:numPr>
                <w:ilvl w:val="0"/>
                <w:numId w:val="14"/>
              </w:numPr>
              <w:spacing w:after="160"/>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Our plan is to select “Family tenancy,” and then if awarded, we would seek a Project Concept Change request to amend the LURC to be 100% Family. </w:t>
            </w:r>
          </w:p>
          <w:p w14:paraId="650C960B" w14:textId="77777777" w:rsidR="00FD1900" w:rsidRPr="006E3A0F" w:rsidRDefault="00FD1900" w:rsidP="00304B2F">
            <w:pPr>
              <w:pStyle w:val="ListParagraph"/>
              <w:numPr>
                <w:ilvl w:val="0"/>
                <w:numId w:val="14"/>
              </w:numPr>
              <w:spacing w:after="160"/>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We will not be able to amend the LURC prior to Full Application (May submission) because we would not own the property until after it is awarded. </w:t>
            </w:r>
          </w:p>
          <w:p w14:paraId="2EE5070D" w14:textId="77777777" w:rsidR="00FD1900" w:rsidRPr="006E3A0F" w:rsidRDefault="00FD1900" w:rsidP="00304B2F">
            <w:pPr>
              <w:spacing w:after="160" w:line="259" w:lineRule="auto"/>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Do we need to receive any approvals for this during the Pre-Application stage, or can we submit the Full Application as is? We anticipate passing Threshold because we will “designate the proposed development as targeting </w:t>
            </w:r>
            <w:r w:rsidRPr="006E3A0F">
              <w:rPr>
                <w:rFonts w:ascii="Times New Roman" w:eastAsia="Times New Roman" w:hAnsi="Times New Roman" w:cs="Times New Roman"/>
                <w:b/>
                <w:bCs/>
                <w:sz w:val="20"/>
                <w:szCs w:val="20"/>
              </w:rPr>
              <w:t>one</w:t>
            </w:r>
            <w:r w:rsidRPr="006E3A0F">
              <w:rPr>
                <w:rFonts w:ascii="Times New Roman" w:eastAsia="Times New Roman" w:hAnsi="Times New Roman" w:cs="Times New Roman"/>
                <w:sz w:val="20"/>
                <w:szCs w:val="20"/>
              </w:rPr>
              <w:t xml:space="preserve">” tenancy as stated in </w:t>
            </w:r>
            <w:r w:rsidRPr="006E3A0F">
              <w:rPr>
                <w:rFonts w:ascii="Times New Roman" w:eastAsia="Times New Roman" w:hAnsi="Times New Roman" w:cs="Times New Roman"/>
                <w:b/>
                <w:bCs/>
                <w:sz w:val="20"/>
                <w:szCs w:val="20"/>
              </w:rPr>
              <w:t>(Threshold Criteria) Tenancy Characteristics</w:t>
            </w:r>
            <w:r w:rsidRPr="006E3A0F">
              <w:rPr>
                <w:rFonts w:ascii="Times New Roman" w:eastAsia="Times New Roman" w:hAnsi="Times New Roman" w:cs="Times New Roman"/>
                <w:sz w:val="20"/>
                <w:szCs w:val="20"/>
              </w:rPr>
              <w:t>. However, there will be a discrepancy between the proposed and existing tenancies.”</w:t>
            </w:r>
          </w:p>
          <w:p w14:paraId="234C5C82" w14:textId="77777777" w:rsidR="00FD1900" w:rsidRPr="006E3A0F" w:rsidRDefault="00FD1900" w:rsidP="00304B2F">
            <w:pPr>
              <w:spacing w:after="160" w:line="259" w:lineRule="auto"/>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xml:space="preserve">: </w:t>
            </w:r>
          </w:p>
          <w:p w14:paraId="4385B873" w14:textId="77777777" w:rsidR="00FD1900" w:rsidRPr="006E3A0F" w:rsidRDefault="00FD1900" w:rsidP="00304B2F">
            <w:pPr>
              <w:pStyle w:val="ListParagraph"/>
              <w:numPr>
                <w:ilvl w:val="0"/>
                <w:numId w:val="13"/>
              </w:numPr>
              <w:spacing w:after="160" w:line="259" w:lineRule="auto"/>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To pass</w:t>
            </w:r>
            <w:r w:rsidRPr="006E3A0F">
              <w:rPr>
                <w:rFonts w:ascii="Times New Roman" w:eastAsia="Times New Roman" w:hAnsi="Times New Roman" w:cs="Times New Roman"/>
                <w:b/>
                <w:bCs/>
                <w:sz w:val="20"/>
                <w:szCs w:val="20"/>
              </w:rPr>
              <w:t xml:space="preserve"> (Threshold Criteria) Tenancy Characteristics</w:t>
            </w:r>
            <w:r w:rsidRPr="006E3A0F">
              <w:rPr>
                <w:rFonts w:ascii="Times New Roman" w:eastAsia="Times New Roman" w:hAnsi="Times New Roman" w:cs="Times New Roman"/>
                <w:sz w:val="20"/>
                <w:szCs w:val="20"/>
              </w:rPr>
              <w:t>, “</w:t>
            </w:r>
            <w:r w:rsidRPr="006E3A0F">
              <w:rPr>
                <w:rFonts w:ascii="Times New Roman" w:eastAsia="Times New Roman" w:hAnsi="Times New Roman" w:cs="Times New Roman"/>
                <w:i/>
                <w:iCs/>
                <w:sz w:val="20"/>
                <w:szCs w:val="20"/>
              </w:rPr>
              <w:t>All Applicants must designate the proposed development as targeting one of the following tenancies.</w:t>
            </w:r>
            <w:r w:rsidRPr="006E3A0F">
              <w:rPr>
                <w:rFonts w:ascii="Times New Roman" w:eastAsia="Times New Roman" w:hAnsi="Times New Roman" w:cs="Times New Roman"/>
                <w:sz w:val="20"/>
                <w:szCs w:val="20"/>
              </w:rPr>
              <w:t xml:space="preserve">” </w:t>
            </w:r>
          </w:p>
          <w:p w14:paraId="7C01E9B7" w14:textId="77777777" w:rsidR="00FD1900" w:rsidRPr="006E3A0F" w:rsidRDefault="00FD1900" w:rsidP="00304B2F">
            <w:pPr>
              <w:pStyle w:val="ListParagraph"/>
              <w:numPr>
                <w:ilvl w:val="0"/>
                <w:numId w:val="13"/>
              </w:numPr>
              <w:spacing w:after="160" w:line="259" w:lineRule="auto"/>
              <w:rPr>
                <w:rFonts w:ascii="Times New Roman" w:eastAsia="Times New Roman" w:hAnsi="Times New Roman" w:cs="Times New Roman"/>
                <w:b/>
                <w:bCs/>
                <w:sz w:val="20"/>
                <w:szCs w:val="20"/>
              </w:rPr>
            </w:pPr>
            <w:r w:rsidRPr="006E3A0F">
              <w:rPr>
                <w:rFonts w:ascii="Times New Roman" w:eastAsia="Times New Roman" w:hAnsi="Times New Roman" w:cs="Times New Roman"/>
                <w:b/>
                <w:bCs/>
                <w:sz w:val="20"/>
                <w:szCs w:val="20"/>
              </w:rPr>
              <w:t xml:space="preserve">(Core Plan) Definitions states: </w:t>
            </w:r>
            <w:r w:rsidRPr="006E3A0F">
              <w:rPr>
                <w:rFonts w:ascii="Times New Roman" w:eastAsia="Times New Roman" w:hAnsi="Times New Roman" w:cs="Times New Roman"/>
                <w:sz w:val="20"/>
                <w:szCs w:val="20"/>
              </w:rPr>
              <w:t>“</w:t>
            </w:r>
            <w:r w:rsidRPr="006E3A0F">
              <w:rPr>
                <w:rFonts w:ascii="Times New Roman" w:eastAsia="Times New Roman" w:hAnsi="Times New Roman" w:cs="Times New Roman"/>
                <w:i/>
                <w:iCs/>
                <w:sz w:val="20"/>
                <w:szCs w:val="20"/>
              </w:rPr>
              <w:t>‘Applicant’ means the General Partner</w:t>
            </w:r>
            <w:r w:rsidRPr="006E3A0F">
              <w:rPr>
                <w:rFonts w:ascii="Times New Roman" w:eastAsia="Times New Roman" w:hAnsi="Times New Roman" w:cs="Times New Roman"/>
                <w:sz w:val="20"/>
                <w:szCs w:val="20"/>
              </w:rPr>
              <w:t>.”</w:t>
            </w:r>
            <w:r w:rsidRPr="006E3A0F">
              <w:rPr>
                <w:rFonts w:ascii="Times New Roman" w:eastAsia="Times New Roman" w:hAnsi="Times New Roman" w:cs="Times New Roman"/>
                <w:b/>
                <w:bCs/>
                <w:sz w:val="20"/>
                <w:szCs w:val="20"/>
              </w:rPr>
              <w:t xml:space="preserve"> </w:t>
            </w:r>
          </w:p>
          <w:p w14:paraId="70701ECB" w14:textId="77777777" w:rsidR="00FD1900" w:rsidRPr="006E3A0F" w:rsidRDefault="00FD1900" w:rsidP="00304B2F">
            <w:pPr>
              <w:spacing w:after="160" w:line="259" w:lineRule="auto"/>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Therefore, so long as the General Partner designates that the proposed development will target only one tenancy (in this case, Family), there is no QAP rule requiring a waiver at the Pre-Application stage. If awarded, the General Partner can pursue a Project Concept Change.  </w:t>
            </w:r>
          </w:p>
        </w:tc>
      </w:tr>
      <w:tr w:rsidR="00FD1900" w:rsidRPr="006E3A0F" w14:paraId="6F8119B6" w14:textId="77777777" w:rsidTr="1995616E">
        <w:trPr>
          <w:jc w:val="center"/>
        </w:trPr>
        <w:tc>
          <w:tcPr>
            <w:tcW w:w="2157" w:type="dxa"/>
            <w:shd w:val="clear" w:color="auto" w:fill="auto"/>
            <w:tcMar>
              <w:top w:w="72" w:type="dxa"/>
              <w:left w:w="115" w:type="dxa"/>
              <w:bottom w:w="72" w:type="dxa"/>
              <w:right w:w="115" w:type="dxa"/>
            </w:tcMar>
            <w:vAlign w:val="center"/>
          </w:tcPr>
          <w:p w14:paraId="5999C4F5"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7B25D327"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6.00 </w:t>
            </w:r>
          </w:p>
          <w:p w14:paraId="75226B70" w14:textId="77777777" w:rsidR="00FD1900" w:rsidRPr="006E3A0F" w:rsidRDefault="00FD1900" w:rsidP="00304B2F">
            <w:pPr>
              <w:rPr>
                <w:rFonts w:ascii="Times New Roman" w:hAnsi="Times New Roman" w:cs="Times New Roman"/>
                <w:sz w:val="20"/>
                <w:szCs w:val="20"/>
              </w:rPr>
            </w:pPr>
            <w:proofErr w:type="spellStart"/>
            <w:r w:rsidRPr="006E3A0F">
              <w:rPr>
                <w:rFonts w:ascii="Times New Roman" w:hAnsi="Times New Roman" w:cs="Times New Roman"/>
                <w:sz w:val="20"/>
                <w:szCs w:val="20"/>
              </w:rPr>
              <w:t>Emphasys</w:t>
            </w:r>
            <w:proofErr w:type="spellEnd"/>
          </w:p>
        </w:tc>
        <w:tc>
          <w:tcPr>
            <w:tcW w:w="9590" w:type="dxa"/>
            <w:shd w:val="clear" w:color="auto" w:fill="auto"/>
            <w:tcMar>
              <w:top w:w="72" w:type="dxa"/>
              <w:left w:w="115" w:type="dxa"/>
              <w:bottom w:w="72" w:type="dxa"/>
              <w:right w:w="115" w:type="dxa"/>
            </w:tcMar>
            <w:vAlign w:val="center"/>
          </w:tcPr>
          <w:p w14:paraId="448093A9" w14:textId="77777777" w:rsidR="00FD1900" w:rsidRPr="006E3A0F" w:rsidRDefault="00FD1900" w:rsidP="00304B2F">
            <w:pPr>
              <w:spacing w:line="259" w:lineRule="auto"/>
              <w:rPr>
                <w:rFonts w:ascii="Times New Roman" w:eastAsia="Times New Roman" w:hAnsi="Times New Roman" w:cs="Times New Roman"/>
                <w:b/>
                <w:bCs/>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xml:space="preserve"> Q22_0310_04</w:t>
            </w:r>
          </w:p>
          <w:p w14:paraId="13AD8A7F" w14:textId="77777777" w:rsidR="00FD1900" w:rsidRPr="006E3A0F" w:rsidRDefault="00FD1900" w:rsidP="00304B2F">
            <w:pPr>
              <w:spacing w:line="259" w:lineRule="auto"/>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Under the Fee Submission instructions, it says to label the envelope with “Pre-Application Fees for 2022PA-0___.” Will we receive an application number after we submit through </w:t>
            </w:r>
            <w:proofErr w:type="spellStart"/>
            <w:r w:rsidRPr="006E3A0F">
              <w:rPr>
                <w:rFonts w:ascii="Times New Roman" w:eastAsia="Times New Roman" w:hAnsi="Times New Roman" w:cs="Times New Roman"/>
                <w:sz w:val="20"/>
                <w:szCs w:val="20"/>
              </w:rPr>
              <w:t>Emphasys</w:t>
            </w:r>
            <w:proofErr w:type="spellEnd"/>
            <w:r w:rsidRPr="006E3A0F">
              <w:rPr>
                <w:rFonts w:ascii="Times New Roman" w:eastAsia="Times New Roman" w:hAnsi="Times New Roman" w:cs="Times New Roman"/>
                <w:sz w:val="20"/>
                <w:szCs w:val="20"/>
              </w:rPr>
              <w:t>?</w:t>
            </w:r>
          </w:p>
          <w:p w14:paraId="03A6E449" w14:textId="77777777" w:rsidR="00FD1900" w:rsidRPr="006E3A0F" w:rsidRDefault="00FD1900" w:rsidP="00304B2F">
            <w:pPr>
              <w:spacing w:line="259" w:lineRule="auto"/>
              <w:rPr>
                <w:rFonts w:ascii="Times New Roman" w:eastAsia="Times New Roman" w:hAnsi="Times New Roman" w:cs="Times New Roman"/>
                <w:sz w:val="20"/>
                <w:szCs w:val="20"/>
              </w:rPr>
            </w:pPr>
          </w:p>
          <w:p w14:paraId="34907633" w14:textId="77777777" w:rsidR="00FD1900" w:rsidRPr="006E3A0F" w:rsidRDefault="00FD1900" w:rsidP="00304B2F">
            <w:pPr>
              <w:spacing w:line="259" w:lineRule="auto"/>
              <w:rPr>
                <w:rFonts w:ascii="Times New Roman" w:eastAsia="Times New Roman" w:hAnsi="Times New Roman" w:cs="Times New Roman"/>
                <w:b/>
                <w:bCs/>
                <w:sz w:val="20"/>
                <w:szCs w:val="20"/>
              </w:rPr>
            </w:pPr>
            <w:r w:rsidRPr="006E3A0F">
              <w:rPr>
                <w:rFonts w:ascii="Times New Roman" w:eastAsia="Times New Roman" w:hAnsi="Times New Roman" w:cs="Times New Roman"/>
                <w:b/>
                <w:bCs/>
                <w:sz w:val="20"/>
                <w:szCs w:val="20"/>
              </w:rPr>
              <w:t>Answer:</w:t>
            </w:r>
          </w:p>
          <w:p w14:paraId="2513466A" w14:textId="77777777" w:rsidR="00FD1900" w:rsidRPr="006E3A0F" w:rsidRDefault="00FD1900" w:rsidP="00304B2F">
            <w:pPr>
              <w:spacing w:line="259" w:lineRule="auto"/>
              <w:rPr>
                <w:rFonts w:ascii="Times New Roman" w:eastAsia="Times New Roman" w:hAnsi="Times New Roman" w:cs="Times New Roman"/>
                <w:b/>
                <w:bCs/>
                <w:sz w:val="20"/>
                <w:szCs w:val="20"/>
              </w:rPr>
            </w:pPr>
            <w:r w:rsidRPr="006E3A0F">
              <w:rPr>
                <w:rFonts w:ascii="Times New Roman" w:eastAsia="Times New Roman" w:hAnsi="Times New Roman" w:cs="Times New Roman"/>
                <w:sz w:val="20"/>
                <w:szCs w:val="20"/>
              </w:rPr>
              <w:t xml:space="preserve">Yes, you will receive a </w:t>
            </w:r>
            <w:proofErr w:type="gramStart"/>
            <w:r w:rsidRPr="006E3A0F">
              <w:rPr>
                <w:rFonts w:ascii="Times New Roman" w:eastAsia="Times New Roman" w:hAnsi="Times New Roman" w:cs="Times New Roman"/>
                <w:sz w:val="20"/>
                <w:szCs w:val="20"/>
              </w:rPr>
              <w:t>Pre-</w:t>
            </w:r>
            <w:proofErr w:type="gramEnd"/>
            <w:r w:rsidRPr="006E3A0F">
              <w:rPr>
                <w:rFonts w:ascii="Times New Roman" w:eastAsia="Times New Roman" w:hAnsi="Times New Roman" w:cs="Times New Roman"/>
                <w:sz w:val="20"/>
                <w:szCs w:val="20"/>
              </w:rPr>
              <w:t xml:space="preserve">Application number after you submit through </w:t>
            </w:r>
            <w:proofErr w:type="spellStart"/>
            <w:r w:rsidRPr="006E3A0F">
              <w:rPr>
                <w:rFonts w:ascii="Times New Roman" w:eastAsia="Times New Roman" w:hAnsi="Times New Roman" w:cs="Times New Roman"/>
                <w:sz w:val="20"/>
                <w:szCs w:val="20"/>
              </w:rPr>
              <w:t>Emphasys</w:t>
            </w:r>
            <w:proofErr w:type="spellEnd"/>
            <w:r w:rsidRPr="006E3A0F">
              <w:rPr>
                <w:rFonts w:ascii="Times New Roman" w:eastAsia="Times New Roman" w:hAnsi="Times New Roman" w:cs="Times New Roman"/>
                <w:sz w:val="20"/>
                <w:szCs w:val="20"/>
              </w:rPr>
              <w:t>.</w:t>
            </w:r>
          </w:p>
        </w:tc>
      </w:tr>
      <w:tr w:rsidR="00FD1900" w:rsidRPr="006E3A0F" w14:paraId="1688125F" w14:textId="77777777" w:rsidTr="1995616E">
        <w:trPr>
          <w:jc w:val="center"/>
        </w:trPr>
        <w:tc>
          <w:tcPr>
            <w:tcW w:w="2157" w:type="dxa"/>
            <w:shd w:val="clear" w:color="auto" w:fill="auto"/>
            <w:tcMar>
              <w:top w:w="72" w:type="dxa"/>
              <w:left w:w="115" w:type="dxa"/>
              <w:bottom w:w="72" w:type="dxa"/>
              <w:right w:w="115" w:type="dxa"/>
            </w:tcMar>
            <w:vAlign w:val="center"/>
          </w:tcPr>
          <w:p w14:paraId="46C446B7"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72D9AE06"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7.00</w:t>
            </w:r>
          </w:p>
          <w:p w14:paraId="23F60A54"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Application Materials</w:t>
            </w:r>
          </w:p>
        </w:tc>
        <w:tc>
          <w:tcPr>
            <w:tcW w:w="9590" w:type="dxa"/>
            <w:shd w:val="clear" w:color="auto" w:fill="auto"/>
            <w:tcMar>
              <w:top w:w="72" w:type="dxa"/>
              <w:left w:w="115" w:type="dxa"/>
              <w:bottom w:w="72" w:type="dxa"/>
              <w:right w:w="115" w:type="dxa"/>
            </w:tcMar>
            <w:vAlign w:val="center"/>
          </w:tcPr>
          <w:p w14:paraId="30F6EC98" w14:textId="77777777" w:rsidR="00FD1900" w:rsidRPr="006E3A0F" w:rsidRDefault="00FD1900" w:rsidP="00304B2F">
            <w:pPr>
              <w:spacing w:line="259" w:lineRule="auto"/>
              <w:rPr>
                <w:rFonts w:ascii="Times New Roman" w:eastAsia="Times New Roman" w:hAnsi="Times New Roman" w:cs="Times New Roman"/>
                <w:b/>
                <w:bCs/>
                <w:sz w:val="20"/>
                <w:szCs w:val="20"/>
              </w:rPr>
            </w:pPr>
            <w:r w:rsidRPr="006E3A0F">
              <w:rPr>
                <w:rFonts w:ascii="Times New Roman" w:eastAsia="Times New Roman" w:hAnsi="Times New Roman" w:cs="Times New Roman"/>
                <w:b/>
                <w:bCs/>
                <w:sz w:val="20"/>
                <w:szCs w:val="20"/>
              </w:rPr>
              <w:t xml:space="preserve">Question: </w:t>
            </w:r>
            <w:r w:rsidRPr="006E3A0F">
              <w:rPr>
                <w:rFonts w:ascii="Times New Roman" w:eastAsia="Times New Roman" w:hAnsi="Times New Roman" w:cs="Times New Roman"/>
                <w:sz w:val="20"/>
                <w:szCs w:val="20"/>
              </w:rPr>
              <w:t>Q22_0310_02</w:t>
            </w:r>
          </w:p>
          <w:p w14:paraId="0BDF3FEA" w14:textId="77777777" w:rsidR="00FD1900" w:rsidRPr="006E3A0F" w:rsidRDefault="00FD1900" w:rsidP="00304B2F">
            <w:pPr>
              <w:spacing w:line="259" w:lineRule="auto"/>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Will you please confirm if the ASDO Waivers need to be submitted to the DCA office at pre-application in a physical binder and flash drive, or if for pre-application, everything is to only be submitted through </w:t>
            </w:r>
            <w:proofErr w:type="spellStart"/>
            <w:r w:rsidRPr="006E3A0F">
              <w:rPr>
                <w:rFonts w:ascii="Times New Roman" w:eastAsia="Times New Roman" w:hAnsi="Times New Roman" w:cs="Times New Roman"/>
                <w:sz w:val="20"/>
                <w:szCs w:val="20"/>
              </w:rPr>
              <w:t>Emphasys</w:t>
            </w:r>
            <w:proofErr w:type="spellEnd"/>
            <w:r w:rsidRPr="006E3A0F">
              <w:rPr>
                <w:rFonts w:ascii="Times New Roman" w:eastAsia="Times New Roman" w:hAnsi="Times New Roman" w:cs="Times New Roman"/>
                <w:sz w:val="20"/>
                <w:szCs w:val="20"/>
              </w:rPr>
              <w:t>?</w:t>
            </w:r>
          </w:p>
          <w:p w14:paraId="0EA3AC6F" w14:textId="77777777" w:rsidR="00FD1900" w:rsidRPr="006E3A0F" w:rsidRDefault="00FD1900" w:rsidP="00304B2F">
            <w:pPr>
              <w:spacing w:line="259" w:lineRule="auto"/>
              <w:rPr>
                <w:rFonts w:ascii="Times New Roman" w:eastAsia="Times New Roman" w:hAnsi="Times New Roman" w:cs="Times New Roman"/>
                <w:sz w:val="20"/>
                <w:szCs w:val="20"/>
              </w:rPr>
            </w:pPr>
          </w:p>
          <w:p w14:paraId="381AC92F" w14:textId="77777777" w:rsidR="00FD1900" w:rsidRPr="006E3A0F" w:rsidRDefault="00FD1900" w:rsidP="00304B2F">
            <w:pPr>
              <w:spacing w:after="160" w:line="259" w:lineRule="auto"/>
              <w:rPr>
                <w:rFonts w:ascii="Times New Roman" w:eastAsia="Times New Roman" w:hAnsi="Times New Roman" w:cs="Times New Roman"/>
                <w:b/>
                <w:bCs/>
                <w:sz w:val="20"/>
                <w:szCs w:val="20"/>
              </w:rPr>
            </w:pPr>
            <w:r w:rsidRPr="006E3A0F">
              <w:rPr>
                <w:rFonts w:ascii="Times New Roman" w:eastAsia="Times New Roman" w:hAnsi="Times New Roman" w:cs="Times New Roman"/>
                <w:b/>
                <w:bCs/>
                <w:sz w:val="20"/>
                <w:szCs w:val="20"/>
              </w:rPr>
              <w:t xml:space="preserve">Answer: </w:t>
            </w:r>
          </w:p>
          <w:p w14:paraId="76A4E604" w14:textId="77777777" w:rsidR="00FD1900" w:rsidRPr="006E3A0F" w:rsidRDefault="00FD1900" w:rsidP="00304B2F">
            <w:pPr>
              <w:spacing w:after="160" w:line="259" w:lineRule="auto"/>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Checks are the only part of the Pre-Application that should be submitted outside of </w:t>
            </w:r>
            <w:proofErr w:type="spellStart"/>
            <w:r w:rsidRPr="006E3A0F">
              <w:rPr>
                <w:rFonts w:ascii="Times New Roman" w:eastAsia="Times New Roman" w:hAnsi="Times New Roman" w:cs="Times New Roman"/>
                <w:sz w:val="20"/>
                <w:szCs w:val="20"/>
              </w:rPr>
              <w:t>Emphasys</w:t>
            </w:r>
            <w:proofErr w:type="spellEnd"/>
            <w:r w:rsidRPr="006E3A0F">
              <w:rPr>
                <w:rFonts w:ascii="Times New Roman" w:eastAsia="Times New Roman" w:hAnsi="Times New Roman" w:cs="Times New Roman"/>
                <w:sz w:val="20"/>
                <w:szCs w:val="20"/>
              </w:rPr>
              <w:t>. The Pre-Application submission instructions state (</w:t>
            </w:r>
            <w:hyperlink r:id="rId46">
              <w:r w:rsidRPr="006E3A0F">
                <w:rPr>
                  <w:rStyle w:val="Hyperlink"/>
                  <w:rFonts w:ascii="Times New Roman" w:eastAsia="Times New Roman" w:hAnsi="Times New Roman" w:cs="Times New Roman"/>
                  <w:color w:val="auto"/>
                  <w:sz w:val="20"/>
                  <w:szCs w:val="20"/>
                </w:rPr>
                <w:t>click here</w:t>
              </w:r>
            </w:hyperlink>
            <w:r w:rsidRPr="006E3A0F">
              <w:rPr>
                <w:rFonts w:ascii="Times New Roman" w:eastAsia="Times New Roman" w:hAnsi="Times New Roman" w:cs="Times New Roman"/>
                <w:sz w:val="20"/>
                <w:szCs w:val="20"/>
              </w:rPr>
              <w:t>):</w:t>
            </w:r>
          </w:p>
          <w:p w14:paraId="2F190E68" w14:textId="77777777" w:rsidR="00FD1900" w:rsidRPr="006E3A0F" w:rsidRDefault="00FD1900" w:rsidP="00304B2F">
            <w:pPr>
              <w:pStyle w:val="ListParagraph"/>
              <w:numPr>
                <w:ilvl w:val="0"/>
                <w:numId w:val="15"/>
              </w:numPr>
              <w:spacing w:after="160" w:line="259" w:lineRule="auto"/>
              <w:rPr>
                <w:rFonts w:ascii="Times New Roman" w:eastAsiaTheme="minorEastAsia" w:hAnsi="Times New Roman" w:cs="Times New Roman"/>
                <w:sz w:val="20"/>
                <w:szCs w:val="20"/>
              </w:rPr>
            </w:pPr>
            <w:r w:rsidRPr="006E3A0F">
              <w:rPr>
                <w:rFonts w:ascii="Times New Roman" w:eastAsia="Times New Roman" w:hAnsi="Times New Roman" w:cs="Times New Roman"/>
                <w:sz w:val="20"/>
                <w:szCs w:val="20"/>
              </w:rPr>
              <w:t xml:space="preserve">“2022 Pre-Application documents must be submitted through </w:t>
            </w:r>
            <w:proofErr w:type="spellStart"/>
            <w:r w:rsidRPr="006E3A0F">
              <w:rPr>
                <w:rFonts w:ascii="Times New Roman" w:eastAsia="Times New Roman" w:hAnsi="Times New Roman" w:cs="Times New Roman"/>
                <w:sz w:val="20"/>
                <w:szCs w:val="20"/>
              </w:rPr>
              <w:t>Emphasys</w:t>
            </w:r>
            <w:proofErr w:type="spellEnd"/>
            <w:r w:rsidRPr="006E3A0F">
              <w:rPr>
                <w:rFonts w:ascii="Times New Roman" w:eastAsia="Times New Roman" w:hAnsi="Times New Roman" w:cs="Times New Roman"/>
                <w:sz w:val="20"/>
                <w:szCs w:val="20"/>
              </w:rPr>
              <w:t>”</w:t>
            </w:r>
          </w:p>
          <w:p w14:paraId="6F4A756F" w14:textId="77777777" w:rsidR="00FD1900" w:rsidRPr="006E3A0F" w:rsidRDefault="00FD1900" w:rsidP="00304B2F">
            <w:pPr>
              <w:pStyle w:val="ListParagraph"/>
              <w:numPr>
                <w:ilvl w:val="0"/>
                <w:numId w:val="15"/>
              </w:numPr>
              <w:spacing w:after="160" w:line="259" w:lineRule="auto"/>
              <w:rPr>
                <w:rFonts w:ascii="Times New Roman" w:eastAsiaTheme="minorEastAsia" w:hAnsi="Times New Roman" w:cs="Times New Roman"/>
                <w:sz w:val="20"/>
                <w:szCs w:val="20"/>
              </w:rPr>
            </w:pPr>
            <w:r w:rsidRPr="006E3A0F">
              <w:rPr>
                <w:rFonts w:ascii="Times New Roman" w:eastAsia="Times New Roman" w:hAnsi="Times New Roman" w:cs="Times New Roman"/>
                <w:sz w:val="20"/>
                <w:szCs w:val="20"/>
              </w:rPr>
              <w:t xml:space="preserve">“Fee payments will not be processed through </w:t>
            </w:r>
            <w:proofErr w:type="spellStart"/>
            <w:r w:rsidRPr="006E3A0F">
              <w:rPr>
                <w:rFonts w:ascii="Times New Roman" w:eastAsia="Times New Roman" w:hAnsi="Times New Roman" w:cs="Times New Roman"/>
                <w:sz w:val="20"/>
                <w:szCs w:val="20"/>
              </w:rPr>
              <w:t>Emphasys</w:t>
            </w:r>
            <w:proofErr w:type="spellEnd"/>
            <w:r w:rsidRPr="006E3A0F">
              <w:rPr>
                <w:rFonts w:ascii="Times New Roman" w:eastAsia="Times New Roman" w:hAnsi="Times New Roman" w:cs="Times New Roman"/>
                <w:sz w:val="20"/>
                <w:szCs w:val="20"/>
              </w:rPr>
              <w:t xml:space="preserve"> at this time”</w:t>
            </w:r>
          </w:p>
        </w:tc>
      </w:tr>
      <w:tr w:rsidR="00FD1900" w:rsidRPr="006E3A0F" w14:paraId="128C709A" w14:textId="77777777" w:rsidTr="1995616E">
        <w:trPr>
          <w:jc w:val="center"/>
        </w:trPr>
        <w:tc>
          <w:tcPr>
            <w:tcW w:w="2157" w:type="dxa"/>
            <w:shd w:val="clear" w:color="auto" w:fill="auto"/>
            <w:tcMar>
              <w:top w:w="72" w:type="dxa"/>
              <w:left w:w="115" w:type="dxa"/>
              <w:bottom w:w="72" w:type="dxa"/>
              <w:right w:w="115" w:type="dxa"/>
            </w:tcMar>
            <w:vAlign w:val="center"/>
          </w:tcPr>
          <w:p w14:paraId="7D35817A"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08B523A7"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7.00</w:t>
            </w:r>
          </w:p>
          <w:p w14:paraId="28257ABC"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Application Materials</w:t>
            </w:r>
          </w:p>
        </w:tc>
        <w:tc>
          <w:tcPr>
            <w:tcW w:w="9590" w:type="dxa"/>
            <w:shd w:val="clear" w:color="auto" w:fill="auto"/>
            <w:tcMar>
              <w:top w:w="72" w:type="dxa"/>
              <w:left w:w="115" w:type="dxa"/>
              <w:bottom w:w="72" w:type="dxa"/>
              <w:right w:w="115" w:type="dxa"/>
            </w:tcMar>
            <w:vAlign w:val="center"/>
          </w:tcPr>
          <w:p w14:paraId="40E2598F" w14:textId="77777777" w:rsidR="00FD1900" w:rsidRPr="006E3A0F" w:rsidRDefault="00FD1900" w:rsidP="00304B2F">
            <w:pPr>
              <w:spacing w:after="160" w:line="259" w:lineRule="auto"/>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Q22_0310_01</w:t>
            </w:r>
          </w:p>
          <w:p w14:paraId="4692A5EE" w14:textId="77777777" w:rsidR="00FD1900" w:rsidRPr="006E3A0F" w:rsidRDefault="00FD1900" w:rsidP="00304B2F">
            <w:pPr>
              <w:spacing w:line="259" w:lineRule="auto"/>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The fee submission instructions for pre-app says to mail the Credit Fee Submissions. Is it also an option to drop the check off at the Georgia Housing Finance </w:t>
            </w:r>
            <w:proofErr w:type="gramStart"/>
            <w:r w:rsidRPr="006E3A0F">
              <w:rPr>
                <w:rFonts w:ascii="Times New Roman" w:eastAsia="Times New Roman" w:hAnsi="Times New Roman" w:cs="Times New Roman"/>
                <w:sz w:val="20"/>
                <w:szCs w:val="20"/>
              </w:rPr>
              <w:t>Authority.</w:t>
            </w:r>
            <w:proofErr w:type="gramEnd"/>
            <w:r w:rsidRPr="006E3A0F">
              <w:rPr>
                <w:rFonts w:ascii="Times New Roman" w:eastAsia="Times New Roman" w:hAnsi="Times New Roman" w:cs="Times New Roman"/>
                <w:sz w:val="20"/>
                <w:szCs w:val="20"/>
              </w:rPr>
              <w:t xml:space="preserve"> If not, will the scanned copy of the properly executed check constitute a complete application, even if the mail delivers the check past the application deadline? </w:t>
            </w:r>
            <w:r w:rsidRPr="006E3A0F">
              <w:rPr>
                <w:rFonts w:ascii="Times New Roman" w:hAnsi="Times New Roman" w:cs="Times New Roman"/>
                <w:sz w:val="20"/>
                <w:szCs w:val="20"/>
              </w:rPr>
              <w:br/>
            </w:r>
            <w:r w:rsidRPr="006E3A0F">
              <w:rPr>
                <w:rFonts w:ascii="Times New Roman" w:hAnsi="Times New Roman" w:cs="Times New Roman"/>
                <w:sz w:val="20"/>
                <w:szCs w:val="20"/>
              </w:rPr>
              <w:br/>
            </w:r>
            <w:r w:rsidRPr="006E3A0F">
              <w:rPr>
                <w:rFonts w:ascii="Times New Roman" w:eastAsia="Times New Roman" w:hAnsi="Times New Roman" w:cs="Times New Roman"/>
                <w:sz w:val="20"/>
                <w:szCs w:val="20"/>
              </w:rPr>
              <w:t xml:space="preserve">The instructions for submitting the preapplication fee say to also submit a pdf of the submission summary tab. Can you confirm that you do want this one page submitted in electronic form on a thumb-drive versus a printed hard copy. Any specific labeling or packaging requirements for the thumb-drive? </w:t>
            </w:r>
          </w:p>
          <w:p w14:paraId="02F47348" w14:textId="77777777" w:rsidR="00FD1900" w:rsidRPr="006E3A0F" w:rsidRDefault="00FD1900" w:rsidP="00304B2F">
            <w:pPr>
              <w:spacing w:line="259" w:lineRule="auto"/>
              <w:rPr>
                <w:rFonts w:ascii="Times New Roman" w:eastAsia="Times New Roman" w:hAnsi="Times New Roman" w:cs="Times New Roman"/>
                <w:sz w:val="20"/>
                <w:szCs w:val="20"/>
              </w:rPr>
            </w:pPr>
          </w:p>
          <w:p w14:paraId="76F74022" w14:textId="77777777" w:rsidR="00FD1900" w:rsidRPr="006E3A0F" w:rsidRDefault="00FD1900" w:rsidP="00304B2F">
            <w:pPr>
              <w:spacing w:line="259" w:lineRule="auto"/>
              <w:rPr>
                <w:rFonts w:ascii="Times New Roman" w:eastAsia="Times New Roman" w:hAnsi="Times New Roman" w:cs="Times New Roman"/>
                <w:b/>
                <w:bCs/>
                <w:sz w:val="20"/>
                <w:szCs w:val="20"/>
              </w:rPr>
            </w:pPr>
            <w:r w:rsidRPr="006E3A0F">
              <w:rPr>
                <w:rFonts w:ascii="Times New Roman" w:eastAsia="Times New Roman" w:hAnsi="Times New Roman" w:cs="Times New Roman"/>
                <w:b/>
                <w:bCs/>
                <w:sz w:val="20"/>
                <w:szCs w:val="20"/>
              </w:rPr>
              <w:t xml:space="preserve">Answer: </w:t>
            </w:r>
          </w:p>
          <w:p w14:paraId="0664544A" w14:textId="77777777" w:rsidR="00FD1900" w:rsidRPr="006E3A0F" w:rsidRDefault="00FD1900" w:rsidP="00304B2F">
            <w:pPr>
              <w:spacing w:after="160" w:line="259" w:lineRule="auto"/>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Responses to each of the above:</w:t>
            </w:r>
          </w:p>
          <w:p w14:paraId="52024FB5" w14:textId="77777777" w:rsidR="00FD1900" w:rsidRPr="006E3A0F" w:rsidRDefault="00FD1900" w:rsidP="00304B2F">
            <w:pPr>
              <w:pStyle w:val="ListParagraph"/>
              <w:numPr>
                <w:ilvl w:val="0"/>
                <w:numId w:val="12"/>
              </w:numPr>
              <w:spacing w:after="160" w:line="259" w:lineRule="auto"/>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It is acceptable to drop the payment submission off at DCA in person in lieu of mail. </w:t>
            </w:r>
          </w:p>
          <w:p w14:paraId="3DB8AEC4" w14:textId="77777777" w:rsidR="00FD1900" w:rsidRPr="006E3A0F" w:rsidRDefault="00FD1900" w:rsidP="00304B2F">
            <w:pPr>
              <w:pStyle w:val="ListParagraph"/>
              <w:numPr>
                <w:ilvl w:val="0"/>
                <w:numId w:val="12"/>
              </w:numPr>
              <w:spacing w:after="160" w:line="259" w:lineRule="auto"/>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If the check was mailed by the Pre-Application deadline, but the check submission is received by DCA after the deadline, that is acceptable.</w:t>
            </w:r>
          </w:p>
          <w:p w14:paraId="71157123" w14:textId="77777777" w:rsidR="00FD1900" w:rsidRPr="006E3A0F" w:rsidRDefault="00FD1900" w:rsidP="00304B2F">
            <w:pPr>
              <w:pStyle w:val="ListParagraph"/>
              <w:numPr>
                <w:ilvl w:val="0"/>
                <w:numId w:val="12"/>
              </w:numPr>
              <w:spacing w:after="160" w:line="259" w:lineRule="auto"/>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All electronic submissions should be submitted through the </w:t>
            </w:r>
            <w:proofErr w:type="spellStart"/>
            <w:r w:rsidRPr="006E3A0F">
              <w:rPr>
                <w:rFonts w:ascii="Times New Roman" w:eastAsia="Times New Roman" w:hAnsi="Times New Roman" w:cs="Times New Roman"/>
                <w:sz w:val="20"/>
                <w:szCs w:val="20"/>
              </w:rPr>
              <w:t>Emphasys</w:t>
            </w:r>
            <w:proofErr w:type="spellEnd"/>
            <w:r w:rsidRPr="006E3A0F">
              <w:rPr>
                <w:rFonts w:ascii="Times New Roman" w:eastAsia="Times New Roman" w:hAnsi="Times New Roman" w:cs="Times New Roman"/>
                <w:sz w:val="20"/>
                <w:szCs w:val="20"/>
              </w:rPr>
              <w:t xml:space="preserve"> Pre-Application. Please do not include a flash drive with your check submission.</w:t>
            </w:r>
          </w:p>
          <w:p w14:paraId="5EA2470C" w14:textId="77777777" w:rsidR="00FD1900" w:rsidRPr="006E3A0F" w:rsidRDefault="00FD1900" w:rsidP="00304B2F">
            <w:pPr>
              <w:pStyle w:val="ListParagraph"/>
              <w:numPr>
                <w:ilvl w:val="0"/>
                <w:numId w:val="12"/>
              </w:numPr>
              <w:spacing w:after="160" w:line="259" w:lineRule="auto"/>
              <w:rPr>
                <w:rFonts w:ascii="Times New Roman" w:eastAsiaTheme="minorEastAsia" w:hAnsi="Times New Roman" w:cs="Times New Roman"/>
                <w:b/>
                <w:bCs/>
                <w:sz w:val="20"/>
                <w:szCs w:val="20"/>
              </w:rPr>
            </w:pPr>
            <w:r w:rsidRPr="006E3A0F">
              <w:rPr>
                <w:rFonts w:ascii="Times New Roman" w:eastAsia="Times New Roman" w:hAnsi="Times New Roman" w:cs="Times New Roman"/>
                <w:b/>
                <w:bCs/>
                <w:sz w:val="20"/>
                <w:szCs w:val="20"/>
              </w:rPr>
              <w:t xml:space="preserve">For your physical check submission to DCA, please include a printed copy of the Submission Summary tab from the Supplemental Pre-Application workbook. </w:t>
            </w:r>
            <w:r w:rsidRPr="006E3A0F">
              <w:rPr>
                <w:rFonts w:ascii="Times New Roman" w:eastAsia="Calibri" w:hAnsi="Times New Roman" w:cs="Times New Roman"/>
                <w:b/>
                <w:bCs/>
                <w:sz w:val="20"/>
                <w:szCs w:val="20"/>
              </w:rPr>
              <w:t xml:space="preserve"> </w:t>
            </w:r>
          </w:p>
        </w:tc>
      </w:tr>
      <w:tr w:rsidR="00FD1900" w:rsidRPr="006E3A0F" w14:paraId="2C409FFD" w14:textId="77777777" w:rsidTr="1995616E">
        <w:trPr>
          <w:jc w:val="center"/>
        </w:trPr>
        <w:tc>
          <w:tcPr>
            <w:tcW w:w="2157" w:type="dxa"/>
            <w:shd w:val="clear" w:color="auto" w:fill="auto"/>
            <w:tcMar>
              <w:top w:w="72" w:type="dxa"/>
              <w:left w:w="115" w:type="dxa"/>
              <w:bottom w:w="72" w:type="dxa"/>
              <w:right w:w="115" w:type="dxa"/>
            </w:tcMar>
            <w:vAlign w:val="center"/>
          </w:tcPr>
          <w:p w14:paraId="30C8843C"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1785C5CB"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9.00</w:t>
            </w:r>
          </w:p>
          <w:p w14:paraId="0201C7FA"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19618363" w14:textId="77777777" w:rsidR="00FD1900" w:rsidRPr="006E3A0F" w:rsidRDefault="00FD1900" w:rsidP="00304B2F">
            <w:pPr>
              <w:rPr>
                <w:rFonts w:ascii="Times New Roman" w:eastAsia="Times New Roman" w:hAnsi="Times New Roman" w:cs="Times New Roman"/>
                <w:b/>
                <w:bCs/>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w:t>
            </w:r>
            <w:r w:rsidRPr="006E3A0F">
              <w:rPr>
                <w:rFonts w:ascii="Times New Roman" w:eastAsia="Times New Roman" w:hAnsi="Times New Roman" w:cs="Times New Roman"/>
                <w:b/>
                <w:bCs/>
                <w:sz w:val="20"/>
                <w:szCs w:val="20"/>
              </w:rPr>
              <w:t xml:space="preserve"> Q22_0310_15</w:t>
            </w:r>
          </w:p>
          <w:p w14:paraId="4CFA1DF8"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I have an urgent question related to my </w:t>
            </w:r>
            <w:proofErr w:type="gramStart"/>
            <w:r w:rsidRPr="006E3A0F">
              <w:rPr>
                <w:rFonts w:ascii="Times New Roman" w:eastAsia="Times New Roman" w:hAnsi="Times New Roman" w:cs="Times New Roman"/>
                <w:sz w:val="20"/>
                <w:szCs w:val="20"/>
              </w:rPr>
              <w:t>Pre-</w:t>
            </w:r>
            <w:proofErr w:type="gramEnd"/>
            <w:r w:rsidRPr="006E3A0F">
              <w:rPr>
                <w:rFonts w:ascii="Times New Roman" w:eastAsia="Times New Roman" w:hAnsi="Times New Roman" w:cs="Times New Roman"/>
                <w:sz w:val="20"/>
                <w:szCs w:val="20"/>
              </w:rPr>
              <w:t>Application since it’s the day of the deadline (Friday, March 11</w:t>
            </w:r>
            <w:r w:rsidRPr="006E3A0F">
              <w:rPr>
                <w:rFonts w:ascii="Times New Roman" w:eastAsia="Times New Roman" w:hAnsi="Times New Roman" w:cs="Times New Roman"/>
                <w:sz w:val="20"/>
                <w:szCs w:val="20"/>
                <w:vertAlign w:val="superscript"/>
              </w:rPr>
              <w:t>th</w:t>
            </w:r>
            <w:r w:rsidRPr="006E3A0F">
              <w:rPr>
                <w:rFonts w:ascii="Times New Roman" w:eastAsia="Times New Roman" w:hAnsi="Times New Roman" w:cs="Times New Roman"/>
                <w:sz w:val="20"/>
                <w:szCs w:val="20"/>
              </w:rPr>
              <w:t xml:space="preserve">). Should I still submit my questions through the online Q&amp;A survey? </w:t>
            </w:r>
          </w:p>
          <w:p w14:paraId="325C9BFF" w14:textId="77777777" w:rsidR="00FD1900" w:rsidRPr="006E3A0F" w:rsidRDefault="00FD1900" w:rsidP="00304B2F">
            <w:pPr>
              <w:rPr>
                <w:rFonts w:ascii="Times New Roman" w:eastAsia="Times New Roman" w:hAnsi="Times New Roman" w:cs="Times New Roman"/>
                <w:sz w:val="20"/>
                <w:szCs w:val="20"/>
              </w:rPr>
            </w:pPr>
          </w:p>
          <w:p w14:paraId="25D94481"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w:t>
            </w:r>
          </w:p>
          <w:p w14:paraId="1B25CB8D"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hAnsi="Times New Roman" w:cs="Times New Roman"/>
                <w:sz w:val="20"/>
                <w:szCs w:val="20"/>
              </w:rPr>
              <w:t>Per the instructions at the top of this document (“</w:t>
            </w:r>
            <w:r w:rsidRPr="006E3A0F">
              <w:rPr>
                <w:rFonts w:ascii="Times New Roman" w:hAnsi="Times New Roman" w:cs="Times New Roman"/>
                <w:b/>
                <w:bCs/>
                <w:sz w:val="20"/>
                <w:szCs w:val="20"/>
              </w:rPr>
              <w:t>Concerned about timing…?</w:t>
            </w:r>
            <w:r w:rsidRPr="006E3A0F">
              <w:rPr>
                <w:rFonts w:ascii="Times New Roman" w:hAnsi="Times New Roman" w:cs="Times New Roman"/>
                <w:sz w:val="20"/>
                <w:szCs w:val="20"/>
              </w:rPr>
              <w:t xml:space="preserve">”), urgent questions can be submitted to </w:t>
            </w:r>
            <w:hyperlink r:id="rId47" w:history="1">
              <w:r w:rsidRPr="006E3A0F">
                <w:rPr>
                  <w:rStyle w:val="Hyperlink"/>
                  <w:rFonts w:ascii="Times New Roman" w:hAnsi="Times New Roman" w:cs="Times New Roman"/>
                  <w:color w:val="auto"/>
                  <w:sz w:val="20"/>
                  <w:szCs w:val="20"/>
                </w:rPr>
                <w:t>hfdround@dca.ga.gov</w:t>
              </w:r>
            </w:hyperlink>
            <w:r w:rsidRPr="006E3A0F">
              <w:rPr>
                <w:rFonts w:ascii="Times New Roman" w:hAnsi="Times New Roman" w:cs="Times New Roman"/>
                <w:sz w:val="20"/>
                <w:szCs w:val="20"/>
              </w:rPr>
              <w:t xml:space="preserve"> for immediate assistance. </w:t>
            </w:r>
          </w:p>
          <w:p w14:paraId="13FEAD07" w14:textId="77777777" w:rsidR="00FD1900" w:rsidRPr="006E3A0F" w:rsidRDefault="00FD1900" w:rsidP="00304B2F">
            <w:pPr>
              <w:rPr>
                <w:rFonts w:ascii="Times New Roman" w:eastAsia="Times New Roman" w:hAnsi="Times New Roman" w:cs="Times New Roman"/>
                <w:b/>
                <w:bCs/>
                <w:sz w:val="20"/>
                <w:szCs w:val="20"/>
              </w:rPr>
            </w:pPr>
            <w:r w:rsidRPr="006E3A0F">
              <w:rPr>
                <w:rFonts w:ascii="Times New Roman" w:eastAsia="Times New Roman" w:hAnsi="Times New Roman" w:cs="Times New Roman"/>
                <w:sz w:val="20"/>
                <w:szCs w:val="20"/>
              </w:rPr>
              <w:t xml:space="preserve"> </w:t>
            </w:r>
            <w:r w:rsidRPr="006E3A0F">
              <w:rPr>
                <w:rFonts w:ascii="Times New Roman" w:eastAsia="Times New Roman" w:hAnsi="Times New Roman" w:cs="Times New Roman"/>
                <w:b/>
                <w:bCs/>
                <w:sz w:val="20"/>
                <w:szCs w:val="20"/>
              </w:rPr>
              <w:t xml:space="preserve"> </w:t>
            </w:r>
          </w:p>
        </w:tc>
      </w:tr>
      <w:tr w:rsidR="00FD1900" w:rsidRPr="006E3A0F" w14:paraId="4696AA73" w14:textId="77777777" w:rsidTr="1995616E">
        <w:trPr>
          <w:jc w:val="center"/>
        </w:trPr>
        <w:tc>
          <w:tcPr>
            <w:tcW w:w="2157" w:type="dxa"/>
            <w:shd w:val="clear" w:color="auto" w:fill="auto"/>
            <w:tcMar>
              <w:top w:w="72" w:type="dxa"/>
              <w:left w:w="115" w:type="dxa"/>
              <w:bottom w:w="72" w:type="dxa"/>
              <w:right w:w="115" w:type="dxa"/>
            </w:tcMar>
            <w:vAlign w:val="center"/>
          </w:tcPr>
          <w:p w14:paraId="46467A76" w14:textId="77777777" w:rsidR="00FD1900" w:rsidRPr="006E3A0F" w:rsidRDefault="00FD1900" w:rsidP="00304B2F">
            <w:pPr>
              <w:rPr>
                <w:rFonts w:ascii="Times New Roman" w:hAnsi="Times New Roman" w:cs="Times New Roman"/>
                <w:noProof/>
                <w:sz w:val="20"/>
                <w:szCs w:val="20"/>
              </w:rPr>
            </w:pPr>
            <w:r w:rsidRPr="006E3A0F">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18D4DAA2"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9.00</w:t>
            </w:r>
          </w:p>
          <w:p w14:paraId="38D4438E"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42307C19"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Q22_03090_05</w:t>
            </w:r>
          </w:p>
          <w:p w14:paraId="591598EE"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There is an option in the Pre-app to submit a </w:t>
            </w:r>
            <w:proofErr w:type="spellStart"/>
            <w:r w:rsidRPr="006E3A0F">
              <w:rPr>
                <w:rFonts w:ascii="Times New Roman" w:eastAsia="Times New Roman" w:hAnsi="Times New Roman" w:cs="Times New Roman"/>
                <w:sz w:val="20"/>
                <w:szCs w:val="20"/>
              </w:rPr>
              <w:t>Resyndication</w:t>
            </w:r>
            <w:proofErr w:type="spellEnd"/>
            <w:r w:rsidRPr="006E3A0F">
              <w:rPr>
                <w:rFonts w:ascii="Times New Roman" w:eastAsia="Times New Roman" w:hAnsi="Times New Roman" w:cs="Times New Roman"/>
                <w:sz w:val="20"/>
                <w:szCs w:val="20"/>
              </w:rPr>
              <w:t xml:space="preserve">-LURC modification and project concept change request. Does this allow for properties applying for </w:t>
            </w:r>
            <w:proofErr w:type="spellStart"/>
            <w:r w:rsidRPr="006E3A0F">
              <w:rPr>
                <w:rFonts w:ascii="Times New Roman" w:eastAsia="Times New Roman" w:hAnsi="Times New Roman" w:cs="Times New Roman"/>
                <w:sz w:val="20"/>
                <w:szCs w:val="20"/>
              </w:rPr>
              <w:t>resyndication</w:t>
            </w:r>
            <w:proofErr w:type="spellEnd"/>
            <w:r w:rsidRPr="006E3A0F">
              <w:rPr>
                <w:rFonts w:ascii="Times New Roman" w:eastAsia="Times New Roman" w:hAnsi="Times New Roman" w:cs="Times New Roman"/>
                <w:sz w:val="20"/>
                <w:szCs w:val="20"/>
              </w:rPr>
              <w:t xml:space="preserve"> the ability to change the set asides in the LURC allowing for Income Averaging on an existing tax credit property? We find nothing in the QAP prohibiting this request.</w:t>
            </w:r>
          </w:p>
          <w:p w14:paraId="2C98D81A" w14:textId="77777777" w:rsidR="00FD1900" w:rsidRPr="006E3A0F" w:rsidRDefault="00FD1900" w:rsidP="00304B2F">
            <w:pPr>
              <w:rPr>
                <w:rFonts w:ascii="Times New Roman" w:eastAsia="Times New Roman" w:hAnsi="Times New Roman" w:cs="Times New Roman"/>
                <w:sz w:val="20"/>
                <w:szCs w:val="20"/>
              </w:rPr>
            </w:pPr>
          </w:p>
          <w:p w14:paraId="7EA717A9"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xml:space="preserve">: </w:t>
            </w:r>
          </w:p>
          <w:p w14:paraId="6B43B3C4"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DCA’s Income Averaging Policy</w:t>
            </w:r>
            <w:r w:rsidRPr="006E3A0F">
              <w:rPr>
                <w:rFonts w:ascii="Times New Roman" w:eastAsia="Times New Roman" w:hAnsi="Times New Roman" w:cs="Times New Roman"/>
                <w:sz w:val="20"/>
                <w:szCs w:val="20"/>
              </w:rPr>
              <w:t xml:space="preserve">, subsection </w:t>
            </w:r>
            <w:r w:rsidRPr="006E3A0F">
              <w:rPr>
                <w:rFonts w:ascii="Times New Roman" w:eastAsia="Times New Roman" w:hAnsi="Times New Roman" w:cs="Times New Roman"/>
                <w:b/>
                <w:bCs/>
                <w:sz w:val="20"/>
                <w:szCs w:val="20"/>
              </w:rPr>
              <w:t>B. DCA adopted requirements and interpretations</w:t>
            </w:r>
            <w:r w:rsidRPr="006E3A0F">
              <w:rPr>
                <w:rFonts w:ascii="Times New Roman" w:eastAsia="Times New Roman" w:hAnsi="Times New Roman" w:cs="Times New Roman"/>
                <w:sz w:val="20"/>
                <w:szCs w:val="20"/>
              </w:rPr>
              <w:t xml:space="preserve"> states the following: “</w:t>
            </w:r>
            <w:r w:rsidRPr="006E3A0F">
              <w:rPr>
                <w:rFonts w:ascii="Times New Roman" w:eastAsia="Times New Roman" w:hAnsi="Times New Roman" w:cs="Times New Roman"/>
                <w:i/>
                <w:iCs/>
                <w:sz w:val="20"/>
                <w:szCs w:val="20"/>
              </w:rPr>
              <w:t xml:space="preserve">2. </w:t>
            </w:r>
            <w:proofErr w:type="spellStart"/>
            <w:r w:rsidRPr="006E3A0F">
              <w:rPr>
                <w:rFonts w:ascii="Times New Roman" w:eastAsia="Times New Roman" w:hAnsi="Times New Roman" w:cs="Times New Roman"/>
                <w:i/>
                <w:iCs/>
                <w:sz w:val="20"/>
                <w:szCs w:val="20"/>
              </w:rPr>
              <w:t>Resyndication</w:t>
            </w:r>
            <w:proofErr w:type="spellEnd"/>
            <w:r w:rsidRPr="006E3A0F">
              <w:rPr>
                <w:rFonts w:ascii="Times New Roman" w:eastAsia="Times New Roman" w:hAnsi="Times New Roman" w:cs="Times New Roman"/>
                <w:i/>
                <w:iCs/>
                <w:sz w:val="20"/>
                <w:szCs w:val="20"/>
              </w:rPr>
              <w:t xml:space="preserve">: Projects with a recorded Housing Tax Credit Land Use Restrictive Covenant (LURC) are ineligible to change the set-aside election at </w:t>
            </w:r>
            <w:proofErr w:type="spellStart"/>
            <w:r w:rsidRPr="006E3A0F">
              <w:rPr>
                <w:rFonts w:ascii="Times New Roman" w:eastAsia="Times New Roman" w:hAnsi="Times New Roman" w:cs="Times New Roman"/>
                <w:i/>
                <w:iCs/>
                <w:sz w:val="20"/>
                <w:szCs w:val="20"/>
              </w:rPr>
              <w:t>resyndication</w:t>
            </w:r>
            <w:proofErr w:type="spellEnd"/>
            <w:r w:rsidRPr="006E3A0F">
              <w:rPr>
                <w:rFonts w:ascii="Times New Roman" w:eastAsia="Times New Roman" w:hAnsi="Times New Roman" w:cs="Times New Roman"/>
                <w:i/>
                <w:iCs/>
                <w:sz w:val="20"/>
                <w:szCs w:val="20"/>
              </w:rPr>
              <w:t>. Only newly constructed buildings, separate from the original project, can elect the Average Income set-aside via a waiver request to DCA. New units/BINs must be treated as a multiple building project, by checking “Yes” on line 8b on the Form 8609.</w:t>
            </w:r>
            <w:r w:rsidRPr="006E3A0F">
              <w:rPr>
                <w:rFonts w:ascii="Times New Roman" w:eastAsia="Times New Roman" w:hAnsi="Times New Roman" w:cs="Times New Roman"/>
                <w:sz w:val="20"/>
                <w:szCs w:val="20"/>
              </w:rPr>
              <w:t>”</w:t>
            </w:r>
          </w:p>
          <w:p w14:paraId="1F544C55" w14:textId="77777777" w:rsidR="00FD1900" w:rsidRPr="006E3A0F" w:rsidRDefault="00FD1900" w:rsidP="00304B2F">
            <w:pPr>
              <w:rPr>
                <w:rFonts w:ascii="Times New Roman" w:eastAsia="Times New Roman" w:hAnsi="Times New Roman" w:cs="Times New Roman"/>
                <w:sz w:val="20"/>
                <w:szCs w:val="20"/>
              </w:rPr>
            </w:pPr>
          </w:p>
          <w:p w14:paraId="0001228A"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To view the Income Averaging Policy, (</w:t>
            </w:r>
            <w:hyperlink r:id="rId48">
              <w:r w:rsidRPr="006E3A0F">
                <w:rPr>
                  <w:rStyle w:val="Hyperlink"/>
                  <w:rFonts w:ascii="Times New Roman" w:eastAsia="Times New Roman" w:hAnsi="Times New Roman" w:cs="Times New Roman"/>
                  <w:color w:val="auto"/>
                  <w:sz w:val="20"/>
                  <w:szCs w:val="20"/>
                </w:rPr>
                <w:t>click here</w:t>
              </w:r>
            </w:hyperlink>
            <w:r w:rsidRPr="006E3A0F">
              <w:rPr>
                <w:rFonts w:ascii="Times New Roman" w:eastAsia="Times New Roman" w:hAnsi="Times New Roman" w:cs="Times New Roman"/>
                <w:sz w:val="20"/>
                <w:szCs w:val="20"/>
              </w:rPr>
              <w:t xml:space="preserve"> for DCA’s Compliance Monitoring homepage, visit the “Tax Credit” page, download “</w:t>
            </w:r>
            <w:r w:rsidRPr="006E3A0F">
              <w:rPr>
                <w:rFonts w:ascii="Times New Roman" w:eastAsia="Times New Roman" w:hAnsi="Times New Roman" w:cs="Times New Roman"/>
                <w:b/>
                <w:bCs/>
                <w:sz w:val="20"/>
                <w:szCs w:val="20"/>
              </w:rPr>
              <w:t>DCA's Average Income Policy (updated 2021)</w:t>
            </w:r>
            <w:r w:rsidRPr="006E3A0F">
              <w:rPr>
                <w:rFonts w:ascii="Times New Roman" w:eastAsia="Times New Roman" w:hAnsi="Times New Roman" w:cs="Times New Roman"/>
                <w:sz w:val="20"/>
                <w:szCs w:val="20"/>
              </w:rPr>
              <w:t xml:space="preserve">, and view subsection </w:t>
            </w:r>
            <w:r w:rsidRPr="006E3A0F">
              <w:rPr>
                <w:rFonts w:ascii="Times New Roman" w:eastAsia="Times New Roman" w:hAnsi="Times New Roman" w:cs="Times New Roman"/>
                <w:b/>
                <w:bCs/>
                <w:sz w:val="20"/>
                <w:szCs w:val="20"/>
              </w:rPr>
              <w:t>B. DCA adopted requirements and interpretations</w:t>
            </w:r>
            <w:r w:rsidRPr="006E3A0F">
              <w:rPr>
                <w:rFonts w:ascii="Times New Roman" w:eastAsia="Times New Roman" w:hAnsi="Times New Roman" w:cs="Times New Roman"/>
                <w:sz w:val="20"/>
                <w:szCs w:val="20"/>
              </w:rPr>
              <w:t>”).</w:t>
            </w:r>
          </w:p>
        </w:tc>
      </w:tr>
      <w:tr w:rsidR="00FD1900" w:rsidRPr="006E3A0F" w14:paraId="7586A596" w14:textId="77777777" w:rsidTr="00E91E6E">
        <w:trPr>
          <w:jc w:val="center"/>
        </w:trPr>
        <w:tc>
          <w:tcPr>
            <w:tcW w:w="2157" w:type="dxa"/>
            <w:shd w:val="clear" w:color="auto" w:fill="auto"/>
            <w:tcMar>
              <w:top w:w="72" w:type="dxa"/>
              <w:left w:w="115" w:type="dxa"/>
              <w:bottom w:w="72" w:type="dxa"/>
              <w:right w:w="115" w:type="dxa"/>
            </w:tcMar>
            <w:vAlign w:val="center"/>
          </w:tcPr>
          <w:p w14:paraId="1D15DEF7"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6B175B41"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 xml:space="preserve">1.13 </w:t>
            </w:r>
          </w:p>
          <w:p w14:paraId="7A14CF49"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 xml:space="preserve">Core Plan; </w:t>
            </w:r>
          </w:p>
          <w:p w14:paraId="0B611B55"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27625071"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Q22_0309_03 </w:t>
            </w:r>
          </w:p>
          <w:p w14:paraId="01B4BA4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I see that the </w:t>
            </w:r>
            <w:r w:rsidRPr="006E3A0F">
              <w:rPr>
                <w:rFonts w:ascii="Times New Roman" w:eastAsia="Times New Roman" w:hAnsi="Times New Roman" w:cs="Times New Roman"/>
                <w:i/>
                <w:iCs/>
                <w:sz w:val="20"/>
                <w:szCs w:val="20"/>
              </w:rPr>
              <w:t>"</w:t>
            </w:r>
            <w:r w:rsidRPr="006E3A0F">
              <w:rPr>
                <w:rFonts w:ascii="Times New Roman" w:eastAsia="Times New Roman" w:hAnsi="Times New Roman" w:cs="Times New Roman"/>
                <w:sz w:val="20"/>
                <w:szCs w:val="20"/>
              </w:rPr>
              <w:t>Rehabilitation Work Scope Form</w:t>
            </w:r>
            <w:r w:rsidRPr="006E3A0F">
              <w:rPr>
                <w:rFonts w:ascii="Times New Roman" w:eastAsia="Times New Roman" w:hAnsi="Times New Roman" w:cs="Times New Roman"/>
                <w:i/>
                <w:iCs/>
                <w:sz w:val="20"/>
                <w:szCs w:val="20"/>
              </w:rPr>
              <w:t xml:space="preserve">" </w:t>
            </w:r>
            <w:r w:rsidRPr="006E3A0F">
              <w:rPr>
                <w:rFonts w:ascii="Times New Roman" w:eastAsia="Times New Roman" w:hAnsi="Times New Roman" w:cs="Times New Roman"/>
                <w:sz w:val="20"/>
                <w:szCs w:val="20"/>
              </w:rPr>
              <w:t>is due at Pre-Application submission.</w:t>
            </w:r>
            <w:r w:rsidRPr="006E3A0F">
              <w:rPr>
                <w:rFonts w:ascii="Times New Roman" w:eastAsia="Times New Roman" w:hAnsi="Times New Roman" w:cs="Times New Roman"/>
                <w:i/>
                <w:iCs/>
                <w:sz w:val="20"/>
                <w:szCs w:val="20"/>
              </w:rPr>
              <w:t xml:space="preserve"> </w:t>
            </w:r>
            <w:r w:rsidRPr="006E3A0F">
              <w:rPr>
                <w:rFonts w:ascii="Times New Roman" w:eastAsia="Times New Roman" w:hAnsi="Times New Roman" w:cs="Times New Roman"/>
                <w:b/>
                <w:bCs/>
                <w:sz w:val="20"/>
                <w:szCs w:val="20"/>
              </w:rPr>
              <w:t>(Threshold Criteria) Rehabilitation Standards</w:t>
            </w:r>
            <w:r w:rsidRPr="006E3A0F">
              <w:rPr>
                <w:rFonts w:ascii="Times New Roman" w:eastAsia="Times New Roman" w:hAnsi="Times New Roman" w:cs="Times New Roman"/>
                <w:sz w:val="20"/>
                <w:szCs w:val="20"/>
              </w:rPr>
              <w:t>, states the following in its discussion of this form: “DCA must be able to determine that the work scope addresses…All remediation issues identified in the Phase I Environmental Site Assessment.” Does this mean that the Phase I is required at Pre-Application submission?  </w:t>
            </w:r>
          </w:p>
          <w:p w14:paraId="0D59C966"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488FFE9C"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57278C2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No, the Phase I is not required at Pre-Application. The above comment is asking about </w:t>
            </w:r>
            <w:r w:rsidRPr="006E3A0F">
              <w:rPr>
                <w:rFonts w:ascii="Times New Roman" w:eastAsia="Times New Roman" w:hAnsi="Times New Roman" w:cs="Times New Roman"/>
                <w:b/>
                <w:bCs/>
                <w:sz w:val="20"/>
                <w:szCs w:val="20"/>
              </w:rPr>
              <w:t>(Threshold Criteria) Rehabilitation Standards</w:t>
            </w:r>
            <w:r w:rsidRPr="006E3A0F">
              <w:rPr>
                <w:rFonts w:ascii="Times New Roman" w:eastAsia="Times New Roman" w:hAnsi="Times New Roman" w:cs="Times New Roman"/>
                <w:sz w:val="20"/>
                <w:szCs w:val="20"/>
              </w:rPr>
              <w:t xml:space="preserve"> as it pertains to </w:t>
            </w:r>
            <w:r w:rsidRPr="006E3A0F">
              <w:rPr>
                <w:rFonts w:ascii="Times New Roman" w:eastAsia="Times New Roman" w:hAnsi="Times New Roman" w:cs="Times New Roman"/>
                <w:b/>
                <w:bCs/>
                <w:sz w:val="20"/>
                <w:szCs w:val="20"/>
              </w:rPr>
              <w:t>(Core Plan) Application Submission Requirements</w:t>
            </w:r>
            <w:r w:rsidRPr="006E3A0F">
              <w:rPr>
                <w:rFonts w:ascii="Times New Roman" w:eastAsia="Times New Roman" w:hAnsi="Times New Roman" w:cs="Times New Roman"/>
                <w:sz w:val="20"/>
                <w:szCs w:val="20"/>
              </w:rPr>
              <w:t xml:space="preserve">, subsection </w:t>
            </w:r>
            <w:r w:rsidRPr="006E3A0F">
              <w:rPr>
                <w:rFonts w:ascii="Times New Roman" w:eastAsia="Times New Roman" w:hAnsi="Times New Roman" w:cs="Times New Roman"/>
                <w:b/>
                <w:bCs/>
                <w:sz w:val="20"/>
                <w:szCs w:val="20"/>
              </w:rPr>
              <w:t>A. Pre-Determinations and Waivers</w:t>
            </w:r>
            <w:r w:rsidRPr="006E3A0F">
              <w:rPr>
                <w:rFonts w:ascii="Times New Roman" w:eastAsia="Times New Roman" w:hAnsi="Times New Roman" w:cs="Times New Roman"/>
                <w:sz w:val="20"/>
                <w:szCs w:val="20"/>
              </w:rPr>
              <w:t>, where it states: “</w:t>
            </w:r>
            <w:r w:rsidRPr="006E3A0F">
              <w:rPr>
                <w:rFonts w:ascii="Times New Roman" w:eastAsia="Times New Roman" w:hAnsi="Times New Roman" w:cs="Times New Roman"/>
                <w:i/>
                <w:iCs/>
                <w:sz w:val="20"/>
                <w:szCs w:val="20"/>
              </w:rPr>
              <w:t>Applications proposing rehabilitation or Adaptive Reuse [must submit the] DCA Rehabilitation Work Scope Form.</w:t>
            </w:r>
            <w:r w:rsidRPr="006E3A0F">
              <w:rPr>
                <w:rFonts w:ascii="Times New Roman" w:eastAsia="Times New Roman" w:hAnsi="Times New Roman" w:cs="Times New Roman"/>
                <w:sz w:val="20"/>
                <w:szCs w:val="20"/>
              </w:rPr>
              <w:t>”  </w:t>
            </w:r>
          </w:p>
          <w:p w14:paraId="23377F38"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231847C9"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The Rehabilitation Work Scope Form only needs to be completed insofar as it supports a </w:t>
            </w:r>
            <w:proofErr w:type="gramStart"/>
            <w:r w:rsidRPr="006E3A0F">
              <w:rPr>
                <w:rFonts w:ascii="Times New Roman" w:eastAsia="Times New Roman" w:hAnsi="Times New Roman" w:cs="Times New Roman"/>
                <w:sz w:val="20"/>
                <w:szCs w:val="20"/>
              </w:rPr>
              <w:t>Pre-</w:t>
            </w:r>
            <w:proofErr w:type="gramEnd"/>
            <w:r w:rsidRPr="006E3A0F">
              <w:rPr>
                <w:rFonts w:ascii="Times New Roman" w:eastAsia="Times New Roman" w:hAnsi="Times New Roman" w:cs="Times New Roman"/>
                <w:sz w:val="20"/>
                <w:szCs w:val="20"/>
              </w:rPr>
              <w:t>Application request (primarily this refers to Architectural Standards waivers and Accessibility waivers). None of the “Pre-Determinations” listed in this section of Core Plan pertain to environmental remediation, therefore any portion of the Rehabilitation Work Scope Form pertaining to the Phase I need not be completed by the Pre-Application deadline.  </w:t>
            </w:r>
          </w:p>
        </w:tc>
      </w:tr>
      <w:tr w:rsidR="00FD1900" w:rsidRPr="006E3A0F" w14:paraId="2D92BD68" w14:textId="77777777" w:rsidTr="00E91E6E">
        <w:trPr>
          <w:jc w:val="center"/>
        </w:trPr>
        <w:tc>
          <w:tcPr>
            <w:tcW w:w="2157" w:type="dxa"/>
            <w:shd w:val="clear" w:color="auto" w:fill="auto"/>
            <w:tcMar>
              <w:top w:w="72" w:type="dxa"/>
              <w:left w:w="115" w:type="dxa"/>
              <w:bottom w:w="72" w:type="dxa"/>
              <w:right w:w="115" w:type="dxa"/>
            </w:tcMar>
            <w:vAlign w:val="center"/>
          </w:tcPr>
          <w:p w14:paraId="498B54D7"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0142A4EF"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 xml:space="preserve">1.13 </w:t>
            </w:r>
          </w:p>
          <w:p w14:paraId="74BE1CB8"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 xml:space="preserve">Core Plan; </w:t>
            </w:r>
          </w:p>
          <w:p w14:paraId="3C60AC04"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63B3ED7E"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Q22_0309_02 </w:t>
            </w:r>
          </w:p>
          <w:p w14:paraId="08AAE507"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If we are not looking to be reviewed for Qualifications at Pre-Application Submission and do not plan to submit any waivers, what do we need to submit on March 11th? </w:t>
            </w:r>
          </w:p>
          <w:p w14:paraId="1F20E063"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4B4CFB33"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634DA712"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If you are not requesting a </w:t>
            </w:r>
            <w:proofErr w:type="gramStart"/>
            <w:r w:rsidRPr="006E3A0F">
              <w:rPr>
                <w:rFonts w:ascii="Times New Roman" w:eastAsia="Times New Roman" w:hAnsi="Times New Roman" w:cs="Times New Roman"/>
                <w:sz w:val="20"/>
                <w:szCs w:val="20"/>
              </w:rPr>
              <w:t>Pre-</w:t>
            </w:r>
            <w:proofErr w:type="gramEnd"/>
            <w:r w:rsidRPr="006E3A0F">
              <w:rPr>
                <w:rFonts w:ascii="Times New Roman" w:eastAsia="Times New Roman" w:hAnsi="Times New Roman" w:cs="Times New Roman"/>
                <w:sz w:val="20"/>
                <w:szCs w:val="20"/>
              </w:rPr>
              <w:t xml:space="preserve">Application stage qualifications review under </w:t>
            </w:r>
            <w:r w:rsidRPr="006E3A0F">
              <w:rPr>
                <w:rFonts w:ascii="Times New Roman" w:eastAsia="Times New Roman" w:hAnsi="Times New Roman" w:cs="Times New Roman"/>
                <w:b/>
                <w:bCs/>
                <w:sz w:val="20"/>
                <w:szCs w:val="20"/>
              </w:rPr>
              <w:t>(Threshold Criteria) Experience, Capacity, and Performance Requirements</w:t>
            </w:r>
            <w:r w:rsidRPr="006E3A0F">
              <w:rPr>
                <w:rFonts w:ascii="Times New Roman" w:eastAsia="Times New Roman" w:hAnsi="Times New Roman" w:cs="Times New Roman"/>
                <w:sz w:val="20"/>
                <w:szCs w:val="20"/>
              </w:rPr>
              <w:t>, and none of the items that must be reviewed during the Pre-Application stage apply to your proposed development, then you are not required to submit anything by the Pre-Application deadline.  </w:t>
            </w:r>
          </w:p>
          <w:p w14:paraId="350F4BAF"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26D752DD"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Please note that there are certain items that must be reviewed at Pre-Application that are neither waivers nor a qualifications review, for example the “Scattered Site Legal Opinion” and the “State basis boost” request listed under </w:t>
            </w:r>
            <w:r w:rsidRPr="006E3A0F">
              <w:rPr>
                <w:rFonts w:ascii="Times New Roman" w:eastAsia="Times New Roman" w:hAnsi="Times New Roman" w:cs="Times New Roman"/>
                <w:b/>
                <w:bCs/>
                <w:sz w:val="20"/>
                <w:szCs w:val="20"/>
              </w:rPr>
              <w:t>(Core Plan) Submission Requirements and Award Limitations</w:t>
            </w:r>
            <w:r w:rsidRPr="006E3A0F">
              <w:rPr>
                <w:rFonts w:ascii="Times New Roman" w:eastAsia="Times New Roman" w:hAnsi="Times New Roman" w:cs="Times New Roman"/>
                <w:sz w:val="20"/>
                <w:szCs w:val="20"/>
              </w:rPr>
              <w:t xml:space="preserve">, subsection </w:t>
            </w:r>
            <w:r w:rsidRPr="006E3A0F">
              <w:rPr>
                <w:rFonts w:ascii="Times New Roman" w:eastAsia="Times New Roman" w:hAnsi="Times New Roman" w:cs="Times New Roman"/>
                <w:b/>
                <w:bCs/>
                <w:sz w:val="20"/>
                <w:szCs w:val="20"/>
              </w:rPr>
              <w:t>A. Pre-Determinations and Waivers</w:t>
            </w:r>
            <w:r w:rsidRPr="006E3A0F">
              <w:rPr>
                <w:rFonts w:ascii="Times New Roman" w:eastAsia="Times New Roman" w:hAnsi="Times New Roman" w:cs="Times New Roman"/>
                <w:sz w:val="20"/>
                <w:szCs w:val="20"/>
              </w:rPr>
              <w:t>.  </w:t>
            </w:r>
          </w:p>
        </w:tc>
      </w:tr>
      <w:tr w:rsidR="00FD1900" w:rsidRPr="006E3A0F" w14:paraId="02A0FA7F" w14:textId="77777777" w:rsidTr="00E91E6E">
        <w:trPr>
          <w:jc w:val="center"/>
        </w:trPr>
        <w:tc>
          <w:tcPr>
            <w:tcW w:w="2157" w:type="dxa"/>
            <w:shd w:val="clear" w:color="auto" w:fill="auto"/>
            <w:tcMar>
              <w:top w:w="72" w:type="dxa"/>
              <w:left w:w="115" w:type="dxa"/>
              <w:bottom w:w="72" w:type="dxa"/>
              <w:right w:w="115" w:type="dxa"/>
            </w:tcMar>
            <w:vAlign w:val="center"/>
          </w:tcPr>
          <w:p w14:paraId="7178FF71"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49EC88E3"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2.03</w:t>
            </w:r>
          </w:p>
          <w:p w14:paraId="124C499B"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13B06A52"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Tenancy Characteristics</w:t>
            </w:r>
          </w:p>
        </w:tc>
        <w:tc>
          <w:tcPr>
            <w:tcW w:w="9590" w:type="dxa"/>
            <w:shd w:val="clear" w:color="auto" w:fill="auto"/>
            <w:tcMar>
              <w:top w:w="72" w:type="dxa"/>
              <w:left w:w="115" w:type="dxa"/>
              <w:bottom w:w="72" w:type="dxa"/>
              <w:right w:w="115" w:type="dxa"/>
            </w:tcMar>
            <w:vAlign w:val="center"/>
          </w:tcPr>
          <w:p w14:paraId="71EB894D"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Q1222_01 </w:t>
            </w:r>
          </w:p>
          <w:p w14:paraId="73FF540B"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Can a project have both Family and Elderly tenancy, with a small portion of units set aside for Elderly? </w:t>
            </w:r>
          </w:p>
          <w:p w14:paraId="25481A9E"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5A31D32C"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447F2C88"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The QAP states in </w:t>
            </w:r>
            <w:r w:rsidRPr="006E3A0F">
              <w:rPr>
                <w:rFonts w:ascii="Times New Roman" w:eastAsia="Times New Roman" w:hAnsi="Times New Roman" w:cs="Times New Roman"/>
                <w:b/>
                <w:bCs/>
                <w:sz w:val="20"/>
                <w:szCs w:val="20"/>
              </w:rPr>
              <w:t>Threshold, Tenancy Characteristics</w:t>
            </w:r>
            <w:r w:rsidRPr="006E3A0F">
              <w:rPr>
                <w:rFonts w:ascii="Times New Roman" w:eastAsia="Times New Roman" w:hAnsi="Times New Roman" w:cs="Times New Roman"/>
                <w:sz w:val="20"/>
                <w:szCs w:val="20"/>
              </w:rPr>
              <w:t>: </w:t>
            </w:r>
          </w:p>
          <w:p w14:paraId="5DDC264F"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61B69AC9" w14:textId="77777777" w:rsidR="00FD1900" w:rsidRPr="006E3A0F" w:rsidRDefault="00FD1900" w:rsidP="00304B2F">
            <w:pPr>
              <w:ind w:left="720"/>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w:t>
            </w:r>
            <w:r w:rsidRPr="006E3A0F">
              <w:rPr>
                <w:rFonts w:ascii="Times New Roman" w:eastAsia="Times New Roman" w:hAnsi="Times New Roman" w:cs="Times New Roman"/>
                <w:i/>
                <w:iCs/>
                <w:sz w:val="20"/>
                <w:szCs w:val="20"/>
              </w:rPr>
              <w:t>All Applicants must designate the proposed development as targeting one of the following tenancies [Family, Senior (Elderly or Housing for Older Persons), Other].”</w:t>
            </w:r>
            <w:r w:rsidRPr="006E3A0F">
              <w:rPr>
                <w:rFonts w:ascii="Times New Roman" w:eastAsia="Times New Roman" w:hAnsi="Times New Roman" w:cs="Times New Roman"/>
                <w:sz w:val="20"/>
                <w:szCs w:val="20"/>
              </w:rPr>
              <w:t> </w:t>
            </w:r>
          </w:p>
          <w:p w14:paraId="355CF50D" w14:textId="77777777" w:rsidR="00FD1900" w:rsidRPr="006E3A0F" w:rsidRDefault="00FD1900" w:rsidP="00304B2F">
            <w:pPr>
              <w:ind w:left="720"/>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4A31BA01"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Applicants must select one tenancy per a</w:t>
            </w:r>
            <w:r w:rsidRPr="006E3A0F">
              <w:rPr>
                <w:rFonts w:ascii="Times New Roman" w:hAnsi="Times New Roman" w:cs="Times New Roman"/>
                <w:sz w:val="20"/>
                <w:szCs w:val="20"/>
              </w:rPr>
              <w:t>pplication</w:t>
            </w:r>
            <w:r w:rsidRPr="006E3A0F">
              <w:rPr>
                <w:rFonts w:ascii="Times New Roman" w:eastAsia="Times New Roman" w:hAnsi="Times New Roman" w:cs="Times New Roman"/>
                <w:sz w:val="20"/>
                <w:szCs w:val="20"/>
              </w:rPr>
              <w:t>. </w:t>
            </w:r>
          </w:p>
          <w:p w14:paraId="70B9A0BC" w14:textId="77777777" w:rsidR="00FD1900" w:rsidRPr="006E3A0F" w:rsidRDefault="00FD1900" w:rsidP="00304B2F">
            <w:pPr>
              <w:textAlignment w:val="baseline"/>
              <w:rPr>
                <w:rStyle w:val="normaltextrun"/>
                <w:rFonts w:ascii="Times New Roman" w:eastAsia="Times New Roman" w:hAnsi="Times New Roman" w:cs="Times New Roman"/>
                <w:sz w:val="20"/>
                <w:szCs w:val="20"/>
              </w:rPr>
            </w:pPr>
          </w:p>
          <w:p w14:paraId="1C584D7A" w14:textId="77777777" w:rsidR="00FD1900" w:rsidRPr="006E3A0F" w:rsidRDefault="00FD1900" w:rsidP="00304B2F">
            <w:pPr>
              <w:textAlignment w:val="baseline"/>
              <w:rPr>
                <w:rStyle w:val="normaltextrun"/>
                <w:rFonts w:ascii="Times New Roman" w:eastAsia="Times New Roman" w:hAnsi="Times New Roman" w:cs="Times New Roman"/>
                <w:sz w:val="20"/>
                <w:szCs w:val="20"/>
              </w:rPr>
            </w:pPr>
            <w:r w:rsidRPr="006E3A0F">
              <w:rPr>
                <w:rStyle w:val="normaltextrun"/>
                <w:rFonts w:ascii="Times New Roman" w:eastAsia="Times New Roman" w:hAnsi="Times New Roman" w:cs="Times New Roman"/>
                <w:sz w:val="20"/>
                <w:szCs w:val="20"/>
              </w:rPr>
              <w:t>Included in this question was the comment that “[This tenancy circumstance] is not contemplated within the current QAP but was common on some projects a few decades ago.” DCA has logged this public input for purposes of 2023 QAP policy development.</w:t>
            </w:r>
          </w:p>
        </w:tc>
      </w:tr>
      <w:tr w:rsidR="00FD1900" w:rsidRPr="006E3A0F" w14:paraId="73040A45" w14:textId="77777777" w:rsidTr="00E91E6E">
        <w:trPr>
          <w:jc w:val="center"/>
        </w:trPr>
        <w:tc>
          <w:tcPr>
            <w:tcW w:w="2157" w:type="dxa"/>
            <w:shd w:val="clear" w:color="auto" w:fill="auto"/>
            <w:tcMar>
              <w:top w:w="72" w:type="dxa"/>
              <w:left w:w="115" w:type="dxa"/>
              <w:bottom w:w="72" w:type="dxa"/>
              <w:right w:w="115" w:type="dxa"/>
            </w:tcMar>
            <w:vAlign w:val="center"/>
          </w:tcPr>
          <w:p w14:paraId="74B67DF3"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180ACCBE"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2.20 </w:t>
            </w:r>
          </w:p>
          <w:p w14:paraId="715D49FF"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22ECA596"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6B993F56"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Q22_0309_05</w:t>
            </w:r>
            <w:r w:rsidRPr="006E3A0F">
              <w:rPr>
                <w:rStyle w:val="eop"/>
                <w:sz w:val="20"/>
                <w:szCs w:val="20"/>
              </w:rPr>
              <w:t> </w:t>
            </w:r>
          </w:p>
          <w:p w14:paraId="711FA9E5"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66C5A682" w14:textId="77777777" w:rsidR="00FD1900" w:rsidRPr="006E3A0F" w:rsidRDefault="00FD1900" w:rsidP="00304B2F">
            <w:pPr>
              <w:pStyle w:val="paragraph"/>
              <w:numPr>
                <w:ilvl w:val="0"/>
                <w:numId w:val="11"/>
              </w:numPr>
              <w:spacing w:before="0" w:beforeAutospacing="0" w:after="0" w:afterAutospacing="0"/>
              <w:ind w:left="1080" w:firstLine="0"/>
              <w:textAlignment w:val="baseline"/>
              <w:rPr>
                <w:rFonts w:eastAsia="MS Mincho"/>
                <w:sz w:val="20"/>
                <w:szCs w:val="20"/>
              </w:rPr>
            </w:pPr>
            <w:r w:rsidRPr="006E3A0F">
              <w:rPr>
                <w:rStyle w:val="normaltextrun"/>
                <w:rFonts w:eastAsia="MS Mincho"/>
                <w:sz w:val="20"/>
                <w:szCs w:val="20"/>
              </w:rPr>
              <w:t xml:space="preserve">Can you provide some examples of the "evidence" of full-time employment and material participation in successful Tax Credit projects that an MBE needs to provide to qualify under Probationary </w:t>
            </w:r>
            <w:proofErr w:type="gramStart"/>
            <w:r w:rsidRPr="006E3A0F">
              <w:rPr>
                <w:rStyle w:val="normaltextrun"/>
                <w:rFonts w:eastAsia="MS Mincho"/>
                <w:sz w:val="20"/>
                <w:szCs w:val="20"/>
              </w:rPr>
              <w:t>Participation.</w:t>
            </w:r>
            <w:proofErr w:type="gramEnd"/>
            <w:r w:rsidRPr="006E3A0F">
              <w:rPr>
                <w:rStyle w:val="normaltextrun"/>
                <w:rFonts w:eastAsia="MS Mincho"/>
                <w:sz w:val="20"/>
                <w:szCs w:val="20"/>
              </w:rPr>
              <w:t xml:space="preserve"> If the MBE developer gained experience as an employee at another development company, then the Partnership documents, etc. would not reflect their material contribution. Can the developer provide a letter from their prior employer?</w:t>
            </w:r>
            <w:r w:rsidRPr="006E3A0F">
              <w:rPr>
                <w:rStyle w:val="scxw67467753"/>
                <w:rFonts w:eastAsia="MS Mincho"/>
                <w:sz w:val="20"/>
                <w:szCs w:val="20"/>
              </w:rPr>
              <w:t> </w:t>
            </w:r>
            <w:r w:rsidRPr="006E3A0F">
              <w:rPr>
                <w:rFonts w:eastAsia="MS Mincho"/>
                <w:sz w:val="20"/>
                <w:szCs w:val="20"/>
              </w:rPr>
              <w:br/>
            </w:r>
            <w:r w:rsidRPr="006E3A0F">
              <w:rPr>
                <w:rStyle w:val="eop"/>
                <w:rFonts w:eastAsia="MS Mincho"/>
                <w:sz w:val="20"/>
                <w:szCs w:val="20"/>
              </w:rPr>
              <w:t> </w:t>
            </w:r>
          </w:p>
          <w:p w14:paraId="4791ADDB" w14:textId="77777777" w:rsidR="00FD1900" w:rsidRPr="006E3A0F" w:rsidRDefault="00FD1900" w:rsidP="00304B2F">
            <w:pPr>
              <w:pStyle w:val="paragraph"/>
              <w:numPr>
                <w:ilvl w:val="0"/>
                <w:numId w:val="11"/>
              </w:numPr>
              <w:spacing w:before="0" w:beforeAutospacing="0" w:after="0" w:afterAutospacing="0"/>
              <w:ind w:left="1080" w:firstLine="0"/>
              <w:textAlignment w:val="baseline"/>
              <w:rPr>
                <w:rFonts w:eastAsia="MS Mincho"/>
                <w:sz w:val="20"/>
                <w:szCs w:val="20"/>
              </w:rPr>
            </w:pPr>
            <w:r w:rsidRPr="006E3A0F">
              <w:rPr>
                <w:rStyle w:val="normaltextrun"/>
                <w:rFonts w:eastAsia="MS Mincho"/>
                <w:sz w:val="20"/>
                <w:szCs w:val="20"/>
              </w:rPr>
              <w:t>What type of evidence is acceptable to show that I have participated in successful Tax Credit deals? Some of my work was with another development company that I no longer work for. Will a letter from my prior employer be acceptable?</w:t>
            </w:r>
            <w:r w:rsidRPr="006E3A0F">
              <w:rPr>
                <w:rStyle w:val="eop"/>
                <w:rFonts w:eastAsia="MS Mincho"/>
                <w:sz w:val="20"/>
                <w:szCs w:val="20"/>
              </w:rPr>
              <w:t> </w:t>
            </w:r>
          </w:p>
          <w:p w14:paraId="3AC7823A"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12DBB27B"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115AD022"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 </w:t>
            </w:r>
            <w:r w:rsidRPr="006E3A0F">
              <w:rPr>
                <w:rStyle w:val="eop"/>
                <w:sz w:val="20"/>
                <w:szCs w:val="20"/>
              </w:rPr>
              <w:t> </w:t>
            </w:r>
          </w:p>
          <w:p w14:paraId="63EF6BB6"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Please provide any evidence available to substantiate full-time employment and material participation. If DCA requires further evidence during the Pre-Application review, staff will reach out to solicit additional information. </w:t>
            </w:r>
            <w:r w:rsidRPr="006E3A0F">
              <w:rPr>
                <w:rStyle w:val="eop"/>
                <w:sz w:val="20"/>
                <w:szCs w:val="20"/>
              </w:rPr>
              <w:t> </w:t>
            </w:r>
          </w:p>
        </w:tc>
      </w:tr>
      <w:tr w:rsidR="00FD1900" w:rsidRPr="006E3A0F" w14:paraId="50568945" w14:textId="77777777" w:rsidTr="00E91E6E">
        <w:trPr>
          <w:jc w:val="center"/>
        </w:trPr>
        <w:tc>
          <w:tcPr>
            <w:tcW w:w="2157" w:type="dxa"/>
            <w:shd w:val="clear" w:color="auto" w:fill="auto"/>
            <w:tcMar>
              <w:top w:w="72" w:type="dxa"/>
              <w:left w:w="115" w:type="dxa"/>
              <w:bottom w:w="72" w:type="dxa"/>
              <w:right w:w="115" w:type="dxa"/>
            </w:tcMar>
            <w:vAlign w:val="center"/>
          </w:tcPr>
          <w:p w14:paraId="7D0ADB25"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248611CE"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2.25</w:t>
            </w:r>
          </w:p>
          <w:p w14:paraId="4665CCF3"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r w:rsidRPr="006E3A0F">
              <w:rPr>
                <w:rFonts w:ascii="Times New Roman" w:hAnsi="Times New Roman" w:cs="Times New Roman"/>
                <w:sz w:val="20"/>
                <w:szCs w:val="20"/>
              </w:rPr>
              <w:t xml:space="preserve"> </w:t>
            </w:r>
          </w:p>
          <w:p w14:paraId="4A745A32"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6CB51AC9"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Q22_0304_45 </w:t>
            </w:r>
          </w:p>
          <w:p w14:paraId="7AD17D1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Page 40 of the 2022 Relocation Manual says that the "Initiation of Negotiation" date for LIHTC-only developments is the date the Applicant executes the Limited Partnership Agreement. Can you please confirm this is the date of the Amended and Restated Agreement when the property is syndicated? </w:t>
            </w:r>
          </w:p>
          <w:p w14:paraId="51B7CC51"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132622DC"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391406D2"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Yes, this is the date of the Amended and Restated Agreement when the property is syndicated. </w:t>
            </w:r>
          </w:p>
        </w:tc>
      </w:tr>
      <w:tr w:rsidR="00FD1900" w:rsidRPr="006E3A0F" w14:paraId="6E5F29A9" w14:textId="77777777" w:rsidTr="00E91E6E">
        <w:trPr>
          <w:jc w:val="center"/>
        </w:trPr>
        <w:tc>
          <w:tcPr>
            <w:tcW w:w="2157" w:type="dxa"/>
            <w:shd w:val="clear" w:color="auto" w:fill="auto"/>
            <w:tcMar>
              <w:top w:w="72" w:type="dxa"/>
              <w:left w:w="115" w:type="dxa"/>
              <w:bottom w:w="72" w:type="dxa"/>
              <w:right w:w="115" w:type="dxa"/>
            </w:tcMar>
            <w:vAlign w:val="center"/>
          </w:tcPr>
          <w:p w14:paraId="22DCF3E2"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1184FA73"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2.28</w:t>
            </w:r>
          </w:p>
          <w:p w14:paraId="3588BCFC"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59C6D3A8"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3BB2B224"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Q22_0309_01 </w:t>
            </w:r>
          </w:p>
          <w:p w14:paraId="5168EE5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(Threshold Criteria) DCA Underwriting Policies</w:t>
            </w:r>
            <w:r w:rsidRPr="006E3A0F">
              <w:rPr>
                <w:rFonts w:ascii="Times New Roman" w:eastAsia="Times New Roman" w:hAnsi="Times New Roman" w:cs="Times New Roman"/>
                <w:sz w:val="20"/>
                <w:szCs w:val="20"/>
              </w:rPr>
              <w:t xml:space="preserve">: requirement </w:t>
            </w:r>
            <w:r w:rsidRPr="006E3A0F">
              <w:rPr>
                <w:rFonts w:ascii="Times New Roman" w:eastAsia="Times New Roman" w:hAnsi="Times New Roman" w:cs="Times New Roman"/>
                <w:b/>
                <w:bCs/>
                <w:sz w:val="20"/>
                <w:szCs w:val="20"/>
              </w:rPr>
              <w:t>11. Distribution across Unit / Bedroom Sizes</w:t>
            </w:r>
            <w:r w:rsidRPr="006E3A0F">
              <w:rPr>
                <w:rFonts w:ascii="Times New Roman" w:eastAsia="Times New Roman" w:hAnsi="Times New Roman" w:cs="Times New Roman"/>
                <w:sz w:val="20"/>
                <w:szCs w:val="20"/>
              </w:rPr>
              <w:t xml:space="preserve">: "a) Rent. Projects with a multi-tiered rent structure must distribute the rents across unit sizes, unit types and buildings. These units need not be </w:t>
            </w:r>
            <w:proofErr w:type="gramStart"/>
            <w:r w:rsidRPr="006E3A0F">
              <w:rPr>
                <w:rFonts w:ascii="Times New Roman" w:eastAsia="Times New Roman" w:hAnsi="Times New Roman" w:cs="Times New Roman"/>
                <w:sz w:val="20"/>
                <w:szCs w:val="20"/>
              </w:rPr>
              <w:t>fixed, but</w:t>
            </w:r>
            <w:proofErr w:type="gramEnd"/>
            <w:r w:rsidRPr="006E3A0F">
              <w:rPr>
                <w:rFonts w:ascii="Times New Roman" w:eastAsia="Times New Roman" w:hAnsi="Times New Roman" w:cs="Times New Roman"/>
                <w:sz w:val="20"/>
                <w:szCs w:val="20"/>
              </w:rPr>
              <w:t xml:space="preserve"> may float in the same way high HOME rent and low HOME rent units may float within a project so long as the units and interior amenities are comparable." </w:t>
            </w:r>
          </w:p>
          <w:p w14:paraId="418B47BB"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174BB484"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Can DCA confirm if this section is only applicable to Income Average unit mixes, or might it also apply to standard 40/60 deals as well?  For instance, if a 40/60 set-aside deal has x-number of units set aside at 60% AMI and x-number of units as market rate, would this distribution requirement apply, considering the combination of 60% units and market rate might be considered a "muti-tiered rent structure".  Likewise, considering a 40/60 set-aside deal that has elected deeper targeting to 58% overall, and has x-number of units at 60% AMI and x-number of units at 50% AMI, would the 60% and 50% units in this scenario be subject to this distribution requirement, as this might be considered a "multi-tiered rent structure"?  </w:t>
            </w:r>
          </w:p>
          <w:p w14:paraId="4E58EECA"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44CD961F"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Is a </w:t>
            </w:r>
            <w:proofErr w:type="gramStart"/>
            <w:r w:rsidRPr="006E3A0F">
              <w:rPr>
                <w:rFonts w:ascii="Times New Roman" w:eastAsia="Times New Roman" w:hAnsi="Times New Roman" w:cs="Times New Roman"/>
                <w:sz w:val="20"/>
                <w:szCs w:val="20"/>
              </w:rPr>
              <w:t>Pre-</w:t>
            </w:r>
            <w:proofErr w:type="gramEnd"/>
            <w:r w:rsidRPr="006E3A0F">
              <w:rPr>
                <w:rFonts w:ascii="Times New Roman" w:eastAsia="Times New Roman" w:hAnsi="Times New Roman" w:cs="Times New Roman"/>
                <w:sz w:val="20"/>
                <w:szCs w:val="20"/>
              </w:rPr>
              <w:t>Application waiver for Distribution Across Unit / Bedroom Sizes only necessary if the applicant is electing an Income Average set-aside and the unit mix difference between the proposed and exact units is not within 2 units? </w:t>
            </w:r>
          </w:p>
          <w:p w14:paraId="1E04FBD4"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403DC251"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1C547026" w14:textId="77777777" w:rsidR="00FD1900" w:rsidRPr="006E3A0F" w:rsidRDefault="00FD1900" w:rsidP="00304B2F">
            <w:pPr>
              <w:textAlignment w:val="baseline"/>
              <w:rPr>
                <w:rStyle w:val="normaltextrun"/>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The above-referenced requirement for “Projects with a multi-tiered rent structure” only applies to applications electing the Average Income Set Aside. See DCA’s Average Income Policy for more information (</w:t>
            </w:r>
            <w:hyperlink r:id="rId49" w:tgtFrame="_blank" w:history="1">
              <w:r w:rsidRPr="006E3A0F">
                <w:rPr>
                  <w:rFonts w:ascii="Times New Roman" w:eastAsia="Times New Roman" w:hAnsi="Times New Roman" w:cs="Times New Roman"/>
                  <w:sz w:val="20"/>
                  <w:szCs w:val="20"/>
                  <w:u w:val="single"/>
                </w:rPr>
                <w:t>click here</w:t>
              </w:r>
            </w:hyperlink>
            <w:r w:rsidRPr="006E3A0F">
              <w:rPr>
                <w:rFonts w:ascii="Times New Roman" w:eastAsia="Times New Roman" w:hAnsi="Times New Roman" w:cs="Times New Roman"/>
                <w:sz w:val="20"/>
                <w:szCs w:val="20"/>
              </w:rPr>
              <w:t xml:space="preserve"> for DCA’s Compliance Monitoring homepage, visit the “Tax Credit” page, download “</w:t>
            </w:r>
            <w:r w:rsidRPr="006E3A0F">
              <w:rPr>
                <w:rFonts w:ascii="Times New Roman" w:eastAsia="Times New Roman" w:hAnsi="Times New Roman" w:cs="Times New Roman"/>
                <w:b/>
                <w:bCs/>
                <w:sz w:val="20"/>
                <w:szCs w:val="20"/>
              </w:rPr>
              <w:t>DCA's Average Income Policy (updated 2021)</w:t>
            </w:r>
            <w:r w:rsidRPr="006E3A0F">
              <w:rPr>
                <w:rFonts w:ascii="Times New Roman" w:eastAsia="Times New Roman" w:hAnsi="Times New Roman" w:cs="Times New Roman"/>
                <w:sz w:val="20"/>
                <w:szCs w:val="20"/>
              </w:rPr>
              <w:t xml:space="preserve">, and view subsection </w:t>
            </w:r>
            <w:r w:rsidRPr="006E3A0F">
              <w:rPr>
                <w:rFonts w:ascii="Times New Roman" w:eastAsia="Times New Roman" w:hAnsi="Times New Roman" w:cs="Times New Roman"/>
                <w:b/>
                <w:bCs/>
                <w:sz w:val="20"/>
                <w:szCs w:val="20"/>
              </w:rPr>
              <w:t>B. DCA adopted requirements and interpretations</w:t>
            </w:r>
            <w:r w:rsidRPr="006E3A0F">
              <w:rPr>
                <w:rFonts w:ascii="Times New Roman" w:eastAsia="Times New Roman" w:hAnsi="Times New Roman" w:cs="Times New Roman"/>
                <w:sz w:val="20"/>
                <w:szCs w:val="20"/>
              </w:rPr>
              <w:t>”). </w:t>
            </w:r>
          </w:p>
        </w:tc>
      </w:tr>
      <w:tr w:rsidR="00FD1900" w:rsidRPr="006E3A0F" w14:paraId="2C2CCFFC" w14:textId="77777777" w:rsidTr="00E91E6E">
        <w:trPr>
          <w:jc w:val="center"/>
        </w:trPr>
        <w:tc>
          <w:tcPr>
            <w:tcW w:w="2157" w:type="dxa"/>
            <w:shd w:val="clear" w:color="auto" w:fill="auto"/>
            <w:tcMar>
              <w:top w:w="72" w:type="dxa"/>
              <w:left w:w="115" w:type="dxa"/>
              <w:bottom w:w="72" w:type="dxa"/>
              <w:right w:w="115" w:type="dxa"/>
            </w:tcMar>
            <w:vAlign w:val="center"/>
          </w:tcPr>
          <w:p w14:paraId="53CE19A7"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24BAECD1"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9.00</w:t>
            </w:r>
          </w:p>
          <w:p w14:paraId="321BDCE7"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71F64EA0"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Q1222_01</w:t>
            </w:r>
            <w:r w:rsidRPr="006E3A0F">
              <w:rPr>
                <w:rStyle w:val="eop"/>
                <w:sz w:val="20"/>
                <w:szCs w:val="20"/>
              </w:rPr>
              <w:t> </w:t>
            </w:r>
          </w:p>
          <w:p w14:paraId="11333F9F"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Could a two-phase development, purchased as one project, be submitted for Credits as one project under one application, given the scoring is the same for both phases?</w:t>
            </w:r>
            <w:r w:rsidRPr="006E3A0F">
              <w:rPr>
                <w:rStyle w:val="eop"/>
                <w:sz w:val="20"/>
                <w:szCs w:val="20"/>
              </w:rPr>
              <w:t> </w:t>
            </w:r>
          </w:p>
          <w:p w14:paraId="761C7506"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3CC26536"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 </w:t>
            </w:r>
            <w:r w:rsidRPr="006E3A0F">
              <w:rPr>
                <w:rStyle w:val="eop"/>
                <w:sz w:val="20"/>
                <w:szCs w:val="20"/>
              </w:rPr>
              <w:t> </w:t>
            </w:r>
          </w:p>
          <w:p w14:paraId="08B1902D"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Yes, assuming the combined application meets all applicable requirements in the QAP, combining both phases of a multi-phase development for one tax credit application is allowed. </w:t>
            </w:r>
            <w:r w:rsidRPr="006E3A0F">
              <w:rPr>
                <w:rStyle w:val="eop"/>
                <w:sz w:val="20"/>
                <w:szCs w:val="20"/>
              </w:rPr>
              <w:t> </w:t>
            </w:r>
          </w:p>
          <w:p w14:paraId="1EF4D3BC"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316B8E6B"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Please also see the following QAP excerpts that may be applicable, depending on the circumstances: </w:t>
            </w:r>
            <w:r w:rsidRPr="006E3A0F">
              <w:rPr>
                <w:rStyle w:val="eop"/>
                <w:sz w:val="20"/>
                <w:szCs w:val="20"/>
              </w:rPr>
              <w:t> </w:t>
            </w:r>
          </w:p>
          <w:p w14:paraId="06435E6A"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6189BD2E" w14:textId="77777777" w:rsidR="00FD1900" w:rsidRPr="006E3A0F" w:rsidRDefault="00FD1900" w:rsidP="00304B2F">
            <w:pPr>
              <w:pStyle w:val="paragraph"/>
              <w:numPr>
                <w:ilvl w:val="0"/>
                <w:numId w:val="10"/>
              </w:numPr>
              <w:spacing w:before="0" w:beforeAutospacing="0" w:after="0" w:afterAutospacing="0"/>
              <w:ind w:left="1080" w:firstLine="0"/>
              <w:textAlignment w:val="baseline"/>
              <w:rPr>
                <w:sz w:val="20"/>
                <w:szCs w:val="20"/>
              </w:rPr>
            </w:pPr>
            <w:r w:rsidRPr="006E3A0F">
              <w:rPr>
                <w:rStyle w:val="normaltextrun"/>
                <w:sz w:val="20"/>
                <w:szCs w:val="20"/>
              </w:rPr>
              <w:t>(</w:t>
            </w:r>
            <w:r w:rsidRPr="006E3A0F">
              <w:rPr>
                <w:rStyle w:val="normaltextrun"/>
                <w:b/>
                <w:bCs/>
                <w:sz w:val="20"/>
                <w:szCs w:val="20"/>
              </w:rPr>
              <w:t>Core Plan</w:t>
            </w:r>
            <w:r w:rsidRPr="006E3A0F">
              <w:rPr>
                <w:rStyle w:val="normaltextrun"/>
                <w:sz w:val="20"/>
                <w:szCs w:val="20"/>
              </w:rPr>
              <w:t xml:space="preserve">), </w:t>
            </w:r>
            <w:r w:rsidRPr="006E3A0F">
              <w:rPr>
                <w:rStyle w:val="normaltextrun"/>
                <w:b/>
                <w:bCs/>
                <w:sz w:val="20"/>
                <w:szCs w:val="20"/>
              </w:rPr>
              <w:t>Eligibility of Certain Project Configurations</w:t>
            </w:r>
            <w:r w:rsidRPr="006E3A0F">
              <w:rPr>
                <w:rStyle w:val="normaltextrun"/>
                <w:sz w:val="20"/>
                <w:szCs w:val="20"/>
              </w:rPr>
              <w:t xml:space="preserve">, subsection </w:t>
            </w:r>
            <w:r w:rsidRPr="006E3A0F">
              <w:rPr>
                <w:rStyle w:val="normaltextrun"/>
                <w:b/>
                <w:bCs/>
                <w:sz w:val="20"/>
                <w:szCs w:val="20"/>
              </w:rPr>
              <w:t>A. Eligibility of Scattered Sites</w:t>
            </w:r>
            <w:r w:rsidRPr="006E3A0F">
              <w:rPr>
                <w:rStyle w:val="normaltextrun"/>
                <w:sz w:val="20"/>
                <w:szCs w:val="20"/>
              </w:rPr>
              <w:t> </w:t>
            </w:r>
            <w:r w:rsidRPr="006E3A0F">
              <w:rPr>
                <w:rStyle w:val="eop"/>
                <w:sz w:val="20"/>
                <w:szCs w:val="20"/>
              </w:rPr>
              <w:t> </w:t>
            </w:r>
          </w:p>
          <w:p w14:paraId="7C2B8225" w14:textId="77777777" w:rsidR="00FD1900" w:rsidRPr="006E3A0F" w:rsidRDefault="00FD1900" w:rsidP="00304B2F">
            <w:pPr>
              <w:pStyle w:val="paragraph"/>
              <w:numPr>
                <w:ilvl w:val="0"/>
                <w:numId w:val="10"/>
              </w:numPr>
              <w:spacing w:before="0" w:beforeAutospacing="0" w:after="0" w:afterAutospacing="0"/>
              <w:ind w:left="1080" w:firstLine="0"/>
              <w:textAlignment w:val="baseline"/>
              <w:rPr>
                <w:sz w:val="20"/>
                <w:szCs w:val="20"/>
              </w:rPr>
            </w:pPr>
            <w:r w:rsidRPr="006E3A0F">
              <w:rPr>
                <w:rStyle w:val="normaltextrun"/>
                <w:b/>
                <w:bCs/>
                <w:sz w:val="20"/>
                <w:szCs w:val="20"/>
              </w:rPr>
              <w:t>(Core Plan) 4% Federal Credit – Bond Financed Projects</w:t>
            </w:r>
            <w:r w:rsidRPr="006E3A0F">
              <w:rPr>
                <w:rStyle w:val="normaltextrun"/>
                <w:sz w:val="20"/>
                <w:szCs w:val="20"/>
              </w:rPr>
              <w:t xml:space="preserve">, subsection </w:t>
            </w:r>
            <w:r w:rsidRPr="006E3A0F">
              <w:rPr>
                <w:rStyle w:val="normaltextrun"/>
                <w:b/>
                <w:bCs/>
                <w:sz w:val="20"/>
                <w:szCs w:val="20"/>
              </w:rPr>
              <w:t>B. Application Restrictions:</w:t>
            </w:r>
            <w:r w:rsidRPr="006E3A0F">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w:t>
            </w:r>
          </w:p>
        </w:tc>
      </w:tr>
      <w:tr w:rsidR="00FD1900" w:rsidRPr="006E3A0F" w14:paraId="19EBFD15" w14:textId="77777777" w:rsidTr="00E91E6E">
        <w:trPr>
          <w:jc w:val="center"/>
        </w:trPr>
        <w:tc>
          <w:tcPr>
            <w:tcW w:w="2157" w:type="dxa"/>
            <w:shd w:val="clear" w:color="auto" w:fill="auto"/>
            <w:tcMar>
              <w:top w:w="72" w:type="dxa"/>
              <w:left w:w="115" w:type="dxa"/>
              <w:bottom w:w="72" w:type="dxa"/>
              <w:right w:w="115" w:type="dxa"/>
            </w:tcMar>
            <w:vAlign w:val="center"/>
          </w:tcPr>
          <w:p w14:paraId="4E33CAD7"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33F98135"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2.20 </w:t>
            </w:r>
          </w:p>
          <w:p w14:paraId="05DEA5B3"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49877687"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6CDB0337"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Q22_0307_02</w:t>
            </w:r>
            <w:r w:rsidRPr="006E3A0F">
              <w:rPr>
                <w:rStyle w:val="eop"/>
                <w:sz w:val="20"/>
                <w:szCs w:val="20"/>
              </w:rPr>
              <w:t> </w:t>
            </w:r>
          </w:p>
          <w:p w14:paraId="29173D95"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The development team is partnering with a public housing authority who owns multiple sites and land ready for redevelopment. The project team and construction type (new) have been identified. However, the final unit mix, site location is still being defined. The ownership structure (developer and GPs) is confirmed but the Proposed Ownership Entity and new GP entities specific to the deal have not been formed with Secretary of State. Can we submit a 2022 Pre-Application for Project Team Qualification Determination only?</w:t>
            </w:r>
            <w:r w:rsidRPr="006E3A0F">
              <w:rPr>
                <w:rStyle w:val="eop"/>
                <w:sz w:val="20"/>
                <w:szCs w:val="20"/>
              </w:rPr>
              <w:t> </w:t>
            </w:r>
          </w:p>
          <w:p w14:paraId="7BA2467B"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1B76D638"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 </w:t>
            </w:r>
            <w:r w:rsidRPr="006E3A0F">
              <w:rPr>
                <w:rStyle w:val="eop"/>
                <w:sz w:val="20"/>
                <w:szCs w:val="20"/>
              </w:rPr>
              <w:t> </w:t>
            </w:r>
          </w:p>
          <w:p w14:paraId="3904EDCC"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 xml:space="preserve">Yes. Project team qualification determinations are made by construction type. Therefore, if a project team is in finalized and the construction type is finalized, the project team can receive a full review for purposes of </w:t>
            </w:r>
            <w:r w:rsidRPr="006E3A0F">
              <w:rPr>
                <w:rStyle w:val="normaltextrun"/>
                <w:b/>
                <w:bCs/>
                <w:sz w:val="20"/>
                <w:szCs w:val="20"/>
              </w:rPr>
              <w:t xml:space="preserve">Experience, Capacity and Performance Requirements </w:t>
            </w:r>
            <w:proofErr w:type="gramStart"/>
            <w:r w:rsidRPr="006E3A0F">
              <w:rPr>
                <w:rStyle w:val="contextualspellingandgrammarerror"/>
                <w:rFonts w:eastAsiaTheme="majorEastAsia"/>
                <w:b/>
                <w:bCs/>
                <w:sz w:val="20"/>
                <w:szCs w:val="20"/>
              </w:rPr>
              <w:t>For</w:t>
            </w:r>
            <w:proofErr w:type="gramEnd"/>
            <w:r w:rsidRPr="006E3A0F">
              <w:rPr>
                <w:rStyle w:val="normaltextrun"/>
                <w:b/>
                <w:bCs/>
                <w:sz w:val="20"/>
                <w:szCs w:val="20"/>
              </w:rPr>
              <w:t xml:space="preserve"> General Partner </w:t>
            </w:r>
            <w:r w:rsidRPr="006E3A0F">
              <w:rPr>
                <w:rStyle w:val="contextualspellingandgrammarerror"/>
                <w:rFonts w:eastAsiaTheme="majorEastAsia"/>
                <w:b/>
                <w:bCs/>
                <w:sz w:val="20"/>
                <w:szCs w:val="20"/>
              </w:rPr>
              <w:t>And</w:t>
            </w:r>
            <w:r w:rsidRPr="006E3A0F">
              <w:rPr>
                <w:rStyle w:val="normaltextrun"/>
                <w:b/>
                <w:bCs/>
                <w:sz w:val="20"/>
                <w:szCs w:val="20"/>
              </w:rPr>
              <w:t xml:space="preserve"> Developer Entities</w:t>
            </w:r>
            <w:r w:rsidRPr="006E3A0F">
              <w:rPr>
                <w:rStyle w:val="normaltextrun"/>
                <w:sz w:val="20"/>
                <w:szCs w:val="20"/>
              </w:rPr>
              <w:t xml:space="preserve"> during the Pre-Application stage: </w:t>
            </w:r>
            <w:r w:rsidRPr="006E3A0F">
              <w:rPr>
                <w:rStyle w:val="eop"/>
                <w:sz w:val="20"/>
                <w:szCs w:val="20"/>
              </w:rPr>
              <w:t> </w:t>
            </w:r>
          </w:p>
          <w:p w14:paraId="0D238194"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262ED5C5" w14:textId="77777777" w:rsidR="00FD1900" w:rsidRPr="006E3A0F" w:rsidRDefault="00FD1900" w:rsidP="00304B2F">
            <w:pPr>
              <w:pStyle w:val="paragraph"/>
              <w:numPr>
                <w:ilvl w:val="0"/>
                <w:numId w:val="9"/>
              </w:numPr>
              <w:spacing w:before="0" w:beforeAutospacing="0" w:after="0" w:afterAutospacing="0"/>
              <w:ind w:left="1080" w:firstLine="0"/>
              <w:textAlignment w:val="baseline"/>
              <w:rPr>
                <w:sz w:val="20"/>
                <w:szCs w:val="20"/>
              </w:rPr>
            </w:pPr>
            <w:r w:rsidRPr="006E3A0F">
              <w:rPr>
                <w:rStyle w:val="normaltextrun"/>
                <w:b/>
                <w:bCs/>
                <w:sz w:val="20"/>
                <w:szCs w:val="20"/>
              </w:rPr>
              <w:t xml:space="preserve">(Threshold Criteria) Experience, Capacity </w:t>
            </w:r>
            <w:proofErr w:type="gramStart"/>
            <w:r w:rsidRPr="006E3A0F">
              <w:rPr>
                <w:rStyle w:val="contextualspellingandgrammarerror"/>
                <w:rFonts w:eastAsiaTheme="majorEastAsia"/>
                <w:b/>
                <w:bCs/>
                <w:sz w:val="20"/>
                <w:szCs w:val="20"/>
              </w:rPr>
              <w:t>And</w:t>
            </w:r>
            <w:proofErr w:type="gramEnd"/>
            <w:r w:rsidRPr="006E3A0F">
              <w:rPr>
                <w:rStyle w:val="normaltextrun"/>
                <w:b/>
                <w:bCs/>
                <w:sz w:val="20"/>
                <w:szCs w:val="20"/>
              </w:rPr>
              <w:t xml:space="preserve"> Performance Requirements </w:t>
            </w:r>
            <w:r w:rsidRPr="006E3A0F">
              <w:rPr>
                <w:rStyle w:val="contextualspellingandgrammarerror"/>
                <w:rFonts w:eastAsiaTheme="majorEastAsia"/>
                <w:b/>
                <w:bCs/>
                <w:sz w:val="20"/>
                <w:szCs w:val="20"/>
              </w:rPr>
              <w:t>For</w:t>
            </w:r>
            <w:r w:rsidRPr="006E3A0F">
              <w:rPr>
                <w:rStyle w:val="normaltextrun"/>
                <w:b/>
                <w:bCs/>
                <w:sz w:val="20"/>
                <w:szCs w:val="20"/>
              </w:rPr>
              <w:t xml:space="preserve"> General Partner </w:t>
            </w:r>
            <w:r w:rsidRPr="006E3A0F">
              <w:rPr>
                <w:rStyle w:val="contextualspellingandgrammarerror"/>
                <w:rFonts w:eastAsiaTheme="majorEastAsia"/>
                <w:b/>
                <w:bCs/>
                <w:sz w:val="20"/>
                <w:szCs w:val="20"/>
              </w:rPr>
              <w:t>And</w:t>
            </w:r>
            <w:r w:rsidRPr="006E3A0F">
              <w:rPr>
                <w:rStyle w:val="normaltextrun"/>
                <w:b/>
                <w:bCs/>
                <w:sz w:val="20"/>
                <w:szCs w:val="20"/>
              </w:rPr>
              <w:t xml:space="preserve"> Developer Entities</w:t>
            </w:r>
            <w:r w:rsidRPr="006E3A0F">
              <w:rPr>
                <w:rStyle w:val="normaltextrun"/>
                <w:sz w:val="20"/>
                <w:szCs w:val="20"/>
              </w:rPr>
              <w:t>: “</w:t>
            </w:r>
            <w:r w:rsidRPr="006E3A0F">
              <w:rPr>
                <w:rStyle w:val="normaltextrun"/>
                <w:i/>
                <w:iCs/>
                <w:sz w:val="20"/>
                <w:szCs w:val="20"/>
              </w:rPr>
              <w:t xml:space="preserve">Project Teams may be reviewed for qualifications at Pre-Application or Application Submission. To receive a full Threshold review at Pre-Application under this section, Applicant must have the project team and construction type finalized by Pre-Application. If either is “To Be Determined,” DCA will not conduct a </w:t>
            </w:r>
            <w:r w:rsidRPr="006E3A0F">
              <w:rPr>
                <w:rStyle w:val="contextualspellingandgrammarerror"/>
                <w:rFonts w:eastAsiaTheme="majorEastAsia"/>
                <w:i/>
                <w:iCs/>
                <w:sz w:val="20"/>
                <w:szCs w:val="20"/>
              </w:rPr>
              <w:t>team qualifications</w:t>
            </w:r>
            <w:r w:rsidRPr="006E3A0F">
              <w:rPr>
                <w:rStyle w:val="normaltextrun"/>
                <w:i/>
                <w:iCs/>
                <w:sz w:val="20"/>
                <w:szCs w:val="20"/>
              </w:rPr>
              <w:t xml:space="preserve"> review during the Pre-Application review phase.</w:t>
            </w:r>
            <w:r w:rsidRPr="006E3A0F">
              <w:rPr>
                <w:rStyle w:val="normaltextrun"/>
                <w:sz w:val="20"/>
                <w:szCs w:val="20"/>
              </w:rPr>
              <w:t>”</w:t>
            </w:r>
            <w:r w:rsidRPr="006E3A0F">
              <w:rPr>
                <w:rStyle w:val="eop"/>
                <w:sz w:val="20"/>
                <w:szCs w:val="20"/>
              </w:rPr>
              <w:t> </w:t>
            </w:r>
          </w:p>
          <w:p w14:paraId="6DCBB996"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3B9B9339"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Further, “Project Team” is defined in (</w:t>
            </w:r>
            <w:r w:rsidRPr="006E3A0F">
              <w:rPr>
                <w:rStyle w:val="normaltextrun"/>
                <w:b/>
                <w:bCs/>
                <w:sz w:val="20"/>
                <w:szCs w:val="20"/>
              </w:rPr>
              <w:t>Core Plan) Definitions</w:t>
            </w:r>
            <w:r w:rsidRPr="006E3A0F">
              <w:rPr>
                <w:rStyle w:val="normaltextrun"/>
                <w:sz w:val="20"/>
                <w:szCs w:val="20"/>
              </w:rPr>
              <w:t xml:space="preserve"> as “the General Partner, Developer, Consultant and the Principal(s) thereof for a proposed.” This definition does not require that an ownership entity specific to the proposed tax credit development be registered with the Secretary of State. Where asked to specify an ownership entity in a </w:t>
            </w:r>
            <w:proofErr w:type="gramStart"/>
            <w:r w:rsidRPr="006E3A0F">
              <w:rPr>
                <w:rStyle w:val="contextualspellingandgrammarerror"/>
                <w:rFonts w:eastAsiaTheme="majorEastAsia"/>
                <w:sz w:val="20"/>
                <w:szCs w:val="20"/>
              </w:rPr>
              <w:t>Pre-</w:t>
            </w:r>
            <w:proofErr w:type="gramEnd"/>
            <w:r w:rsidRPr="006E3A0F">
              <w:rPr>
                <w:rStyle w:val="normaltextrun"/>
                <w:sz w:val="20"/>
                <w:szCs w:val="20"/>
              </w:rPr>
              <w:t>Application form, applicants can input “TBD.”</w:t>
            </w:r>
            <w:r w:rsidRPr="006E3A0F">
              <w:rPr>
                <w:rStyle w:val="eop"/>
                <w:sz w:val="20"/>
                <w:szCs w:val="20"/>
              </w:rPr>
              <w:t> </w:t>
            </w:r>
          </w:p>
          <w:p w14:paraId="5A6BC28E"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73139B0C"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 xml:space="preserve">Therefore, provided none of the other options listed under </w:t>
            </w:r>
            <w:r w:rsidRPr="006E3A0F">
              <w:rPr>
                <w:rStyle w:val="normaltextrun"/>
                <w:b/>
                <w:bCs/>
                <w:sz w:val="20"/>
                <w:szCs w:val="20"/>
              </w:rPr>
              <w:t>(Core Plan) Submission Requirements and Award Limitations</w:t>
            </w:r>
            <w:r w:rsidRPr="006E3A0F">
              <w:rPr>
                <w:rStyle w:val="normaltextrun"/>
                <w:sz w:val="20"/>
                <w:szCs w:val="20"/>
              </w:rPr>
              <w:t xml:space="preserve">, subsection </w:t>
            </w:r>
            <w:r w:rsidRPr="006E3A0F">
              <w:rPr>
                <w:rStyle w:val="normaltextrun"/>
                <w:b/>
                <w:bCs/>
                <w:sz w:val="20"/>
                <w:szCs w:val="20"/>
              </w:rPr>
              <w:t>A. Pre-Determinations and Waivers</w:t>
            </w:r>
            <w:r w:rsidRPr="006E3A0F">
              <w:rPr>
                <w:rStyle w:val="normaltextrun"/>
                <w:sz w:val="20"/>
                <w:szCs w:val="20"/>
              </w:rPr>
              <w:t xml:space="preserve"> applies to the application, the Project Team can submit a </w:t>
            </w:r>
            <w:proofErr w:type="gramStart"/>
            <w:r w:rsidRPr="006E3A0F">
              <w:rPr>
                <w:rStyle w:val="contextualspellingandgrammarerror"/>
                <w:rFonts w:eastAsiaTheme="majorEastAsia"/>
                <w:sz w:val="20"/>
                <w:szCs w:val="20"/>
              </w:rPr>
              <w:t>Pre-</w:t>
            </w:r>
            <w:proofErr w:type="gramEnd"/>
            <w:r w:rsidRPr="006E3A0F">
              <w:rPr>
                <w:rStyle w:val="normaltextrun"/>
                <w:sz w:val="20"/>
                <w:szCs w:val="20"/>
              </w:rPr>
              <w:t xml:space="preserve">Application solely for purposes of receiving a qualification determination review under </w:t>
            </w:r>
            <w:r w:rsidRPr="006E3A0F">
              <w:rPr>
                <w:rStyle w:val="normaltextrun"/>
                <w:b/>
                <w:bCs/>
                <w:sz w:val="20"/>
                <w:szCs w:val="20"/>
              </w:rPr>
              <w:t>Experience, Capacity, and Performance Requirements</w:t>
            </w:r>
            <w:r w:rsidRPr="006E3A0F">
              <w:rPr>
                <w:rStyle w:val="normaltextrun"/>
                <w:sz w:val="20"/>
                <w:szCs w:val="20"/>
              </w:rPr>
              <w:t>. </w:t>
            </w:r>
          </w:p>
          <w:p w14:paraId="523016EA" w14:textId="77777777" w:rsidR="00FD1900" w:rsidRPr="006E3A0F" w:rsidRDefault="00FD1900" w:rsidP="00304B2F">
            <w:pPr>
              <w:contextualSpacing/>
              <w:rPr>
                <w:rFonts w:ascii="Times New Roman" w:hAnsi="Times New Roman" w:cs="Times New Roman"/>
                <w:b/>
                <w:bCs/>
                <w:sz w:val="20"/>
                <w:szCs w:val="20"/>
              </w:rPr>
            </w:pPr>
          </w:p>
        </w:tc>
      </w:tr>
      <w:tr w:rsidR="00FD1900" w:rsidRPr="006E3A0F" w14:paraId="48CF3FD8" w14:textId="77777777" w:rsidTr="00E91E6E">
        <w:trPr>
          <w:jc w:val="center"/>
        </w:trPr>
        <w:tc>
          <w:tcPr>
            <w:tcW w:w="2157" w:type="dxa"/>
            <w:shd w:val="clear" w:color="auto" w:fill="auto"/>
            <w:tcMar>
              <w:top w:w="72" w:type="dxa"/>
              <w:left w:w="115" w:type="dxa"/>
              <w:bottom w:w="72" w:type="dxa"/>
              <w:right w:w="115" w:type="dxa"/>
            </w:tcMar>
            <w:vAlign w:val="center"/>
          </w:tcPr>
          <w:p w14:paraId="0D58BB97"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202142BC"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2.25</w:t>
            </w:r>
          </w:p>
          <w:p w14:paraId="3709E696"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r w:rsidRPr="006E3A0F">
              <w:rPr>
                <w:rFonts w:ascii="Times New Roman" w:hAnsi="Times New Roman" w:cs="Times New Roman"/>
                <w:sz w:val="20"/>
                <w:szCs w:val="20"/>
              </w:rPr>
              <w:t xml:space="preserve"> </w:t>
            </w:r>
          </w:p>
          <w:p w14:paraId="11DFDC7D"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541A72A3"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Question</w:t>
            </w:r>
            <w:r w:rsidRPr="006E3A0F">
              <w:rPr>
                <w:rFonts w:ascii="Times New Roman" w:hAnsi="Times New Roman" w:cs="Times New Roman"/>
                <w:sz w:val="20"/>
                <w:szCs w:val="20"/>
              </w:rPr>
              <w:t>: Q22_0302_03</w:t>
            </w:r>
          </w:p>
          <w:p w14:paraId="15ACBF25"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In the 2022 Supplemental Pre-Application workbook (</w:t>
            </w:r>
            <w:hyperlink r:id="rId50" w:history="1">
              <w:r w:rsidRPr="006E3A0F">
                <w:rPr>
                  <w:rStyle w:val="Hyperlink"/>
                  <w:rFonts w:ascii="Times New Roman" w:eastAsia="Times New Roman" w:hAnsi="Times New Roman" w:cs="Times New Roman"/>
                  <w:color w:val="auto"/>
                  <w:sz w:val="20"/>
                  <w:szCs w:val="20"/>
                </w:rPr>
                <w:t>click here</w:t>
              </w:r>
            </w:hyperlink>
            <w:r w:rsidRPr="006E3A0F">
              <w:rPr>
                <w:rFonts w:ascii="Times New Roman" w:eastAsia="Times New Roman" w:hAnsi="Times New Roman" w:cs="Times New Roman"/>
                <w:sz w:val="20"/>
                <w:szCs w:val="20"/>
              </w:rPr>
              <w:t xml:space="preserve">), a Relocation Summary tab is included. The Instructions tab of this workbook includes the following related language: </w:t>
            </w:r>
          </w:p>
          <w:p w14:paraId="1F2D9F72" w14:textId="77777777" w:rsidR="00FD1900" w:rsidRPr="006E3A0F" w:rsidRDefault="00FD1900" w:rsidP="00304B2F">
            <w:pPr>
              <w:rPr>
                <w:rFonts w:ascii="Times New Roman" w:eastAsia="Times New Roman" w:hAnsi="Times New Roman" w:cs="Times New Roman"/>
                <w:sz w:val="20"/>
                <w:szCs w:val="20"/>
              </w:rPr>
            </w:pPr>
          </w:p>
          <w:p w14:paraId="344AAA50" w14:textId="77777777" w:rsidR="00FD1900" w:rsidRPr="006E3A0F" w:rsidRDefault="00FD1900" w:rsidP="00304B2F">
            <w:pPr>
              <w:ind w:left="720"/>
              <w:rPr>
                <w:rFonts w:ascii="Times New Roman" w:eastAsia="Times New Roman" w:hAnsi="Times New Roman" w:cs="Times New Roman"/>
                <w:i/>
                <w:iCs/>
                <w:sz w:val="20"/>
                <w:szCs w:val="20"/>
              </w:rPr>
            </w:pPr>
            <w:r w:rsidRPr="006E3A0F">
              <w:rPr>
                <w:rFonts w:ascii="Times New Roman" w:eastAsia="Times New Roman" w:hAnsi="Times New Roman" w:cs="Times New Roman"/>
                <w:i/>
                <w:iCs/>
                <w:sz w:val="20"/>
                <w:szCs w:val="20"/>
              </w:rPr>
              <w:t xml:space="preserve">"The Relocation Summary Form, for use only by applicants for Federal funding that have existing occupied residential buildings or businesses on the proposed site, is included in the excel workbook to be attached to your application on </w:t>
            </w:r>
            <w:proofErr w:type="spellStart"/>
            <w:r w:rsidRPr="006E3A0F">
              <w:rPr>
                <w:rFonts w:ascii="Times New Roman" w:eastAsia="Times New Roman" w:hAnsi="Times New Roman" w:cs="Times New Roman"/>
                <w:i/>
                <w:iCs/>
                <w:sz w:val="20"/>
                <w:szCs w:val="20"/>
              </w:rPr>
              <w:t>Emphasys</w:t>
            </w:r>
            <w:proofErr w:type="spellEnd"/>
            <w:r w:rsidRPr="006E3A0F">
              <w:rPr>
                <w:rFonts w:ascii="Times New Roman" w:eastAsia="Times New Roman" w:hAnsi="Times New Roman" w:cs="Times New Roman"/>
                <w:i/>
                <w:iCs/>
                <w:sz w:val="20"/>
                <w:szCs w:val="20"/>
              </w:rPr>
              <w:t>."</w:t>
            </w:r>
          </w:p>
          <w:p w14:paraId="2F7486FF" w14:textId="77777777" w:rsidR="00FD1900" w:rsidRPr="006E3A0F" w:rsidRDefault="00FD1900" w:rsidP="00304B2F">
            <w:pPr>
              <w:rPr>
                <w:rFonts w:ascii="Times New Roman" w:eastAsia="Times New Roman" w:hAnsi="Times New Roman" w:cs="Times New Roman"/>
                <w:sz w:val="20"/>
                <w:szCs w:val="20"/>
              </w:rPr>
            </w:pPr>
          </w:p>
          <w:p w14:paraId="246BA680"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Can DCA confirm if it is necessary to complete this section if there is relocation involved, but there is no Federal funding involved (</w:t>
            </w:r>
            <w:proofErr w:type="spellStart"/>
            <w:proofErr w:type="gramStart"/>
            <w:r w:rsidRPr="006E3A0F">
              <w:rPr>
                <w:rFonts w:ascii="Times New Roman" w:eastAsia="Times New Roman" w:hAnsi="Times New Roman" w:cs="Times New Roman"/>
                <w:sz w:val="20"/>
                <w:szCs w:val="20"/>
              </w:rPr>
              <w:t>ie</w:t>
            </w:r>
            <w:proofErr w:type="spellEnd"/>
            <w:proofErr w:type="gramEnd"/>
            <w:r w:rsidRPr="006E3A0F">
              <w:rPr>
                <w:rFonts w:ascii="Times New Roman" w:eastAsia="Times New Roman" w:hAnsi="Times New Roman" w:cs="Times New Roman"/>
                <w:sz w:val="20"/>
                <w:szCs w:val="20"/>
              </w:rPr>
              <w:t xml:space="preserve"> HOME, CDBG, etc.)?</w:t>
            </w:r>
          </w:p>
          <w:p w14:paraId="50DF4960" w14:textId="77777777" w:rsidR="00FD1900" w:rsidRPr="006E3A0F" w:rsidRDefault="00FD1900" w:rsidP="00304B2F">
            <w:pPr>
              <w:contextualSpacing/>
              <w:rPr>
                <w:rFonts w:ascii="Times New Roman" w:hAnsi="Times New Roman" w:cs="Times New Roman"/>
                <w:sz w:val="20"/>
                <w:szCs w:val="20"/>
              </w:rPr>
            </w:pPr>
          </w:p>
          <w:p w14:paraId="210ECFA7"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b/>
                <w:bCs/>
                <w:sz w:val="20"/>
                <w:szCs w:val="20"/>
              </w:rPr>
              <w:t>Answer</w:t>
            </w:r>
            <w:r w:rsidRPr="006E3A0F">
              <w:rPr>
                <w:rFonts w:ascii="Times New Roman" w:hAnsi="Times New Roman" w:cs="Times New Roman"/>
                <w:sz w:val="20"/>
                <w:szCs w:val="20"/>
              </w:rPr>
              <w:t xml:space="preserve">: </w:t>
            </w:r>
          </w:p>
          <w:p w14:paraId="50410319"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The 2022 QAP states under </w:t>
            </w:r>
            <w:r w:rsidRPr="006E3A0F">
              <w:rPr>
                <w:rFonts w:ascii="Times New Roman" w:hAnsi="Times New Roman" w:cs="Times New Roman"/>
                <w:b/>
                <w:bCs/>
                <w:sz w:val="20"/>
                <w:szCs w:val="20"/>
              </w:rPr>
              <w:t>(Threshold Criteria) Occupied Developments</w:t>
            </w:r>
            <w:r w:rsidRPr="006E3A0F">
              <w:rPr>
                <w:rFonts w:ascii="Times New Roman" w:hAnsi="Times New Roman" w:cs="Times New Roman"/>
                <w:sz w:val="20"/>
                <w:szCs w:val="20"/>
              </w:rPr>
              <w:t>, “</w:t>
            </w:r>
            <w:r w:rsidRPr="006E3A0F">
              <w:rPr>
                <w:rFonts w:ascii="Times New Roman" w:hAnsi="Times New Roman" w:cs="Times New Roman"/>
                <w:i/>
                <w:iCs/>
                <w:sz w:val="20"/>
                <w:szCs w:val="20"/>
              </w:rPr>
              <w:t>All proposed developments with residents and non-residential tenants on-site since the earlier of pre-application, three months prior to Application Submission, and application for federal funds (if applicable) must meet the application and documentation submission requirements below and in the 2022 DCA Relocation Manual.</w:t>
            </w:r>
            <w:r w:rsidRPr="006E3A0F">
              <w:rPr>
                <w:rFonts w:ascii="Times New Roman" w:hAnsi="Times New Roman" w:cs="Times New Roman"/>
                <w:sz w:val="20"/>
                <w:szCs w:val="20"/>
              </w:rPr>
              <w:t>”</w:t>
            </w:r>
          </w:p>
          <w:p w14:paraId="6920B038" w14:textId="77777777" w:rsidR="00FD1900" w:rsidRPr="006E3A0F" w:rsidRDefault="00FD1900" w:rsidP="00304B2F">
            <w:pPr>
              <w:rPr>
                <w:rFonts w:ascii="Times New Roman" w:hAnsi="Times New Roman" w:cs="Times New Roman"/>
                <w:sz w:val="20"/>
                <w:szCs w:val="20"/>
              </w:rPr>
            </w:pPr>
          </w:p>
          <w:p w14:paraId="261541E4"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For purposes of the 2022 Pre-Application process, all developments with structures onsite occupied by residents and non-residential tenants must complete the Relocation Summary tab, regardless of whether the application is for Housing Tax Credits only or also includes federal funding as a source.   </w:t>
            </w:r>
          </w:p>
          <w:p w14:paraId="188D90BC" w14:textId="77777777" w:rsidR="00FD1900" w:rsidRPr="006E3A0F" w:rsidRDefault="00FD1900" w:rsidP="00304B2F">
            <w:pPr>
              <w:rPr>
                <w:rFonts w:ascii="Times New Roman" w:hAnsi="Times New Roman" w:cs="Times New Roman"/>
                <w:sz w:val="20"/>
                <w:szCs w:val="20"/>
              </w:rPr>
            </w:pPr>
          </w:p>
          <w:p w14:paraId="09F64C06" w14:textId="77777777" w:rsidR="00FD1900" w:rsidRPr="006E3A0F" w:rsidRDefault="00FD1900" w:rsidP="00304B2F">
            <w:pPr>
              <w:contextualSpacing/>
              <w:rPr>
                <w:rFonts w:ascii="Times New Roman" w:hAnsi="Times New Roman" w:cs="Times New Roman"/>
                <w:b/>
                <w:bCs/>
                <w:sz w:val="20"/>
                <w:szCs w:val="20"/>
              </w:rPr>
            </w:pPr>
            <w:r w:rsidRPr="006E3A0F">
              <w:rPr>
                <w:rFonts w:ascii="Times New Roman" w:eastAsia="Times New Roman" w:hAnsi="Times New Roman" w:cs="Times New Roman"/>
                <w:sz w:val="20"/>
                <w:szCs w:val="20"/>
              </w:rPr>
              <w:t xml:space="preserve">An updated version of the </w:t>
            </w:r>
            <w:r w:rsidRPr="006E3A0F">
              <w:rPr>
                <w:rFonts w:ascii="Times New Roman" w:eastAsia="Times New Roman" w:hAnsi="Times New Roman" w:cs="Times New Roman"/>
                <w:i/>
                <w:iCs/>
                <w:sz w:val="20"/>
                <w:szCs w:val="20"/>
              </w:rPr>
              <w:t xml:space="preserve">2022 Supplemental Pre-Application </w:t>
            </w:r>
            <w:r w:rsidRPr="006E3A0F">
              <w:rPr>
                <w:rFonts w:ascii="Times New Roman" w:eastAsia="Times New Roman" w:hAnsi="Times New Roman" w:cs="Times New Roman"/>
                <w:sz w:val="20"/>
                <w:szCs w:val="20"/>
              </w:rPr>
              <w:t>form has been posted to the DCA website (</w:t>
            </w:r>
            <w:hyperlink r:id="rId51" w:history="1">
              <w:r w:rsidRPr="006E3A0F">
                <w:rPr>
                  <w:rStyle w:val="Hyperlink"/>
                  <w:rFonts w:ascii="Times New Roman" w:eastAsia="Times New Roman" w:hAnsi="Times New Roman" w:cs="Times New Roman"/>
                  <w:color w:val="auto"/>
                  <w:sz w:val="20"/>
                  <w:szCs w:val="20"/>
                </w:rPr>
                <w:t>click here</w:t>
              </w:r>
            </w:hyperlink>
            <w:r w:rsidRPr="006E3A0F">
              <w:rPr>
                <w:rFonts w:ascii="Times New Roman" w:eastAsia="Times New Roman" w:hAnsi="Times New Roman" w:cs="Times New Roman"/>
                <w:sz w:val="20"/>
                <w:szCs w:val="20"/>
              </w:rPr>
              <w:t>).</w:t>
            </w:r>
          </w:p>
        </w:tc>
      </w:tr>
      <w:tr w:rsidR="00FD1900" w:rsidRPr="006E3A0F" w14:paraId="32758B03" w14:textId="77777777" w:rsidTr="00E91E6E">
        <w:trPr>
          <w:jc w:val="center"/>
        </w:trPr>
        <w:tc>
          <w:tcPr>
            <w:tcW w:w="2157" w:type="dxa"/>
            <w:shd w:val="clear" w:color="auto" w:fill="auto"/>
            <w:tcMar>
              <w:top w:w="72" w:type="dxa"/>
              <w:left w:w="115" w:type="dxa"/>
              <w:bottom w:w="72" w:type="dxa"/>
              <w:right w:w="115" w:type="dxa"/>
            </w:tcMar>
            <w:vAlign w:val="center"/>
          </w:tcPr>
          <w:p w14:paraId="51D12E1D"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60E2F6E9"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2.28</w:t>
            </w:r>
          </w:p>
          <w:p w14:paraId="7E272374"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3E881F0A"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071B8CE4"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Question</w:t>
            </w:r>
            <w:r w:rsidRPr="006E3A0F">
              <w:rPr>
                <w:rFonts w:ascii="Times New Roman" w:hAnsi="Times New Roman" w:cs="Times New Roman"/>
                <w:sz w:val="20"/>
                <w:szCs w:val="20"/>
              </w:rPr>
              <w:t>: Q1025_01</w:t>
            </w:r>
          </w:p>
          <w:p w14:paraId="46F8BA87"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Regarding DCA Underwriting Policies: why can 100% Project-Based Section 8 projects not be underwritten at a 1.15 if lender and investor approves?</w:t>
            </w:r>
          </w:p>
          <w:p w14:paraId="4F18B39F" w14:textId="77777777" w:rsidR="00FD1900" w:rsidRPr="006E3A0F" w:rsidRDefault="00FD1900" w:rsidP="00304B2F">
            <w:pPr>
              <w:contextualSpacing/>
              <w:rPr>
                <w:rFonts w:ascii="Times New Roman" w:hAnsi="Times New Roman" w:cs="Times New Roman"/>
                <w:sz w:val="20"/>
                <w:szCs w:val="20"/>
              </w:rPr>
            </w:pPr>
          </w:p>
          <w:p w14:paraId="01AFA7CB"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Answer</w:t>
            </w:r>
            <w:r w:rsidRPr="006E3A0F">
              <w:rPr>
                <w:rFonts w:ascii="Times New Roman" w:hAnsi="Times New Roman" w:cs="Times New Roman"/>
                <w:sz w:val="20"/>
                <w:szCs w:val="20"/>
              </w:rPr>
              <w:t xml:space="preserve">: </w:t>
            </w:r>
          </w:p>
          <w:p w14:paraId="4AC4BFBB" w14:textId="77777777" w:rsidR="00FD1900" w:rsidRPr="006E3A0F" w:rsidRDefault="00FD1900" w:rsidP="00304B2F">
            <w:pPr>
              <w:contextualSpacing/>
              <w:rPr>
                <w:rFonts w:ascii="Times New Roman" w:hAnsi="Times New Roman" w:cs="Times New Roman"/>
                <w:b/>
                <w:bCs/>
                <w:sz w:val="20"/>
                <w:szCs w:val="20"/>
              </w:rPr>
            </w:pPr>
            <w:r w:rsidRPr="006E3A0F">
              <w:rPr>
                <w:rFonts w:ascii="Times New Roman" w:hAnsi="Times New Roman" w:cs="Times New Roman"/>
                <w:sz w:val="20"/>
                <w:szCs w:val="20"/>
              </w:rPr>
              <w:t xml:space="preserve">The above question is referencing the following requirement in </w:t>
            </w:r>
            <w:r w:rsidRPr="006E3A0F">
              <w:rPr>
                <w:rFonts w:ascii="Times New Roman" w:hAnsi="Times New Roman" w:cs="Times New Roman"/>
                <w:b/>
                <w:bCs/>
                <w:sz w:val="20"/>
                <w:szCs w:val="20"/>
              </w:rPr>
              <w:t xml:space="preserve">(Threshold Criteria) DCA Underwriting Policies, 7. Debt Coverage Ratio (DCR): </w:t>
            </w:r>
            <w:r w:rsidRPr="006E3A0F">
              <w:rPr>
                <w:rFonts w:ascii="Times New Roman" w:hAnsi="Times New Roman" w:cs="Times New Roman"/>
                <w:sz w:val="20"/>
                <w:szCs w:val="20"/>
              </w:rPr>
              <w:t>“As part of its financial feasibility analysis, DCA will require that developments with debt meet, at a minimum, a 1.20 debt coverage ratio for each year of the Compliance Period for new construction and 1.25 for developments involving rehabilitation”</w:t>
            </w:r>
          </w:p>
          <w:p w14:paraId="78FC507C" w14:textId="77777777" w:rsidR="00FD1900" w:rsidRPr="006E3A0F" w:rsidRDefault="00FD1900" w:rsidP="00304B2F">
            <w:pPr>
              <w:contextualSpacing/>
              <w:rPr>
                <w:rFonts w:ascii="Times New Roman" w:hAnsi="Times New Roman" w:cs="Times New Roman"/>
                <w:sz w:val="20"/>
                <w:szCs w:val="20"/>
              </w:rPr>
            </w:pPr>
          </w:p>
          <w:p w14:paraId="02A896F1"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DCA does not adjust the underwriting standards outlined in the QAP based on lender or investor requirements, except in certain circumstances outlined in QAP. For example, from the same above-referenced section: “</w:t>
            </w:r>
            <w:r w:rsidRPr="006E3A0F">
              <w:rPr>
                <w:rFonts w:ascii="Times New Roman" w:eastAsia="Calibri" w:hAnsi="Times New Roman" w:cs="Times New Roman"/>
                <w:i/>
                <w:iCs/>
                <w:sz w:val="20"/>
                <w:szCs w:val="20"/>
              </w:rPr>
              <w:t xml:space="preserve">DCA may waive its minimum debt coverage ratio for USDA 515 developments that clearly demonstrate </w:t>
            </w:r>
            <w:proofErr w:type="gramStart"/>
            <w:r w:rsidRPr="006E3A0F">
              <w:rPr>
                <w:rFonts w:ascii="Times New Roman" w:eastAsia="Calibri" w:hAnsi="Times New Roman" w:cs="Times New Roman"/>
                <w:i/>
                <w:iCs/>
                <w:sz w:val="20"/>
                <w:szCs w:val="20"/>
              </w:rPr>
              <w:t>feasibility, or</w:t>
            </w:r>
            <w:proofErr w:type="gramEnd"/>
            <w:r w:rsidRPr="006E3A0F">
              <w:rPr>
                <w:rFonts w:ascii="Times New Roman" w:eastAsia="Calibri" w:hAnsi="Times New Roman" w:cs="Times New Roman"/>
                <w:i/>
                <w:iCs/>
                <w:sz w:val="20"/>
                <w:szCs w:val="20"/>
              </w:rPr>
              <w:t xml:space="preserve"> reduce it to match other government program funding requirements provided that confirmation from the agency of the required DCR is included in their funding commitment.</w:t>
            </w:r>
            <w:r w:rsidRPr="006E3A0F">
              <w:rPr>
                <w:rFonts w:ascii="Times New Roman" w:eastAsia="Calibri" w:hAnsi="Times New Roman" w:cs="Times New Roman"/>
                <w:sz w:val="20"/>
                <w:szCs w:val="20"/>
              </w:rPr>
              <w:t>”</w:t>
            </w:r>
            <w:r w:rsidRPr="006E3A0F">
              <w:rPr>
                <w:rFonts w:ascii="Times New Roman" w:hAnsi="Times New Roman" w:cs="Times New Roman"/>
                <w:sz w:val="20"/>
                <w:szCs w:val="20"/>
              </w:rPr>
              <w:br/>
            </w:r>
          </w:p>
          <w:p w14:paraId="18B352A0"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Please note that requirements differ for applications without debt (from the same section as above): </w:t>
            </w:r>
            <w:r w:rsidRPr="006E3A0F">
              <w:rPr>
                <w:rFonts w:ascii="Times New Roman" w:eastAsia="Calibri" w:hAnsi="Times New Roman" w:cs="Times New Roman"/>
                <w:i/>
                <w:iCs/>
                <w:sz w:val="20"/>
                <w:szCs w:val="20"/>
              </w:rPr>
              <w:t xml:space="preserve">“Deals with no hard debt are </w:t>
            </w:r>
            <w:proofErr w:type="gramStart"/>
            <w:r w:rsidRPr="006E3A0F">
              <w:rPr>
                <w:rFonts w:ascii="Times New Roman" w:eastAsia="Calibri" w:hAnsi="Times New Roman" w:cs="Times New Roman"/>
                <w:i/>
                <w:iCs/>
                <w:sz w:val="20"/>
                <w:szCs w:val="20"/>
              </w:rPr>
              <w:t>allowed, but</w:t>
            </w:r>
            <w:proofErr w:type="gramEnd"/>
            <w:r w:rsidRPr="006E3A0F">
              <w:rPr>
                <w:rFonts w:ascii="Times New Roman" w:eastAsia="Calibri" w:hAnsi="Times New Roman" w:cs="Times New Roman"/>
                <w:i/>
                <w:iCs/>
                <w:sz w:val="20"/>
                <w:szCs w:val="20"/>
              </w:rPr>
              <w:t xml:space="preserve"> will be subject to additional scrutiny from DCA. Developments submitted with no hard debt will not have a DCR but will be required to undergo a subsidy layering review. This will be determined by a ratio of Effective Gross Income to Total Annual Expenses (including reserve for replacement). A ratio of 1.10 for new construction and 1.15 for developments involving rehabilitation is the minimum required to be considered feasible by DCA in Years 1-15.” </w:t>
            </w:r>
          </w:p>
        </w:tc>
      </w:tr>
      <w:tr w:rsidR="00FD1900" w:rsidRPr="006E3A0F" w14:paraId="1ACEB455" w14:textId="77777777" w:rsidTr="00E91E6E">
        <w:trPr>
          <w:jc w:val="center"/>
        </w:trPr>
        <w:tc>
          <w:tcPr>
            <w:tcW w:w="2157" w:type="dxa"/>
            <w:shd w:val="clear" w:color="auto" w:fill="auto"/>
            <w:tcMar>
              <w:top w:w="72" w:type="dxa"/>
              <w:left w:w="115" w:type="dxa"/>
              <w:bottom w:w="72" w:type="dxa"/>
              <w:right w:w="115" w:type="dxa"/>
            </w:tcMar>
            <w:vAlign w:val="center"/>
          </w:tcPr>
          <w:p w14:paraId="6262B61F"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7FF1C0C3"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2.28</w:t>
            </w:r>
          </w:p>
          <w:p w14:paraId="787D028E"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6ED7FC64"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6EFA7D7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Q1025_02 </w:t>
            </w:r>
          </w:p>
          <w:p w14:paraId="1AAB2E4C"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Regarding DCA Underwriting Policies: why are 100% Project-Based Section 8 projects subjected to a 7% vacancy requirement when given proof that they could be at a 5% vacancy? </w:t>
            </w:r>
          </w:p>
          <w:p w14:paraId="341BCFC9"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29FF1203"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3962B536"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DCA has a </w:t>
            </w:r>
            <w:proofErr w:type="gramStart"/>
            <w:r w:rsidRPr="006E3A0F">
              <w:rPr>
                <w:rFonts w:ascii="Times New Roman" w:eastAsia="Times New Roman" w:hAnsi="Times New Roman" w:cs="Times New Roman"/>
                <w:sz w:val="20"/>
                <w:szCs w:val="20"/>
              </w:rPr>
              <w:t>Pre-</w:t>
            </w:r>
            <w:proofErr w:type="gramEnd"/>
            <w:r w:rsidRPr="006E3A0F">
              <w:rPr>
                <w:rFonts w:ascii="Times New Roman" w:eastAsia="Times New Roman" w:hAnsi="Times New Roman" w:cs="Times New Roman"/>
                <w:sz w:val="20"/>
                <w:szCs w:val="20"/>
              </w:rPr>
              <w:t xml:space="preserve">Application process in which applicants can submit a waiver of underwriting policies (“0104 Underwriting Waiver” in the </w:t>
            </w:r>
            <w:proofErr w:type="spellStart"/>
            <w:r w:rsidRPr="006E3A0F">
              <w:rPr>
                <w:rFonts w:ascii="Times New Roman" w:eastAsia="Times New Roman" w:hAnsi="Times New Roman" w:cs="Times New Roman"/>
                <w:sz w:val="20"/>
                <w:szCs w:val="20"/>
              </w:rPr>
              <w:t>Emphasys</w:t>
            </w:r>
            <w:proofErr w:type="spellEnd"/>
            <w:r w:rsidRPr="006E3A0F">
              <w:rPr>
                <w:rFonts w:ascii="Times New Roman" w:eastAsia="Times New Roman" w:hAnsi="Times New Roman" w:cs="Times New Roman"/>
                <w:sz w:val="20"/>
                <w:szCs w:val="20"/>
              </w:rPr>
              <w:t xml:space="preserve"> Pre-Application).  The Pre-Application should include documentation to substantiate the request.</w:t>
            </w:r>
          </w:p>
        </w:tc>
      </w:tr>
      <w:tr w:rsidR="00FD1900" w:rsidRPr="006E3A0F" w14:paraId="4C908378" w14:textId="77777777" w:rsidTr="00E91E6E">
        <w:trPr>
          <w:jc w:val="center"/>
        </w:trPr>
        <w:tc>
          <w:tcPr>
            <w:tcW w:w="2157" w:type="dxa"/>
            <w:shd w:val="clear" w:color="auto" w:fill="auto"/>
            <w:tcMar>
              <w:top w:w="72" w:type="dxa"/>
              <w:left w:w="115" w:type="dxa"/>
              <w:bottom w:w="72" w:type="dxa"/>
              <w:right w:w="115" w:type="dxa"/>
            </w:tcMar>
            <w:vAlign w:val="center"/>
          </w:tcPr>
          <w:p w14:paraId="06E8E0F2"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2F0A6301"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2.28</w:t>
            </w:r>
          </w:p>
          <w:p w14:paraId="3C84F4F4"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53B61B71"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0C479FFC"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Question</w:t>
            </w:r>
            <w:r w:rsidRPr="006E3A0F">
              <w:rPr>
                <w:rFonts w:ascii="Times New Roman" w:hAnsi="Times New Roman" w:cs="Times New Roman"/>
                <w:sz w:val="20"/>
                <w:szCs w:val="20"/>
              </w:rPr>
              <w:t>: Q22_0304_06</w:t>
            </w:r>
          </w:p>
          <w:p w14:paraId="32D14989"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 Threshold - Underwriting: 11. Distribution across Unit / Bedroom Sizes:</w:t>
            </w:r>
          </w:p>
          <w:p w14:paraId="21FECF15"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o "a) Rent. Projects with a multi-tiered rent structure must distribute the</w:t>
            </w:r>
          </w:p>
          <w:p w14:paraId="475B28F4"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rents across unit sizes, unit types and buildings. These units need not be</w:t>
            </w:r>
          </w:p>
          <w:p w14:paraId="0F3EE7B1"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fixed, but may float in the same way high HOME rent and low HOME rent</w:t>
            </w:r>
          </w:p>
          <w:p w14:paraId="7B4B3CFA"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units may float within a project so long as the units and interior amenities</w:t>
            </w:r>
          </w:p>
          <w:p w14:paraId="106F2E32"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are comparable."</w:t>
            </w:r>
          </w:p>
          <w:p w14:paraId="144BF2E2"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o Can DCA provide unit/rent mix examples illustrating what might be</w:t>
            </w:r>
          </w:p>
          <w:p w14:paraId="40B17CDA"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considered acceptable and unacceptable as it relates to "Projects with a</w:t>
            </w:r>
          </w:p>
          <w:p w14:paraId="740F8C3C"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multi-tiered rent structure must distribute the rents across unit sizes, unit</w:t>
            </w:r>
          </w:p>
          <w:p w14:paraId="1383E039"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types and buildings."?</w:t>
            </w:r>
          </w:p>
          <w:p w14:paraId="453D9916"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o If a unit/rent mix is submitted within the Rent Schedule &amp; Summary tab of</w:t>
            </w:r>
          </w:p>
          <w:p w14:paraId="6726CB8A"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the Pre-Application Submission Form, will DCA provide a response to the</w:t>
            </w:r>
          </w:p>
          <w:p w14:paraId="565B5236"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Pre-Application indicating if the distribution is acceptable or not. If</w:t>
            </w:r>
          </w:p>
          <w:p w14:paraId="086DBCBC"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determined unacceptable, I assume the applicant will have the opportunity</w:t>
            </w:r>
          </w:p>
          <w:p w14:paraId="74EE26F9"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to adjust the mix for what is submitted in the full application, is that correct?</w:t>
            </w:r>
          </w:p>
          <w:p w14:paraId="6F5A24E0" w14:textId="77777777" w:rsidR="00FD1900" w:rsidRPr="006E3A0F" w:rsidRDefault="00FD1900" w:rsidP="00304B2F">
            <w:pPr>
              <w:contextualSpacing/>
              <w:rPr>
                <w:rFonts w:ascii="Times New Roman" w:hAnsi="Times New Roman" w:cs="Times New Roman"/>
                <w:sz w:val="20"/>
                <w:szCs w:val="20"/>
              </w:rPr>
            </w:pPr>
          </w:p>
          <w:p w14:paraId="7045A07B"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Answer</w:t>
            </w:r>
            <w:r w:rsidRPr="006E3A0F">
              <w:rPr>
                <w:rFonts w:ascii="Times New Roman" w:hAnsi="Times New Roman" w:cs="Times New Roman"/>
                <w:sz w:val="20"/>
                <w:szCs w:val="20"/>
              </w:rPr>
              <w:t xml:space="preserve">: </w:t>
            </w:r>
          </w:p>
          <w:p w14:paraId="3A2A794F"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Regarding the request for an example and confirmation of whether a specific mix conforms with the policy: please note that the Revenue and Expenses tab of the Core Application has formulas built in to determine the equal distribution among the unit and bedroom sizes automatically. Per </w:t>
            </w:r>
            <w:r w:rsidRPr="006E3A0F">
              <w:rPr>
                <w:rFonts w:ascii="Times New Roman" w:hAnsi="Times New Roman" w:cs="Times New Roman"/>
                <w:b/>
                <w:bCs/>
                <w:sz w:val="20"/>
                <w:szCs w:val="20"/>
              </w:rPr>
              <w:t>Q0221_02</w:t>
            </w:r>
            <w:r w:rsidRPr="006E3A0F">
              <w:rPr>
                <w:rFonts w:ascii="Times New Roman" w:hAnsi="Times New Roman" w:cs="Times New Roman"/>
                <w:sz w:val="20"/>
                <w:szCs w:val="20"/>
              </w:rPr>
              <w:t xml:space="preserve"> published on 2/25/22, where helpful the most up-to-date Core Application can be used for purposes of a </w:t>
            </w:r>
            <w:proofErr w:type="gramStart"/>
            <w:r w:rsidRPr="006E3A0F">
              <w:rPr>
                <w:rFonts w:ascii="Times New Roman" w:hAnsi="Times New Roman" w:cs="Times New Roman"/>
                <w:sz w:val="20"/>
                <w:szCs w:val="20"/>
              </w:rPr>
              <w:t>Pre-</w:t>
            </w:r>
            <w:proofErr w:type="gramEnd"/>
            <w:r w:rsidRPr="006E3A0F">
              <w:rPr>
                <w:rFonts w:ascii="Times New Roman" w:hAnsi="Times New Roman" w:cs="Times New Roman"/>
                <w:sz w:val="20"/>
                <w:szCs w:val="20"/>
              </w:rPr>
              <w:t xml:space="preserve">Application waiver request (see referenced Q&amp;A for direct link). </w:t>
            </w:r>
          </w:p>
          <w:p w14:paraId="0A7C9176" w14:textId="77777777" w:rsidR="00FD1900" w:rsidRPr="006E3A0F" w:rsidRDefault="00FD1900" w:rsidP="00304B2F">
            <w:pPr>
              <w:rPr>
                <w:rFonts w:ascii="Times New Roman" w:hAnsi="Times New Roman" w:cs="Times New Roman"/>
                <w:sz w:val="20"/>
                <w:szCs w:val="20"/>
              </w:rPr>
            </w:pPr>
          </w:p>
          <w:p w14:paraId="67E51376"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Equal distribution means the difference between the proposed and exact units is within 2 units. See DCA’s Average Income Policy for more information (</w:t>
            </w:r>
            <w:hyperlink r:id="rId52" w:history="1">
              <w:r w:rsidRPr="006E3A0F">
                <w:rPr>
                  <w:rStyle w:val="Hyperlink"/>
                  <w:rFonts w:ascii="Times New Roman" w:hAnsi="Times New Roman" w:cs="Times New Roman"/>
                  <w:color w:val="auto"/>
                  <w:sz w:val="20"/>
                  <w:szCs w:val="20"/>
                </w:rPr>
                <w:t>click here</w:t>
              </w:r>
            </w:hyperlink>
            <w:r w:rsidRPr="006E3A0F">
              <w:rPr>
                <w:rFonts w:ascii="Times New Roman" w:hAnsi="Times New Roman" w:cs="Times New Roman"/>
                <w:sz w:val="20"/>
                <w:szCs w:val="20"/>
              </w:rPr>
              <w:t xml:space="preserve"> for DCA’s Compliance Monitoring homepage, visit the “Tax Credit” page, download “</w:t>
            </w:r>
            <w:r w:rsidRPr="006E3A0F">
              <w:rPr>
                <w:rFonts w:ascii="Times New Roman" w:hAnsi="Times New Roman" w:cs="Times New Roman"/>
                <w:b/>
                <w:bCs/>
                <w:sz w:val="20"/>
                <w:szCs w:val="20"/>
              </w:rPr>
              <w:t>DCA's Average Income Policy (updated 2021)</w:t>
            </w:r>
            <w:r w:rsidRPr="006E3A0F">
              <w:rPr>
                <w:rFonts w:ascii="Times New Roman" w:hAnsi="Times New Roman" w:cs="Times New Roman"/>
                <w:sz w:val="20"/>
                <w:szCs w:val="20"/>
              </w:rPr>
              <w:t xml:space="preserve">, and view subsection </w:t>
            </w:r>
            <w:r w:rsidRPr="006E3A0F">
              <w:rPr>
                <w:rFonts w:ascii="Times New Roman" w:hAnsi="Times New Roman" w:cs="Times New Roman"/>
                <w:b/>
                <w:bCs/>
                <w:sz w:val="20"/>
                <w:szCs w:val="20"/>
              </w:rPr>
              <w:t>B. DCA adopted requirements and interpretations</w:t>
            </w:r>
            <w:r w:rsidRPr="006E3A0F">
              <w:rPr>
                <w:rFonts w:ascii="Times New Roman" w:hAnsi="Times New Roman" w:cs="Times New Roman"/>
                <w:sz w:val="20"/>
                <w:szCs w:val="20"/>
              </w:rPr>
              <w:t>”).</w:t>
            </w:r>
          </w:p>
          <w:p w14:paraId="5A288D87" w14:textId="77777777" w:rsidR="00FD1900" w:rsidRPr="006E3A0F" w:rsidRDefault="00FD1900" w:rsidP="00304B2F">
            <w:pPr>
              <w:rPr>
                <w:rFonts w:ascii="Times New Roman" w:hAnsi="Times New Roman" w:cs="Times New Roman"/>
                <w:sz w:val="20"/>
                <w:szCs w:val="20"/>
              </w:rPr>
            </w:pPr>
          </w:p>
          <w:p w14:paraId="60CA50F4" w14:textId="77777777" w:rsidR="00FD1900" w:rsidRPr="006E3A0F" w:rsidRDefault="00FD1900" w:rsidP="00304B2F">
            <w:pPr>
              <w:contextualSpacing/>
              <w:rPr>
                <w:rFonts w:ascii="Times New Roman" w:hAnsi="Times New Roman" w:cs="Times New Roman"/>
                <w:b/>
                <w:bCs/>
                <w:sz w:val="20"/>
                <w:szCs w:val="20"/>
              </w:rPr>
            </w:pPr>
            <w:r w:rsidRPr="006E3A0F">
              <w:rPr>
                <w:rFonts w:ascii="Times New Roman" w:hAnsi="Times New Roman" w:cs="Times New Roman"/>
                <w:sz w:val="20"/>
                <w:szCs w:val="20"/>
              </w:rPr>
              <w:t>DCA will accept pre-applications for waivers of this requirement.</w:t>
            </w:r>
          </w:p>
        </w:tc>
      </w:tr>
      <w:tr w:rsidR="00FD1900" w:rsidRPr="006E3A0F" w14:paraId="3D491B4C" w14:textId="77777777" w:rsidTr="00E91E6E">
        <w:trPr>
          <w:jc w:val="center"/>
        </w:trPr>
        <w:tc>
          <w:tcPr>
            <w:tcW w:w="2157" w:type="dxa"/>
            <w:shd w:val="clear" w:color="auto" w:fill="auto"/>
            <w:tcMar>
              <w:top w:w="72" w:type="dxa"/>
              <w:left w:w="115" w:type="dxa"/>
              <w:bottom w:w="72" w:type="dxa"/>
              <w:right w:w="115" w:type="dxa"/>
            </w:tcMar>
            <w:vAlign w:val="center"/>
          </w:tcPr>
          <w:p w14:paraId="5F1082D6"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17782955"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2.28 </w:t>
            </w:r>
          </w:p>
          <w:p w14:paraId="77D65055"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73D4BE64"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DCA Underwriting Policies </w:t>
            </w:r>
          </w:p>
        </w:tc>
        <w:tc>
          <w:tcPr>
            <w:tcW w:w="9590" w:type="dxa"/>
            <w:shd w:val="clear" w:color="auto" w:fill="auto"/>
            <w:tcMar>
              <w:top w:w="72" w:type="dxa"/>
              <w:left w:w="115" w:type="dxa"/>
              <w:bottom w:w="72" w:type="dxa"/>
              <w:right w:w="115" w:type="dxa"/>
            </w:tcMar>
            <w:vAlign w:val="center"/>
          </w:tcPr>
          <w:p w14:paraId="439909B9"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Question</w:t>
            </w:r>
            <w:r w:rsidRPr="006E3A0F">
              <w:rPr>
                <w:rFonts w:ascii="Times New Roman" w:hAnsi="Times New Roman" w:cs="Times New Roman"/>
                <w:sz w:val="20"/>
                <w:szCs w:val="20"/>
              </w:rPr>
              <w:t>: Q22_0304_03</w:t>
            </w:r>
          </w:p>
          <w:p w14:paraId="6116E0BC"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In our underwriting model, we are meeting the DCR requirements, and a waiver is not required. If, prior to closing, USDA RD changes certain underwriting metrics during their underwriting approval process, it is understood that the owner would need to accept those changes. If any changes were required that make the project no longer meet the DCA DCR requirements, can you please confirm that DCA will work with the owner to accept these changes even though a waiver request is not submitted at pre-app?</w:t>
            </w:r>
          </w:p>
          <w:p w14:paraId="45B88708" w14:textId="77777777" w:rsidR="00FD1900" w:rsidRPr="006E3A0F" w:rsidRDefault="00FD1900" w:rsidP="00304B2F">
            <w:pPr>
              <w:contextualSpacing/>
              <w:rPr>
                <w:rFonts w:ascii="Times New Roman" w:hAnsi="Times New Roman" w:cs="Times New Roman"/>
                <w:sz w:val="20"/>
                <w:szCs w:val="20"/>
              </w:rPr>
            </w:pPr>
          </w:p>
          <w:p w14:paraId="5321059D"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Answer</w:t>
            </w:r>
            <w:r w:rsidRPr="006E3A0F">
              <w:rPr>
                <w:rFonts w:ascii="Times New Roman" w:hAnsi="Times New Roman" w:cs="Times New Roman"/>
                <w:sz w:val="20"/>
                <w:szCs w:val="20"/>
              </w:rPr>
              <w:t xml:space="preserve">: </w:t>
            </w:r>
          </w:p>
          <w:p w14:paraId="34E12B5B" w14:textId="77777777" w:rsidR="00FD1900" w:rsidRPr="006E3A0F" w:rsidRDefault="00FD1900" w:rsidP="00304B2F">
            <w:pPr>
              <w:textAlignment w:val="baseline"/>
              <w:rPr>
                <w:rFonts w:ascii="Times New Roman" w:eastAsia="Times New Roman" w:hAnsi="Times New Roman" w:cs="Times New Roman"/>
                <w:b/>
                <w:bCs/>
                <w:sz w:val="20"/>
                <w:szCs w:val="20"/>
              </w:rPr>
            </w:pPr>
            <w:r w:rsidRPr="006E3A0F">
              <w:rPr>
                <w:rFonts w:ascii="Times New Roman" w:hAnsi="Times New Roman" w:cs="Times New Roman"/>
                <w:sz w:val="20"/>
                <w:szCs w:val="20"/>
              </w:rPr>
              <w:t xml:space="preserve">DCA requires a </w:t>
            </w:r>
            <w:proofErr w:type="gramStart"/>
            <w:r w:rsidRPr="006E3A0F">
              <w:rPr>
                <w:rFonts w:ascii="Times New Roman" w:hAnsi="Times New Roman" w:cs="Times New Roman"/>
                <w:sz w:val="20"/>
                <w:szCs w:val="20"/>
              </w:rPr>
              <w:t>Pre-</w:t>
            </w:r>
            <w:proofErr w:type="gramEnd"/>
            <w:r w:rsidRPr="006E3A0F">
              <w:rPr>
                <w:rFonts w:ascii="Times New Roman" w:hAnsi="Times New Roman" w:cs="Times New Roman"/>
                <w:sz w:val="20"/>
                <w:szCs w:val="20"/>
              </w:rPr>
              <w:t>Application waiver request for any underwriting requirements that will not be met in the Full Application (May submission). DCA’s expectation is that all underwriting approved during the initial application review will be met at Final Allocation Application (8609 submission). DCA does not by default accept requirements imposed by third parties after a Full Application has been awarded. Absent seeing a specific waiver request with supporting documentation for the envisioned changes, DCA cannot provide further guidance.</w:t>
            </w:r>
          </w:p>
        </w:tc>
      </w:tr>
      <w:tr w:rsidR="00FD1900" w:rsidRPr="006E3A0F" w14:paraId="39E5202E" w14:textId="77777777" w:rsidTr="00E91E6E">
        <w:trPr>
          <w:jc w:val="center"/>
        </w:trPr>
        <w:tc>
          <w:tcPr>
            <w:tcW w:w="2157" w:type="dxa"/>
            <w:shd w:val="clear" w:color="auto" w:fill="auto"/>
            <w:tcMar>
              <w:top w:w="72" w:type="dxa"/>
              <w:left w:w="115" w:type="dxa"/>
              <w:bottom w:w="72" w:type="dxa"/>
              <w:right w:w="115" w:type="dxa"/>
            </w:tcMar>
            <w:vAlign w:val="center"/>
          </w:tcPr>
          <w:p w14:paraId="38A91943"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4A3AF356"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6.00</w:t>
            </w:r>
          </w:p>
          <w:p w14:paraId="5295F578" w14:textId="77777777" w:rsidR="00FD1900" w:rsidRPr="006E3A0F" w:rsidRDefault="00FD1900" w:rsidP="00304B2F">
            <w:pPr>
              <w:rPr>
                <w:rFonts w:ascii="Times New Roman" w:hAnsi="Times New Roman" w:cs="Times New Roman"/>
                <w:sz w:val="20"/>
                <w:szCs w:val="20"/>
              </w:rPr>
            </w:pPr>
            <w:proofErr w:type="spellStart"/>
            <w:r w:rsidRPr="006E3A0F">
              <w:rPr>
                <w:rFonts w:ascii="Times New Roman" w:hAnsi="Times New Roman" w:cs="Times New Roman"/>
                <w:sz w:val="20"/>
                <w:szCs w:val="20"/>
              </w:rPr>
              <w:t>Emphasys</w:t>
            </w:r>
            <w:proofErr w:type="spellEnd"/>
            <w:r w:rsidRPr="006E3A0F">
              <w:rPr>
                <w:rFonts w:ascii="Times New Roman" w:hAnsi="Times New Roman" w:cs="Times New Roman"/>
                <w:sz w:val="20"/>
                <w:szCs w:val="20"/>
              </w:rPr>
              <w:t xml:space="preserve"> </w:t>
            </w:r>
          </w:p>
        </w:tc>
        <w:tc>
          <w:tcPr>
            <w:tcW w:w="9590" w:type="dxa"/>
            <w:shd w:val="clear" w:color="auto" w:fill="auto"/>
            <w:tcMar>
              <w:top w:w="72" w:type="dxa"/>
              <w:left w:w="115" w:type="dxa"/>
              <w:bottom w:w="72" w:type="dxa"/>
              <w:right w:w="115" w:type="dxa"/>
            </w:tcMar>
            <w:vAlign w:val="center"/>
          </w:tcPr>
          <w:p w14:paraId="5DF6E485"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Question</w:t>
            </w:r>
            <w:r w:rsidRPr="006E3A0F">
              <w:rPr>
                <w:rFonts w:ascii="Times New Roman" w:hAnsi="Times New Roman" w:cs="Times New Roman"/>
                <w:sz w:val="20"/>
                <w:szCs w:val="20"/>
              </w:rPr>
              <w:t>: Q22_0304_04</w:t>
            </w:r>
          </w:p>
          <w:p w14:paraId="63A999AE"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 xml:space="preserve">On the pre-application checklist in the application on </w:t>
            </w:r>
            <w:proofErr w:type="spellStart"/>
            <w:r w:rsidRPr="006E3A0F">
              <w:rPr>
                <w:rFonts w:ascii="Times New Roman" w:hAnsi="Times New Roman" w:cs="Times New Roman"/>
                <w:sz w:val="20"/>
                <w:szCs w:val="20"/>
              </w:rPr>
              <w:t>Emphasys</w:t>
            </w:r>
            <w:proofErr w:type="spellEnd"/>
            <w:r w:rsidRPr="006E3A0F">
              <w:rPr>
                <w:rFonts w:ascii="Times New Roman" w:hAnsi="Times New Roman" w:cs="Times New Roman"/>
                <w:sz w:val="20"/>
                <w:szCs w:val="20"/>
              </w:rPr>
              <w:t>, under 01 Waivers, there is an option to check yes or no for 0106 Income Averaging. If you select yes, there is a $1,500 fee due. I don't see in the QAP where there is a fee for income averaging, besides the monitoring fee, and I don't see where we need to request a waiver for income averaging. Is this line item asking if we are choosing income averaging, or am I misunderstanding the line item?</w:t>
            </w:r>
          </w:p>
          <w:p w14:paraId="7C79A078" w14:textId="77777777" w:rsidR="00FD1900" w:rsidRPr="006E3A0F" w:rsidRDefault="00FD1900" w:rsidP="00304B2F">
            <w:pPr>
              <w:rPr>
                <w:rFonts w:ascii="Times New Roman" w:hAnsi="Times New Roman" w:cs="Times New Roman"/>
                <w:sz w:val="20"/>
                <w:szCs w:val="20"/>
              </w:rPr>
            </w:pPr>
          </w:p>
          <w:p w14:paraId="610E09E3"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Answer</w:t>
            </w:r>
            <w:r w:rsidRPr="006E3A0F">
              <w:rPr>
                <w:rFonts w:ascii="Times New Roman" w:hAnsi="Times New Roman" w:cs="Times New Roman"/>
                <w:sz w:val="20"/>
                <w:szCs w:val="20"/>
              </w:rPr>
              <w:t xml:space="preserve">: </w:t>
            </w:r>
          </w:p>
          <w:p w14:paraId="729E31B0" w14:textId="77777777" w:rsidR="00FD1900" w:rsidRPr="006E3A0F" w:rsidRDefault="00FD1900" w:rsidP="00304B2F">
            <w:pPr>
              <w:contextualSpacing/>
              <w:rPr>
                <w:rFonts w:ascii="Times New Roman" w:hAnsi="Times New Roman" w:cs="Times New Roman"/>
                <w:b/>
                <w:bCs/>
                <w:sz w:val="20"/>
                <w:szCs w:val="20"/>
              </w:rPr>
            </w:pPr>
            <w:r w:rsidRPr="006E3A0F">
              <w:rPr>
                <w:rFonts w:ascii="Times New Roman" w:hAnsi="Times New Roman" w:cs="Times New Roman"/>
                <w:sz w:val="20"/>
                <w:szCs w:val="20"/>
              </w:rPr>
              <w:t xml:space="preserve">Unless an Applicant is seeking a waiver for the DCA requirement that income limits be proportionately distributed among bedroom sizes, Applicants should not select this option. </w:t>
            </w:r>
            <w:r w:rsidRPr="006E3A0F">
              <w:rPr>
                <w:rFonts w:ascii="Times New Roman" w:eastAsia="Calibri" w:hAnsi="Times New Roman" w:cs="Times New Roman"/>
                <w:sz w:val="20"/>
                <w:szCs w:val="20"/>
              </w:rPr>
              <w:t>See DCA’s Average Income Policy for more information (</w:t>
            </w:r>
            <w:hyperlink r:id="rId53" w:history="1">
              <w:r w:rsidRPr="006E3A0F">
                <w:rPr>
                  <w:rStyle w:val="Hyperlink"/>
                  <w:rFonts w:ascii="Times New Roman" w:eastAsia="Calibri" w:hAnsi="Times New Roman" w:cs="Times New Roman"/>
                  <w:color w:val="auto"/>
                  <w:sz w:val="20"/>
                  <w:szCs w:val="20"/>
                </w:rPr>
                <w:t>click here</w:t>
              </w:r>
            </w:hyperlink>
            <w:r w:rsidRPr="006E3A0F">
              <w:rPr>
                <w:rFonts w:ascii="Times New Roman" w:eastAsia="Calibri" w:hAnsi="Times New Roman" w:cs="Times New Roman"/>
                <w:sz w:val="20"/>
                <w:szCs w:val="20"/>
              </w:rPr>
              <w:t xml:space="preserve"> for DCA’s Compliance Monitoring homepage, visit the “Tax Credit” page, download “</w:t>
            </w:r>
            <w:r w:rsidRPr="006E3A0F">
              <w:rPr>
                <w:rFonts w:ascii="Times New Roman" w:eastAsia="Calibri" w:hAnsi="Times New Roman" w:cs="Times New Roman"/>
                <w:b/>
                <w:bCs/>
                <w:sz w:val="20"/>
                <w:szCs w:val="20"/>
              </w:rPr>
              <w:t>DCA's Average Income Policy (updated 2021)</w:t>
            </w:r>
            <w:r w:rsidRPr="006E3A0F">
              <w:rPr>
                <w:rFonts w:ascii="Times New Roman" w:eastAsia="Calibri" w:hAnsi="Times New Roman" w:cs="Times New Roman"/>
                <w:sz w:val="20"/>
                <w:szCs w:val="20"/>
              </w:rPr>
              <w:t xml:space="preserve">, and view subsection </w:t>
            </w:r>
            <w:r w:rsidRPr="006E3A0F">
              <w:rPr>
                <w:rFonts w:ascii="Times New Roman" w:eastAsia="Calibri" w:hAnsi="Times New Roman" w:cs="Times New Roman"/>
                <w:b/>
                <w:bCs/>
                <w:sz w:val="20"/>
                <w:szCs w:val="20"/>
              </w:rPr>
              <w:t>B. DCA adopted requirements and interpretations</w:t>
            </w:r>
            <w:r w:rsidRPr="006E3A0F">
              <w:rPr>
                <w:rFonts w:ascii="Times New Roman" w:eastAsia="Calibri" w:hAnsi="Times New Roman" w:cs="Times New Roman"/>
                <w:sz w:val="20"/>
                <w:szCs w:val="20"/>
              </w:rPr>
              <w:t>”).</w:t>
            </w:r>
          </w:p>
        </w:tc>
      </w:tr>
      <w:tr w:rsidR="00FD1900" w:rsidRPr="006E3A0F" w14:paraId="6C81ABAA" w14:textId="77777777" w:rsidTr="00E91E6E">
        <w:trPr>
          <w:jc w:val="center"/>
        </w:trPr>
        <w:tc>
          <w:tcPr>
            <w:tcW w:w="2157" w:type="dxa"/>
            <w:shd w:val="clear" w:color="auto" w:fill="auto"/>
            <w:tcMar>
              <w:top w:w="72" w:type="dxa"/>
              <w:left w:w="115" w:type="dxa"/>
              <w:bottom w:w="72" w:type="dxa"/>
              <w:right w:w="115" w:type="dxa"/>
            </w:tcMar>
            <w:vAlign w:val="center"/>
          </w:tcPr>
          <w:p w14:paraId="26104646"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5964C2CB"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2.20 </w:t>
            </w:r>
          </w:p>
          <w:p w14:paraId="0991DE02"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p>
          <w:p w14:paraId="3BFEBAA9"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364BA742"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Q0302_01 </w:t>
            </w:r>
          </w:p>
          <w:p w14:paraId="0F5C5BDB"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I see that financials are not listed in the instructions of the pre-application workbook; however, upon reviewing the slides for the </w:t>
            </w:r>
            <w:proofErr w:type="spellStart"/>
            <w:r w:rsidRPr="006E3A0F">
              <w:rPr>
                <w:rFonts w:ascii="Times New Roman" w:eastAsia="Times New Roman" w:hAnsi="Times New Roman" w:cs="Times New Roman"/>
                <w:sz w:val="20"/>
                <w:szCs w:val="20"/>
              </w:rPr>
              <w:t>Emphasys</w:t>
            </w:r>
            <w:proofErr w:type="spellEnd"/>
            <w:r w:rsidRPr="006E3A0F">
              <w:rPr>
                <w:rFonts w:ascii="Times New Roman" w:eastAsia="Times New Roman" w:hAnsi="Times New Roman" w:cs="Times New Roman"/>
                <w:sz w:val="20"/>
                <w:szCs w:val="20"/>
              </w:rPr>
              <w:t xml:space="preserve"> tutorial financials are mentioned and there are examples of how to upload them. </w:t>
            </w:r>
          </w:p>
          <w:p w14:paraId="653CA1F8"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621E96E3"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Can you please confirm if financials are required to be submitted at pre-application? If so, what years and documentation type is acceptable?  </w:t>
            </w:r>
          </w:p>
          <w:p w14:paraId="4A8F5C9A"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78E06D7D"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54D543AD"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In the Pre-Application instruction slides (</w:t>
            </w:r>
            <w:hyperlink r:id="rId54" w:tgtFrame="_blank" w:history="1">
              <w:r w:rsidRPr="006E3A0F">
                <w:rPr>
                  <w:rFonts w:ascii="Times New Roman" w:eastAsia="Times New Roman" w:hAnsi="Times New Roman" w:cs="Times New Roman"/>
                  <w:sz w:val="20"/>
                  <w:szCs w:val="20"/>
                  <w:u w:val="single"/>
                </w:rPr>
                <w:t>click here</w:t>
              </w:r>
            </w:hyperlink>
            <w:r w:rsidRPr="006E3A0F">
              <w:rPr>
                <w:rFonts w:ascii="Times New Roman" w:eastAsia="Times New Roman" w:hAnsi="Times New Roman" w:cs="Times New Roman"/>
                <w:sz w:val="20"/>
                <w:szCs w:val="20"/>
              </w:rPr>
              <w:t xml:space="preserve"> and select “2022 Pre-Application- </w:t>
            </w:r>
            <w:proofErr w:type="spellStart"/>
            <w:r w:rsidRPr="006E3A0F">
              <w:rPr>
                <w:rFonts w:ascii="Times New Roman" w:eastAsia="Times New Roman" w:hAnsi="Times New Roman" w:cs="Times New Roman"/>
                <w:sz w:val="20"/>
                <w:szCs w:val="20"/>
              </w:rPr>
              <w:t>Emphasys</w:t>
            </w:r>
            <w:proofErr w:type="spellEnd"/>
            <w:r w:rsidRPr="006E3A0F">
              <w:rPr>
                <w:rFonts w:ascii="Times New Roman" w:eastAsia="Times New Roman" w:hAnsi="Times New Roman" w:cs="Times New Roman"/>
                <w:sz w:val="20"/>
                <w:szCs w:val="20"/>
              </w:rPr>
              <w:t xml:space="preserve"> Submission Instructions”), one of the file-naming examples is “0303FinancialStmts”. This is an example for purposes of naming a financial statement if it is applicable to upload to </w:t>
            </w:r>
            <w:proofErr w:type="spellStart"/>
            <w:r w:rsidRPr="006E3A0F">
              <w:rPr>
                <w:rFonts w:ascii="Times New Roman" w:eastAsia="Times New Roman" w:hAnsi="Times New Roman" w:cs="Times New Roman"/>
                <w:sz w:val="20"/>
                <w:szCs w:val="20"/>
              </w:rPr>
              <w:t>Emphasys</w:t>
            </w:r>
            <w:proofErr w:type="spellEnd"/>
            <w:r w:rsidRPr="006E3A0F">
              <w:rPr>
                <w:rFonts w:ascii="Times New Roman" w:eastAsia="Times New Roman" w:hAnsi="Times New Roman" w:cs="Times New Roman"/>
                <w:sz w:val="20"/>
                <w:szCs w:val="20"/>
              </w:rPr>
              <w:t>. However, financial statements are not required by default.  </w:t>
            </w:r>
          </w:p>
          <w:p w14:paraId="14923A03"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48C849B9"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The 2022 QAP states under </w:t>
            </w:r>
            <w:r w:rsidRPr="006E3A0F">
              <w:rPr>
                <w:rFonts w:ascii="Times New Roman" w:eastAsia="Times New Roman" w:hAnsi="Times New Roman" w:cs="Times New Roman"/>
                <w:b/>
                <w:bCs/>
                <w:sz w:val="20"/>
                <w:szCs w:val="20"/>
              </w:rPr>
              <w:t>(Threshold Criteria) Experience, Capacity, and Performance Requirements for General Partners)</w:t>
            </w:r>
            <w:r w:rsidRPr="006E3A0F">
              <w:rPr>
                <w:rFonts w:ascii="Times New Roman" w:eastAsia="Times New Roman" w:hAnsi="Times New Roman" w:cs="Times New Roman"/>
                <w:sz w:val="20"/>
                <w:szCs w:val="20"/>
              </w:rPr>
              <w:t>, subsection</w:t>
            </w:r>
            <w:r w:rsidRPr="006E3A0F">
              <w:rPr>
                <w:rFonts w:ascii="Times New Roman" w:eastAsia="Times New Roman" w:hAnsi="Times New Roman" w:cs="Times New Roman"/>
                <w:b/>
                <w:bCs/>
                <w:sz w:val="20"/>
                <w:szCs w:val="20"/>
              </w:rPr>
              <w:t xml:space="preserve"> B. Requirements for Capacity (Certifying Entity)</w:t>
            </w:r>
            <w:r w:rsidRPr="006E3A0F">
              <w:rPr>
                <w:rFonts w:ascii="Times New Roman" w:eastAsia="Times New Roman" w:hAnsi="Times New Roman" w:cs="Times New Roman"/>
                <w:sz w:val="20"/>
                <w:szCs w:val="20"/>
              </w:rPr>
              <w:t>:</w:t>
            </w:r>
            <w:r w:rsidRPr="006E3A0F">
              <w:rPr>
                <w:rFonts w:ascii="Times New Roman" w:eastAsia="Times New Roman" w:hAnsi="Times New Roman" w:cs="Times New Roman"/>
                <w:b/>
                <w:bCs/>
                <w:sz w:val="20"/>
                <w:szCs w:val="20"/>
              </w:rPr>
              <w:t xml:space="preserve"> </w:t>
            </w:r>
            <w:r w:rsidRPr="006E3A0F">
              <w:rPr>
                <w:rFonts w:ascii="Times New Roman" w:eastAsia="Times New Roman" w:hAnsi="Times New Roman" w:cs="Times New Roman"/>
                <w:sz w:val="20"/>
                <w:szCs w:val="20"/>
              </w:rPr>
              <w:t>“</w:t>
            </w:r>
            <w:r w:rsidRPr="006E3A0F">
              <w:rPr>
                <w:rFonts w:ascii="Times New Roman" w:eastAsia="Times New Roman" w:hAnsi="Times New Roman" w:cs="Times New Roman"/>
                <w:i/>
                <w:iCs/>
                <w:sz w:val="20"/>
                <w:szCs w:val="20"/>
              </w:rPr>
              <w:t>DCA may request information including but not limited to…financial statements…</w:t>
            </w:r>
            <w:r w:rsidRPr="006E3A0F">
              <w:rPr>
                <w:rFonts w:ascii="Times New Roman" w:eastAsia="Times New Roman" w:hAnsi="Times New Roman" w:cs="Times New Roman"/>
                <w:sz w:val="20"/>
                <w:szCs w:val="20"/>
              </w:rPr>
              <w:t>” </w:t>
            </w:r>
          </w:p>
          <w:p w14:paraId="46C126BB"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7AF7BCAE"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Further, under the 2021 Q&amp;A process, DCA provided the following guidance on this issue (</w:t>
            </w:r>
            <w:hyperlink r:id="rId55" w:tgtFrame="_blank" w:history="1">
              <w:r w:rsidRPr="006E3A0F">
                <w:rPr>
                  <w:rFonts w:ascii="Times New Roman" w:eastAsia="Times New Roman" w:hAnsi="Times New Roman" w:cs="Times New Roman"/>
                  <w:sz w:val="20"/>
                  <w:szCs w:val="20"/>
                  <w:u w:val="single"/>
                </w:rPr>
                <w:t>click here</w:t>
              </w:r>
            </w:hyperlink>
            <w:r w:rsidRPr="006E3A0F">
              <w:rPr>
                <w:rFonts w:ascii="Times New Roman" w:eastAsia="Times New Roman" w:hAnsi="Times New Roman" w:cs="Times New Roman"/>
                <w:sz w:val="20"/>
                <w:szCs w:val="20"/>
              </w:rPr>
              <w:t xml:space="preserve"> and select “Q&amp;A Instructions and DCA Responses”):  </w:t>
            </w:r>
          </w:p>
          <w:p w14:paraId="0D0E5CDE" w14:textId="77777777" w:rsidR="00FD1900" w:rsidRPr="006E3A0F" w:rsidRDefault="00FD1900" w:rsidP="00304B2F">
            <w:pPr>
              <w:ind w:left="720"/>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r w:rsidRPr="006E3A0F">
              <w:rPr>
                <w:rFonts w:ascii="Times New Roman" w:eastAsia="Times New Roman" w:hAnsi="Times New Roman" w:cs="Times New Roman"/>
                <w:sz w:val="20"/>
                <w:szCs w:val="20"/>
              </w:rPr>
              <w:br/>
            </w:r>
            <w:r w:rsidRPr="006E3A0F">
              <w:rPr>
                <w:rFonts w:ascii="Times New Roman" w:eastAsia="Times New Roman" w:hAnsi="Times New Roman" w:cs="Times New Roman"/>
                <w:b/>
                <w:bCs/>
                <w:sz w:val="20"/>
                <w:szCs w:val="20"/>
              </w:rPr>
              <w:t>Q0226_03:</w:t>
            </w:r>
            <w:r w:rsidRPr="006E3A0F">
              <w:rPr>
                <w:rFonts w:ascii="Times New Roman" w:eastAsia="Times New Roman" w:hAnsi="Times New Roman" w:cs="Times New Roman"/>
                <w:sz w:val="20"/>
                <w:szCs w:val="20"/>
              </w:rPr>
              <w:t xml:space="preserve"> “Financial statements are not required at Pre-Application unless requested by DCA during the Qualification review.”  </w:t>
            </w:r>
          </w:p>
          <w:p w14:paraId="7B0D7BA6"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4F4D88B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This 2021 guidance also applies to the 2022 Pre-Application process.</w:t>
            </w:r>
          </w:p>
        </w:tc>
      </w:tr>
      <w:tr w:rsidR="00FD1900" w:rsidRPr="006E3A0F" w14:paraId="5BCBF0AD" w14:textId="77777777" w:rsidTr="00E91E6E">
        <w:trPr>
          <w:jc w:val="center"/>
        </w:trPr>
        <w:tc>
          <w:tcPr>
            <w:tcW w:w="2157" w:type="dxa"/>
            <w:shd w:val="clear" w:color="auto" w:fill="auto"/>
            <w:tcMar>
              <w:top w:w="72" w:type="dxa"/>
              <w:left w:w="115" w:type="dxa"/>
              <w:bottom w:w="72" w:type="dxa"/>
              <w:right w:w="115" w:type="dxa"/>
            </w:tcMar>
            <w:vAlign w:val="center"/>
          </w:tcPr>
          <w:p w14:paraId="45A38FE5"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2ED416D7"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2.25</w:t>
            </w:r>
          </w:p>
          <w:p w14:paraId="197CF6FF"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r w:rsidRPr="006E3A0F">
              <w:rPr>
                <w:rFonts w:ascii="Times New Roman" w:hAnsi="Times New Roman" w:cs="Times New Roman"/>
                <w:sz w:val="20"/>
                <w:szCs w:val="20"/>
              </w:rPr>
              <w:t xml:space="preserve"> </w:t>
            </w:r>
          </w:p>
          <w:p w14:paraId="6A1C53A6"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Occupied Developments</w:t>
            </w:r>
          </w:p>
          <w:p w14:paraId="5BC1FE4A" w14:textId="77777777" w:rsidR="00FD1900" w:rsidRPr="006E3A0F" w:rsidRDefault="00FD1900"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3C4547CE"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Q22_0304_02 </w:t>
            </w:r>
          </w:p>
          <w:p w14:paraId="48E08B64"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On the Relocation Summary tab of the Supplemental Pre-Application workbook, the </w:t>
            </w:r>
          </w:p>
          <w:p w14:paraId="69506832"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following cells do not allow entry. Will a new version of the form </w:t>
            </w:r>
            <w:proofErr w:type="gramStart"/>
            <w:r w:rsidRPr="006E3A0F">
              <w:rPr>
                <w:rFonts w:ascii="Times New Roman" w:eastAsia="Times New Roman" w:hAnsi="Times New Roman" w:cs="Times New Roman"/>
                <w:sz w:val="20"/>
                <w:szCs w:val="20"/>
              </w:rPr>
              <w:t>be</w:t>
            </w:r>
            <w:proofErr w:type="gramEnd"/>
            <w:r w:rsidRPr="006E3A0F">
              <w:rPr>
                <w:rFonts w:ascii="Times New Roman" w:eastAsia="Times New Roman" w:hAnsi="Times New Roman" w:cs="Times New Roman"/>
                <w:sz w:val="20"/>
                <w:szCs w:val="20"/>
              </w:rPr>
              <w:t> </w:t>
            </w:r>
          </w:p>
          <w:p w14:paraId="4CBA4372"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released or should we just add responses in the comments section? Cells </w:t>
            </w:r>
          </w:p>
          <w:p w14:paraId="20BA3ADE"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D13, D17, H22, and M22 </w:t>
            </w:r>
          </w:p>
          <w:p w14:paraId="237110F2"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43A3D387"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7EF6C40C"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An updated version of the </w:t>
            </w:r>
            <w:r w:rsidRPr="006E3A0F">
              <w:rPr>
                <w:rFonts w:ascii="Times New Roman" w:eastAsia="Times New Roman" w:hAnsi="Times New Roman" w:cs="Times New Roman"/>
                <w:i/>
                <w:iCs/>
                <w:sz w:val="20"/>
                <w:szCs w:val="20"/>
              </w:rPr>
              <w:t xml:space="preserve">2022 Supplemental Pre-Application </w:t>
            </w:r>
            <w:r w:rsidRPr="006E3A0F">
              <w:rPr>
                <w:rFonts w:ascii="Times New Roman" w:eastAsia="Times New Roman" w:hAnsi="Times New Roman" w:cs="Times New Roman"/>
                <w:sz w:val="20"/>
                <w:szCs w:val="20"/>
              </w:rPr>
              <w:t>form has been posted to the DCA website (</w:t>
            </w:r>
            <w:hyperlink r:id="rId56" w:tgtFrame="_blank" w:history="1">
              <w:r w:rsidRPr="006E3A0F">
                <w:rPr>
                  <w:rFonts w:ascii="Times New Roman" w:eastAsia="Times New Roman" w:hAnsi="Times New Roman" w:cs="Times New Roman"/>
                  <w:sz w:val="20"/>
                  <w:szCs w:val="20"/>
                  <w:u w:val="single"/>
                </w:rPr>
                <w:t>click here</w:t>
              </w:r>
            </w:hyperlink>
            <w:r w:rsidRPr="006E3A0F">
              <w:rPr>
                <w:rFonts w:ascii="Times New Roman" w:eastAsia="Times New Roman" w:hAnsi="Times New Roman" w:cs="Times New Roman"/>
                <w:sz w:val="20"/>
                <w:szCs w:val="20"/>
              </w:rPr>
              <w:t>). Applicants are welcome to either use the updated form or add the relevant information into the comments box as proposed above. </w:t>
            </w:r>
          </w:p>
        </w:tc>
      </w:tr>
      <w:tr w:rsidR="00FD1900" w:rsidRPr="006E3A0F" w14:paraId="33CDE483" w14:textId="77777777" w:rsidTr="00E91E6E">
        <w:trPr>
          <w:jc w:val="center"/>
        </w:trPr>
        <w:tc>
          <w:tcPr>
            <w:tcW w:w="2157" w:type="dxa"/>
            <w:shd w:val="clear" w:color="auto" w:fill="auto"/>
            <w:tcMar>
              <w:top w:w="72" w:type="dxa"/>
              <w:left w:w="115" w:type="dxa"/>
              <w:bottom w:w="72" w:type="dxa"/>
              <w:right w:w="115" w:type="dxa"/>
            </w:tcMar>
            <w:vAlign w:val="center"/>
          </w:tcPr>
          <w:p w14:paraId="39DD017A"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6E8E7CFC"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2.25</w:t>
            </w:r>
          </w:p>
          <w:p w14:paraId="6B5DBD51"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r w:rsidRPr="006E3A0F">
              <w:rPr>
                <w:rFonts w:ascii="Times New Roman" w:hAnsi="Times New Roman" w:cs="Times New Roman"/>
                <w:sz w:val="20"/>
                <w:szCs w:val="20"/>
              </w:rPr>
              <w:t xml:space="preserve"> </w:t>
            </w:r>
          </w:p>
          <w:p w14:paraId="0634AA51"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Occupied Developments</w:t>
            </w:r>
          </w:p>
          <w:p w14:paraId="2D768978" w14:textId="77777777" w:rsidR="00FD1900" w:rsidRPr="006E3A0F" w:rsidRDefault="00FD1900"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3784823B" w14:textId="77777777" w:rsidR="00FD1900" w:rsidRPr="006E3A0F" w:rsidRDefault="00FD1900" w:rsidP="00304B2F">
            <w:pPr>
              <w:keepNext/>
              <w:keepLines/>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Q22_0304_05 </w:t>
            </w:r>
          </w:p>
          <w:p w14:paraId="7184EFC4" w14:textId="77777777" w:rsidR="00FD1900" w:rsidRPr="006E3A0F" w:rsidRDefault="00FD1900" w:rsidP="00304B2F">
            <w:pPr>
              <w:keepNext/>
              <w:keepLines/>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We are planning an acquisition rehabilitation of a property, and the property </w:t>
            </w:r>
          </w:p>
          <w:p w14:paraId="13EF2658" w14:textId="77777777" w:rsidR="00FD1900" w:rsidRPr="006E3A0F" w:rsidRDefault="00FD1900" w:rsidP="00304B2F">
            <w:pPr>
              <w:keepNext/>
              <w:keepLines/>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is currently fully occupied. We are not planning on permanently displacing </w:t>
            </w:r>
          </w:p>
          <w:p w14:paraId="589EC66C"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any residents. They all will be temporarily relocated for approximately </w:t>
            </w:r>
          </w:p>
          <w:p w14:paraId="5E2F0FE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10-20 days while their unit is being rehabbed. Since they are leaving </w:t>
            </w:r>
            <w:proofErr w:type="gramStart"/>
            <w:r w:rsidRPr="006E3A0F">
              <w:rPr>
                <w:rFonts w:ascii="Times New Roman" w:eastAsia="Times New Roman" w:hAnsi="Times New Roman" w:cs="Times New Roman"/>
                <w:sz w:val="20"/>
                <w:szCs w:val="20"/>
              </w:rPr>
              <w:t>their</w:t>
            </w:r>
            <w:proofErr w:type="gramEnd"/>
            <w:r w:rsidRPr="006E3A0F">
              <w:rPr>
                <w:rFonts w:ascii="Times New Roman" w:eastAsia="Times New Roman" w:hAnsi="Times New Roman" w:cs="Times New Roman"/>
                <w:sz w:val="20"/>
                <w:szCs w:val="20"/>
              </w:rPr>
              <w:t> </w:t>
            </w:r>
          </w:p>
          <w:p w14:paraId="4E80DAC4"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unit for a short period of time and being temporarily relocated, will you </w:t>
            </w:r>
          </w:p>
          <w:p w14:paraId="40557B9A"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please confirm that this is not considered an "in-place" rehab and a waiver </w:t>
            </w:r>
          </w:p>
          <w:p w14:paraId="2A739A17"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is not required? </w:t>
            </w:r>
          </w:p>
          <w:p w14:paraId="2FEB2159"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6A6B27A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2BDC0C3A"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Yes, this is not considered an "in-place" rehab and a waiver is not required.  Please see Q0223_01 for additional discussion comparing “in-place rehab” circumstances and “temporary relocation.” </w:t>
            </w:r>
          </w:p>
        </w:tc>
      </w:tr>
      <w:tr w:rsidR="00FD1900" w:rsidRPr="006E3A0F" w14:paraId="39DAF06A" w14:textId="77777777" w:rsidTr="00E91E6E">
        <w:trPr>
          <w:jc w:val="center"/>
        </w:trPr>
        <w:tc>
          <w:tcPr>
            <w:tcW w:w="2157" w:type="dxa"/>
            <w:shd w:val="clear" w:color="auto" w:fill="auto"/>
            <w:tcMar>
              <w:top w:w="72" w:type="dxa"/>
              <w:left w:w="115" w:type="dxa"/>
              <w:bottom w:w="72" w:type="dxa"/>
              <w:right w:w="115" w:type="dxa"/>
            </w:tcMar>
            <w:vAlign w:val="center"/>
          </w:tcPr>
          <w:p w14:paraId="7CC44E74"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1202A251"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2.25</w:t>
            </w:r>
          </w:p>
          <w:p w14:paraId="0A19BFBE"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r w:rsidRPr="006E3A0F">
              <w:rPr>
                <w:rFonts w:ascii="Times New Roman" w:hAnsi="Times New Roman" w:cs="Times New Roman"/>
                <w:sz w:val="20"/>
                <w:szCs w:val="20"/>
              </w:rPr>
              <w:t xml:space="preserve"> </w:t>
            </w:r>
          </w:p>
          <w:p w14:paraId="18DD85FC"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0569E39A"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Question</w:t>
            </w:r>
            <w:r w:rsidRPr="006E3A0F">
              <w:rPr>
                <w:rFonts w:ascii="Times New Roman" w:hAnsi="Times New Roman" w:cs="Times New Roman"/>
                <w:sz w:val="20"/>
                <w:szCs w:val="20"/>
              </w:rPr>
              <w:t>: Q22_0302_06</w:t>
            </w:r>
          </w:p>
          <w:p w14:paraId="4A4D3042" w14:textId="77777777" w:rsidR="00FD1900" w:rsidRPr="006E3A0F" w:rsidRDefault="00FD1900" w:rsidP="00304B2F">
            <w:pPr>
              <w:contextualSpacing/>
              <w:rPr>
                <w:rFonts w:ascii="Times New Roman" w:hAnsi="Times New Roman" w:cs="Times New Roman"/>
                <w:sz w:val="20"/>
                <w:szCs w:val="20"/>
              </w:rPr>
            </w:pPr>
          </w:p>
          <w:p w14:paraId="0E413F5A"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On page 7 of the </w:t>
            </w:r>
            <w:r w:rsidRPr="006E3A0F">
              <w:rPr>
                <w:rFonts w:ascii="Times New Roman" w:eastAsia="Times New Roman" w:hAnsi="Times New Roman" w:cs="Times New Roman"/>
                <w:b/>
                <w:bCs/>
                <w:sz w:val="20"/>
                <w:szCs w:val="20"/>
              </w:rPr>
              <w:t xml:space="preserve">2022 Relocation Manual </w:t>
            </w:r>
            <w:r w:rsidRPr="006E3A0F">
              <w:rPr>
                <w:rFonts w:ascii="Times New Roman" w:eastAsia="Times New Roman" w:hAnsi="Times New Roman" w:cs="Times New Roman"/>
                <w:sz w:val="20"/>
                <w:szCs w:val="20"/>
              </w:rPr>
              <w:t>(</w:t>
            </w:r>
            <w:hyperlink r:id="rId57" w:history="1">
              <w:r w:rsidRPr="006E3A0F">
                <w:rPr>
                  <w:rStyle w:val="Hyperlink"/>
                  <w:rFonts w:ascii="Times New Roman" w:eastAsia="Times New Roman" w:hAnsi="Times New Roman" w:cs="Times New Roman"/>
                  <w:color w:val="auto"/>
                  <w:sz w:val="20"/>
                  <w:szCs w:val="20"/>
                </w:rPr>
                <w:t>click here</w:t>
              </w:r>
            </w:hyperlink>
            <w:r w:rsidRPr="006E3A0F">
              <w:rPr>
                <w:rFonts w:ascii="Times New Roman" w:eastAsia="Times New Roman" w:hAnsi="Times New Roman" w:cs="Times New Roman"/>
                <w:sz w:val="20"/>
                <w:szCs w:val="20"/>
              </w:rPr>
              <w:t>), it states the following under General Information Notices:</w:t>
            </w:r>
          </w:p>
          <w:p w14:paraId="78281E55" w14:textId="77777777" w:rsidR="00FD1900" w:rsidRPr="006E3A0F" w:rsidRDefault="00FD1900" w:rsidP="00304B2F">
            <w:pPr>
              <w:rPr>
                <w:rFonts w:ascii="Times New Roman" w:eastAsia="Times New Roman" w:hAnsi="Times New Roman" w:cs="Times New Roman"/>
                <w:sz w:val="20"/>
                <w:szCs w:val="20"/>
              </w:rPr>
            </w:pPr>
          </w:p>
          <w:p w14:paraId="36209D63" w14:textId="77777777" w:rsidR="00FD1900" w:rsidRPr="006E3A0F" w:rsidRDefault="00FD1900" w:rsidP="00304B2F">
            <w:pPr>
              <w:ind w:left="720"/>
              <w:rPr>
                <w:rFonts w:ascii="Times New Roman" w:eastAsia="Times New Roman" w:hAnsi="Times New Roman" w:cs="Times New Roman"/>
                <w:i/>
                <w:iCs/>
                <w:sz w:val="20"/>
                <w:szCs w:val="20"/>
              </w:rPr>
            </w:pPr>
            <w:r w:rsidRPr="006E3A0F">
              <w:rPr>
                <w:rFonts w:ascii="Times New Roman" w:eastAsia="Times New Roman" w:hAnsi="Times New Roman" w:cs="Times New Roman"/>
                <w:i/>
                <w:iCs/>
                <w:sz w:val="20"/>
                <w:szCs w:val="20"/>
              </w:rPr>
              <w:t>"This notice must be provided between the ION Date and at least 15 days before initial submission to DCA of the application for federal funding or assistance."</w:t>
            </w:r>
          </w:p>
          <w:p w14:paraId="1C42B835" w14:textId="77777777" w:rsidR="00FD1900" w:rsidRPr="006E3A0F" w:rsidRDefault="00FD1900" w:rsidP="00304B2F">
            <w:pPr>
              <w:ind w:left="720"/>
              <w:rPr>
                <w:rFonts w:ascii="Times New Roman" w:eastAsia="Times New Roman" w:hAnsi="Times New Roman" w:cs="Times New Roman"/>
                <w:sz w:val="20"/>
                <w:szCs w:val="20"/>
              </w:rPr>
            </w:pPr>
          </w:p>
          <w:p w14:paraId="46A1898B"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Does "initial submission to DCA of the application" refer to the Pre-Application or the Full Application Submission?</w:t>
            </w:r>
          </w:p>
          <w:p w14:paraId="3E266D7E"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br/>
              <w:t xml:space="preserve">Further, the Multifamily LIHTC-Only Relocation Toolkit states the following (to view, </w:t>
            </w:r>
            <w:hyperlink r:id="rId58" w:history="1">
              <w:r w:rsidRPr="006E3A0F">
                <w:rPr>
                  <w:rStyle w:val="Hyperlink"/>
                  <w:rFonts w:ascii="Times New Roman" w:eastAsia="Times New Roman" w:hAnsi="Times New Roman" w:cs="Times New Roman"/>
                  <w:color w:val="auto"/>
                  <w:sz w:val="20"/>
                  <w:szCs w:val="20"/>
                </w:rPr>
                <w:t>click here</w:t>
              </w:r>
            </w:hyperlink>
            <w:r w:rsidRPr="006E3A0F">
              <w:rPr>
                <w:rFonts w:ascii="Times New Roman" w:eastAsia="Times New Roman" w:hAnsi="Times New Roman" w:cs="Times New Roman"/>
                <w:sz w:val="20"/>
                <w:szCs w:val="20"/>
              </w:rPr>
              <w:t xml:space="preserve"> and download the </w:t>
            </w:r>
            <w:r w:rsidRPr="006E3A0F">
              <w:rPr>
                <w:rFonts w:ascii="Times New Roman" w:eastAsia="Times New Roman" w:hAnsi="Times New Roman" w:cs="Times New Roman"/>
                <w:i/>
                <w:iCs/>
                <w:sz w:val="20"/>
                <w:szCs w:val="20"/>
              </w:rPr>
              <w:t>Relocation Documents for Multifamily - LIHTC Only</w:t>
            </w:r>
            <w:r w:rsidRPr="006E3A0F">
              <w:rPr>
                <w:rFonts w:ascii="Times New Roman" w:eastAsia="Times New Roman" w:hAnsi="Times New Roman" w:cs="Times New Roman"/>
                <w:sz w:val="20"/>
                <w:szCs w:val="20"/>
              </w:rPr>
              <w:t xml:space="preserve"> zip folder):</w:t>
            </w:r>
          </w:p>
          <w:p w14:paraId="63434600" w14:textId="77777777" w:rsidR="00FD1900" w:rsidRPr="006E3A0F" w:rsidRDefault="00FD1900" w:rsidP="00304B2F">
            <w:pPr>
              <w:rPr>
                <w:rFonts w:ascii="Times New Roman" w:eastAsia="Times New Roman" w:hAnsi="Times New Roman" w:cs="Times New Roman"/>
                <w:sz w:val="20"/>
                <w:szCs w:val="20"/>
              </w:rPr>
            </w:pPr>
          </w:p>
          <w:p w14:paraId="26E155ED" w14:textId="77777777" w:rsidR="00FD1900" w:rsidRPr="006E3A0F" w:rsidRDefault="00FD1900" w:rsidP="00304B2F">
            <w:pPr>
              <w:ind w:left="720"/>
              <w:rPr>
                <w:rFonts w:ascii="Times New Roman" w:eastAsia="Times New Roman" w:hAnsi="Times New Roman" w:cs="Times New Roman"/>
                <w:i/>
                <w:iCs/>
                <w:sz w:val="20"/>
                <w:szCs w:val="20"/>
              </w:rPr>
            </w:pPr>
            <w:r w:rsidRPr="006E3A0F">
              <w:rPr>
                <w:rFonts w:ascii="Times New Roman" w:eastAsia="Times New Roman" w:hAnsi="Times New Roman" w:cs="Times New Roman"/>
                <w:i/>
                <w:iCs/>
                <w:sz w:val="20"/>
                <w:szCs w:val="20"/>
              </w:rPr>
              <w:t>"Submit General Information Notices (GIN) draft with Pre-Application."</w:t>
            </w:r>
          </w:p>
          <w:p w14:paraId="2DAA3C77" w14:textId="77777777" w:rsidR="00FD1900" w:rsidRPr="006E3A0F" w:rsidRDefault="00FD1900" w:rsidP="00304B2F">
            <w:pPr>
              <w:rPr>
                <w:rFonts w:ascii="Times New Roman" w:eastAsia="Times New Roman" w:hAnsi="Times New Roman" w:cs="Times New Roman"/>
                <w:sz w:val="20"/>
                <w:szCs w:val="20"/>
              </w:rPr>
            </w:pPr>
          </w:p>
          <w:p w14:paraId="76DE7320"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Does this mean that DCA will be providing comments or approval of the draft GIN notices submitted at Pre-Application, and therefore the approved GINs will not be able to be distributed to residents until after DCA's approval and the earlier of the ION Date and at least 15 days before Full Application Submission?</w:t>
            </w:r>
          </w:p>
          <w:p w14:paraId="4EF380EB" w14:textId="77777777" w:rsidR="00FD1900" w:rsidRPr="006E3A0F" w:rsidRDefault="00FD1900" w:rsidP="00304B2F">
            <w:pPr>
              <w:contextualSpacing/>
              <w:rPr>
                <w:rFonts w:ascii="Times New Roman" w:hAnsi="Times New Roman" w:cs="Times New Roman"/>
                <w:sz w:val="20"/>
                <w:szCs w:val="20"/>
              </w:rPr>
            </w:pPr>
          </w:p>
          <w:p w14:paraId="6EA59F98" w14:textId="77777777" w:rsidR="00FD1900" w:rsidRPr="006E3A0F" w:rsidRDefault="00FD1900" w:rsidP="00304B2F">
            <w:pPr>
              <w:keepNext/>
              <w:keepLines/>
              <w:contextualSpacing/>
              <w:rPr>
                <w:rFonts w:ascii="Times New Roman" w:hAnsi="Times New Roman" w:cs="Times New Roman"/>
                <w:sz w:val="20"/>
                <w:szCs w:val="20"/>
              </w:rPr>
            </w:pPr>
            <w:r w:rsidRPr="006E3A0F">
              <w:rPr>
                <w:rFonts w:ascii="Times New Roman" w:hAnsi="Times New Roman" w:cs="Times New Roman"/>
                <w:b/>
                <w:bCs/>
                <w:sz w:val="20"/>
                <w:szCs w:val="20"/>
              </w:rPr>
              <w:t>Answer</w:t>
            </w:r>
            <w:r w:rsidRPr="006E3A0F">
              <w:rPr>
                <w:rFonts w:ascii="Times New Roman" w:hAnsi="Times New Roman" w:cs="Times New Roman"/>
                <w:sz w:val="20"/>
                <w:szCs w:val="20"/>
              </w:rPr>
              <w:t xml:space="preserve">: </w:t>
            </w:r>
          </w:p>
          <w:p w14:paraId="62E87D75" w14:textId="77777777" w:rsidR="00FD1900" w:rsidRPr="006E3A0F" w:rsidRDefault="00FD1900" w:rsidP="00304B2F">
            <w:pPr>
              <w:keepNext/>
              <w:keepLines/>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The "initial submission to DCA of the application" refers to the Full Application submission due in May.</w:t>
            </w:r>
          </w:p>
          <w:p w14:paraId="0C21D96F" w14:textId="77777777" w:rsidR="00FD1900" w:rsidRPr="006E3A0F" w:rsidRDefault="00FD1900" w:rsidP="00304B2F">
            <w:pPr>
              <w:keepNext/>
              <w:keepLines/>
              <w:rPr>
                <w:rFonts w:ascii="Times New Roman" w:hAnsi="Times New Roman" w:cs="Times New Roman"/>
                <w:sz w:val="20"/>
                <w:szCs w:val="20"/>
              </w:rPr>
            </w:pPr>
          </w:p>
          <w:p w14:paraId="099F2855" w14:textId="77777777" w:rsidR="00FD1900" w:rsidRPr="006E3A0F" w:rsidRDefault="00FD1900" w:rsidP="00304B2F">
            <w:pPr>
              <w:keepNext/>
              <w:keepLines/>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Yes, GIN notices require DCA approval during the Pre-Application stage. The approved GINs will then be distributed to residents at least 15 days before Full Application submission.</w:t>
            </w:r>
          </w:p>
        </w:tc>
      </w:tr>
      <w:tr w:rsidR="00FD1900" w:rsidRPr="006E3A0F" w14:paraId="21E395B8" w14:textId="77777777" w:rsidTr="00E91E6E">
        <w:trPr>
          <w:jc w:val="center"/>
        </w:trPr>
        <w:tc>
          <w:tcPr>
            <w:tcW w:w="2157" w:type="dxa"/>
            <w:shd w:val="clear" w:color="auto" w:fill="auto"/>
            <w:tcMar>
              <w:top w:w="72" w:type="dxa"/>
              <w:left w:w="115" w:type="dxa"/>
              <w:bottom w:w="72" w:type="dxa"/>
              <w:right w:w="115" w:type="dxa"/>
            </w:tcMar>
            <w:vAlign w:val="center"/>
          </w:tcPr>
          <w:p w14:paraId="1F45DA71"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55D9E2E9"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2.25</w:t>
            </w:r>
          </w:p>
          <w:p w14:paraId="22E2F7E3"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Threshold </w:t>
            </w:r>
            <w:proofErr w:type="gramStart"/>
            <w:r w:rsidRPr="006E3A0F">
              <w:rPr>
                <w:rFonts w:ascii="Times New Roman" w:hAnsi="Times New Roman" w:cs="Times New Roman"/>
                <w:sz w:val="20"/>
                <w:szCs w:val="20"/>
              </w:rPr>
              <w:t>Criteria;</w:t>
            </w:r>
            <w:proofErr w:type="gramEnd"/>
            <w:r w:rsidRPr="006E3A0F">
              <w:rPr>
                <w:rFonts w:ascii="Times New Roman" w:hAnsi="Times New Roman" w:cs="Times New Roman"/>
                <w:sz w:val="20"/>
                <w:szCs w:val="20"/>
              </w:rPr>
              <w:t xml:space="preserve"> </w:t>
            </w:r>
          </w:p>
          <w:p w14:paraId="784C80E0"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29F9012B" w14:textId="77777777" w:rsidR="00FD1900" w:rsidRPr="006E3A0F" w:rsidRDefault="00FD1900" w:rsidP="00304B2F">
            <w:pPr>
              <w:keepNext/>
              <w:keepLines/>
              <w:contextualSpacing/>
              <w:rPr>
                <w:rFonts w:ascii="Times New Roman" w:hAnsi="Times New Roman" w:cs="Times New Roman"/>
                <w:sz w:val="20"/>
                <w:szCs w:val="20"/>
              </w:rPr>
            </w:pPr>
            <w:r w:rsidRPr="006E3A0F">
              <w:rPr>
                <w:rFonts w:ascii="Times New Roman" w:hAnsi="Times New Roman" w:cs="Times New Roman"/>
                <w:b/>
                <w:bCs/>
                <w:sz w:val="20"/>
                <w:szCs w:val="20"/>
              </w:rPr>
              <w:t>Question</w:t>
            </w:r>
            <w:r w:rsidRPr="006E3A0F">
              <w:rPr>
                <w:rFonts w:ascii="Times New Roman" w:hAnsi="Times New Roman" w:cs="Times New Roman"/>
                <w:sz w:val="20"/>
                <w:szCs w:val="20"/>
              </w:rPr>
              <w:t>: Q0223_01</w:t>
            </w:r>
          </w:p>
          <w:p w14:paraId="50AEA8C2" w14:textId="77777777" w:rsidR="00FD1900" w:rsidRPr="006E3A0F" w:rsidRDefault="00FD1900" w:rsidP="00304B2F">
            <w:pPr>
              <w:keepNext/>
              <w:keepLines/>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In the multifamily LIHTC Relocation template, it says that if in-place rehab is expected you must submit a waiver at pre-application. On pg. 6, under the checklist, it says that certain tabs in the relocation workbook should be completed for the Permanent Displacement Waiver. Is this the same case for the in-place rehab waiver? Or is all that is required for in-place rehab, the </w:t>
            </w:r>
            <w:proofErr w:type="gramStart"/>
            <w:r w:rsidRPr="006E3A0F">
              <w:rPr>
                <w:rFonts w:ascii="Times New Roman" w:eastAsia="Times New Roman" w:hAnsi="Times New Roman" w:cs="Times New Roman"/>
                <w:sz w:val="20"/>
                <w:szCs w:val="20"/>
              </w:rPr>
              <w:t>waiver</w:t>
            </w:r>
            <w:proofErr w:type="gramEnd"/>
            <w:r w:rsidRPr="006E3A0F">
              <w:rPr>
                <w:rFonts w:ascii="Times New Roman" w:eastAsia="Times New Roman" w:hAnsi="Times New Roman" w:cs="Times New Roman"/>
                <w:sz w:val="20"/>
                <w:szCs w:val="20"/>
              </w:rPr>
              <w:t xml:space="preserve"> and the draft GIN?</w:t>
            </w:r>
          </w:p>
          <w:p w14:paraId="578D0805" w14:textId="77777777" w:rsidR="00FD1900" w:rsidRPr="006E3A0F" w:rsidRDefault="00FD1900" w:rsidP="00304B2F">
            <w:pPr>
              <w:rPr>
                <w:rFonts w:ascii="Times New Roman" w:eastAsia="Times New Roman" w:hAnsi="Times New Roman" w:cs="Times New Roman"/>
                <w:sz w:val="20"/>
                <w:szCs w:val="20"/>
              </w:rPr>
            </w:pPr>
          </w:p>
          <w:p w14:paraId="58799715" w14:textId="77777777" w:rsidR="00FD1900" w:rsidRPr="006E3A0F" w:rsidRDefault="00FD1900" w:rsidP="00304B2F">
            <w:pPr>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The document I’m referencing is “Toolkit.Multifamily-LIHTCOnly.pdf” in the downloadable folder, “Relocation Documents for Multifamily - LIHTC Only”, on the DCA website (under 2022 Federal Compliance &amp; Relocation Manuals and Forms). </w:t>
            </w:r>
          </w:p>
          <w:p w14:paraId="4BA5F6B7" w14:textId="77777777" w:rsidR="00FD1900" w:rsidRPr="006E3A0F" w:rsidRDefault="00FD1900" w:rsidP="00304B2F">
            <w:pPr>
              <w:contextualSpacing/>
              <w:rPr>
                <w:rFonts w:ascii="Times New Roman" w:hAnsi="Times New Roman" w:cs="Times New Roman"/>
                <w:sz w:val="20"/>
                <w:szCs w:val="20"/>
              </w:rPr>
            </w:pPr>
          </w:p>
          <w:p w14:paraId="38F6AE83"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Answer</w:t>
            </w:r>
            <w:r w:rsidRPr="006E3A0F">
              <w:rPr>
                <w:rFonts w:ascii="Times New Roman" w:hAnsi="Times New Roman" w:cs="Times New Roman"/>
                <w:sz w:val="20"/>
                <w:szCs w:val="20"/>
              </w:rPr>
              <w:t xml:space="preserve">: </w:t>
            </w:r>
          </w:p>
          <w:p w14:paraId="6A919DDF"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First, please note that in most cases, Applicants reaching out to DCA about in-place rehabilitation waivers are actually conflating the terms “temporary relocation” and “in-place rehabilitation.” Please see the below distinctions: </w:t>
            </w:r>
          </w:p>
          <w:p w14:paraId="6F625C62"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244"/>
              <w:gridCol w:w="7101"/>
            </w:tblGrid>
            <w:tr w:rsidR="00FD1900" w:rsidRPr="006E3A0F" w14:paraId="326DD832" w14:textId="77777777" w:rsidTr="00DD3AA4">
              <w:tc>
                <w:tcPr>
                  <w:tcW w:w="2245" w:type="dxa"/>
                </w:tcPr>
                <w:p w14:paraId="2B7F1CC8" w14:textId="77777777" w:rsidR="00FD1900" w:rsidRPr="006E3A0F" w:rsidRDefault="00FD1900" w:rsidP="00304B2F">
                  <w:pPr>
                    <w:jc w:val="center"/>
                    <w:rPr>
                      <w:rFonts w:ascii="Times New Roman" w:hAnsi="Times New Roman" w:cs="Times New Roman"/>
                      <w:b/>
                      <w:bCs/>
                      <w:sz w:val="20"/>
                      <w:szCs w:val="20"/>
                    </w:rPr>
                  </w:pPr>
                  <w:r w:rsidRPr="006E3A0F">
                    <w:rPr>
                      <w:rFonts w:ascii="Times New Roman" w:hAnsi="Times New Roman" w:cs="Times New Roman"/>
                      <w:b/>
                      <w:bCs/>
                      <w:sz w:val="20"/>
                      <w:szCs w:val="20"/>
                    </w:rPr>
                    <w:t>Term</w:t>
                  </w:r>
                </w:p>
              </w:tc>
              <w:tc>
                <w:tcPr>
                  <w:tcW w:w="7105" w:type="dxa"/>
                </w:tcPr>
                <w:p w14:paraId="467FDDD4" w14:textId="77777777" w:rsidR="00FD1900" w:rsidRPr="006E3A0F" w:rsidRDefault="00FD1900" w:rsidP="00304B2F">
                  <w:pPr>
                    <w:jc w:val="center"/>
                    <w:rPr>
                      <w:rFonts w:ascii="Times New Roman" w:hAnsi="Times New Roman" w:cs="Times New Roman"/>
                      <w:b/>
                      <w:bCs/>
                      <w:sz w:val="20"/>
                      <w:szCs w:val="20"/>
                    </w:rPr>
                  </w:pPr>
                  <w:r w:rsidRPr="006E3A0F">
                    <w:rPr>
                      <w:rFonts w:ascii="Times New Roman" w:hAnsi="Times New Roman" w:cs="Times New Roman"/>
                      <w:b/>
                      <w:bCs/>
                      <w:sz w:val="20"/>
                      <w:szCs w:val="20"/>
                    </w:rPr>
                    <w:t>Definition</w:t>
                  </w:r>
                </w:p>
              </w:tc>
            </w:tr>
            <w:tr w:rsidR="00FD1900" w:rsidRPr="006E3A0F" w14:paraId="5BA9607F" w14:textId="77777777" w:rsidTr="00DD3AA4">
              <w:tc>
                <w:tcPr>
                  <w:tcW w:w="2245" w:type="dxa"/>
                </w:tcPr>
                <w:p w14:paraId="3B0BC943"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Temporary relocation</w:t>
                  </w:r>
                </w:p>
              </w:tc>
              <w:tc>
                <w:tcPr>
                  <w:tcW w:w="7105" w:type="dxa"/>
                </w:tcPr>
                <w:p w14:paraId="4E34D3AD"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Temporary relocation refers to when an occupant must occupy temporary shelter during the rehabilitation process for at least one overnight.</w:t>
                  </w:r>
                </w:p>
              </w:tc>
            </w:tr>
            <w:tr w:rsidR="00FD1900" w:rsidRPr="006E3A0F" w14:paraId="61C6BC59" w14:textId="77777777" w:rsidTr="00DD3AA4">
              <w:tc>
                <w:tcPr>
                  <w:tcW w:w="2245" w:type="dxa"/>
                </w:tcPr>
                <w:p w14:paraId="0BE7E160"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In-place rehabilitation</w:t>
                  </w:r>
                </w:p>
              </w:tc>
              <w:tc>
                <w:tcPr>
                  <w:tcW w:w="7105" w:type="dxa"/>
                </w:tcPr>
                <w:p w14:paraId="59BDCF4E" w14:textId="77777777" w:rsidR="00FD1900" w:rsidRPr="006E3A0F" w:rsidRDefault="00FD1900" w:rsidP="00304B2F">
                  <w:pPr>
                    <w:rPr>
                      <w:rFonts w:ascii="Times New Roman" w:hAnsi="Times New Roman" w:cs="Times New Roman"/>
                      <w:sz w:val="20"/>
                      <w:szCs w:val="20"/>
                    </w:rPr>
                  </w:pPr>
                  <w:r w:rsidRPr="006E3A0F">
                    <w:rPr>
                      <w:rFonts w:ascii="Times New Roman" w:eastAsia="Calibri" w:hAnsi="Times New Roman" w:cs="Times New Roman"/>
                      <w:sz w:val="20"/>
                      <w:szCs w:val="20"/>
                    </w:rPr>
                    <w:t xml:space="preserve">In-place rehabilitation is when the resident is not relocated. The resident spends the day away (e.g., in a community center), then returns to their unit that night. This is only possible if all rehabilitation for the unit can be completed in one day. </w:t>
                  </w:r>
                </w:p>
              </w:tc>
            </w:tr>
          </w:tbl>
          <w:p w14:paraId="20349A72"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 </w:t>
            </w:r>
          </w:p>
          <w:p w14:paraId="1D15C169" w14:textId="77777777" w:rsidR="00FD1900" w:rsidRPr="006E3A0F" w:rsidRDefault="00FD1900" w:rsidP="00304B2F">
            <w:pPr>
              <w:contextualSpacing/>
              <w:jc w:val="both"/>
              <w:rPr>
                <w:rFonts w:ascii="Times New Roman" w:eastAsia="Calibri" w:hAnsi="Times New Roman" w:cs="Times New Roman"/>
                <w:sz w:val="20"/>
                <w:szCs w:val="20"/>
              </w:rPr>
            </w:pPr>
            <w:r w:rsidRPr="006E3A0F">
              <w:rPr>
                <w:rFonts w:ascii="Times New Roman" w:eastAsia="Calibri" w:hAnsi="Times New Roman" w:cs="Times New Roman"/>
                <w:sz w:val="20"/>
                <w:szCs w:val="20"/>
              </w:rPr>
              <w:t>D</w:t>
            </w:r>
            <w:r w:rsidRPr="006E3A0F">
              <w:rPr>
                <w:rFonts w:ascii="Times New Roman" w:hAnsi="Times New Roman" w:cs="Times New Roman"/>
                <w:sz w:val="20"/>
                <w:szCs w:val="20"/>
              </w:rPr>
              <w:t xml:space="preserve">ue to DCA’s construction requirements, true in-place rehabilitation rarely occurs. Further, </w:t>
            </w:r>
            <w:r w:rsidRPr="006E3A0F">
              <w:rPr>
                <w:rFonts w:ascii="Times New Roman" w:eastAsia="Calibri" w:hAnsi="Times New Roman" w:cs="Times New Roman"/>
                <w:sz w:val="20"/>
                <w:szCs w:val="20"/>
              </w:rPr>
              <w:t xml:space="preserve">in-place rehabilitation requires significant planning and logistics. This is why a relocation waiver is required for in-place rehabilitation. </w:t>
            </w:r>
          </w:p>
          <w:p w14:paraId="66A9A33F" w14:textId="77777777" w:rsidR="00FD1900" w:rsidRPr="006E3A0F" w:rsidRDefault="00FD1900" w:rsidP="00304B2F">
            <w:pPr>
              <w:contextualSpacing/>
              <w:jc w:val="both"/>
              <w:rPr>
                <w:rFonts w:ascii="Times New Roman" w:eastAsia="Calibri" w:hAnsi="Times New Roman" w:cs="Times New Roman"/>
                <w:sz w:val="20"/>
                <w:szCs w:val="20"/>
              </w:rPr>
            </w:pPr>
          </w:p>
          <w:p w14:paraId="14E89A61" w14:textId="77777777" w:rsidR="00FD1900" w:rsidRPr="006E3A0F" w:rsidRDefault="00FD1900" w:rsidP="00304B2F">
            <w:pPr>
              <w:contextualSpacing/>
              <w:jc w:val="both"/>
              <w:rPr>
                <w:rFonts w:ascii="Times New Roman" w:eastAsia="Calibri" w:hAnsi="Times New Roman" w:cs="Times New Roman"/>
                <w:sz w:val="20"/>
                <w:szCs w:val="20"/>
              </w:rPr>
            </w:pPr>
            <w:r w:rsidRPr="006E3A0F">
              <w:rPr>
                <w:rFonts w:ascii="Times New Roman" w:eastAsia="Calibri" w:hAnsi="Times New Roman" w:cs="Times New Roman"/>
                <w:sz w:val="20"/>
                <w:szCs w:val="20"/>
              </w:rPr>
              <w:t>For applicants pursuing in-place rehabilitation as described above, the following waiver submission requirements apply (</w:t>
            </w:r>
            <w:hyperlink r:id="rId59" w:history="1">
              <w:r w:rsidRPr="006E3A0F">
                <w:rPr>
                  <w:rStyle w:val="Hyperlink"/>
                  <w:rFonts w:ascii="Times New Roman" w:eastAsia="Calibri" w:hAnsi="Times New Roman" w:cs="Times New Roman"/>
                  <w:color w:val="auto"/>
                  <w:sz w:val="20"/>
                  <w:szCs w:val="20"/>
                </w:rPr>
                <w:t>click here</w:t>
              </w:r>
            </w:hyperlink>
            <w:r w:rsidRPr="006E3A0F">
              <w:rPr>
                <w:rFonts w:ascii="Times New Roman" w:eastAsia="Calibri" w:hAnsi="Times New Roman" w:cs="Times New Roman"/>
                <w:sz w:val="20"/>
                <w:szCs w:val="20"/>
              </w:rPr>
              <w:t xml:space="preserve"> to access all references Manuals and Forms):</w:t>
            </w:r>
          </w:p>
          <w:p w14:paraId="3A7743B2" w14:textId="77777777" w:rsidR="00FD1900" w:rsidRPr="006E3A0F" w:rsidRDefault="00FD1900" w:rsidP="00304B2F">
            <w:pPr>
              <w:contextualSpacing/>
              <w:jc w:val="both"/>
              <w:rPr>
                <w:rFonts w:ascii="Times New Roman" w:eastAsia="Calibri" w:hAnsi="Times New Roman" w:cs="Times New Roman"/>
                <w:sz w:val="20"/>
                <w:szCs w:val="20"/>
              </w:rPr>
            </w:pPr>
          </w:p>
          <w:p w14:paraId="0C6CCFF2" w14:textId="77777777" w:rsidR="00FD1900" w:rsidRPr="006E3A0F" w:rsidRDefault="00FD1900" w:rsidP="00304B2F">
            <w:pPr>
              <w:pStyle w:val="ListParagraph"/>
              <w:numPr>
                <w:ilvl w:val="0"/>
                <w:numId w:val="8"/>
              </w:numPr>
              <w:rPr>
                <w:rFonts w:ascii="Times New Roman" w:eastAsia="Calibri" w:hAnsi="Times New Roman" w:cs="Times New Roman"/>
                <w:sz w:val="20"/>
                <w:szCs w:val="20"/>
              </w:rPr>
            </w:pPr>
            <w:r w:rsidRPr="006E3A0F">
              <w:rPr>
                <w:rFonts w:ascii="Times New Roman" w:eastAsia="Calibri" w:hAnsi="Times New Roman" w:cs="Times New Roman"/>
                <w:sz w:val="20"/>
                <w:szCs w:val="20"/>
              </w:rPr>
              <w:t xml:space="preserve">Relocation and Displacement Plan including a Narrative describing how the In-Place Rehabilitation will occur and the provisions of what will be made available on a daily basis to residents who are waiting that day for their units to be rehabilitated. </w:t>
            </w:r>
          </w:p>
          <w:p w14:paraId="457226F1" w14:textId="77777777" w:rsidR="00FD1900" w:rsidRPr="006E3A0F" w:rsidRDefault="00FD1900" w:rsidP="00304B2F">
            <w:pPr>
              <w:pStyle w:val="ListParagraph"/>
              <w:numPr>
                <w:ilvl w:val="1"/>
                <w:numId w:val="8"/>
              </w:numPr>
              <w:rPr>
                <w:rFonts w:ascii="Times New Roman" w:eastAsia="Calibri" w:hAnsi="Times New Roman" w:cs="Times New Roman"/>
                <w:sz w:val="20"/>
                <w:szCs w:val="20"/>
              </w:rPr>
            </w:pPr>
            <w:r w:rsidRPr="006E3A0F">
              <w:rPr>
                <w:rFonts w:ascii="Times New Roman" w:eastAsia="Calibri" w:hAnsi="Times New Roman" w:cs="Times New Roman"/>
                <w:sz w:val="20"/>
                <w:szCs w:val="20"/>
              </w:rPr>
              <w:t>Please see description of In-Place Waiver Relocation Requirements on pages 16 and 17 of the DCA Relocation Manual.</w:t>
            </w:r>
          </w:p>
          <w:p w14:paraId="474CD5F3" w14:textId="77777777" w:rsidR="00FD1900" w:rsidRPr="006E3A0F" w:rsidRDefault="00FD1900" w:rsidP="00304B2F">
            <w:pPr>
              <w:pStyle w:val="ListParagraph"/>
              <w:numPr>
                <w:ilvl w:val="1"/>
                <w:numId w:val="8"/>
              </w:numPr>
              <w:rPr>
                <w:rFonts w:ascii="Times New Roman" w:eastAsia="Calibri" w:hAnsi="Times New Roman" w:cs="Times New Roman"/>
                <w:sz w:val="20"/>
                <w:szCs w:val="20"/>
              </w:rPr>
            </w:pPr>
            <w:r w:rsidRPr="006E3A0F">
              <w:rPr>
                <w:rFonts w:ascii="Times New Roman" w:eastAsia="Calibri" w:hAnsi="Times New Roman" w:cs="Times New Roman"/>
                <w:sz w:val="20"/>
                <w:szCs w:val="20"/>
              </w:rPr>
              <w:t>For relevant requirements, go to “</w:t>
            </w:r>
            <w:r w:rsidRPr="006E3A0F">
              <w:rPr>
                <w:rFonts w:ascii="Times New Roman" w:eastAsia="Calibri" w:hAnsi="Times New Roman" w:cs="Times New Roman"/>
                <w:i/>
                <w:iCs/>
                <w:sz w:val="20"/>
                <w:szCs w:val="20"/>
              </w:rPr>
              <w:t>2022 Federal Compliance &amp; Relocation Manuals and Forms</w:t>
            </w:r>
            <w:r w:rsidRPr="006E3A0F">
              <w:rPr>
                <w:rFonts w:ascii="Times New Roman" w:eastAsia="Calibri" w:hAnsi="Times New Roman" w:cs="Times New Roman"/>
                <w:sz w:val="20"/>
                <w:szCs w:val="20"/>
              </w:rPr>
              <w:t>” on DCA website (</w:t>
            </w:r>
            <w:hyperlink r:id="rId60" w:history="1">
              <w:r w:rsidRPr="006E3A0F">
                <w:rPr>
                  <w:rStyle w:val="Hyperlink"/>
                  <w:rFonts w:ascii="Times New Roman" w:eastAsia="Calibri" w:hAnsi="Times New Roman" w:cs="Times New Roman"/>
                  <w:color w:val="auto"/>
                  <w:sz w:val="20"/>
                  <w:szCs w:val="20"/>
                </w:rPr>
                <w:t>click here</w:t>
              </w:r>
            </w:hyperlink>
            <w:r w:rsidRPr="006E3A0F">
              <w:rPr>
                <w:rFonts w:ascii="Times New Roman" w:eastAsia="Calibri" w:hAnsi="Times New Roman" w:cs="Times New Roman"/>
                <w:sz w:val="20"/>
                <w:szCs w:val="20"/>
              </w:rPr>
              <w:t>) -- download “</w:t>
            </w:r>
            <w:r w:rsidRPr="006E3A0F">
              <w:rPr>
                <w:rFonts w:ascii="Times New Roman" w:eastAsia="Calibri" w:hAnsi="Times New Roman" w:cs="Times New Roman"/>
                <w:i/>
                <w:iCs/>
                <w:sz w:val="20"/>
                <w:szCs w:val="20"/>
              </w:rPr>
              <w:t>2022 DCA Relocation Manual.pdf</w:t>
            </w:r>
            <w:r w:rsidRPr="006E3A0F">
              <w:rPr>
                <w:rFonts w:ascii="Times New Roman" w:eastAsia="Calibri" w:hAnsi="Times New Roman" w:cs="Times New Roman"/>
                <w:sz w:val="20"/>
                <w:szCs w:val="20"/>
              </w:rPr>
              <w:t>” -- see section “</w:t>
            </w:r>
            <w:r w:rsidRPr="006E3A0F">
              <w:rPr>
                <w:rFonts w:ascii="Times New Roman" w:eastAsia="Calibri" w:hAnsi="Times New Roman" w:cs="Times New Roman"/>
                <w:i/>
                <w:iCs/>
                <w:sz w:val="20"/>
                <w:szCs w:val="20"/>
              </w:rPr>
              <w:t>In-Place Rehab with Waiver</w:t>
            </w:r>
            <w:r w:rsidRPr="006E3A0F">
              <w:rPr>
                <w:rFonts w:ascii="Times New Roman" w:eastAsia="Calibri" w:hAnsi="Times New Roman" w:cs="Times New Roman"/>
                <w:sz w:val="20"/>
                <w:szCs w:val="20"/>
              </w:rPr>
              <w:t>.”</w:t>
            </w:r>
          </w:p>
          <w:p w14:paraId="69B8A26B" w14:textId="77777777" w:rsidR="00FD1900" w:rsidRPr="006E3A0F" w:rsidRDefault="00FD1900" w:rsidP="00304B2F">
            <w:pPr>
              <w:pStyle w:val="ListParagraph"/>
              <w:numPr>
                <w:ilvl w:val="0"/>
                <w:numId w:val="8"/>
              </w:numPr>
              <w:rPr>
                <w:rFonts w:ascii="Times New Roman" w:eastAsia="Calibri" w:hAnsi="Times New Roman" w:cs="Times New Roman"/>
                <w:sz w:val="20"/>
                <w:szCs w:val="20"/>
              </w:rPr>
            </w:pPr>
            <w:r w:rsidRPr="006E3A0F">
              <w:rPr>
                <w:rFonts w:ascii="Times New Roman" w:eastAsia="Calibri" w:hAnsi="Times New Roman" w:cs="Times New Roman"/>
                <w:sz w:val="20"/>
                <w:szCs w:val="20"/>
              </w:rPr>
              <w:t xml:space="preserve">Updated Relocation and Displacement Workbook: Submit the Workbook based on the checklist below: </w:t>
            </w:r>
          </w:p>
          <w:p w14:paraId="6B3BC639" w14:textId="77777777" w:rsidR="00FD1900" w:rsidRPr="006E3A0F" w:rsidRDefault="00FD1900" w:rsidP="00304B2F">
            <w:pPr>
              <w:pStyle w:val="ListParagraph"/>
              <w:numPr>
                <w:ilvl w:val="1"/>
                <w:numId w:val="8"/>
              </w:numPr>
              <w:rPr>
                <w:rFonts w:ascii="Times New Roman" w:eastAsia="Calibri" w:hAnsi="Times New Roman" w:cs="Times New Roman"/>
                <w:sz w:val="20"/>
                <w:szCs w:val="20"/>
              </w:rPr>
            </w:pPr>
            <w:r w:rsidRPr="006E3A0F">
              <w:rPr>
                <w:rFonts w:ascii="Times New Roman" w:eastAsia="Calibri" w:hAnsi="Times New Roman" w:cs="Times New Roman"/>
                <w:sz w:val="20"/>
                <w:szCs w:val="20"/>
              </w:rPr>
              <w:t>Go to “</w:t>
            </w:r>
            <w:r w:rsidRPr="006E3A0F">
              <w:rPr>
                <w:rFonts w:ascii="Times New Roman" w:eastAsia="Calibri" w:hAnsi="Times New Roman" w:cs="Times New Roman"/>
                <w:i/>
                <w:iCs/>
                <w:sz w:val="20"/>
                <w:szCs w:val="20"/>
              </w:rPr>
              <w:t>2022 Federal Compliance &amp; Relocation Manuals and Forms</w:t>
            </w:r>
            <w:r w:rsidRPr="006E3A0F">
              <w:rPr>
                <w:rFonts w:ascii="Times New Roman" w:eastAsia="Calibri" w:hAnsi="Times New Roman" w:cs="Times New Roman"/>
                <w:sz w:val="20"/>
                <w:szCs w:val="20"/>
              </w:rPr>
              <w:t>” on DCA website (</w:t>
            </w:r>
            <w:hyperlink r:id="rId61" w:history="1">
              <w:r w:rsidRPr="006E3A0F">
                <w:rPr>
                  <w:rStyle w:val="Hyperlink"/>
                  <w:rFonts w:ascii="Times New Roman" w:eastAsia="Calibri" w:hAnsi="Times New Roman" w:cs="Times New Roman"/>
                  <w:color w:val="auto"/>
                  <w:sz w:val="20"/>
                  <w:szCs w:val="20"/>
                </w:rPr>
                <w:t>click here</w:t>
              </w:r>
            </w:hyperlink>
            <w:r w:rsidRPr="006E3A0F">
              <w:rPr>
                <w:rFonts w:ascii="Times New Roman" w:eastAsia="Calibri" w:hAnsi="Times New Roman" w:cs="Times New Roman"/>
                <w:sz w:val="20"/>
                <w:szCs w:val="20"/>
              </w:rPr>
              <w:t>) -- download “</w:t>
            </w:r>
            <w:r w:rsidRPr="006E3A0F">
              <w:rPr>
                <w:rFonts w:ascii="Times New Roman" w:eastAsia="Calibri" w:hAnsi="Times New Roman" w:cs="Times New Roman"/>
                <w:i/>
                <w:iCs/>
                <w:sz w:val="20"/>
                <w:szCs w:val="20"/>
              </w:rPr>
              <w:t>Relocation Documents for Multifamily - LIHTC Only.zip</w:t>
            </w:r>
            <w:r w:rsidRPr="006E3A0F">
              <w:rPr>
                <w:rFonts w:ascii="Times New Roman" w:eastAsia="Calibri" w:hAnsi="Times New Roman" w:cs="Times New Roman"/>
                <w:sz w:val="20"/>
                <w:szCs w:val="20"/>
              </w:rPr>
              <w:t>” -- “</w:t>
            </w:r>
            <w:r w:rsidRPr="006E3A0F">
              <w:rPr>
                <w:rFonts w:ascii="Times New Roman" w:eastAsia="Calibri" w:hAnsi="Times New Roman" w:cs="Times New Roman"/>
                <w:i/>
                <w:iCs/>
                <w:sz w:val="20"/>
                <w:szCs w:val="20"/>
              </w:rPr>
              <w:t xml:space="preserve">Toolkit.Multifamily-LIHTCOnly.pdf” -- </w:t>
            </w:r>
            <w:r w:rsidRPr="006E3A0F">
              <w:rPr>
                <w:rFonts w:ascii="Times New Roman" w:eastAsia="Calibri" w:hAnsi="Times New Roman" w:cs="Times New Roman"/>
                <w:sz w:val="20"/>
                <w:szCs w:val="20"/>
              </w:rPr>
              <w:t>see</w:t>
            </w:r>
            <w:r w:rsidRPr="006E3A0F">
              <w:rPr>
                <w:rFonts w:ascii="Times New Roman" w:eastAsia="Calibri" w:hAnsi="Times New Roman" w:cs="Times New Roman"/>
                <w:i/>
                <w:iCs/>
                <w:sz w:val="20"/>
                <w:szCs w:val="20"/>
              </w:rPr>
              <w:t xml:space="preserve"> </w:t>
            </w:r>
            <w:r w:rsidRPr="006E3A0F">
              <w:rPr>
                <w:rFonts w:ascii="Times New Roman" w:eastAsia="Calibri" w:hAnsi="Times New Roman" w:cs="Times New Roman"/>
                <w:sz w:val="20"/>
                <w:szCs w:val="20"/>
              </w:rPr>
              <w:t xml:space="preserve">section </w:t>
            </w:r>
            <w:r w:rsidRPr="006E3A0F">
              <w:rPr>
                <w:rFonts w:ascii="Times New Roman" w:eastAsia="Calibri" w:hAnsi="Times New Roman" w:cs="Times New Roman"/>
                <w:i/>
                <w:iCs/>
                <w:sz w:val="20"/>
                <w:szCs w:val="20"/>
              </w:rPr>
              <w:t>Relocation Workbook Checklist</w:t>
            </w:r>
            <w:r w:rsidRPr="006E3A0F">
              <w:rPr>
                <w:rFonts w:ascii="Times New Roman" w:eastAsia="Calibri" w:hAnsi="Times New Roman" w:cs="Times New Roman"/>
                <w:sz w:val="20"/>
                <w:szCs w:val="20"/>
              </w:rPr>
              <w:t xml:space="preserve">, checklist associated with subsection </w:t>
            </w:r>
            <w:r w:rsidRPr="006E3A0F">
              <w:rPr>
                <w:rFonts w:ascii="Times New Roman" w:eastAsia="Calibri" w:hAnsi="Times New Roman" w:cs="Times New Roman"/>
                <w:i/>
                <w:iCs/>
                <w:sz w:val="20"/>
                <w:szCs w:val="20"/>
              </w:rPr>
              <w:t>Pre-Application Submission.</w:t>
            </w:r>
            <w:r w:rsidRPr="006E3A0F">
              <w:rPr>
                <w:rFonts w:ascii="Times New Roman" w:eastAsia="Calibri" w:hAnsi="Times New Roman" w:cs="Times New Roman"/>
                <w:sz w:val="20"/>
                <w:szCs w:val="20"/>
              </w:rPr>
              <w:t xml:space="preserve"> </w:t>
            </w:r>
          </w:p>
          <w:p w14:paraId="6F30735D" w14:textId="77777777" w:rsidR="00FD1900" w:rsidRPr="006E3A0F" w:rsidRDefault="00FD1900" w:rsidP="00304B2F">
            <w:pPr>
              <w:pStyle w:val="ListParagraph"/>
              <w:numPr>
                <w:ilvl w:val="0"/>
                <w:numId w:val="8"/>
              </w:numPr>
              <w:rPr>
                <w:rFonts w:ascii="Times New Roman" w:eastAsia="Calibri" w:hAnsi="Times New Roman" w:cs="Times New Roman"/>
                <w:sz w:val="20"/>
                <w:szCs w:val="20"/>
              </w:rPr>
            </w:pPr>
            <w:r w:rsidRPr="006E3A0F">
              <w:rPr>
                <w:rFonts w:ascii="Times New Roman" w:eastAsia="Calibri" w:hAnsi="Times New Roman" w:cs="Times New Roman"/>
                <w:sz w:val="20"/>
                <w:szCs w:val="20"/>
              </w:rPr>
              <w:t xml:space="preserve">Manually fill in the Pre-Application Relocation Summary tab. </w:t>
            </w:r>
          </w:p>
          <w:p w14:paraId="30C69DF6" w14:textId="77777777" w:rsidR="00FD1900" w:rsidRPr="006E3A0F" w:rsidRDefault="00FD1900" w:rsidP="00304B2F">
            <w:pPr>
              <w:pStyle w:val="ListParagraph"/>
              <w:numPr>
                <w:ilvl w:val="1"/>
                <w:numId w:val="8"/>
              </w:numPr>
              <w:rPr>
                <w:rFonts w:ascii="Times New Roman" w:eastAsia="Calibri" w:hAnsi="Times New Roman" w:cs="Times New Roman"/>
                <w:sz w:val="20"/>
                <w:szCs w:val="20"/>
              </w:rPr>
            </w:pPr>
            <w:r w:rsidRPr="006E3A0F">
              <w:rPr>
                <w:rFonts w:ascii="Times New Roman" w:eastAsia="Calibri" w:hAnsi="Times New Roman" w:cs="Times New Roman"/>
                <w:sz w:val="20"/>
                <w:szCs w:val="20"/>
              </w:rPr>
              <w:t>Go to “</w:t>
            </w:r>
            <w:r w:rsidRPr="006E3A0F">
              <w:rPr>
                <w:rFonts w:ascii="Times New Roman" w:eastAsia="Calibri" w:hAnsi="Times New Roman" w:cs="Times New Roman"/>
                <w:i/>
                <w:iCs/>
                <w:sz w:val="20"/>
                <w:szCs w:val="20"/>
              </w:rPr>
              <w:t>2022 Pre-Application Forms</w:t>
            </w:r>
            <w:r w:rsidRPr="006E3A0F">
              <w:rPr>
                <w:rFonts w:ascii="Times New Roman" w:eastAsia="Calibri" w:hAnsi="Times New Roman" w:cs="Times New Roman"/>
                <w:sz w:val="20"/>
                <w:szCs w:val="20"/>
              </w:rPr>
              <w:t xml:space="preserve">” </w:t>
            </w:r>
            <w:proofErr w:type="gramStart"/>
            <w:r w:rsidRPr="006E3A0F">
              <w:rPr>
                <w:rFonts w:ascii="Times New Roman" w:eastAsia="Calibri" w:hAnsi="Times New Roman" w:cs="Times New Roman"/>
                <w:sz w:val="20"/>
                <w:szCs w:val="20"/>
              </w:rPr>
              <w:t>--  download</w:t>
            </w:r>
            <w:proofErr w:type="gramEnd"/>
            <w:r w:rsidRPr="006E3A0F">
              <w:rPr>
                <w:rFonts w:ascii="Times New Roman" w:eastAsia="Calibri" w:hAnsi="Times New Roman" w:cs="Times New Roman"/>
                <w:sz w:val="20"/>
                <w:szCs w:val="20"/>
              </w:rPr>
              <w:t xml:space="preserve"> “</w:t>
            </w:r>
            <w:r w:rsidRPr="006E3A0F">
              <w:rPr>
                <w:rFonts w:ascii="Times New Roman" w:eastAsia="Calibri" w:hAnsi="Times New Roman" w:cs="Times New Roman"/>
                <w:i/>
                <w:iCs/>
                <w:sz w:val="20"/>
                <w:szCs w:val="20"/>
              </w:rPr>
              <w:t>2022 Supplemental Pre-Application (includes Submission Summary tab for Fee Transmittal)</w:t>
            </w:r>
            <w:r w:rsidRPr="006E3A0F">
              <w:rPr>
                <w:rFonts w:ascii="Times New Roman" w:eastAsia="Calibri" w:hAnsi="Times New Roman" w:cs="Times New Roman"/>
                <w:sz w:val="20"/>
                <w:szCs w:val="20"/>
              </w:rPr>
              <w:t>” -- see “</w:t>
            </w:r>
            <w:r w:rsidRPr="006E3A0F">
              <w:rPr>
                <w:rFonts w:ascii="Times New Roman" w:eastAsia="Calibri" w:hAnsi="Times New Roman" w:cs="Times New Roman"/>
                <w:i/>
                <w:iCs/>
                <w:sz w:val="20"/>
                <w:szCs w:val="20"/>
              </w:rPr>
              <w:t>Relocation Summary</w:t>
            </w:r>
            <w:r w:rsidRPr="006E3A0F">
              <w:rPr>
                <w:rFonts w:ascii="Times New Roman" w:eastAsia="Calibri" w:hAnsi="Times New Roman" w:cs="Times New Roman"/>
                <w:sz w:val="20"/>
                <w:szCs w:val="20"/>
              </w:rPr>
              <w:t xml:space="preserve">” tab. </w:t>
            </w:r>
          </w:p>
          <w:p w14:paraId="4EA6C4DA" w14:textId="77777777" w:rsidR="00FD1900" w:rsidRPr="006E3A0F" w:rsidRDefault="00FD1900" w:rsidP="00304B2F">
            <w:pPr>
              <w:pStyle w:val="ListParagraph"/>
              <w:numPr>
                <w:ilvl w:val="0"/>
                <w:numId w:val="8"/>
              </w:numPr>
              <w:rPr>
                <w:rFonts w:ascii="Times New Roman" w:eastAsia="Calibri" w:hAnsi="Times New Roman" w:cs="Times New Roman"/>
                <w:sz w:val="20"/>
                <w:szCs w:val="20"/>
              </w:rPr>
            </w:pPr>
            <w:r w:rsidRPr="006E3A0F">
              <w:rPr>
                <w:rFonts w:ascii="Times New Roman" w:eastAsia="Calibri" w:hAnsi="Times New Roman" w:cs="Times New Roman"/>
                <w:sz w:val="20"/>
                <w:szCs w:val="20"/>
              </w:rPr>
              <w:t xml:space="preserve">Written confirmation from federal agency (if applicable); and </w:t>
            </w:r>
          </w:p>
          <w:p w14:paraId="6EDABAE8" w14:textId="77777777" w:rsidR="00FD1900" w:rsidRPr="006E3A0F" w:rsidRDefault="00FD1900" w:rsidP="00304B2F">
            <w:pPr>
              <w:pStyle w:val="ListParagraph"/>
              <w:numPr>
                <w:ilvl w:val="0"/>
                <w:numId w:val="8"/>
              </w:numPr>
              <w:rPr>
                <w:rFonts w:ascii="Times New Roman" w:eastAsia="Calibri" w:hAnsi="Times New Roman" w:cs="Times New Roman"/>
                <w:sz w:val="20"/>
                <w:szCs w:val="20"/>
              </w:rPr>
            </w:pPr>
            <w:r w:rsidRPr="006E3A0F">
              <w:rPr>
                <w:rFonts w:ascii="Times New Roman" w:eastAsia="Calibri" w:hAnsi="Times New Roman" w:cs="Times New Roman"/>
                <w:sz w:val="20"/>
                <w:szCs w:val="20"/>
              </w:rPr>
              <w:t>Any other supporting documentation.</w:t>
            </w:r>
          </w:p>
          <w:p w14:paraId="58413CB5" w14:textId="77777777" w:rsidR="00FD1900" w:rsidRPr="006E3A0F" w:rsidRDefault="00FD1900" w:rsidP="00304B2F">
            <w:pPr>
              <w:contextualSpacing/>
              <w:rPr>
                <w:rFonts w:ascii="Times New Roman" w:eastAsia="Calibri" w:hAnsi="Times New Roman" w:cs="Times New Roman"/>
                <w:sz w:val="20"/>
                <w:szCs w:val="20"/>
              </w:rPr>
            </w:pPr>
          </w:p>
          <w:p w14:paraId="59C2D148" w14:textId="77777777" w:rsidR="00FD1900" w:rsidRPr="006E3A0F" w:rsidRDefault="00FD1900" w:rsidP="00304B2F">
            <w:pPr>
              <w:contextualSpacing/>
              <w:rPr>
                <w:rFonts w:ascii="Times New Roman" w:eastAsia="Calibri" w:hAnsi="Times New Roman" w:cs="Times New Roman"/>
                <w:sz w:val="20"/>
                <w:szCs w:val="20"/>
              </w:rPr>
            </w:pPr>
            <w:r w:rsidRPr="006E3A0F">
              <w:rPr>
                <w:rFonts w:ascii="Times New Roman" w:eastAsia="Calibri" w:hAnsi="Times New Roman" w:cs="Times New Roman"/>
                <w:sz w:val="20"/>
                <w:szCs w:val="20"/>
              </w:rPr>
              <w:t xml:space="preserve">The same tabs in the checklist on page 6 must be completed in the Relocation Excel Workbook for an In-Place Rehab Waiver. This completed waiver documentation is required along with a copy of the GIN Draft.  </w:t>
            </w:r>
          </w:p>
        </w:tc>
      </w:tr>
      <w:tr w:rsidR="00FD1900" w:rsidRPr="006E3A0F" w14:paraId="6C9FDB23" w14:textId="77777777" w:rsidTr="00E91E6E">
        <w:trPr>
          <w:jc w:val="center"/>
        </w:trPr>
        <w:tc>
          <w:tcPr>
            <w:tcW w:w="2157" w:type="dxa"/>
            <w:shd w:val="clear" w:color="auto" w:fill="auto"/>
            <w:tcMar>
              <w:top w:w="72" w:type="dxa"/>
              <w:left w:w="115" w:type="dxa"/>
              <w:bottom w:w="72" w:type="dxa"/>
              <w:right w:w="115" w:type="dxa"/>
            </w:tcMar>
            <w:vAlign w:val="center"/>
          </w:tcPr>
          <w:p w14:paraId="32F3702A"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4022B733"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7.00</w:t>
            </w:r>
          </w:p>
          <w:p w14:paraId="0EDB055C"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Application Materials (Forms, etc.)</w:t>
            </w:r>
          </w:p>
        </w:tc>
        <w:tc>
          <w:tcPr>
            <w:tcW w:w="9590" w:type="dxa"/>
            <w:shd w:val="clear" w:color="auto" w:fill="auto"/>
            <w:tcMar>
              <w:top w:w="72" w:type="dxa"/>
              <w:left w:w="115" w:type="dxa"/>
              <w:bottom w:w="72" w:type="dxa"/>
              <w:right w:w="115" w:type="dxa"/>
            </w:tcMar>
            <w:vAlign w:val="center"/>
          </w:tcPr>
          <w:p w14:paraId="03694822"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Q22_0304_01 </w:t>
            </w:r>
          </w:p>
          <w:p w14:paraId="7900EC2E"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Do the fees paid at pre-application need to be paid by certified funds? </w:t>
            </w:r>
          </w:p>
          <w:p w14:paraId="3371AAE1"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2AB5517B"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0903AA1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In the 2022 Supplemental Pre-Application (under Pre-Application 2022 Pre-Application Forms, </w:t>
            </w:r>
            <w:hyperlink r:id="rId62" w:tgtFrame="_blank" w:history="1">
              <w:r w:rsidRPr="006E3A0F">
                <w:rPr>
                  <w:rFonts w:ascii="Times New Roman" w:eastAsia="Times New Roman" w:hAnsi="Times New Roman" w:cs="Times New Roman"/>
                  <w:sz w:val="20"/>
                  <w:szCs w:val="20"/>
                  <w:u w:val="single"/>
                </w:rPr>
                <w:t>click here</w:t>
              </w:r>
            </w:hyperlink>
            <w:r w:rsidRPr="006E3A0F">
              <w:rPr>
                <w:rFonts w:ascii="Times New Roman" w:eastAsia="Times New Roman" w:hAnsi="Times New Roman" w:cs="Times New Roman"/>
                <w:sz w:val="20"/>
                <w:szCs w:val="20"/>
              </w:rPr>
              <w:t xml:space="preserve">), the </w:t>
            </w:r>
            <w:r w:rsidRPr="006E3A0F">
              <w:rPr>
                <w:rFonts w:ascii="Times New Roman" w:eastAsia="Times New Roman" w:hAnsi="Times New Roman" w:cs="Times New Roman"/>
                <w:b/>
                <w:bCs/>
                <w:sz w:val="20"/>
                <w:szCs w:val="20"/>
              </w:rPr>
              <w:t>Fee Submission Instructions</w:t>
            </w:r>
            <w:r w:rsidRPr="006E3A0F">
              <w:rPr>
                <w:rFonts w:ascii="Times New Roman" w:eastAsia="Times New Roman" w:hAnsi="Times New Roman" w:cs="Times New Roman"/>
                <w:sz w:val="20"/>
                <w:szCs w:val="20"/>
              </w:rPr>
              <w:t xml:space="preserve"> require a “</w:t>
            </w:r>
            <w:r w:rsidRPr="006E3A0F">
              <w:rPr>
                <w:rFonts w:ascii="Times New Roman" w:eastAsia="Times New Roman" w:hAnsi="Times New Roman" w:cs="Times New Roman"/>
                <w:i/>
                <w:iCs/>
                <w:sz w:val="20"/>
                <w:szCs w:val="20"/>
              </w:rPr>
              <w:t>properly executed check</w:t>
            </w:r>
            <w:r w:rsidRPr="006E3A0F">
              <w:rPr>
                <w:rFonts w:ascii="Times New Roman" w:eastAsia="Times New Roman" w:hAnsi="Times New Roman" w:cs="Times New Roman"/>
                <w:sz w:val="20"/>
                <w:szCs w:val="20"/>
              </w:rPr>
              <w:t>.” DCA does not require fees to be paid by certified funds.  </w:t>
            </w:r>
          </w:p>
        </w:tc>
      </w:tr>
      <w:tr w:rsidR="00FD1900" w:rsidRPr="006E3A0F" w14:paraId="6C8C82F2" w14:textId="77777777" w:rsidTr="00E91E6E">
        <w:trPr>
          <w:jc w:val="center"/>
        </w:trPr>
        <w:tc>
          <w:tcPr>
            <w:tcW w:w="2157" w:type="dxa"/>
            <w:shd w:val="clear" w:color="auto" w:fill="auto"/>
            <w:tcMar>
              <w:top w:w="72" w:type="dxa"/>
              <w:left w:w="115" w:type="dxa"/>
              <w:bottom w:w="72" w:type="dxa"/>
              <w:right w:w="115" w:type="dxa"/>
            </w:tcMar>
            <w:vAlign w:val="center"/>
          </w:tcPr>
          <w:p w14:paraId="4BA6B7D0"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55E68831"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7.00</w:t>
            </w:r>
          </w:p>
          <w:p w14:paraId="0803B3A5"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noProof/>
                <w:sz w:val="20"/>
                <w:szCs w:val="20"/>
              </w:rPr>
              <w:t>Application Materials (Forms, etc.)</w:t>
            </w:r>
          </w:p>
        </w:tc>
        <w:tc>
          <w:tcPr>
            <w:tcW w:w="9590" w:type="dxa"/>
            <w:shd w:val="clear" w:color="auto" w:fill="auto"/>
            <w:tcMar>
              <w:top w:w="72" w:type="dxa"/>
              <w:left w:w="115" w:type="dxa"/>
              <w:bottom w:w="72" w:type="dxa"/>
              <w:right w:w="115" w:type="dxa"/>
            </w:tcMar>
            <w:vAlign w:val="center"/>
          </w:tcPr>
          <w:p w14:paraId="110F6D61"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Q0223_04 </w:t>
            </w:r>
          </w:p>
          <w:p w14:paraId="17E3CAB4"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On the 2022 Capacity Form of the Pre-Application, it states to list projects that have not yet finished construction and/or begun lease up.  In the 2022 Performance Workbook instructions, it states that the Capacity Form should include projects the Certifying Entity is participating in but have not completed leasing.   </w:t>
            </w:r>
          </w:p>
          <w:p w14:paraId="18E4122A"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0099A6A2"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For a project that is currently leasing up, per the directions on the Capacity Form, the project would not be listed on this form because it has begun lease-up.  Per the Instructions, our project would be listed on this form because it has not completed leasing.  Could you please clarify which projects should go on the Capacity Form? </w:t>
            </w:r>
          </w:p>
          <w:p w14:paraId="219A525F"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3856BEDC"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72E4D3AD"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The instructions referenced are the following: </w:t>
            </w:r>
          </w:p>
          <w:p w14:paraId="4F997C99"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FD1900" w:rsidRPr="006E3A0F" w14:paraId="4D537210" w14:textId="77777777" w:rsidTr="005F175E">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4E4DD106" w14:textId="77777777" w:rsidR="00FD1900" w:rsidRPr="006E3A0F" w:rsidRDefault="00FD1900" w:rsidP="00304B2F">
                  <w:pPr>
                    <w:keepNext/>
                    <w:keepLines/>
                    <w:spacing w:after="0" w:line="240" w:lineRule="auto"/>
                    <w:jc w:val="cente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Performance Workbook:</w:t>
                  </w:r>
                  <w:r w:rsidRPr="006E3A0F">
                    <w:rPr>
                      <w:rFonts w:ascii="Times New Roman" w:eastAsia="Times New Roman" w:hAnsi="Times New Roman" w:cs="Times New Roman"/>
                      <w:sz w:val="20"/>
                      <w:szCs w:val="20"/>
                    </w:rPr>
                    <w:t> </w:t>
                  </w:r>
                </w:p>
                <w:p w14:paraId="1A58AC0C" w14:textId="77777777" w:rsidR="00FD1900" w:rsidRPr="006E3A0F" w:rsidRDefault="00FD1900" w:rsidP="00304B2F">
                  <w:pPr>
                    <w:keepNext/>
                    <w:keepLines/>
                    <w:spacing w:after="0" w:line="240" w:lineRule="auto"/>
                    <w:jc w:val="cente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Instructions for Capacity Form</w:t>
                  </w:r>
                  <w:r w:rsidRPr="006E3A0F">
                    <w:rPr>
                      <w:rFonts w:ascii="Times New Roman" w:eastAsia="Times New Roman" w:hAnsi="Times New Roman" w:cs="Times New Roman"/>
                      <w:sz w:val="20"/>
                      <w:szCs w:val="20"/>
                    </w:rPr>
                    <w:t> </w:t>
                  </w:r>
                </w:p>
              </w:tc>
              <w:tc>
                <w:tcPr>
                  <w:tcW w:w="4665" w:type="dxa"/>
                  <w:tcBorders>
                    <w:top w:val="single" w:sz="6" w:space="0" w:color="auto"/>
                    <w:left w:val="nil"/>
                    <w:bottom w:val="single" w:sz="6" w:space="0" w:color="auto"/>
                    <w:right w:val="single" w:sz="6" w:space="0" w:color="auto"/>
                  </w:tcBorders>
                  <w:shd w:val="clear" w:color="auto" w:fill="auto"/>
                  <w:hideMark/>
                </w:tcPr>
                <w:p w14:paraId="56CD0C2B" w14:textId="77777777" w:rsidR="00FD1900" w:rsidRPr="006E3A0F" w:rsidRDefault="00FD1900" w:rsidP="00304B2F">
                  <w:pPr>
                    <w:keepNext/>
                    <w:keepLines/>
                    <w:spacing w:after="0" w:line="240" w:lineRule="auto"/>
                    <w:jc w:val="cente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Performance Workbook:</w:t>
                  </w:r>
                  <w:r w:rsidRPr="006E3A0F">
                    <w:rPr>
                      <w:rFonts w:ascii="Times New Roman" w:eastAsia="Times New Roman" w:hAnsi="Times New Roman" w:cs="Times New Roman"/>
                      <w:sz w:val="20"/>
                      <w:szCs w:val="20"/>
                    </w:rPr>
                    <w:t> </w:t>
                  </w:r>
                </w:p>
                <w:p w14:paraId="1358B639" w14:textId="77777777" w:rsidR="00FD1900" w:rsidRPr="006E3A0F" w:rsidRDefault="00FD1900" w:rsidP="00304B2F">
                  <w:pPr>
                    <w:keepNext/>
                    <w:keepLines/>
                    <w:spacing w:after="0" w:line="240" w:lineRule="auto"/>
                    <w:jc w:val="cente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Capacity Form</w:t>
                  </w:r>
                  <w:r w:rsidRPr="006E3A0F">
                    <w:rPr>
                      <w:rFonts w:ascii="Times New Roman" w:eastAsia="Times New Roman" w:hAnsi="Times New Roman" w:cs="Times New Roman"/>
                      <w:sz w:val="20"/>
                      <w:szCs w:val="20"/>
                    </w:rPr>
                    <w:t> </w:t>
                  </w:r>
                </w:p>
              </w:tc>
            </w:tr>
            <w:tr w:rsidR="00FD1900" w:rsidRPr="006E3A0F" w14:paraId="6A9B3BB9" w14:textId="77777777" w:rsidTr="005F175E">
              <w:tc>
                <w:tcPr>
                  <w:tcW w:w="4665" w:type="dxa"/>
                  <w:tcBorders>
                    <w:top w:val="nil"/>
                    <w:left w:val="single" w:sz="6" w:space="0" w:color="auto"/>
                    <w:bottom w:val="single" w:sz="6" w:space="0" w:color="auto"/>
                    <w:right w:val="single" w:sz="6" w:space="0" w:color="auto"/>
                  </w:tcBorders>
                  <w:shd w:val="clear" w:color="auto" w:fill="auto"/>
                  <w:hideMark/>
                </w:tcPr>
                <w:p w14:paraId="154BA2FC" w14:textId="77777777" w:rsidR="00FD1900" w:rsidRPr="006E3A0F" w:rsidRDefault="00FD1900" w:rsidP="00304B2F">
                  <w:pPr>
                    <w:keepNext/>
                    <w:keepLines/>
                    <w:spacing w:after="0" w:line="240" w:lineRule="auto"/>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“…list all affordable housing projects…[that] have not completed leasing.”  </w:t>
                  </w:r>
                </w:p>
              </w:tc>
              <w:tc>
                <w:tcPr>
                  <w:tcW w:w="4665" w:type="dxa"/>
                  <w:tcBorders>
                    <w:top w:val="nil"/>
                    <w:left w:val="nil"/>
                    <w:bottom w:val="single" w:sz="6" w:space="0" w:color="auto"/>
                    <w:right w:val="single" w:sz="6" w:space="0" w:color="auto"/>
                  </w:tcBorders>
                  <w:shd w:val="clear" w:color="auto" w:fill="auto"/>
                  <w:hideMark/>
                </w:tcPr>
                <w:p w14:paraId="11B868DA" w14:textId="77777777" w:rsidR="00FD1900" w:rsidRPr="006E3A0F" w:rsidRDefault="00FD1900" w:rsidP="00304B2F">
                  <w:pPr>
                    <w:keepNext/>
                    <w:keepLines/>
                    <w:spacing w:after="0" w:line="240" w:lineRule="auto"/>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“The Certifying Entity must list each affordable housing property currently [under </w:t>
                  </w:r>
                  <w:proofErr w:type="gramStart"/>
                  <w:r w:rsidRPr="006E3A0F">
                    <w:rPr>
                      <w:rFonts w:ascii="Times New Roman" w:eastAsia="Times New Roman" w:hAnsi="Times New Roman" w:cs="Times New Roman"/>
                      <w:sz w:val="20"/>
                      <w:szCs w:val="20"/>
                    </w:rPr>
                    <w:t>review]…</w:t>
                  </w:r>
                  <w:proofErr w:type="gramEnd"/>
                  <w:r w:rsidRPr="006E3A0F">
                    <w:rPr>
                      <w:rFonts w:ascii="Times New Roman" w:eastAsia="Times New Roman" w:hAnsi="Times New Roman" w:cs="Times New Roman"/>
                      <w:sz w:val="20"/>
                      <w:szCs w:val="20"/>
                    </w:rPr>
                    <w:t xml:space="preserve"> and/or any other multifamily development…that has not yet finished construction and/or begun lease up…” </w:t>
                  </w:r>
                </w:p>
              </w:tc>
            </w:tr>
          </w:tbl>
          <w:p w14:paraId="604F21D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56D12132"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For purposes of a property that has placed in service and begun lease-up, in the above question, the applicant is interpreting the instructions on the right to mean, “list each affordable housing property…that has not yet finished construction and/or </w:t>
            </w:r>
            <w:r w:rsidRPr="006E3A0F">
              <w:rPr>
                <w:rFonts w:ascii="Times New Roman" w:eastAsia="Times New Roman" w:hAnsi="Times New Roman" w:cs="Times New Roman"/>
                <w:b/>
                <w:bCs/>
                <w:sz w:val="20"/>
                <w:szCs w:val="20"/>
              </w:rPr>
              <w:t>[not yet]</w:t>
            </w:r>
            <w:r w:rsidRPr="006E3A0F">
              <w:rPr>
                <w:rFonts w:ascii="Times New Roman" w:eastAsia="Times New Roman" w:hAnsi="Times New Roman" w:cs="Times New Roman"/>
                <w:sz w:val="20"/>
                <w:szCs w:val="20"/>
              </w:rPr>
              <w:t xml:space="preserve"> begun lease up…” This is not a correct interpretation. In the form instructions, “not yet” only refers to “finished construction.” </w:t>
            </w:r>
          </w:p>
          <w:p w14:paraId="2FF365F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279A7BCF"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Any property that has begun lease up but has not reached stabilized occupancy should be included on the Capacity Form. </w:t>
            </w:r>
          </w:p>
        </w:tc>
      </w:tr>
      <w:tr w:rsidR="00FD1900" w:rsidRPr="006E3A0F" w14:paraId="36CDC3AD" w14:textId="77777777" w:rsidTr="00E91E6E">
        <w:trPr>
          <w:jc w:val="center"/>
        </w:trPr>
        <w:tc>
          <w:tcPr>
            <w:tcW w:w="2157" w:type="dxa"/>
            <w:shd w:val="clear" w:color="auto" w:fill="auto"/>
            <w:tcMar>
              <w:top w:w="72" w:type="dxa"/>
              <w:left w:w="115" w:type="dxa"/>
              <w:bottom w:w="72" w:type="dxa"/>
              <w:right w:w="115" w:type="dxa"/>
            </w:tcMar>
            <w:vAlign w:val="center"/>
          </w:tcPr>
          <w:p w14:paraId="65887A71"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3FCE3D0F"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7.00</w:t>
            </w:r>
          </w:p>
          <w:p w14:paraId="66093386"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 xml:space="preserve">Application Materials (Forms, etc.) </w:t>
            </w:r>
          </w:p>
        </w:tc>
        <w:tc>
          <w:tcPr>
            <w:tcW w:w="9590" w:type="dxa"/>
            <w:shd w:val="clear" w:color="auto" w:fill="auto"/>
            <w:tcMar>
              <w:top w:w="72" w:type="dxa"/>
              <w:left w:w="115" w:type="dxa"/>
              <w:bottom w:w="72" w:type="dxa"/>
              <w:right w:w="115" w:type="dxa"/>
            </w:tcMar>
            <w:vAlign w:val="center"/>
          </w:tcPr>
          <w:p w14:paraId="0A0A9C09"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Question</w:t>
            </w:r>
            <w:r w:rsidRPr="006E3A0F">
              <w:rPr>
                <w:rFonts w:ascii="Times New Roman" w:hAnsi="Times New Roman" w:cs="Times New Roman"/>
                <w:sz w:val="20"/>
                <w:szCs w:val="20"/>
              </w:rPr>
              <w:t>: Q22_0302_02</w:t>
            </w:r>
          </w:p>
          <w:p w14:paraId="5410BE84"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 xml:space="preserve">A Rent Schedule &amp; Summary tab is included in the Pre-Application Submission Transmittal form, which also indicates similar proposed unit mix information will need to be entered into the </w:t>
            </w:r>
            <w:proofErr w:type="spellStart"/>
            <w:r w:rsidRPr="006E3A0F">
              <w:rPr>
                <w:rFonts w:ascii="Times New Roman" w:hAnsi="Times New Roman" w:cs="Times New Roman"/>
                <w:sz w:val="20"/>
                <w:szCs w:val="20"/>
              </w:rPr>
              <w:t>Emphasys</w:t>
            </w:r>
            <w:proofErr w:type="spellEnd"/>
            <w:r w:rsidRPr="006E3A0F">
              <w:rPr>
                <w:rFonts w:ascii="Times New Roman" w:hAnsi="Times New Roman" w:cs="Times New Roman"/>
                <w:sz w:val="20"/>
                <w:szCs w:val="20"/>
              </w:rPr>
              <w:t xml:space="preserve"> Pre-App submission portal.</w:t>
            </w:r>
          </w:p>
          <w:p w14:paraId="21699F1A" w14:textId="77777777" w:rsidR="00FD1900" w:rsidRPr="006E3A0F" w:rsidRDefault="00FD1900" w:rsidP="00304B2F">
            <w:pPr>
              <w:contextualSpacing/>
              <w:rPr>
                <w:rFonts w:ascii="Times New Roman" w:hAnsi="Times New Roman" w:cs="Times New Roman"/>
                <w:sz w:val="20"/>
                <w:szCs w:val="20"/>
              </w:rPr>
            </w:pPr>
          </w:p>
          <w:p w14:paraId="6C09776B"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 xml:space="preserve">Can DCA confirm if it is necessary to complete the Rent Schedule &amp; Summary tab, as well as any other unit mix information to be requested in the </w:t>
            </w:r>
            <w:proofErr w:type="spellStart"/>
            <w:r w:rsidRPr="006E3A0F">
              <w:rPr>
                <w:rFonts w:ascii="Times New Roman" w:hAnsi="Times New Roman" w:cs="Times New Roman"/>
                <w:sz w:val="20"/>
                <w:szCs w:val="20"/>
              </w:rPr>
              <w:t>Emphasys</w:t>
            </w:r>
            <w:proofErr w:type="spellEnd"/>
            <w:r w:rsidRPr="006E3A0F">
              <w:rPr>
                <w:rFonts w:ascii="Times New Roman" w:hAnsi="Times New Roman" w:cs="Times New Roman"/>
                <w:sz w:val="20"/>
                <w:szCs w:val="20"/>
              </w:rPr>
              <w:t xml:space="preserve"> portal, at Pre-Application, if the applicant is not requesting any pre-application waivers?</w:t>
            </w:r>
          </w:p>
          <w:p w14:paraId="42372EF2" w14:textId="77777777" w:rsidR="00FD1900" w:rsidRPr="006E3A0F" w:rsidRDefault="00FD1900" w:rsidP="00304B2F">
            <w:pPr>
              <w:contextualSpacing/>
              <w:rPr>
                <w:rFonts w:ascii="Times New Roman" w:hAnsi="Times New Roman" w:cs="Times New Roman"/>
                <w:sz w:val="20"/>
                <w:szCs w:val="20"/>
              </w:rPr>
            </w:pPr>
          </w:p>
          <w:p w14:paraId="5A10C31E"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If it is necessary to provide this information at Pre-Application, can DCA clarify if this information can change between Pre-Application and Application Submission (</w:t>
            </w:r>
            <w:proofErr w:type="spellStart"/>
            <w:proofErr w:type="gramStart"/>
            <w:r w:rsidRPr="006E3A0F">
              <w:rPr>
                <w:rFonts w:ascii="Times New Roman" w:hAnsi="Times New Roman" w:cs="Times New Roman"/>
                <w:sz w:val="20"/>
                <w:szCs w:val="20"/>
              </w:rPr>
              <w:t>ie</w:t>
            </w:r>
            <w:proofErr w:type="spellEnd"/>
            <w:r w:rsidRPr="006E3A0F">
              <w:rPr>
                <w:rFonts w:ascii="Times New Roman" w:hAnsi="Times New Roman" w:cs="Times New Roman"/>
                <w:sz w:val="20"/>
                <w:szCs w:val="20"/>
              </w:rPr>
              <w:t>;</w:t>
            </w:r>
            <w:proofErr w:type="gramEnd"/>
            <w:r w:rsidRPr="006E3A0F">
              <w:rPr>
                <w:rFonts w:ascii="Times New Roman" w:hAnsi="Times New Roman" w:cs="Times New Roman"/>
                <w:sz w:val="20"/>
                <w:szCs w:val="20"/>
              </w:rPr>
              <w:t xml:space="preserve"> total units, bedroom mix, income targeting, proposed rents, utility allowances, or PBRA subsidy)?</w:t>
            </w:r>
          </w:p>
          <w:p w14:paraId="501A417F" w14:textId="77777777" w:rsidR="00FD1900" w:rsidRPr="006E3A0F" w:rsidRDefault="00FD1900" w:rsidP="00304B2F">
            <w:pPr>
              <w:contextualSpacing/>
              <w:rPr>
                <w:rFonts w:ascii="Times New Roman" w:hAnsi="Times New Roman" w:cs="Times New Roman"/>
                <w:sz w:val="20"/>
                <w:szCs w:val="20"/>
              </w:rPr>
            </w:pPr>
          </w:p>
          <w:p w14:paraId="1A4F78AF"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Answer</w:t>
            </w:r>
            <w:r w:rsidRPr="006E3A0F">
              <w:rPr>
                <w:rFonts w:ascii="Times New Roman" w:hAnsi="Times New Roman" w:cs="Times New Roman"/>
                <w:sz w:val="20"/>
                <w:szCs w:val="20"/>
              </w:rPr>
              <w:t xml:space="preserve">: </w:t>
            </w:r>
          </w:p>
          <w:p w14:paraId="75D5995A"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 xml:space="preserve">Where the Pre-Application requests unit mix information, it is for purposes of DCA staff assessing a waiver request related to this information. </w:t>
            </w:r>
          </w:p>
          <w:p w14:paraId="1E691259" w14:textId="77777777" w:rsidR="00FD1900" w:rsidRPr="006E3A0F" w:rsidRDefault="00FD1900" w:rsidP="00304B2F">
            <w:pPr>
              <w:contextualSpacing/>
              <w:rPr>
                <w:rFonts w:ascii="Times New Roman" w:hAnsi="Times New Roman" w:cs="Times New Roman"/>
                <w:sz w:val="20"/>
                <w:szCs w:val="20"/>
              </w:rPr>
            </w:pPr>
          </w:p>
          <w:p w14:paraId="3FF1B587" w14:textId="77777777" w:rsidR="00FD1900" w:rsidRPr="006E3A0F" w:rsidRDefault="00FD1900" w:rsidP="00304B2F">
            <w:pPr>
              <w:rPr>
                <w:rStyle w:val="normaltextrun"/>
                <w:rFonts w:ascii="Times New Roman" w:hAnsi="Times New Roman" w:cs="Times New Roman"/>
                <w:sz w:val="20"/>
                <w:szCs w:val="20"/>
              </w:rPr>
            </w:pPr>
            <w:r w:rsidRPr="006E3A0F">
              <w:rPr>
                <w:rFonts w:ascii="Times New Roman" w:hAnsi="Times New Roman" w:cs="Times New Roman"/>
                <w:sz w:val="20"/>
                <w:szCs w:val="20"/>
              </w:rPr>
              <w:t xml:space="preserve">If your Pre-Application submission will not include a waiver request, then you do not need to complete those portions of the application requesting unit mix information (e.g., the </w:t>
            </w:r>
            <w:r w:rsidRPr="006E3A0F">
              <w:rPr>
                <w:rFonts w:ascii="Times New Roman" w:hAnsi="Times New Roman" w:cs="Times New Roman"/>
                <w:i/>
                <w:iCs/>
                <w:sz w:val="20"/>
                <w:szCs w:val="20"/>
              </w:rPr>
              <w:t>Rent Schedule &amp; Summary</w:t>
            </w:r>
            <w:r w:rsidRPr="006E3A0F">
              <w:rPr>
                <w:rFonts w:ascii="Times New Roman" w:hAnsi="Times New Roman" w:cs="Times New Roman"/>
                <w:sz w:val="20"/>
                <w:szCs w:val="20"/>
              </w:rPr>
              <w:t xml:space="preserve"> tab of the </w:t>
            </w:r>
            <w:r w:rsidRPr="006E3A0F">
              <w:rPr>
                <w:rFonts w:ascii="Times New Roman" w:hAnsi="Times New Roman" w:cs="Times New Roman"/>
                <w:i/>
                <w:iCs/>
                <w:sz w:val="20"/>
                <w:szCs w:val="20"/>
              </w:rPr>
              <w:t>2022 Supplementary Pre-Application</w:t>
            </w:r>
            <w:r w:rsidRPr="006E3A0F">
              <w:rPr>
                <w:rFonts w:ascii="Times New Roman" w:hAnsi="Times New Roman" w:cs="Times New Roman"/>
                <w:sz w:val="20"/>
                <w:szCs w:val="20"/>
              </w:rPr>
              <w:t xml:space="preserve">, </w:t>
            </w:r>
            <w:hyperlink r:id="rId63" w:history="1">
              <w:r w:rsidRPr="006E3A0F">
                <w:rPr>
                  <w:rStyle w:val="Hyperlink"/>
                  <w:rFonts w:ascii="Times New Roman" w:hAnsi="Times New Roman" w:cs="Times New Roman"/>
                  <w:color w:val="auto"/>
                  <w:sz w:val="20"/>
                  <w:szCs w:val="20"/>
                </w:rPr>
                <w:t>click here</w:t>
              </w:r>
            </w:hyperlink>
            <w:r w:rsidRPr="006E3A0F">
              <w:rPr>
                <w:rFonts w:ascii="Times New Roman" w:hAnsi="Times New Roman" w:cs="Times New Roman"/>
                <w:sz w:val="20"/>
                <w:szCs w:val="20"/>
              </w:rPr>
              <w:t xml:space="preserve"> to view). </w:t>
            </w:r>
          </w:p>
        </w:tc>
      </w:tr>
      <w:tr w:rsidR="00FD1900" w:rsidRPr="006E3A0F" w14:paraId="40FEC22B" w14:textId="77777777" w:rsidTr="00E91E6E">
        <w:trPr>
          <w:jc w:val="center"/>
        </w:trPr>
        <w:tc>
          <w:tcPr>
            <w:tcW w:w="2157" w:type="dxa"/>
            <w:shd w:val="clear" w:color="auto" w:fill="auto"/>
            <w:tcMar>
              <w:top w:w="72" w:type="dxa"/>
              <w:left w:w="115" w:type="dxa"/>
              <w:bottom w:w="72" w:type="dxa"/>
              <w:right w:w="115" w:type="dxa"/>
            </w:tcMar>
            <w:vAlign w:val="center"/>
          </w:tcPr>
          <w:p w14:paraId="0ED89034"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2520D1E4"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 xml:space="preserve">1.13 </w:t>
            </w:r>
          </w:p>
          <w:p w14:paraId="7720D7BD"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 xml:space="preserve">Core Plan; </w:t>
            </w:r>
          </w:p>
          <w:p w14:paraId="42016B8A"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4B876CF7"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Q0216_03</w:t>
            </w:r>
            <w:r w:rsidRPr="006E3A0F">
              <w:rPr>
                <w:rStyle w:val="eop"/>
                <w:sz w:val="20"/>
                <w:szCs w:val="20"/>
              </w:rPr>
              <w:t> </w:t>
            </w:r>
          </w:p>
          <w:p w14:paraId="256C25C9"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Please confirm that the DCA Rehabilitation Work Scope Form is required for 9% Rehab Pre-Applications. </w:t>
            </w:r>
            <w:r w:rsidRPr="006E3A0F">
              <w:rPr>
                <w:rStyle w:val="eop"/>
                <w:sz w:val="20"/>
                <w:szCs w:val="20"/>
              </w:rPr>
              <w:t> </w:t>
            </w:r>
          </w:p>
          <w:p w14:paraId="40F252A2"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2B58D6B0"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For context: The pre-application is due at the very early stages of pre-development and considering the volatility of the market, the Rehab Work Scope will not provide an accurate estimate of the costs for the rehab.  Additionally, GC's and sub-contractors will be reluctant to put a project out for pricing multiple times.</w:t>
            </w:r>
            <w:r w:rsidRPr="006E3A0F">
              <w:rPr>
                <w:rStyle w:val="eop"/>
                <w:sz w:val="20"/>
                <w:szCs w:val="20"/>
              </w:rPr>
              <w:t> </w:t>
            </w:r>
          </w:p>
          <w:p w14:paraId="0A30DC82"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0F880E0B"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Answer</w:t>
            </w:r>
            <w:r w:rsidRPr="006E3A0F">
              <w:rPr>
                <w:rStyle w:val="normaltextrun"/>
                <w:sz w:val="20"/>
                <w:szCs w:val="20"/>
              </w:rPr>
              <w:t>:</w:t>
            </w:r>
            <w:r w:rsidRPr="006E3A0F">
              <w:rPr>
                <w:rStyle w:val="eop"/>
                <w:sz w:val="20"/>
                <w:szCs w:val="20"/>
              </w:rPr>
              <w:t> </w:t>
            </w:r>
          </w:p>
          <w:p w14:paraId="718F72EA"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DCA has logged this public input for future consideration in our online QAP Public Input Survey (</w:t>
            </w:r>
            <w:hyperlink r:id="rId64" w:tgtFrame="_blank" w:history="1">
              <w:r w:rsidRPr="006E3A0F">
                <w:rPr>
                  <w:rStyle w:val="normaltextrun"/>
                  <w:sz w:val="20"/>
                  <w:szCs w:val="20"/>
                  <w:u w:val="single"/>
                </w:rPr>
                <w:t>click here</w:t>
              </w:r>
            </w:hyperlink>
            <w:r w:rsidRPr="006E3A0F">
              <w:rPr>
                <w:rStyle w:val="normaltextrun"/>
                <w:sz w:val="20"/>
                <w:szCs w:val="20"/>
              </w:rPr>
              <w:t xml:space="preserve"> to provide additional input). However, for purposes of the 2022 Competitive Round, the QAP states:</w:t>
            </w:r>
            <w:r w:rsidRPr="006E3A0F">
              <w:rPr>
                <w:rStyle w:val="eop"/>
                <w:sz w:val="20"/>
                <w:szCs w:val="20"/>
              </w:rPr>
              <w:t> </w:t>
            </w:r>
          </w:p>
          <w:p w14:paraId="273880AF"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3DAD6ED9" w14:textId="77777777" w:rsidR="00FD1900" w:rsidRPr="006E3A0F" w:rsidRDefault="00FD1900" w:rsidP="00304B2F">
            <w:pPr>
              <w:pStyle w:val="paragraph"/>
              <w:spacing w:before="0" w:beforeAutospacing="0" w:after="0" w:afterAutospacing="0"/>
              <w:ind w:left="1080"/>
              <w:textAlignment w:val="baseline"/>
              <w:rPr>
                <w:sz w:val="20"/>
                <w:szCs w:val="20"/>
              </w:rPr>
            </w:pPr>
            <w:r w:rsidRPr="006E3A0F">
              <w:rPr>
                <w:rStyle w:val="normaltextrun"/>
                <w:b/>
                <w:bCs/>
                <w:sz w:val="20"/>
                <w:szCs w:val="20"/>
              </w:rPr>
              <w:t>(Core Plan) Submission Requirements and Award Limitations</w:t>
            </w:r>
            <w:r w:rsidRPr="006E3A0F">
              <w:rPr>
                <w:rStyle w:val="normaltextrun"/>
                <w:sz w:val="20"/>
                <w:szCs w:val="20"/>
              </w:rPr>
              <w:t xml:space="preserve">, subsection </w:t>
            </w:r>
            <w:r w:rsidRPr="006E3A0F">
              <w:rPr>
                <w:rStyle w:val="normaltextrun"/>
                <w:b/>
                <w:bCs/>
                <w:sz w:val="20"/>
                <w:szCs w:val="20"/>
              </w:rPr>
              <w:t>A. Pre-Determinations and Waivers</w:t>
            </w:r>
            <w:r w:rsidRPr="006E3A0F">
              <w:rPr>
                <w:rStyle w:val="normaltextrun"/>
                <w:sz w:val="20"/>
                <w:szCs w:val="20"/>
              </w:rPr>
              <w:t>: “</w:t>
            </w:r>
            <w:r w:rsidRPr="006E3A0F">
              <w:rPr>
                <w:rStyle w:val="normaltextrun"/>
                <w:i/>
                <w:iCs/>
                <w:sz w:val="20"/>
                <w:szCs w:val="20"/>
              </w:rPr>
              <w:t xml:space="preserve">Applicants must submit the following requests with pre-applications…Applications proposing rehabilitation or Adaptive </w:t>
            </w:r>
            <w:proofErr w:type="gramStart"/>
            <w:r w:rsidRPr="006E3A0F">
              <w:rPr>
                <w:rStyle w:val="normaltextrun"/>
                <w:i/>
                <w:iCs/>
                <w:sz w:val="20"/>
                <w:szCs w:val="20"/>
              </w:rPr>
              <w:t>Reuse:…</w:t>
            </w:r>
            <w:proofErr w:type="gramEnd"/>
            <w:r w:rsidRPr="006E3A0F">
              <w:rPr>
                <w:rStyle w:val="normaltextrun"/>
                <w:i/>
                <w:iCs/>
                <w:sz w:val="20"/>
                <w:szCs w:val="20"/>
              </w:rPr>
              <w:t>DCA Rehabilitation Work Scope Form</w:t>
            </w:r>
            <w:r w:rsidRPr="006E3A0F">
              <w:rPr>
                <w:rStyle w:val="normaltextrun"/>
                <w:sz w:val="20"/>
                <w:szCs w:val="20"/>
              </w:rPr>
              <w:t>” </w:t>
            </w:r>
            <w:r w:rsidRPr="006E3A0F">
              <w:rPr>
                <w:rStyle w:val="eop"/>
                <w:sz w:val="20"/>
                <w:szCs w:val="20"/>
              </w:rPr>
              <w:t> </w:t>
            </w:r>
          </w:p>
          <w:p w14:paraId="41825A4A"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40CEB275"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 xml:space="preserve">For more discussion about supporting documentation during the Pre-Application stage, please see Q&amp;A posting </w:t>
            </w:r>
            <w:r w:rsidRPr="006E3A0F">
              <w:rPr>
                <w:rStyle w:val="normaltextrun"/>
                <w:b/>
                <w:bCs/>
                <w:sz w:val="20"/>
                <w:szCs w:val="20"/>
              </w:rPr>
              <w:t>Q0216_01</w:t>
            </w:r>
            <w:r w:rsidRPr="006E3A0F">
              <w:rPr>
                <w:rStyle w:val="normaltextrun"/>
                <w:sz w:val="20"/>
                <w:szCs w:val="20"/>
              </w:rPr>
              <w:t>. </w:t>
            </w:r>
          </w:p>
          <w:p w14:paraId="54A109B8" w14:textId="77777777" w:rsidR="00FD1900" w:rsidRPr="006E3A0F" w:rsidRDefault="00FD1900" w:rsidP="00304B2F">
            <w:pPr>
              <w:textAlignment w:val="baseline"/>
              <w:rPr>
                <w:rFonts w:ascii="Times New Roman" w:eastAsia="Times New Roman" w:hAnsi="Times New Roman" w:cs="Times New Roman"/>
                <w:b/>
                <w:bCs/>
                <w:sz w:val="20"/>
                <w:szCs w:val="20"/>
              </w:rPr>
            </w:pPr>
          </w:p>
        </w:tc>
      </w:tr>
      <w:tr w:rsidR="00FD1900" w:rsidRPr="006E3A0F" w14:paraId="17BC98D7" w14:textId="77777777" w:rsidTr="00E91E6E">
        <w:trPr>
          <w:jc w:val="center"/>
        </w:trPr>
        <w:tc>
          <w:tcPr>
            <w:tcW w:w="2157" w:type="dxa"/>
            <w:shd w:val="clear" w:color="auto" w:fill="auto"/>
            <w:tcMar>
              <w:top w:w="72" w:type="dxa"/>
              <w:left w:w="115" w:type="dxa"/>
              <w:bottom w:w="72" w:type="dxa"/>
              <w:right w:w="115" w:type="dxa"/>
            </w:tcMar>
            <w:vAlign w:val="center"/>
          </w:tcPr>
          <w:p w14:paraId="086BBBCC"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28104239"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 xml:space="preserve">1.13 </w:t>
            </w:r>
          </w:p>
          <w:p w14:paraId="12C958A1"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 xml:space="preserve">Core Plan; </w:t>
            </w:r>
          </w:p>
          <w:p w14:paraId="5159DCBF"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7F76776E"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Question</w:t>
            </w:r>
            <w:r w:rsidRPr="006E3A0F">
              <w:rPr>
                <w:rFonts w:ascii="Times New Roman" w:hAnsi="Times New Roman" w:cs="Times New Roman"/>
                <w:sz w:val="20"/>
                <w:szCs w:val="20"/>
              </w:rPr>
              <w:t>: Q0216_01</w:t>
            </w:r>
          </w:p>
          <w:p w14:paraId="7ED0B450"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 xml:space="preserve">My Physical Needs Assessment (PNA) will not be ready by the Pre-Application Deadline. Will my Pre-Application Submission package, which includes Architectural waivers, be rejected for failure to include a PNA? </w:t>
            </w:r>
          </w:p>
          <w:p w14:paraId="27A25CEC" w14:textId="77777777" w:rsidR="00FD1900" w:rsidRPr="006E3A0F" w:rsidRDefault="00FD1900" w:rsidP="00304B2F">
            <w:pPr>
              <w:contextualSpacing/>
              <w:rPr>
                <w:rFonts w:ascii="Times New Roman" w:hAnsi="Times New Roman" w:cs="Times New Roman"/>
                <w:sz w:val="20"/>
                <w:szCs w:val="20"/>
              </w:rPr>
            </w:pPr>
          </w:p>
          <w:p w14:paraId="1AD386F4"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Answer</w:t>
            </w:r>
            <w:r w:rsidRPr="006E3A0F">
              <w:rPr>
                <w:rFonts w:ascii="Times New Roman" w:hAnsi="Times New Roman" w:cs="Times New Roman"/>
                <w:sz w:val="20"/>
                <w:szCs w:val="20"/>
              </w:rPr>
              <w:t xml:space="preserve">: </w:t>
            </w:r>
          </w:p>
          <w:p w14:paraId="3FED017A"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 xml:space="preserve">The QAP states the following in </w:t>
            </w:r>
            <w:r w:rsidRPr="006E3A0F">
              <w:rPr>
                <w:rFonts w:ascii="Times New Roman" w:hAnsi="Times New Roman" w:cs="Times New Roman"/>
                <w:b/>
                <w:bCs/>
                <w:sz w:val="20"/>
                <w:szCs w:val="20"/>
              </w:rPr>
              <w:t>Core Plan, Submission Requirements and Award Limitations, A. Pre-Determinations and Waivers</w:t>
            </w:r>
            <w:r w:rsidRPr="006E3A0F">
              <w:rPr>
                <w:rFonts w:ascii="Times New Roman" w:hAnsi="Times New Roman" w:cs="Times New Roman"/>
                <w:sz w:val="20"/>
                <w:szCs w:val="20"/>
              </w:rPr>
              <w:t xml:space="preserve">: </w:t>
            </w:r>
            <w:r w:rsidRPr="006E3A0F">
              <w:rPr>
                <w:rFonts w:ascii="Times New Roman" w:hAnsi="Times New Roman" w:cs="Times New Roman"/>
                <w:sz w:val="20"/>
                <w:szCs w:val="20"/>
              </w:rPr>
              <w:br/>
            </w:r>
          </w:p>
          <w:p w14:paraId="025E8010" w14:textId="77777777" w:rsidR="00FD1900" w:rsidRPr="006E3A0F" w:rsidRDefault="00FD1900" w:rsidP="00304B2F">
            <w:pPr>
              <w:pStyle w:val="ListParagraph"/>
              <w:rPr>
                <w:rFonts w:ascii="Times New Roman" w:hAnsi="Times New Roman" w:cs="Times New Roman"/>
                <w:sz w:val="20"/>
                <w:szCs w:val="20"/>
              </w:rPr>
            </w:pPr>
            <w:r w:rsidRPr="006E3A0F">
              <w:rPr>
                <w:rFonts w:ascii="Times New Roman" w:hAnsi="Times New Roman" w:cs="Times New Roman"/>
                <w:sz w:val="20"/>
                <w:szCs w:val="20"/>
              </w:rPr>
              <w:t>“</w:t>
            </w:r>
            <w:r w:rsidRPr="006E3A0F">
              <w:rPr>
                <w:rFonts w:ascii="Times New Roman" w:hAnsi="Times New Roman" w:cs="Times New Roman"/>
                <w:i/>
                <w:iCs/>
                <w:sz w:val="20"/>
                <w:szCs w:val="20"/>
              </w:rPr>
              <w:t xml:space="preserve">Applicants must submit the following requests with pre-applications…Applications proposing rehabilitation or Adaptive </w:t>
            </w:r>
            <w:proofErr w:type="gramStart"/>
            <w:r w:rsidRPr="006E3A0F">
              <w:rPr>
                <w:rFonts w:ascii="Times New Roman" w:hAnsi="Times New Roman" w:cs="Times New Roman"/>
                <w:i/>
                <w:iCs/>
                <w:sz w:val="20"/>
                <w:szCs w:val="20"/>
              </w:rPr>
              <w:t>Reuse:…</w:t>
            </w:r>
            <w:proofErr w:type="gramEnd"/>
            <w:r w:rsidRPr="006E3A0F">
              <w:rPr>
                <w:rFonts w:ascii="Times New Roman" w:hAnsi="Times New Roman" w:cs="Times New Roman"/>
                <w:i/>
                <w:iCs/>
                <w:sz w:val="20"/>
                <w:szCs w:val="20"/>
              </w:rPr>
              <w:t>Physical Needs Assessment report</w:t>
            </w:r>
            <w:r w:rsidRPr="006E3A0F">
              <w:rPr>
                <w:rFonts w:ascii="Times New Roman" w:hAnsi="Times New Roman" w:cs="Times New Roman"/>
                <w:sz w:val="20"/>
                <w:szCs w:val="20"/>
              </w:rPr>
              <w:t>…</w:t>
            </w:r>
            <w:r w:rsidRPr="006E3A0F">
              <w:rPr>
                <w:rFonts w:ascii="Times New Roman" w:hAnsi="Times New Roman" w:cs="Times New Roman"/>
                <w:i/>
                <w:iCs/>
                <w:sz w:val="20"/>
                <w:szCs w:val="20"/>
              </w:rPr>
              <w:t>All of the above-listed waivers must be submitted at the pre-application stage.</w:t>
            </w:r>
            <w:r w:rsidRPr="006E3A0F">
              <w:rPr>
                <w:rFonts w:ascii="Times New Roman" w:hAnsi="Times New Roman" w:cs="Times New Roman"/>
                <w:sz w:val="20"/>
                <w:szCs w:val="20"/>
              </w:rPr>
              <w:t>”</w:t>
            </w:r>
            <w:r w:rsidRPr="006E3A0F">
              <w:rPr>
                <w:rFonts w:ascii="Times New Roman" w:hAnsi="Times New Roman" w:cs="Times New Roman"/>
                <w:sz w:val="20"/>
                <w:szCs w:val="20"/>
              </w:rPr>
              <w:br/>
            </w:r>
          </w:p>
          <w:p w14:paraId="7E639803" w14:textId="77777777" w:rsidR="00FD1900" w:rsidRPr="006E3A0F" w:rsidRDefault="00FD1900" w:rsidP="00304B2F">
            <w:pPr>
              <w:rPr>
                <w:rFonts w:ascii="Times New Roman" w:hAnsi="Times New Roman" w:cs="Times New Roman"/>
                <w:sz w:val="20"/>
                <w:szCs w:val="20"/>
              </w:rPr>
            </w:pPr>
            <w:r w:rsidRPr="006E3A0F">
              <w:rPr>
                <w:rFonts w:ascii="Times New Roman" w:hAnsi="Times New Roman" w:cs="Times New Roman"/>
                <w:sz w:val="20"/>
                <w:szCs w:val="20"/>
              </w:rPr>
              <w:t xml:space="preserve">All waivers must be submitted by the Pre-Application deadline. If DCA requires additional documentation to assess a waiver request and said documentation was not originally included in the Pre-Application submission package, DCA will request this documentation. </w:t>
            </w:r>
          </w:p>
          <w:p w14:paraId="4DCB9FC1" w14:textId="77777777" w:rsidR="00FD1900" w:rsidRPr="006E3A0F" w:rsidRDefault="00FD1900" w:rsidP="00304B2F">
            <w:pPr>
              <w:pStyle w:val="paragraph"/>
              <w:spacing w:before="0" w:beforeAutospacing="0" w:after="0" w:afterAutospacing="0"/>
              <w:textAlignment w:val="baseline"/>
              <w:rPr>
                <w:rStyle w:val="normaltextrun"/>
                <w:b/>
                <w:bCs/>
                <w:sz w:val="20"/>
                <w:szCs w:val="20"/>
              </w:rPr>
            </w:pPr>
          </w:p>
        </w:tc>
      </w:tr>
      <w:tr w:rsidR="00FD1900" w:rsidRPr="006E3A0F" w14:paraId="7C01E27A" w14:textId="77777777" w:rsidTr="00E91E6E">
        <w:trPr>
          <w:jc w:val="center"/>
        </w:trPr>
        <w:tc>
          <w:tcPr>
            <w:tcW w:w="2157" w:type="dxa"/>
            <w:shd w:val="clear" w:color="auto" w:fill="auto"/>
            <w:tcMar>
              <w:top w:w="72" w:type="dxa"/>
              <w:left w:w="115" w:type="dxa"/>
              <w:bottom w:w="72" w:type="dxa"/>
              <w:right w:w="115" w:type="dxa"/>
            </w:tcMar>
            <w:vAlign w:val="center"/>
          </w:tcPr>
          <w:p w14:paraId="39402EE5"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6E53E945"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1.16</w:t>
            </w:r>
          </w:p>
          <w:p w14:paraId="2428F35B"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Evaluation of 9% Tax Credit Competitive Applications</w:t>
            </w:r>
          </w:p>
        </w:tc>
        <w:tc>
          <w:tcPr>
            <w:tcW w:w="9590" w:type="dxa"/>
            <w:shd w:val="clear" w:color="auto" w:fill="auto"/>
            <w:tcMar>
              <w:top w:w="72" w:type="dxa"/>
              <w:left w:w="115" w:type="dxa"/>
              <w:bottom w:w="72" w:type="dxa"/>
              <w:right w:w="115" w:type="dxa"/>
            </w:tcMar>
            <w:vAlign w:val="center"/>
          </w:tcPr>
          <w:p w14:paraId="520CA421"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Question</w:t>
            </w:r>
            <w:r w:rsidRPr="006E3A0F">
              <w:rPr>
                <w:rFonts w:ascii="Times New Roman" w:hAnsi="Times New Roman" w:cs="Times New Roman"/>
                <w:sz w:val="20"/>
                <w:szCs w:val="20"/>
              </w:rPr>
              <w:t>: Q0222_03</w:t>
            </w:r>
          </w:p>
          <w:p w14:paraId="4A01570F"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Will solely assisted USDA 515 properties be eligible for 9% tax credit funding under the current 2022 QAP?</w:t>
            </w:r>
          </w:p>
          <w:p w14:paraId="3075C8D2" w14:textId="77777777" w:rsidR="00FD1900" w:rsidRPr="006E3A0F" w:rsidRDefault="00FD1900" w:rsidP="00304B2F">
            <w:pPr>
              <w:contextualSpacing/>
              <w:rPr>
                <w:rFonts w:ascii="Times New Roman" w:hAnsi="Times New Roman" w:cs="Times New Roman"/>
                <w:sz w:val="20"/>
                <w:szCs w:val="20"/>
              </w:rPr>
            </w:pPr>
          </w:p>
          <w:p w14:paraId="31A5E91F"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b/>
                <w:bCs/>
                <w:sz w:val="20"/>
                <w:szCs w:val="20"/>
              </w:rPr>
              <w:t>Answer</w:t>
            </w:r>
            <w:r w:rsidRPr="006E3A0F">
              <w:rPr>
                <w:rFonts w:ascii="Times New Roman" w:hAnsi="Times New Roman" w:cs="Times New Roman"/>
                <w:sz w:val="20"/>
                <w:szCs w:val="20"/>
              </w:rPr>
              <w:t xml:space="preserve">: </w:t>
            </w:r>
          </w:p>
          <w:p w14:paraId="44ED1304"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 xml:space="preserve">The QAP lists all 9% Competitive Round sub-determinations in </w:t>
            </w:r>
            <w:r w:rsidRPr="006E3A0F">
              <w:rPr>
                <w:rFonts w:ascii="Times New Roman" w:hAnsi="Times New Roman" w:cs="Times New Roman"/>
                <w:b/>
                <w:bCs/>
                <w:sz w:val="20"/>
                <w:szCs w:val="20"/>
              </w:rPr>
              <w:t>(Core Plan) Evaluation Of 9% Tax Credit Competitive Applications, D. Selection, 2. Sequence of Competitive Round Award Determinations</w:t>
            </w:r>
            <w:r w:rsidRPr="006E3A0F">
              <w:rPr>
                <w:rFonts w:ascii="Times New Roman" w:hAnsi="Times New Roman" w:cs="Times New Roman"/>
                <w:sz w:val="20"/>
                <w:szCs w:val="20"/>
              </w:rPr>
              <w:t>. These include:</w:t>
            </w:r>
            <w:r w:rsidRPr="006E3A0F">
              <w:rPr>
                <w:rFonts w:ascii="Times New Roman" w:hAnsi="Times New Roman" w:cs="Times New Roman"/>
                <w:sz w:val="20"/>
                <w:szCs w:val="20"/>
              </w:rPr>
              <w:br/>
            </w:r>
          </w:p>
          <w:p w14:paraId="55FF689A" w14:textId="77777777" w:rsidR="00FD1900" w:rsidRPr="006E3A0F" w:rsidRDefault="00FD1900" w:rsidP="00304B2F">
            <w:pPr>
              <w:pStyle w:val="ListParagraph"/>
              <w:numPr>
                <w:ilvl w:val="0"/>
                <w:numId w:val="7"/>
              </w:numPr>
              <w:rPr>
                <w:rFonts w:ascii="Times New Roman" w:hAnsi="Times New Roman" w:cs="Times New Roman"/>
                <w:sz w:val="20"/>
                <w:szCs w:val="20"/>
              </w:rPr>
            </w:pPr>
            <w:r w:rsidRPr="006E3A0F">
              <w:rPr>
                <w:rFonts w:ascii="Times New Roman" w:hAnsi="Times New Roman" w:cs="Times New Roman"/>
                <w:sz w:val="20"/>
                <w:szCs w:val="20"/>
              </w:rPr>
              <w:t>Preservation Set Asides: RAD, Housing Tax Credit, and HUD-assisted properties</w:t>
            </w:r>
          </w:p>
          <w:p w14:paraId="425CC838" w14:textId="77777777" w:rsidR="00FD1900" w:rsidRPr="006E3A0F" w:rsidRDefault="00FD1900" w:rsidP="00304B2F">
            <w:pPr>
              <w:pStyle w:val="ListParagraph"/>
              <w:numPr>
                <w:ilvl w:val="0"/>
                <w:numId w:val="7"/>
              </w:numPr>
              <w:rPr>
                <w:rFonts w:ascii="Times New Roman" w:hAnsi="Times New Roman" w:cs="Times New Roman"/>
                <w:sz w:val="20"/>
                <w:szCs w:val="20"/>
              </w:rPr>
            </w:pPr>
            <w:r w:rsidRPr="006E3A0F">
              <w:rPr>
                <w:rFonts w:ascii="Times New Roman" w:hAnsi="Times New Roman" w:cs="Times New Roman"/>
                <w:sz w:val="20"/>
                <w:szCs w:val="20"/>
              </w:rPr>
              <w:t xml:space="preserve">New Supply competitions  </w:t>
            </w:r>
          </w:p>
          <w:p w14:paraId="7C79D1E0" w14:textId="77777777" w:rsidR="00FD1900" w:rsidRPr="006E3A0F" w:rsidRDefault="00FD1900" w:rsidP="00304B2F">
            <w:pPr>
              <w:rPr>
                <w:rFonts w:ascii="Times New Roman" w:hAnsi="Times New Roman" w:cs="Times New Roman"/>
                <w:sz w:val="20"/>
                <w:szCs w:val="20"/>
              </w:rPr>
            </w:pPr>
          </w:p>
          <w:p w14:paraId="68756DCB" w14:textId="77777777" w:rsidR="00FD1900" w:rsidRPr="006E3A0F" w:rsidRDefault="00FD1900" w:rsidP="00304B2F">
            <w:pPr>
              <w:textAlignment w:val="baseline"/>
              <w:rPr>
                <w:rStyle w:val="normaltextrun"/>
                <w:rFonts w:ascii="Times New Roman" w:hAnsi="Times New Roman" w:cs="Times New Roman"/>
                <w:b/>
                <w:bCs/>
                <w:sz w:val="20"/>
                <w:szCs w:val="20"/>
              </w:rPr>
            </w:pPr>
            <w:r w:rsidRPr="006E3A0F">
              <w:rPr>
                <w:rFonts w:ascii="Times New Roman" w:hAnsi="Times New Roman" w:cs="Times New Roman"/>
                <w:sz w:val="20"/>
                <w:szCs w:val="20"/>
              </w:rPr>
              <w:t>However, DCA anticipates publishing a NOFA targeting USDA preservation with HOME funds this year, separate from the 9% Competitive Round. To receive updates regarding the NOFA, please subscribe to our email list (</w:t>
            </w:r>
            <w:hyperlink r:id="rId65">
              <w:r w:rsidRPr="006E3A0F">
                <w:rPr>
                  <w:rStyle w:val="Hyperlink"/>
                  <w:rFonts w:ascii="Times New Roman" w:hAnsi="Times New Roman" w:cs="Times New Roman"/>
                  <w:color w:val="auto"/>
                  <w:sz w:val="20"/>
                  <w:szCs w:val="20"/>
                </w:rPr>
                <w:t>click here</w:t>
              </w:r>
            </w:hyperlink>
            <w:r w:rsidRPr="006E3A0F">
              <w:rPr>
                <w:rFonts w:ascii="Times New Roman" w:hAnsi="Times New Roman" w:cs="Times New Roman"/>
                <w:sz w:val="20"/>
                <w:szCs w:val="20"/>
              </w:rPr>
              <w:t xml:space="preserve"> and go to “Join our email list”).</w:t>
            </w:r>
          </w:p>
        </w:tc>
      </w:tr>
      <w:tr w:rsidR="00FD1900" w:rsidRPr="006E3A0F" w14:paraId="2E20FD74" w14:textId="77777777" w:rsidTr="00E91E6E">
        <w:trPr>
          <w:jc w:val="center"/>
        </w:trPr>
        <w:tc>
          <w:tcPr>
            <w:tcW w:w="2157" w:type="dxa"/>
            <w:shd w:val="clear" w:color="auto" w:fill="auto"/>
            <w:tcMar>
              <w:top w:w="72" w:type="dxa"/>
              <w:left w:w="115" w:type="dxa"/>
              <w:bottom w:w="72" w:type="dxa"/>
              <w:right w:w="115" w:type="dxa"/>
            </w:tcMar>
            <w:vAlign w:val="center"/>
          </w:tcPr>
          <w:p w14:paraId="6F5A6B70"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7AD8911C"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2.25</w:t>
            </w:r>
          </w:p>
          <w:p w14:paraId="6143CEE3"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Threshold Criteria;</w:t>
            </w:r>
          </w:p>
          <w:p w14:paraId="0164D414"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Occupied Developments</w:t>
            </w:r>
          </w:p>
        </w:tc>
        <w:tc>
          <w:tcPr>
            <w:tcW w:w="9590" w:type="dxa"/>
            <w:shd w:val="clear" w:color="auto" w:fill="auto"/>
            <w:tcMar>
              <w:top w:w="72" w:type="dxa"/>
              <w:left w:w="115" w:type="dxa"/>
              <w:bottom w:w="72" w:type="dxa"/>
              <w:right w:w="115" w:type="dxa"/>
            </w:tcMar>
            <w:vAlign w:val="center"/>
          </w:tcPr>
          <w:p w14:paraId="1428AF2D"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Q0216_02 </w:t>
            </w:r>
          </w:p>
          <w:p w14:paraId="77D515C1"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It is likely that some of our market rate residents will not qualify for a tax credit unit after re-syndication and rehabilitation. Do we need to apply for a waiver during the Pre-Application stage?  </w:t>
            </w:r>
          </w:p>
          <w:p w14:paraId="44B09299"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r w:rsidRPr="006E3A0F">
              <w:rPr>
                <w:rFonts w:ascii="Times New Roman" w:eastAsia="Times New Roman" w:hAnsi="Times New Roman" w:cs="Times New Roman"/>
                <w:sz w:val="20"/>
                <w:szCs w:val="20"/>
              </w:rPr>
              <w:br/>
            </w: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44F4D505"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Yes. The QAP states:  </w:t>
            </w:r>
          </w:p>
          <w:p w14:paraId="7F9CE7B2"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4171916C" w14:textId="77777777" w:rsidR="00FD1900" w:rsidRPr="006E3A0F" w:rsidRDefault="00FD1900" w:rsidP="00304B2F">
            <w:pPr>
              <w:ind w:left="720"/>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Threshold Criteria, Occupied Developments</w:t>
            </w:r>
            <w:r w:rsidRPr="006E3A0F">
              <w:rPr>
                <w:rFonts w:ascii="Times New Roman" w:eastAsia="Times New Roman" w:hAnsi="Times New Roman" w:cs="Times New Roman"/>
                <w:sz w:val="20"/>
                <w:szCs w:val="20"/>
              </w:rPr>
              <w:t>: “</w:t>
            </w:r>
            <w:r w:rsidRPr="006E3A0F">
              <w:rPr>
                <w:rFonts w:ascii="Times New Roman" w:eastAsia="Times New Roman" w:hAnsi="Times New Roman" w:cs="Times New Roman"/>
                <w:i/>
                <w:iCs/>
                <w:sz w:val="20"/>
                <w:szCs w:val="20"/>
              </w:rPr>
              <w:t>Applicants that foresee in-place rehabilitation or permanent displacement of residents or non-residential tenants must submit a waiver request at pre-application</w:t>
            </w:r>
            <w:r w:rsidRPr="006E3A0F">
              <w:rPr>
                <w:rFonts w:ascii="Times New Roman" w:eastAsia="Times New Roman" w:hAnsi="Times New Roman" w:cs="Times New Roman"/>
                <w:sz w:val="20"/>
                <w:szCs w:val="20"/>
              </w:rPr>
              <w:t>.” </w:t>
            </w:r>
          </w:p>
          <w:p w14:paraId="3CE4BC85" w14:textId="77777777" w:rsidR="00FD1900" w:rsidRPr="006E3A0F" w:rsidRDefault="00FD1900" w:rsidP="00304B2F">
            <w:pPr>
              <w:contextualSpacing/>
              <w:rPr>
                <w:rFonts w:ascii="Times New Roman" w:hAnsi="Times New Roman" w:cs="Times New Roman"/>
                <w:b/>
                <w:bCs/>
                <w:sz w:val="20"/>
                <w:szCs w:val="20"/>
              </w:rPr>
            </w:pPr>
          </w:p>
        </w:tc>
      </w:tr>
      <w:tr w:rsidR="00FD1900" w:rsidRPr="006E3A0F" w14:paraId="4ACDE828" w14:textId="77777777" w:rsidTr="00E91E6E">
        <w:trPr>
          <w:jc w:val="center"/>
        </w:trPr>
        <w:tc>
          <w:tcPr>
            <w:tcW w:w="2157" w:type="dxa"/>
            <w:shd w:val="clear" w:color="auto" w:fill="auto"/>
            <w:tcMar>
              <w:top w:w="72" w:type="dxa"/>
              <w:left w:w="115" w:type="dxa"/>
              <w:bottom w:w="72" w:type="dxa"/>
              <w:right w:w="115" w:type="dxa"/>
            </w:tcMar>
            <w:vAlign w:val="center"/>
          </w:tcPr>
          <w:p w14:paraId="42A81B64"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462F9369"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 xml:space="preserve">6.00 </w:t>
            </w:r>
          </w:p>
          <w:p w14:paraId="2A36F2F2"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Emphasys Application Portal</w:t>
            </w:r>
          </w:p>
        </w:tc>
        <w:tc>
          <w:tcPr>
            <w:tcW w:w="9590" w:type="dxa"/>
            <w:shd w:val="clear" w:color="auto" w:fill="auto"/>
            <w:tcMar>
              <w:top w:w="72" w:type="dxa"/>
              <w:left w:w="115" w:type="dxa"/>
              <w:bottom w:w="72" w:type="dxa"/>
              <w:right w:w="115" w:type="dxa"/>
            </w:tcMar>
            <w:vAlign w:val="center"/>
          </w:tcPr>
          <w:p w14:paraId="1912F28D" w14:textId="77777777" w:rsidR="00FD1900" w:rsidRPr="006E3A0F" w:rsidRDefault="00FD1900" w:rsidP="00304B2F">
            <w:pPr>
              <w:pStyle w:val="paragraph"/>
              <w:spacing w:before="0" w:beforeAutospacing="0" w:after="0" w:afterAutospacing="0"/>
              <w:textAlignment w:val="baseline"/>
              <w:rPr>
                <w:rStyle w:val="normaltextrun"/>
                <w:sz w:val="20"/>
                <w:szCs w:val="20"/>
              </w:rPr>
            </w:pPr>
            <w:r w:rsidRPr="006E3A0F">
              <w:rPr>
                <w:rStyle w:val="normaltextrun"/>
                <w:b/>
                <w:bCs/>
                <w:sz w:val="20"/>
                <w:szCs w:val="20"/>
              </w:rPr>
              <w:t>Question</w:t>
            </w:r>
            <w:r w:rsidRPr="006E3A0F">
              <w:rPr>
                <w:rStyle w:val="normaltextrun"/>
                <w:sz w:val="20"/>
                <w:szCs w:val="20"/>
              </w:rPr>
              <w:t>: Q0302_15</w:t>
            </w:r>
          </w:p>
          <w:p w14:paraId="06EFCD63" w14:textId="77777777" w:rsidR="00FD1900" w:rsidRPr="006E3A0F" w:rsidRDefault="00FD1900" w:rsidP="00304B2F">
            <w:pPr>
              <w:pStyle w:val="paragraph"/>
              <w:spacing w:before="0" w:beforeAutospacing="0" w:after="0" w:afterAutospacing="0"/>
              <w:textAlignment w:val="baseline"/>
              <w:rPr>
                <w:rStyle w:val="normaltextrun"/>
                <w:sz w:val="20"/>
                <w:szCs w:val="20"/>
              </w:rPr>
            </w:pPr>
            <w:r w:rsidRPr="006E3A0F">
              <w:rPr>
                <w:rStyle w:val="normaltextrun"/>
                <w:sz w:val="20"/>
                <w:szCs w:val="20"/>
              </w:rPr>
              <w:t xml:space="preserve">On March 1st, the “DCA Housing Finance Updates” email blast stated that the </w:t>
            </w:r>
            <w:proofErr w:type="spellStart"/>
            <w:r w:rsidRPr="006E3A0F">
              <w:rPr>
                <w:rStyle w:val="normaltextrun"/>
                <w:sz w:val="20"/>
                <w:szCs w:val="20"/>
              </w:rPr>
              <w:t>Emphasys</w:t>
            </w:r>
            <w:proofErr w:type="spellEnd"/>
            <w:r w:rsidRPr="006E3A0F">
              <w:rPr>
                <w:rStyle w:val="normaltextrun"/>
                <w:sz w:val="20"/>
                <w:szCs w:val="20"/>
              </w:rPr>
              <w:t xml:space="preserve"> Pre-Application was posted, but at the bottom it also included the same email blast from the week prior indicating that DCA staff “are working to integrate the Pre-Application into </w:t>
            </w:r>
            <w:proofErr w:type="spellStart"/>
            <w:r w:rsidRPr="006E3A0F">
              <w:rPr>
                <w:rStyle w:val="normaltextrun"/>
                <w:sz w:val="20"/>
                <w:szCs w:val="20"/>
              </w:rPr>
              <w:t>Emphasys</w:t>
            </w:r>
            <w:proofErr w:type="spellEnd"/>
            <w:r w:rsidRPr="006E3A0F">
              <w:rPr>
                <w:rStyle w:val="normaltextrun"/>
                <w:sz w:val="20"/>
                <w:szCs w:val="20"/>
              </w:rPr>
              <w:t xml:space="preserve">.” Please confirm the status of the </w:t>
            </w:r>
            <w:proofErr w:type="spellStart"/>
            <w:r w:rsidRPr="006E3A0F">
              <w:rPr>
                <w:rStyle w:val="normaltextrun"/>
                <w:sz w:val="20"/>
                <w:szCs w:val="20"/>
              </w:rPr>
              <w:t>Emphasys</w:t>
            </w:r>
            <w:proofErr w:type="spellEnd"/>
            <w:r w:rsidRPr="006E3A0F">
              <w:rPr>
                <w:rStyle w:val="normaltextrun"/>
                <w:sz w:val="20"/>
                <w:szCs w:val="20"/>
              </w:rPr>
              <w:t xml:space="preserve"> Pre-Application. </w:t>
            </w:r>
          </w:p>
          <w:p w14:paraId="38A7115A" w14:textId="77777777" w:rsidR="00FD1900" w:rsidRPr="006E3A0F" w:rsidRDefault="00FD1900" w:rsidP="00304B2F">
            <w:pPr>
              <w:pStyle w:val="paragraph"/>
              <w:spacing w:before="0" w:beforeAutospacing="0" w:after="0" w:afterAutospacing="0"/>
              <w:textAlignment w:val="baseline"/>
              <w:rPr>
                <w:rStyle w:val="normaltextrun"/>
                <w:sz w:val="20"/>
                <w:szCs w:val="20"/>
              </w:rPr>
            </w:pPr>
          </w:p>
          <w:p w14:paraId="7C5180FC" w14:textId="77777777" w:rsidR="00FD1900" w:rsidRPr="006E3A0F" w:rsidRDefault="00FD1900" w:rsidP="00304B2F">
            <w:pPr>
              <w:pStyle w:val="paragraph"/>
              <w:spacing w:before="0" w:beforeAutospacing="0" w:after="0" w:afterAutospacing="0"/>
              <w:textAlignment w:val="baseline"/>
              <w:rPr>
                <w:rStyle w:val="normaltextrun"/>
                <w:sz w:val="20"/>
                <w:szCs w:val="20"/>
              </w:rPr>
            </w:pPr>
            <w:r w:rsidRPr="006E3A0F">
              <w:rPr>
                <w:rStyle w:val="normaltextrun"/>
                <w:b/>
                <w:bCs/>
                <w:sz w:val="20"/>
                <w:szCs w:val="20"/>
              </w:rPr>
              <w:t>Answer</w:t>
            </w:r>
            <w:r w:rsidRPr="006E3A0F">
              <w:rPr>
                <w:rStyle w:val="normaltextrun"/>
                <w:sz w:val="20"/>
                <w:szCs w:val="20"/>
              </w:rPr>
              <w:t xml:space="preserve">: </w:t>
            </w:r>
          </w:p>
          <w:p w14:paraId="5DCE34D6" w14:textId="77777777" w:rsidR="00FD1900" w:rsidRPr="006E3A0F" w:rsidRDefault="00FD1900" w:rsidP="00304B2F">
            <w:pPr>
              <w:pStyle w:val="paragraph"/>
              <w:spacing w:before="0" w:beforeAutospacing="0" w:after="0" w:afterAutospacing="0"/>
              <w:textAlignment w:val="baseline"/>
              <w:rPr>
                <w:rStyle w:val="normaltextrun"/>
                <w:sz w:val="20"/>
                <w:szCs w:val="20"/>
              </w:rPr>
            </w:pPr>
            <w:r w:rsidRPr="006E3A0F">
              <w:rPr>
                <w:rStyle w:val="normaltextrun"/>
                <w:sz w:val="20"/>
                <w:szCs w:val="20"/>
              </w:rPr>
              <w:t>In the March 1</w:t>
            </w:r>
            <w:r w:rsidRPr="006E3A0F">
              <w:rPr>
                <w:rStyle w:val="normaltextrun"/>
                <w:sz w:val="20"/>
                <w:szCs w:val="20"/>
                <w:vertAlign w:val="superscript"/>
              </w:rPr>
              <w:t>st</w:t>
            </w:r>
            <w:r w:rsidRPr="006E3A0F">
              <w:rPr>
                <w:rStyle w:val="normaltextrun"/>
                <w:sz w:val="20"/>
                <w:szCs w:val="20"/>
              </w:rPr>
              <w:t xml:space="preserve"> email blast referenced, the inclusion of the prior week’s email notification about DCA staff “working to integrate the Pre-Application into </w:t>
            </w:r>
            <w:proofErr w:type="spellStart"/>
            <w:r w:rsidRPr="006E3A0F">
              <w:rPr>
                <w:rStyle w:val="normaltextrun"/>
                <w:sz w:val="20"/>
                <w:szCs w:val="20"/>
              </w:rPr>
              <w:t>Emphasys</w:t>
            </w:r>
            <w:proofErr w:type="spellEnd"/>
            <w:r w:rsidRPr="006E3A0F">
              <w:rPr>
                <w:rStyle w:val="normaltextrun"/>
                <w:sz w:val="20"/>
                <w:szCs w:val="20"/>
              </w:rPr>
              <w:t xml:space="preserve">” was an error. The </w:t>
            </w:r>
            <w:proofErr w:type="spellStart"/>
            <w:r w:rsidRPr="006E3A0F">
              <w:rPr>
                <w:rStyle w:val="normaltextrun"/>
                <w:sz w:val="20"/>
                <w:szCs w:val="20"/>
              </w:rPr>
              <w:t>Emphasys</w:t>
            </w:r>
            <w:proofErr w:type="spellEnd"/>
            <w:r w:rsidRPr="006E3A0F">
              <w:rPr>
                <w:rStyle w:val="normaltextrun"/>
                <w:sz w:val="20"/>
                <w:szCs w:val="20"/>
              </w:rPr>
              <w:t xml:space="preserve"> Pre-Application was posted the week of February 25</w:t>
            </w:r>
            <w:r w:rsidRPr="006E3A0F">
              <w:rPr>
                <w:rStyle w:val="normaltextrun"/>
                <w:sz w:val="20"/>
                <w:szCs w:val="20"/>
                <w:vertAlign w:val="superscript"/>
              </w:rPr>
              <w:t>th</w:t>
            </w:r>
            <w:r w:rsidRPr="006E3A0F">
              <w:rPr>
                <w:rStyle w:val="normaltextrun"/>
                <w:sz w:val="20"/>
                <w:szCs w:val="20"/>
              </w:rPr>
              <w:t xml:space="preserve">. </w:t>
            </w:r>
          </w:p>
        </w:tc>
      </w:tr>
      <w:tr w:rsidR="00FD1900" w:rsidRPr="006E3A0F" w14:paraId="55ECA20F" w14:textId="77777777" w:rsidTr="00E91E6E">
        <w:trPr>
          <w:jc w:val="center"/>
        </w:trPr>
        <w:tc>
          <w:tcPr>
            <w:tcW w:w="2157" w:type="dxa"/>
            <w:shd w:val="clear" w:color="auto" w:fill="auto"/>
            <w:tcMar>
              <w:top w:w="72" w:type="dxa"/>
              <w:left w:w="115" w:type="dxa"/>
              <w:bottom w:w="72" w:type="dxa"/>
              <w:right w:w="115" w:type="dxa"/>
            </w:tcMar>
            <w:vAlign w:val="center"/>
          </w:tcPr>
          <w:p w14:paraId="58502E61"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17103601"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7.00</w:t>
            </w:r>
          </w:p>
          <w:p w14:paraId="63F47404"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Pre-Application Form</w:t>
            </w:r>
          </w:p>
        </w:tc>
        <w:tc>
          <w:tcPr>
            <w:tcW w:w="9590" w:type="dxa"/>
            <w:shd w:val="clear" w:color="auto" w:fill="auto"/>
            <w:tcMar>
              <w:top w:w="72" w:type="dxa"/>
              <w:left w:w="115" w:type="dxa"/>
              <w:bottom w:w="72" w:type="dxa"/>
              <w:right w:w="115" w:type="dxa"/>
            </w:tcMar>
            <w:vAlign w:val="center"/>
          </w:tcPr>
          <w:p w14:paraId="3413AB60"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Q0223_03 </w:t>
            </w:r>
          </w:p>
          <w:p w14:paraId="71A24742" w14:textId="77777777" w:rsidR="00FD1900" w:rsidRPr="006E3A0F" w:rsidRDefault="00FD1900" w:rsidP="00304B2F">
            <w:pPr>
              <w:keepNext/>
              <w:keepLines/>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xml:space="preserve">When reviewing the 2022 9% Pre-App Submission Instructions for </w:t>
            </w:r>
            <w:proofErr w:type="spellStart"/>
            <w:r w:rsidRPr="006E3A0F">
              <w:rPr>
                <w:rFonts w:ascii="Times New Roman" w:eastAsia="Times New Roman" w:hAnsi="Times New Roman" w:cs="Times New Roman"/>
                <w:sz w:val="20"/>
                <w:szCs w:val="20"/>
              </w:rPr>
              <w:t>Emphasys</w:t>
            </w:r>
            <w:proofErr w:type="spellEnd"/>
            <w:r w:rsidRPr="006E3A0F">
              <w:rPr>
                <w:rFonts w:ascii="Times New Roman" w:eastAsia="Times New Roman" w:hAnsi="Times New Roman" w:cs="Times New Roman"/>
                <w:sz w:val="20"/>
                <w:szCs w:val="20"/>
              </w:rPr>
              <w:t xml:space="preserve"> it references a form that I am not finding either on the website or part of the Performance Workbook. The file is called "Supplemental Pre-Application" and is supposed to be part of the "Submission Summary Tab". Is this not viewable until the Pre-Application is available in </w:t>
            </w:r>
            <w:proofErr w:type="spellStart"/>
            <w:r w:rsidRPr="006E3A0F">
              <w:rPr>
                <w:rFonts w:ascii="Times New Roman" w:eastAsia="Times New Roman" w:hAnsi="Times New Roman" w:cs="Times New Roman"/>
                <w:sz w:val="20"/>
                <w:szCs w:val="20"/>
              </w:rPr>
              <w:t>Emphasys</w:t>
            </w:r>
            <w:proofErr w:type="spellEnd"/>
            <w:r w:rsidRPr="006E3A0F">
              <w:rPr>
                <w:rFonts w:ascii="Times New Roman" w:eastAsia="Times New Roman" w:hAnsi="Times New Roman" w:cs="Times New Roman"/>
                <w:sz w:val="20"/>
                <w:szCs w:val="20"/>
              </w:rPr>
              <w:t>?  </w:t>
            </w:r>
          </w:p>
          <w:p w14:paraId="79949075"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5376BE7B"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0D7656C5"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The Supplemental Pre-Application is posted to the DCA website on the 2022 Pre-Application Forms page, which can be found via the Application Manuals and Forms link on the Housing Tax Credit Program (LIHTC) webpage (</w:t>
            </w:r>
            <w:hyperlink r:id="rId66" w:tgtFrame="_blank" w:history="1">
              <w:r w:rsidRPr="006E3A0F">
                <w:rPr>
                  <w:rFonts w:ascii="Times New Roman" w:eastAsia="Times New Roman" w:hAnsi="Times New Roman" w:cs="Times New Roman"/>
                  <w:sz w:val="20"/>
                  <w:szCs w:val="20"/>
                  <w:u w:val="single"/>
                </w:rPr>
                <w:t>click here</w:t>
              </w:r>
            </w:hyperlink>
            <w:r w:rsidRPr="006E3A0F">
              <w:rPr>
                <w:rFonts w:ascii="Times New Roman" w:eastAsia="Times New Roman" w:hAnsi="Times New Roman" w:cs="Times New Roman"/>
                <w:sz w:val="20"/>
                <w:szCs w:val="20"/>
              </w:rPr>
              <w:t>). </w:t>
            </w:r>
          </w:p>
          <w:p w14:paraId="0FEB6E21" w14:textId="77777777" w:rsidR="00FD1900" w:rsidRPr="006E3A0F" w:rsidRDefault="00FD1900" w:rsidP="00304B2F">
            <w:pPr>
              <w:contextualSpacing/>
              <w:rPr>
                <w:rFonts w:ascii="Times New Roman" w:hAnsi="Times New Roman" w:cs="Times New Roman"/>
                <w:b/>
                <w:bCs/>
                <w:sz w:val="20"/>
                <w:szCs w:val="20"/>
              </w:rPr>
            </w:pPr>
          </w:p>
        </w:tc>
      </w:tr>
      <w:tr w:rsidR="00FD1900" w:rsidRPr="006E3A0F" w14:paraId="569F491C" w14:textId="77777777" w:rsidTr="00E91E6E">
        <w:trPr>
          <w:jc w:val="center"/>
        </w:trPr>
        <w:tc>
          <w:tcPr>
            <w:tcW w:w="2157" w:type="dxa"/>
            <w:shd w:val="clear" w:color="auto" w:fill="auto"/>
            <w:tcMar>
              <w:top w:w="72" w:type="dxa"/>
              <w:left w:w="115" w:type="dxa"/>
              <w:bottom w:w="72" w:type="dxa"/>
              <w:right w:w="115" w:type="dxa"/>
            </w:tcMar>
            <w:vAlign w:val="center"/>
          </w:tcPr>
          <w:p w14:paraId="7211EA85"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345EDEB0"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1.19</w:t>
            </w:r>
          </w:p>
          <w:p w14:paraId="3691CED8"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Core Plan;</w:t>
            </w:r>
          </w:p>
          <w:p w14:paraId="12B90432"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DCA Pre-Application Fees and Deadline Schedules</w:t>
            </w:r>
          </w:p>
        </w:tc>
        <w:tc>
          <w:tcPr>
            <w:tcW w:w="9590" w:type="dxa"/>
            <w:shd w:val="clear" w:color="auto" w:fill="auto"/>
            <w:tcMar>
              <w:top w:w="72" w:type="dxa"/>
              <w:left w:w="115" w:type="dxa"/>
              <w:bottom w:w="72" w:type="dxa"/>
              <w:right w:w="115" w:type="dxa"/>
            </w:tcMar>
            <w:vAlign w:val="center"/>
          </w:tcPr>
          <w:p w14:paraId="5EE2AFD4" w14:textId="77777777" w:rsidR="00FD1900" w:rsidRPr="006E3A0F" w:rsidRDefault="00FD1900" w:rsidP="00304B2F">
            <w:pPr>
              <w:pStyle w:val="paragraph"/>
              <w:spacing w:before="0" w:beforeAutospacing="0" w:after="0" w:afterAutospacing="0"/>
              <w:textAlignment w:val="baseline"/>
              <w:rPr>
                <w:rStyle w:val="normaltextrun"/>
                <w:sz w:val="20"/>
                <w:szCs w:val="20"/>
              </w:rPr>
            </w:pPr>
            <w:r w:rsidRPr="006E3A0F">
              <w:rPr>
                <w:rStyle w:val="normaltextrun"/>
                <w:b/>
                <w:bCs/>
                <w:sz w:val="20"/>
                <w:szCs w:val="20"/>
              </w:rPr>
              <w:t>Question</w:t>
            </w:r>
            <w:r w:rsidRPr="006E3A0F">
              <w:rPr>
                <w:rStyle w:val="normaltextrun"/>
                <w:sz w:val="20"/>
                <w:szCs w:val="20"/>
              </w:rPr>
              <w:t>: Q0201_05</w:t>
            </w:r>
          </w:p>
          <w:p w14:paraId="398044AA" w14:textId="77777777" w:rsidR="00FD1900" w:rsidRPr="006E3A0F" w:rsidRDefault="00FD1900" w:rsidP="00304B2F">
            <w:pPr>
              <w:pStyle w:val="paragraph"/>
              <w:spacing w:before="0" w:beforeAutospacing="0" w:after="0" w:afterAutospacing="0"/>
              <w:textAlignment w:val="baseline"/>
              <w:rPr>
                <w:rStyle w:val="normaltextrun"/>
                <w:sz w:val="20"/>
                <w:szCs w:val="20"/>
              </w:rPr>
            </w:pPr>
            <w:r w:rsidRPr="006E3A0F">
              <w:rPr>
                <w:rStyle w:val="normaltextrun"/>
                <w:sz w:val="20"/>
                <w:szCs w:val="20"/>
              </w:rPr>
              <w:t xml:space="preserve">When is the 9% Credits Pre-Application deadline? </w:t>
            </w:r>
          </w:p>
          <w:p w14:paraId="08D6EFC6" w14:textId="77777777" w:rsidR="00FD1900" w:rsidRPr="006E3A0F" w:rsidRDefault="00FD1900" w:rsidP="00304B2F">
            <w:pPr>
              <w:pStyle w:val="paragraph"/>
              <w:spacing w:before="0" w:beforeAutospacing="0" w:after="0" w:afterAutospacing="0"/>
              <w:textAlignment w:val="baseline"/>
              <w:rPr>
                <w:rStyle w:val="normaltextrun"/>
                <w:sz w:val="20"/>
                <w:szCs w:val="20"/>
              </w:rPr>
            </w:pPr>
          </w:p>
          <w:p w14:paraId="38B93361" w14:textId="77777777" w:rsidR="00FD1900" w:rsidRPr="006E3A0F" w:rsidRDefault="00FD1900" w:rsidP="00304B2F">
            <w:pPr>
              <w:pStyle w:val="paragraph"/>
              <w:spacing w:before="0" w:beforeAutospacing="0" w:after="0" w:afterAutospacing="0"/>
              <w:textAlignment w:val="baseline"/>
              <w:rPr>
                <w:rStyle w:val="normaltextrun"/>
                <w:sz w:val="20"/>
                <w:szCs w:val="20"/>
              </w:rPr>
            </w:pPr>
            <w:r w:rsidRPr="006E3A0F">
              <w:rPr>
                <w:rStyle w:val="normaltextrun"/>
                <w:b/>
                <w:bCs/>
                <w:sz w:val="20"/>
                <w:szCs w:val="20"/>
              </w:rPr>
              <w:t>Answer</w:t>
            </w:r>
            <w:r w:rsidRPr="006E3A0F">
              <w:rPr>
                <w:rStyle w:val="normaltextrun"/>
                <w:sz w:val="20"/>
                <w:szCs w:val="20"/>
              </w:rPr>
              <w:t xml:space="preserve">: </w:t>
            </w:r>
          </w:p>
          <w:p w14:paraId="33F4EFC6" w14:textId="77777777" w:rsidR="00FD1900" w:rsidRPr="006E3A0F" w:rsidRDefault="00FD1900" w:rsidP="00304B2F">
            <w:pPr>
              <w:pStyle w:val="paragraph"/>
              <w:spacing w:before="0" w:beforeAutospacing="0" w:after="0" w:afterAutospacing="0"/>
              <w:textAlignment w:val="baseline"/>
              <w:rPr>
                <w:rStyle w:val="normaltextrun"/>
                <w:sz w:val="20"/>
                <w:szCs w:val="20"/>
              </w:rPr>
            </w:pPr>
            <w:r w:rsidRPr="006E3A0F">
              <w:rPr>
                <w:rStyle w:val="normaltextrun"/>
                <w:sz w:val="20"/>
                <w:szCs w:val="20"/>
              </w:rPr>
              <w:t xml:space="preserve">DCA has extended the 9% Credits Pre-Application deadline to Friday, March 11th, 2022. This extension applies to all 9% Credit deadlines previously listed as “3/4/22” in </w:t>
            </w:r>
            <w:r w:rsidRPr="006E3A0F">
              <w:rPr>
                <w:rStyle w:val="normaltextrun"/>
                <w:i/>
                <w:iCs/>
                <w:sz w:val="20"/>
                <w:szCs w:val="20"/>
              </w:rPr>
              <w:t>Core Plan, Exhibit A: DCA Pre-Application Fees and Deadline Schedules</w:t>
            </w:r>
            <w:r w:rsidRPr="006E3A0F">
              <w:rPr>
                <w:rStyle w:val="normaltextrun"/>
                <w:sz w:val="20"/>
                <w:szCs w:val="20"/>
              </w:rPr>
              <w:t>.</w:t>
            </w:r>
          </w:p>
        </w:tc>
      </w:tr>
      <w:tr w:rsidR="00FD1900" w:rsidRPr="006E3A0F" w14:paraId="207649C0" w14:textId="77777777" w:rsidTr="00E91E6E">
        <w:trPr>
          <w:jc w:val="center"/>
        </w:trPr>
        <w:tc>
          <w:tcPr>
            <w:tcW w:w="2157" w:type="dxa"/>
            <w:shd w:val="clear" w:color="auto" w:fill="auto"/>
            <w:tcMar>
              <w:top w:w="72" w:type="dxa"/>
              <w:left w:w="115" w:type="dxa"/>
              <w:bottom w:w="72" w:type="dxa"/>
              <w:right w:w="115" w:type="dxa"/>
            </w:tcMar>
            <w:vAlign w:val="center"/>
          </w:tcPr>
          <w:p w14:paraId="37C48A45"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09F93D68"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1.19</w:t>
            </w:r>
          </w:p>
          <w:p w14:paraId="39B56512"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Core Plan;</w:t>
            </w:r>
          </w:p>
          <w:p w14:paraId="7EF33668"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 xml:space="preserve">DCA Pre-Application Fees and Deadline Schedules </w:t>
            </w:r>
          </w:p>
          <w:p w14:paraId="537B2FF0" w14:textId="77777777" w:rsidR="00FD1900" w:rsidRPr="006E3A0F" w:rsidRDefault="00FD1900"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37EAE347" w14:textId="77777777" w:rsidR="00FD1900" w:rsidRPr="006E3A0F" w:rsidRDefault="00FD1900" w:rsidP="00304B2F">
            <w:pPr>
              <w:pStyle w:val="paragraph"/>
              <w:spacing w:before="0" w:beforeAutospacing="0" w:after="0" w:afterAutospacing="0"/>
              <w:textAlignment w:val="baseline"/>
              <w:rPr>
                <w:rStyle w:val="normaltextrun"/>
                <w:sz w:val="20"/>
                <w:szCs w:val="20"/>
              </w:rPr>
            </w:pPr>
            <w:r w:rsidRPr="006E3A0F">
              <w:rPr>
                <w:rStyle w:val="normaltextrun"/>
                <w:b/>
                <w:bCs/>
                <w:sz w:val="20"/>
                <w:szCs w:val="20"/>
              </w:rPr>
              <w:t>Question</w:t>
            </w:r>
            <w:r w:rsidRPr="006E3A0F">
              <w:rPr>
                <w:rStyle w:val="normaltextrun"/>
                <w:sz w:val="20"/>
                <w:szCs w:val="20"/>
              </w:rPr>
              <w:t>: Q0201_06</w:t>
            </w:r>
          </w:p>
          <w:p w14:paraId="491DF382" w14:textId="77777777" w:rsidR="00FD1900" w:rsidRPr="006E3A0F" w:rsidRDefault="00FD1900" w:rsidP="00304B2F">
            <w:pPr>
              <w:pStyle w:val="paragraph"/>
              <w:spacing w:before="0" w:beforeAutospacing="0" w:after="0" w:afterAutospacing="0"/>
              <w:textAlignment w:val="baseline"/>
              <w:rPr>
                <w:rStyle w:val="normaltextrun"/>
                <w:sz w:val="20"/>
                <w:szCs w:val="20"/>
              </w:rPr>
            </w:pPr>
            <w:r w:rsidRPr="006E3A0F">
              <w:rPr>
                <w:rStyle w:val="normaltextrun"/>
                <w:sz w:val="20"/>
                <w:szCs w:val="20"/>
              </w:rPr>
              <w:t xml:space="preserve">When is the deadline for submitting a Full Application for consideration under the 2022 9% Credits Competitive Round? </w:t>
            </w:r>
          </w:p>
          <w:p w14:paraId="1D139E77" w14:textId="77777777" w:rsidR="00FD1900" w:rsidRPr="006E3A0F" w:rsidRDefault="00FD1900" w:rsidP="00304B2F">
            <w:pPr>
              <w:pStyle w:val="paragraph"/>
              <w:spacing w:before="0" w:beforeAutospacing="0" w:after="0" w:afterAutospacing="0"/>
              <w:textAlignment w:val="baseline"/>
              <w:rPr>
                <w:rStyle w:val="normaltextrun"/>
                <w:sz w:val="20"/>
                <w:szCs w:val="20"/>
              </w:rPr>
            </w:pPr>
          </w:p>
          <w:p w14:paraId="14B305B6" w14:textId="77777777" w:rsidR="00FD1900" w:rsidRPr="006E3A0F" w:rsidRDefault="00FD1900" w:rsidP="00304B2F">
            <w:pPr>
              <w:pStyle w:val="paragraph"/>
              <w:spacing w:before="0" w:beforeAutospacing="0" w:after="0" w:afterAutospacing="0"/>
              <w:textAlignment w:val="baseline"/>
              <w:rPr>
                <w:rStyle w:val="normaltextrun"/>
                <w:sz w:val="20"/>
                <w:szCs w:val="20"/>
              </w:rPr>
            </w:pPr>
            <w:r w:rsidRPr="006E3A0F">
              <w:rPr>
                <w:rStyle w:val="normaltextrun"/>
                <w:b/>
                <w:bCs/>
                <w:sz w:val="20"/>
                <w:szCs w:val="20"/>
              </w:rPr>
              <w:t>Answer</w:t>
            </w:r>
            <w:r w:rsidRPr="006E3A0F">
              <w:rPr>
                <w:rStyle w:val="normaltextrun"/>
                <w:sz w:val="20"/>
                <w:szCs w:val="20"/>
              </w:rPr>
              <w:t xml:space="preserve">: </w:t>
            </w:r>
          </w:p>
          <w:p w14:paraId="32EEDFB9" w14:textId="77777777" w:rsidR="00FD1900" w:rsidRPr="006E3A0F" w:rsidRDefault="00FD1900" w:rsidP="00304B2F">
            <w:pPr>
              <w:pStyle w:val="paragraph"/>
              <w:spacing w:before="0" w:beforeAutospacing="0" w:after="0" w:afterAutospacing="0"/>
              <w:textAlignment w:val="baseline"/>
              <w:rPr>
                <w:rStyle w:val="normaltextrun"/>
                <w:sz w:val="20"/>
                <w:szCs w:val="20"/>
              </w:rPr>
            </w:pPr>
            <w:r w:rsidRPr="006E3A0F">
              <w:rPr>
                <w:rStyle w:val="normaltextrun"/>
                <w:sz w:val="20"/>
                <w:szCs w:val="20"/>
              </w:rPr>
              <w:t>The “Application Submission” deadline for 9% Credit applications is May 20</w:t>
            </w:r>
            <w:r w:rsidRPr="006E3A0F">
              <w:rPr>
                <w:rStyle w:val="normaltextrun"/>
                <w:sz w:val="20"/>
                <w:szCs w:val="20"/>
                <w:vertAlign w:val="superscript"/>
              </w:rPr>
              <w:t>th</w:t>
            </w:r>
            <w:r w:rsidRPr="006E3A0F">
              <w:rPr>
                <w:rStyle w:val="normaltextrun"/>
                <w:sz w:val="20"/>
                <w:szCs w:val="20"/>
              </w:rPr>
              <w:t xml:space="preserve">, 2022. </w:t>
            </w:r>
          </w:p>
          <w:p w14:paraId="1109966D" w14:textId="77777777" w:rsidR="00FD1900" w:rsidRPr="006E3A0F" w:rsidRDefault="00FD1900" w:rsidP="00304B2F">
            <w:pPr>
              <w:pStyle w:val="paragraph"/>
              <w:spacing w:before="0" w:beforeAutospacing="0" w:after="0" w:afterAutospacing="0"/>
              <w:textAlignment w:val="baseline"/>
              <w:rPr>
                <w:rStyle w:val="normaltextrun"/>
                <w:sz w:val="20"/>
                <w:szCs w:val="20"/>
              </w:rPr>
            </w:pPr>
          </w:p>
          <w:p w14:paraId="37DC7B63" w14:textId="77777777" w:rsidR="00FD1900" w:rsidRPr="006E3A0F" w:rsidRDefault="00FD1900" w:rsidP="00304B2F">
            <w:pPr>
              <w:pStyle w:val="paragraph"/>
              <w:spacing w:before="0" w:beforeAutospacing="0" w:after="0" w:afterAutospacing="0"/>
              <w:textAlignment w:val="baseline"/>
              <w:rPr>
                <w:rStyle w:val="normaltextrun"/>
                <w:sz w:val="20"/>
                <w:szCs w:val="20"/>
              </w:rPr>
            </w:pPr>
            <w:r w:rsidRPr="006E3A0F">
              <w:rPr>
                <w:rStyle w:val="normaltextrun"/>
                <w:sz w:val="20"/>
                <w:szCs w:val="20"/>
              </w:rPr>
              <w:t xml:space="preserve">The term “Application Submission,” used throughout the QAP, refers to this date for purposes of the 9% Credits Competitive Round. See the “9% Deadline” column in </w:t>
            </w:r>
            <w:r w:rsidRPr="006E3A0F">
              <w:rPr>
                <w:rStyle w:val="normaltextrun"/>
                <w:i/>
                <w:iCs/>
                <w:sz w:val="20"/>
                <w:szCs w:val="20"/>
              </w:rPr>
              <w:t>Core Plan, DCA Pre-Application Fees and Deadline Schedules</w:t>
            </w:r>
            <w:r w:rsidRPr="006E3A0F">
              <w:rPr>
                <w:rStyle w:val="normaltextrun"/>
                <w:sz w:val="20"/>
                <w:szCs w:val="20"/>
              </w:rPr>
              <w:t xml:space="preserve"> for all deadlines associated with the 9% Credits Competitive Round. </w:t>
            </w:r>
          </w:p>
        </w:tc>
      </w:tr>
      <w:tr w:rsidR="00FD1900" w:rsidRPr="006E3A0F" w14:paraId="182E0EF3" w14:textId="77777777" w:rsidTr="00E91E6E">
        <w:trPr>
          <w:jc w:val="center"/>
        </w:trPr>
        <w:tc>
          <w:tcPr>
            <w:tcW w:w="2157" w:type="dxa"/>
            <w:shd w:val="clear" w:color="auto" w:fill="auto"/>
            <w:tcMar>
              <w:top w:w="72" w:type="dxa"/>
              <w:left w:w="115" w:type="dxa"/>
              <w:bottom w:w="72" w:type="dxa"/>
              <w:right w:w="115" w:type="dxa"/>
            </w:tcMar>
            <w:vAlign w:val="center"/>
          </w:tcPr>
          <w:p w14:paraId="74F81AD8"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6D2AD756"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2.20</w:t>
            </w:r>
          </w:p>
          <w:p w14:paraId="1F93FCA6"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 xml:space="preserve">Threshold Criteria; </w:t>
            </w:r>
          </w:p>
          <w:p w14:paraId="0B503045"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1E5870E1"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b/>
                <w:bCs/>
                <w:sz w:val="20"/>
                <w:szCs w:val="20"/>
              </w:rPr>
              <w:t>Question</w:t>
            </w:r>
            <w:r w:rsidRPr="006E3A0F">
              <w:rPr>
                <w:rStyle w:val="normaltextrun"/>
                <w:sz w:val="20"/>
                <w:szCs w:val="20"/>
              </w:rPr>
              <w:t>: Q0218_02</w:t>
            </w:r>
            <w:r w:rsidRPr="006E3A0F">
              <w:rPr>
                <w:rStyle w:val="eop"/>
                <w:sz w:val="20"/>
                <w:szCs w:val="20"/>
              </w:rPr>
              <w:t> </w:t>
            </w:r>
          </w:p>
          <w:p w14:paraId="41EF28DA"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We were pre-qualified last year. Do we need to submit another pre-application for qualifications review this year or could we rely on last year’s qualified determination? </w:t>
            </w:r>
            <w:r w:rsidRPr="006E3A0F">
              <w:rPr>
                <w:rStyle w:val="eop"/>
                <w:sz w:val="20"/>
                <w:szCs w:val="20"/>
              </w:rPr>
              <w:t> </w:t>
            </w:r>
            <w:r w:rsidRPr="006E3A0F">
              <w:rPr>
                <w:rStyle w:val="normaltextrun"/>
                <w:sz w:val="20"/>
                <w:szCs w:val="20"/>
              </w:rPr>
              <w:t>If the latter, do we just submit last year’s qualifications approval with our Full Application? </w:t>
            </w:r>
            <w:r w:rsidRPr="006E3A0F">
              <w:rPr>
                <w:rStyle w:val="eop"/>
                <w:sz w:val="20"/>
                <w:szCs w:val="20"/>
              </w:rPr>
              <w:t> </w:t>
            </w:r>
          </w:p>
          <w:p w14:paraId="0EFF071E"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68C0CE28" w14:textId="77777777" w:rsidR="00FD1900" w:rsidRPr="006E3A0F" w:rsidRDefault="00FD1900" w:rsidP="00304B2F">
            <w:pPr>
              <w:pStyle w:val="paragraph"/>
              <w:spacing w:before="0" w:beforeAutospacing="0" w:after="0" w:afterAutospacing="0"/>
              <w:jc w:val="center"/>
              <w:textAlignment w:val="baseline"/>
              <w:rPr>
                <w:sz w:val="20"/>
                <w:szCs w:val="20"/>
              </w:rPr>
            </w:pPr>
            <w:r w:rsidRPr="006E3A0F">
              <w:rPr>
                <w:rStyle w:val="normaltextrun"/>
                <w:b/>
                <w:bCs/>
                <w:sz w:val="20"/>
                <w:szCs w:val="20"/>
              </w:rPr>
              <w:t>Answer</w:t>
            </w:r>
            <w:r w:rsidRPr="006E3A0F">
              <w:rPr>
                <w:rStyle w:val="normaltextrun"/>
                <w:sz w:val="20"/>
                <w:szCs w:val="20"/>
              </w:rPr>
              <w:t>:</w:t>
            </w:r>
            <w:r w:rsidRPr="006E3A0F">
              <w:rPr>
                <w:rStyle w:val="eop"/>
                <w:sz w:val="20"/>
                <w:szCs w:val="20"/>
              </w:rPr>
              <w:t> </w:t>
            </w:r>
          </w:p>
          <w:p w14:paraId="47B1C094"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 xml:space="preserve">The 2022 QAP states in </w:t>
            </w:r>
            <w:r w:rsidRPr="006E3A0F">
              <w:rPr>
                <w:rStyle w:val="normaltextrun"/>
                <w:i/>
                <w:iCs/>
                <w:sz w:val="20"/>
                <w:szCs w:val="20"/>
              </w:rPr>
              <w:t>Threshold Criteria, Experience, Capacity and Performance Requirements for General Partner and Developer Entities: </w:t>
            </w:r>
            <w:r w:rsidRPr="006E3A0F">
              <w:rPr>
                <w:rStyle w:val="normaltextrun"/>
                <w:i/>
                <w:iCs/>
                <w:sz w:val="20"/>
                <w:szCs w:val="20"/>
              </w:rPr>
              <w:br/>
            </w:r>
            <w:r w:rsidRPr="006E3A0F">
              <w:rPr>
                <w:rStyle w:val="eop"/>
                <w:i/>
                <w:iCs/>
                <w:sz w:val="20"/>
                <w:szCs w:val="20"/>
              </w:rPr>
              <w:t> </w:t>
            </w:r>
          </w:p>
          <w:p w14:paraId="0935C4C3" w14:textId="77777777" w:rsidR="00FD1900" w:rsidRPr="006E3A0F" w:rsidRDefault="00FD1900" w:rsidP="00304B2F">
            <w:pPr>
              <w:pStyle w:val="paragraph"/>
              <w:numPr>
                <w:ilvl w:val="0"/>
                <w:numId w:val="5"/>
              </w:numPr>
              <w:spacing w:before="0" w:beforeAutospacing="0" w:after="0" w:afterAutospacing="0"/>
              <w:textAlignment w:val="baseline"/>
              <w:rPr>
                <w:sz w:val="20"/>
                <w:szCs w:val="20"/>
              </w:rPr>
            </w:pPr>
            <w:r w:rsidRPr="006E3A0F">
              <w:rPr>
                <w:rStyle w:val="normaltextrun"/>
                <w:i/>
                <w:iCs/>
                <w:sz w:val="20"/>
                <w:szCs w:val="20"/>
              </w:rPr>
              <w:t>Overview</w:t>
            </w:r>
            <w:r w:rsidRPr="006E3A0F">
              <w:rPr>
                <w:rStyle w:val="normaltextrun"/>
                <w:sz w:val="20"/>
                <w:szCs w:val="20"/>
              </w:rPr>
              <w:t>:</w:t>
            </w:r>
            <w:r w:rsidRPr="006E3A0F">
              <w:rPr>
                <w:rStyle w:val="normaltextrun"/>
                <w:b/>
                <w:bCs/>
                <w:sz w:val="20"/>
                <w:szCs w:val="20"/>
              </w:rPr>
              <w:t xml:space="preserve"> </w:t>
            </w:r>
            <w:r w:rsidRPr="006E3A0F">
              <w:rPr>
                <w:rStyle w:val="normaltextrun"/>
                <w:sz w:val="20"/>
                <w:szCs w:val="20"/>
              </w:rPr>
              <w:t>“DCA reviews the following four areas of the proposed Project Team: Experience, Capacity, Performance, Compliance History…”</w:t>
            </w:r>
            <w:r w:rsidRPr="006E3A0F">
              <w:rPr>
                <w:rStyle w:val="eop"/>
                <w:sz w:val="20"/>
                <w:szCs w:val="20"/>
              </w:rPr>
              <w:t> </w:t>
            </w:r>
          </w:p>
          <w:p w14:paraId="6ECA1BE4" w14:textId="77777777" w:rsidR="00FD1900" w:rsidRPr="006E3A0F" w:rsidRDefault="00FD1900" w:rsidP="00304B2F">
            <w:pPr>
              <w:pStyle w:val="paragraph"/>
              <w:numPr>
                <w:ilvl w:val="0"/>
                <w:numId w:val="5"/>
              </w:numPr>
              <w:spacing w:before="0" w:beforeAutospacing="0" w:after="0" w:afterAutospacing="0"/>
              <w:textAlignment w:val="baseline"/>
              <w:rPr>
                <w:sz w:val="20"/>
                <w:szCs w:val="20"/>
              </w:rPr>
            </w:pPr>
            <w:r w:rsidRPr="006E3A0F">
              <w:rPr>
                <w:rStyle w:val="normaltextrun"/>
                <w:i/>
                <w:iCs/>
                <w:sz w:val="20"/>
                <w:szCs w:val="20"/>
              </w:rPr>
              <w:t>C. Requirements for Experience (Certifying Entity)</w:t>
            </w:r>
            <w:r w:rsidRPr="006E3A0F">
              <w:rPr>
                <w:rStyle w:val="normaltextrun"/>
                <w:sz w:val="20"/>
                <w:szCs w:val="20"/>
              </w:rPr>
              <w:t>: “A certifying entity that was deemed to meet experience requirements in 2021 is only exempt from submitting documentation of experience for the 2022 round. All other sections…of the performance workbook must be completed. Only those certifying entities that have received a determination letter of “Qualified” in the 2021 round will be deemed to qualify under grandfathering.”</w:t>
            </w:r>
            <w:r w:rsidRPr="006E3A0F">
              <w:rPr>
                <w:rStyle w:val="eop"/>
                <w:sz w:val="20"/>
                <w:szCs w:val="20"/>
              </w:rPr>
              <w:t> </w:t>
            </w:r>
          </w:p>
          <w:p w14:paraId="5A9CFCBA"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eop"/>
                <w:sz w:val="20"/>
                <w:szCs w:val="20"/>
              </w:rPr>
              <w:t> </w:t>
            </w:r>
          </w:p>
          <w:p w14:paraId="539851FF" w14:textId="77777777" w:rsidR="00FD1900" w:rsidRPr="006E3A0F" w:rsidRDefault="00FD1900" w:rsidP="00304B2F">
            <w:pPr>
              <w:pStyle w:val="paragraph"/>
              <w:spacing w:before="0" w:beforeAutospacing="0" w:after="0" w:afterAutospacing="0"/>
              <w:textAlignment w:val="baseline"/>
              <w:rPr>
                <w:sz w:val="20"/>
                <w:szCs w:val="20"/>
              </w:rPr>
            </w:pPr>
            <w:r w:rsidRPr="006E3A0F">
              <w:rPr>
                <w:rStyle w:val="normaltextrun"/>
                <w:sz w:val="20"/>
                <w:szCs w:val="20"/>
              </w:rPr>
              <w:t>Applicants seeking Experience approval under “grandfathering,” as described above, can submit the letter received from DCA confirming qualifications approval for the 2021 Competitive Round. All other parts of the qualifications review must be submitted in full for the 2022 Competitive Round. </w:t>
            </w:r>
          </w:p>
          <w:p w14:paraId="158E8918" w14:textId="77777777" w:rsidR="00FD1900" w:rsidRPr="006E3A0F" w:rsidRDefault="00FD1900" w:rsidP="00304B2F">
            <w:pPr>
              <w:contextualSpacing/>
              <w:rPr>
                <w:rFonts w:ascii="Times New Roman" w:hAnsi="Times New Roman" w:cs="Times New Roman"/>
                <w:b/>
                <w:bCs/>
                <w:sz w:val="20"/>
                <w:szCs w:val="20"/>
              </w:rPr>
            </w:pPr>
          </w:p>
        </w:tc>
      </w:tr>
      <w:tr w:rsidR="00FD1900" w:rsidRPr="006E3A0F" w14:paraId="02389E38" w14:textId="77777777" w:rsidTr="00E91E6E">
        <w:trPr>
          <w:jc w:val="center"/>
        </w:trPr>
        <w:tc>
          <w:tcPr>
            <w:tcW w:w="2157" w:type="dxa"/>
            <w:shd w:val="clear" w:color="auto" w:fill="auto"/>
            <w:tcMar>
              <w:top w:w="72" w:type="dxa"/>
              <w:left w:w="115" w:type="dxa"/>
              <w:bottom w:w="72" w:type="dxa"/>
              <w:right w:w="115" w:type="dxa"/>
            </w:tcMar>
            <w:vAlign w:val="center"/>
          </w:tcPr>
          <w:p w14:paraId="3A0040B7"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36BF8E6A"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7.00</w:t>
            </w:r>
          </w:p>
          <w:p w14:paraId="6DC73B7E"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sz w:val="20"/>
                <w:szCs w:val="20"/>
              </w:rPr>
              <w:t xml:space="preserve">Application Materials </w:t>
            </w:r>
            <w:r w:rsidRPr="006E3A0F">
              <w:rPr>
                <w:rFonts w:ascii="Times New Roman" w:hAnsi="Times New Roman" w:cs="Times New Roman"/>
                <w:noProof/>
                <w:sz w:val="20"/>
                <w:szCs w:val="20"/>
              </w:rPr>
              <w:t xml:space="preserve">(Forms, etc.) </w:t>
            </w:r>
          </w:p>
          <w:p w14:paraId="0F423974" w14:textId="77777777" w:rsidR="00FD1900" w:rsidRPr="006E3A0F" w:rsidRDefault="00FD1900"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7AA2C12C"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Question</w:t>
            </w:r>
            <w:r w:rsidRPr="006E3A0F">
              <w:rPr>
                <w:rFonts w:ascii="Times New Roman" w:eastAsia="Times New Roman" w:hAnsi="Times New Roman" w:cs="Times New Roman"/>
                <w:sz w:val="20"/>
                <w:szCs w:val="20"/>
              </w:rPr>
              <w:t>: Q0221_02 </w:t>
            </w:r>
          </w:p>
          <w:p w14:paraId="50D9B15D"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For certain Pre-Application waiver requests, we have to submit a draft Core Application. When does DCA anticipate posting the Core Application? Or can we use the most recent Core Application version available?  </w:t>
            </w:r>
          </w:p>
          <w:p w14:paraId="4A762AB4"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 </w:t>
            </w:r>
          </w:p>
          <w:p w14:paraId="32512723"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b/>
                <w:bCs/>
                <w:sz w:val="20"/>
                <w:szCs w:val="20"/>
              </w:rPr>
              <w:t>Answer</w:t>
            </w:r>
            <w:r w:rsidRPr="006E3A0F">
              <w:rPr>
                <w:rFonts w:ascii="Times New Roman" w:eastAsia="Times New Roman" w:hAnsi="Times New Roman" w:cs="Times New Roman"/>
                <w:sz w:val="20"/>
                <w:szCs w:val="20"/>
              </w:rPr>
              <w:t>:  </w:t>
            </w:r>
          </w:p>
          <w:p w14:paraId="6E574B32" w14:textId="77777777" w:rsidR="00FD1900" w:rsidRPr="006E3A0F" w:rsidRDefault="00FD1900" w:rsidP="00304B2F">
            <w:pPr>
              <w:textAlignment w:val="baseline"/>
              <w:rPr>
                <w:rFonts w:ascii="Times New Roman" w:eastAsia="Times New Roman" w:hAnsi="Times New Roman" w:cs="Times New Roman"/>
                <w:sz w:val="20"/>
                <w:szCs w:val="20"/>
              </w:rPr>
            </w:pPr>
            <w:r w:rsidRPr="006E3A0F">
              <w:rPr>
                <w:rFonts w:ascii="Times New Roman" w:eastAsia="Times New Roman" w:hAnsi="Times New Roman" w:cs="Times New Roman"/>
                <w:sz w:val="20"/>
                <w:szCs w:val="20"/>
              </w:rPr>
              <w:t>Where a draft Core Application is needed for a Pre-Application submission, please utilize the most recent available, which at this time is the 2021 Core Application (</w:t>
            </w:r>
            <w:hyperlink r:id="rId67" w:tgtFrame="_blank" w:history="1">
              <w:r w:rsidRPr="006E3A0F">
                <w:rPr>
                  <w:rFonts w:ascii="Times New Roman" w:eastAsia="Times New Roman" w:hAnsi="Times New Roman" w:cs="Times New Roman"/>
                  <w:sz w:val="20"/>
                  <w:szCs w:val="20"/>
                  <w:u w:val="single"/>
                </w:rPr>
                <w:t>click here</w:t>
              </w:r>
            </w:hyperlink>
            <w:r w:rsidRPr="006E3A0F">
              <w:rPr>
                <w:rFonts w:ascii="Times New Roman" w:eastAsia="Times New Roman" w:hAnsi="Times New Roman" w:cs="Times New Roman"/>
                <w:sz w:val="20"/>
                <w:szCs w:val="20"/>
              </w:rPr>
              <w:t xml:space="preserve"> to view posted Application Manuals and Forms by year).</w:t>
            </w:r>
          </w:p>
          <w:p w14:paraId="25ECA312" w14:textId="77777777" w:rsidR="00FD1900" w:rsidRPr="006E3A0F" w:rsidRDefault="00FD1900" w:rsidP="00304B2F">
            <w:pPr>
              <w:pStyle w:val="paragraph"/>
              <w:spacing w:before="0" w:beforeAutospacing="0" w:after="0" w:afterAutospacing="0"/>
              <w:textAlignment w:val="baseline"/>
              <w:rPr>
                <w:rStyle w:val="normaltextrun"/>
                <w:b/>
                <w:bCs/>
                <w:sz w:val="20"/>
                <w:szCs w:val="20"/>
              </w:rPr>
            </w:pPr>
          </w:p>
        </w:tc>
      </w:tr>
      <w:tr w:rsidR="00FD1900" w:rsidRPr="006E3A0F" w14:paraId="3BD8B94D" w14:textId="77777777" w:rsidTr="00E91E6E">
        <w:trPr>
          <w:jc w:val="center"/>
        </w:trPr>
        <w:tc>
          <w:tcPr>
            <w:tcW w:w="2157" w:type="dxa"/>
            <w:shd w:val="clear" w:color="auto" w:fill="auto"/>
            <w:tcMar>
              <w:top w:w="72" w:type="dxa"/>
              <w:left w:w="115" w:type="dxa"/>
              <w:bottom w:w="72" w:type="dxa"/>
              <w:right w:w="115" w:type="dxa"/>
            </w:tcMar>
            <w:vAlign w:val="center"/>
          </w:tcPr>
          <w:p w14:paraId="511A720E"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7E966744"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 xml:space="preserve">9.00 </w:t>
            </w:r>
          </w:p>
          <w:p w14:paraId="6B0486EC"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Other;</w:t>
            </w:r>
          </w:p>
          <w:p w14:paraId="27B9093E" w14:textId="77777777" w:rsidR="00FD1900" w:rsidRPr="006E3A0F" w:rsidRDefault="00FD1900" w:rsidP="00304B2F">
            <w:pPr>
              <w:contextualSpacing/>
              <w:rPr>
                <w:rFonts w:ascii="Times New Roman" w:hAnsi="Times New Roman" w:cs="Times New Roman"/>
                <w:noProof/>
                <w:sz w:val="20"/>
                <w:szCs w:val="20"/>
              </w:rPr>
            </w:pPr>
            <w:r w:rsidRPr="006E3A0F">
              <w:rPr>
                <w:rFonts w:ascii="Times New Roman" w:hAnsi="Times New Roman" w:cs="Times New Roman"/>
                <w:noProof/>
                <w:sz w:val="20"/>
                <w:szCs w:val="20"/>
              </w:rPr>
              <w:t xml:space="preserve">2021 QAP requirement </w:t>
            </w:r>
          </w:p>
        </w:tc>
        <w:tc>
          <w:tcPr>
            <w:tcW w:w="9590" w:type="dxa"/>
            <w:shd w:val="clear" w:color="auto" w:fill="auto"/>
            <w:tcMar>
              <w:top w:w="72" w:type="dxa"/>
              <w:left w:w="115" w:type="dxa"/>
              <w:bottom w:w="72" w:type="dxa"/>
              <w:right w:w="115" w:type="dxa"/>
            </w:tcMar>
            <w:vAlign w:val="center"/>
          </w:tcPr>
          <w:p w14:paraId="00A44C98" w14:textId="77777777" w:rsidR="00FD1900" w:rsidRPr="006E3A0F" w:rsidRDefault="00FD1900" w:rsidP="00304B2F">
            <w:pPr>
              <w:contextualSpacing/>
              <w:rPr>
                <w:rFonts w:ascii="Times New Roman" w:hAnsi="Times New Roman" w:cs="Times New Roman"/>
                <w:b/>
                <w:bCs/>
                <w:sz w:val="20"/>
                <w:szCs w:val="20"/>
              </w:rPr>
            </w:pPr>
            <w:r w:rsidRPr="006E3A0F">
              <w:rPr>
                <w:rFonts w:ascii="Times New Roman" w:hAnsi="Times New Roman" w:cs="Times New Roman"/>
                <w:b/>
                <w:bCs/>
                <w:sz w:val="20"/>
                <w:szCs w:val="20"/>
              </w:rPr>
              <w:t xml:space="preserve">Question: </w:t>
            </w:r>
            <w:r w:rsidRPr="006E3A0F">
              <w:rPr>
                <w:rFonts w:ascii="Times New Roman" w:hAnsi="Times New Roman" w:cs="Times New Roman"/>
                <w:sz w:val="20"/>
                <w:szCs w:val="20"/>
              </w:rPr>
              <w:t>Q0218_01</w:t>
            </w:r>
          </w:p>
          <w:p w14:paraId="3A1B181E"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sz w:val="20"/>
                <w:szCs w:val="20"/>
              </w:rPr>
              <w:t xml:space="preserve">Do we still need to submit a Cost Limit waiver at the Pre-Application stage?  </w:t>
            </w:r>
            <w:r w:rsidRPr="006E3A0F">
              <w:rPr>
                <w:rFonts w:ascii="Times New Roman" w:hAnsi="Times New Roman" w:cs="Times New Roman"/>
                <w:b/>
                <w:bCs/>
                <w:sz w:val="20"/>
                <w:szCs w:val="20"/>
              </w:rPr>
              <w:t xml:space="preserve"> </w:t>
            </w:r>
          </w:p>
          <w:p w14:paraId="3C7919E1" w14:textId="77777777" w:rsidR="00FD1900" w:rsidRPr="006E3A0F" w:rsidRDefault="00FD1900" w:rsidP="00304B2F">
            <w:pPr>
              <w:contextualSpacing/>
              <w:rPr>
                <w:rFonts w:ascii="Times New Roman" w:hAnsi="Times New Roman" w:cs="Times New Roman"/>
                <w:b/>
                <w:bCs/>
                <w:sz w:val="20"/>
                <w:szCs w:val="20"/>
              </w:rPr>
            </w:pPr>
          </w:p>
          <w:p w14:paraId="0CE2B006" w14:textId="77777777" w:rsidR="00FD1900" w:rsidRPr="006E3A0F" w:rsidRDefault="00FD1900" w:rsidP="00304B2F">
            <w:pPr>
              <w:contextualSpacing/>
              <w:rPr>
                <w:rFonts w:ascii="Times New Roman" w:hAnsi="Times New Roman" w:cs="Times New Roman"/>
                <w:b/>
                <w:bCs/>
                <w:sz w:val="20"/>
                <w:szCs w:val="20"/>
              </w:rPr>
            </w:pPr>
            <w:r w:rsidRPr="006E3A0F">
              <w:rPr>
                <w:rFonts w:ascii="Times New Roman" w:hAnsi="Times New Roman" w:cs="Times New Roman"/>
                <w:b/>
                <w:bCs/>
                <w:sz w:val="20"/>
                <w:szCs w:val="20"/>
              </w:rPr>
              <w:t xml:space="preserve">Answer:  </w:t>
            </w:r>
          </w:p>
          <w:p w14:paraId="6F877D24" w14:textId="77777777" w:rsidR="00FD1900" w:rsidRPr="006E3A0F" w:rsidRDefault="00FD1900" w:rsidP="00304B2F">
            <w:pPr>
              <w:contextualSpacing/>
              <w:rPr>
                <w:rFonts w:ascii="Times New Roman" w:hAnsi="Times New Roman" w:cs="Times New Roman"/>
                <w:sz w:val="20"/>
                <w:szCs w:val="20"/>
              </w:rPr>
            </w:pPr>
            <w:r w:rsidRPr="006E3A0F">
              <w:rPr>
                <w:rFonts w:ascii="Times New Roman" w:hAnsi="Times New Roman" w:cs="Times New Roman"/>
                <w:i/>
                <w:iCs/>
                <w:sz w:val="20"/>
                <w:szCs w:val="20"/>
              </w:rPr>
              <w:t>Threshold Criteria, Cost Limits</w:t>
            </w:r>
            <w:r w:rsidRPr="006E3A0F">
              <w:rPr>
                <w:rFonts w:ascii="Times New Roman" w:hAnsi="Times New Roman" w:cs="Times New Roman"/>
                <w:sz w:val="20"/>
                <w:szCs w:val="20"/>
              </w:rPr>
              <w:t xml:space="preserve"> was dropped from the 2021 QAP. Therefore, there is no cost limit requirement to waive under the 2022 QAP.  </w:t>
            </w:r>
          </w:p>
        </w:tc>
      </w:tr>
    </w:tbl>
    <w:p w14:paraId="433F1041" w14:textId="77777777" w:rsidR="009A7564" w:rsidRPr="00A938F4" w:rsidRDefault="009A7564" w:rsidP="00424900">
      <w:pPr>
        <w:spacing w:after="0" w:line="240" w:lineRule="auto"/>
        <w:contextualSpacing/>
        <w:rPr>
          <w:rFonts w:ascii="Times New Roman" w:hAnsi="Times New Roman" w:cs="Times New Roman"/>
          <w:noProof/>
        </w:rPr>
      </w:pPr>
    </w:p>
    <w:sectPr w:rsidR="009A7564" w:rsidRPr="00A938F4" w:rsidSect="00A341E3">
      <w:headerReference w:type="first" r:id="rId68"/>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165FD" w14:textId="77777777" w:rsidR="00A4050A" w:rsidRDefault="00A4050A" w:rsidP="00441946">
      <w:pPr>
        <w:spacing w:after="0" w:line="240" w:lineRule="auto"/>
      </w:pPr>
      <w:r>
        <w:separator/>
      </w:r>
    </w:p>
  </w:endnote>
  <w:endnote w:type="continuationSeparator" w:id="0">
    <w:p w14:paraId="288C9B2E" w14:textId="77777777" w:rsidR="00A4050A" w:rsidRDefault="00A4050A" w:rsidP="00441946">
      <w:pPr>
        <w:spacing w:after="0" w:line="240" w:lineRule="auto"/>
      </w:pPr>
      <w:r>
        <w:continuationSeparator/>
      </w:r>
    </w:p>
  </w:endnote>
  <w:endnote w:type="continuationNotice" w:id="1">
    <w:p w14:paraId="29090F63" w14:textId="77777777" w:rsidR="00A4050A" w:rsidRDefault="00A405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FC87D" w14:textId="77777777" w:rsidR="00A4050A" w:rsidRDefault="00A4050A" w:rsidP="00441946">
      <w:pPr>
        <w:spacing w:after="0" w:line="240" w:lineRule="auto"/>
      </w:pPr>
      <w:r>
        <w:separator/>
      </w:r>
    </w:p>
  </w:footnote>
  <w:footnote w:type="continuationSeparator" w:id="0">
    <w:p w14:paraId="7BF85EFF" w14:textId="77777777" w:rsidR="00A4050A" w:rsidRDefault="00A4050A" w:rsidP="00441946">
      <w:pPr>
        <w:spacing w:after="0" w:line="240" w:lineRule="auto"/>
      </w:pPr>
      <w:r>
        <w:continuationSeparator/>
      </w:r>
    </w:p>
  </w:footnote>
  <w:footnote w:type="continuationNotice" w:id="1">
    <w:p w14:paraId="6C44B513" w14:textId="77777777" w:rsidR="00A4050A" w:rsidRDefault="00A405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F81A" w14:textId="761E2A05" w:rsidR="00B104DA" w:rsidRPr="00AA437D" w:rsidRDefault="00B104DA">
    <w:pPr>
      <w:pStyle w:val="Header"/>
      <w:rPr>
        <w:rFonts w:ascii="Times New Roman" w:hAnsi="Times New Roman" w:cs="Times New Roman"/>
        <w:sz w:val="24"/>
        <w:szCs w:val="24"/>
      </w:rPr>
    </w:pPr>
    <w:r w:rsidRPr="00AA437D">
      <w:rPr>
        <w:rFonts w:ascii="Times New Roman" w:hAnsi="Times New Roman" w:cs="Times New Roman"/>
        <w:sz w:val="24"/>
        <w:szCs w:val="24"/>
      </w:rPr>
      <w:t xml:space="preserve">Governor Brian Kemp </w:t>
    </w:r>
    <w:r w:rsidRPr="00AA437D">
      <w:rPr>
        <w:rFonts w:ascii="Times New Roman" w:hAnsi="Times New Roman" w:cs="Times New Roman"/>
        <w:sz w:val="24"/>
        <w:szCs w:val="24"/>
      </w:rPr>
      <w:ptab w:relativeTo="margin" w:alignment="center" w:leader="none"/>
    </w:r>
    <w:r w:rsidRPr="00AA437D">
      <w:rPr>
        <w:rFonts w:ascii="Times New Roman" w:hAnsi="Times New Roman" w:cs="Times New Roman"/>
        <w:sz w:val="24"/>
        <w:szCs w:val="24"/>
      </w:rPr>
      <w:ptab w:relativeTo="margin" w:alignment="right" w:leader="none"/>
    </w:r>
    <w:r w:rsidRPr="00AA437D">
      <w:rPr>
        <w:rFonts w:ascii="Times New Roman" w:hAnsi="Times New Roman" w:cs="Times New Roman"/>
        <w:sz w:val="24"/>
        <w:szCs w:val="24"/>
      </w:rPr>
      <w:t>Executive Director Christopher Nunn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6C7E"/>
    <w:multiLevelType w:val="multilevel"/>
    <w:tmpl w:val="D816751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E2C61"/>
    <w:multiLevelType w:val="multilevel"/>
    <w:tmpl w:val="5D84FF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9A6A37"/>
    <w:multiLevelType w:val="hybridMultilevel"/>
    <w:tmpl w:val="F64C6280"/>
    <w:lvl w:ilvl="0" w:tplc="47A4AEC4">
      <w:start w:val="1"/>
      <w:numFmt w:val="bullet"/>
      <w:lvlText w:val=""/>
      <w:lvlJc w:val="left"/>
      <w:pPr>
        <w:ind w:left="720" w:hanging="360"/>
      </w:pPr>
      <w:rPr>
        <w:rFonts w:ascii="Symbol" w:hAnsi="Symbol" w:hint="default"/>
      </w:rPr>
    </w:lvl>
    <w:lvl w:ilvl="1" w:tplc="270A0CEA">
      <w:start w:val="1"/>
      <w:numFmt w:val="bullet"/>
      <w:lvlText w:val="o"/>
      <w:lvlJc w:val="left"/>
      <w:pPr>
        <w:ind w:left="1440" w:hanging="360"/>
      </w:pPr>
      <w:rPr>
        <w:rFonts w:ascii="Courier New" w:hAnsi="Courier New" w:hint="default"/>
      </w:rPr>
    </w:lvl>
    <w:lvl w:ilvl="2" w:tplc="B4E68B2E">
      <w:start w:val="1"/>
      <w:numFmt w:val="bullet"/>
      <w:lvlText w:val=""/>
      <w:lvlJc w:val="left"/>
      <w:pPr>
        <w:ind w:left="2160" w:hanging="360"/>
      </w:pPr>
      <w:rPr>
        <w:rFonts w:ascii="Wingdings" w:hAnsi="Wingdings" w:hint="default"/>
      </w:rPr>
    </w:lvl>
    <w:lvl w:ilvl="3" w:tplc="D63E8CF8">
      <w:start w:val="1"/>
      <w:numFmt w:val="bullet"/>
      <w:lvlText w:val=""/>
      <w:lvlJc w:val="left"/>
      <w:pPr>
        <w:ind w:left="2880" w:hanging="360"/>
      </w:pPr>
      <w:rPr>
        <w:rFonts w:ascii="Symbol" w:hAnsi="Symbol" w:hint="default"/>
      </w:rPr>
    </w:lvl>
    <w:lvl w:ilvl="4" w:tplc="8AF4307A">
      <w:start w:val="1"/>
      <w:numFmt w:val="bullet"/>
      <w:lvlText w:val="o"/>
      <w:lvlJc w:val="left"/>
      <w:pPr>
        <w:ind w:left="3600" w:hanging="360"/>
      </w:pPr>
      <w:rPr>
        <w:rFonts w:ascii="Courier New" w:hAnsi="Courier New" w:hint="default"/>
      </w:rPr>
    </w:lvl>
    <w:lvl w:ilvl="5" w:tplc="2738E1EA">
      <w:start w:val="1"/>
      <w:numFmt w:val="bullet"/>
      <w:lvlText w:val=""/>
      <w:lvlJc w:val="left"/>
      <w:pPr>
        <w:ind w:left="4320" w:hanging="360"/>
      </w:pPr>
      <w:rPr>
        <w:rFonts w:ascii="Wingdings" w:hAnsi="Wingdings" w:hint="default"/>
      </w:rPr>
    </w:lvl>
    <w:lvl w:ilvl="6" w:tplc="62F6ECEA">
      <w:start w:val="1"/>
      <w:numFmt w:val="bullet"/>
      <w:lvlText w:val=""/>
      <w:lvlJc w:val="left"/>
      <w:pPr>
        <w:ind w:left="5040" w:hanging="360"/>
      </w:pPr>
      <w:rPr>
        <w:rFonts w:ascii="Symbol" w:hAnsi="Symbol" w:hint="default"/>
      </w:rPr>
    </w:lvl>
    <w:lvl w:ilvl="7" w:tplc="9314EE28">
      <w:start w:val="1"/>
      <w:numFmt w:val="bullet"/>
      <w:lvlText w:val="o"/>
      <w:lvlJc w:val="left"/>
      <w:pPr>
        <w:ind w:left="5760" w:hanging="360"/>
      </w:pPr>
      <w:rPr>
        <w:rFonts w:ascii="Courier New" w:hAnsi="Courier New" w:hint="default"/>
      </w:rPr>
    </w:lvl>
    <w:lvl w:ilvl="8" w:tplc="0B0C4E18">
      <w:start w:val="1"/>
      <w:numFmt w:val="bullet"/>
      <w:lvlText w:val=""/>
      <w:lvlJc w:val="left"/>
      <w:pPr>
        <w:ind w:left="6480" w:hanging="360"/>
      </w:pPr>
      <w:rPr>
        <w:rFonts w:ascii="Wingdings" w:hAnsi="Wingdings" w:hint="default"/>
      </w:rPr>
    </w:lvl>
  </w:abstractNum>
  <w:abstractNum w:abstractNumId="3" w15:restartNumberingAfterBreak="0">
    <w:nsid w:val="0ABF69ED"/>
    <w:multiLevelType w:val="multilevel"/>
    <w:tmpl w:val="FE66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BF5ABD"/>
    <w:multiLevelType w:val="multilevel"/>
    <w:tmpl w:val="86B65C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833128"/>
    <w:multiLevelType w:val="multilevel"/>
    <w:tmpl w:val="16F4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490678"/>
    <w:multiLevelType w:val="hybridMultilevel"/>
    <w:tmpl w:val="C1A68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680C59"/>
    <w:multiLevelType w:val="multilevel"/>
    <w:tmpl w:val="D7CEAD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5A57B1"/>
    <w:multiLevelType w:val="hybridMultilevel"/>
    <w:tmpl w:val="E38AB278"/>
    <w:lvl w:ilvl="0" w:tplc="3508BE56">
      <w:start w:val="1"/>
      <w:numFmt w:val="bullet"/>
      <w:lvlText w:val=""/>
      <w:lvlJc w:val="left"/>
      <w:pPr>
        <w:ind w:left="720" w:hanging="360"/>
      </w:pPr>
      <w:rPr>
        <w:rFonts w:ascii="Symbol" w:hAnsi="Symbol" w:hint="default"/>
      </w:rPr>
    </w:lvl>
    <w:lvl w:ilvl="1" w:tplc="8AAC5AB2">
      <w:start w:val="1"/>
      <w:numFmt w:val="bullet"/>
      <w:lvlText w:val="o"/>
      <w:lvlJc w:val="left"/>
      <w:pPr>
        <w:ind w:left="1440" w:hanging="360"/>
      </w:pPr>
      <w:rPr>
        <w:rFonts w:ascii="Courier New" w:hAnsi="Courier New" w:hint="default"/>
      </w:rPr>
    </w:lvl>
    <w:lvl w:ilvl="2" w:tplc="F77C1C70">
      <w:start w:val="1"/>
      <w:numFmt w:val="bullet"/>
      <w:lvlText w:val=""/>
      <w:lvlJc w:val="left"/>
      <w:pPr>
        <w:ind w:left="2160" w:hanging="360"/>
      </w:pPr>
      <w:rPr>
        <w:rFonts w:ascii="Wingdings" w:hAnsi="Wingdings" w:hint="default"/>
      </w:rPr>
    </w:lvl>
    <w:lvl w:ilvl="3" w:tplc="7BBC59F0">
      <w:start w:val="1"/>
      <w:numFmt w:val="bullet"/>
      <w:lvlText w:val=""/>
      <w:lvlJc w:val="left"/>
      <w:pPr>
        <w:ind w:left="2880" w:hanging="360"/>
      </w:pPr>
      <w:rPr>
        <w:rFonts w:ascii="Symbol" w:hAnsi="Symbol" w:hint="default"/>
      </w:rPr>
    </w:lvl>
    <w:lvl w:ilvl="4" w:tplc="CAAA9796">
      <w:start w:val="1"/>
      <w:numFmt w:val="bullet"/>
      <w:lvlText w:val="o"/>
      <w:lvlJc w:val="left"/>
      <w:pPr>
        <w:ind w:left="3600" w:hanging="360"/>
      </w:pPr>
      <w:rPr>
        <w:rFonts w:ascii="Courier New" w:hAnsi="Courier New" w:hint="default"/>
      </w:rPr>
    </w:lvl>
    <w:lvl w:ilvl="5" w:tplc="C3E6C694">
      <w:start w:val="1"/>
      <w:numFmt w:val="bullet"/>
      <w:lvlText w:val=""/>
      <w:lvlJc w:val="left"/>
      <w:pPr>
        <w:ind w:left="4320" w:hanging="360"/>
      </w:pPr>
      <w:rPr>
        <w:rFonts w:ascii="Wingdings" w:hAnsi="Wingdings" w:hint="default"/>
      </w:rPr>
    </w:lvl>
    <w:lvl w:ilvl="6" w:tplc="BBDA3C18">
      <w:start w:val="1"/>
      <w:numFmt w:val="bullet"/>
      <w:lvlText w:val=""/>
      <w:lvlJc w:val="left"/>
      <w:pPr>
        <w:ind w:left="5040" w:hanging="360"/>
      </w:pPr>
      <w:rPr>
        <w:rFonts w:ascii="Symbol" w:hAnsi="Symbol" w:hint="default"/>
      </w:rPr>
    </w:lvl>
    <w:lvl w:ilvl="7" w:tplc="C7BABC48">
      <w:start w:val="1"/>
      <w:numFmt w:val="bullet"/>
      <w:lvlText w:val="o"/>
      <w:lvlJc w:val="left"/>
      <w:pPr>
        <w:ind w:left="5760" w:hanging="360"/>
      </w:pPr>
      <w:rPr>
        <w:rFonts w:ascii="Courier New" w:hAnsi="Courier New" w:hint="default"/>
      </w:rPr>
    </w:lvl>
    <w:lvl w:ilvl="8" w:tplc="C1B27896">
      <w:start w:val="1"/>
      <w:numFmt w:val="bullet"/>
      <w:lvlText w:val=""/>
      <w:lvlJc w:val="left"/>
      <w:pPr>
        <w:ind w:left="6480" w:hanging="360"/>
      </w:pPr>
      <w:rPr>
        <w:rFonts w:ascii="Wingdings" w:hAnsi="Wingdings" w:hint="default"/>
      </w:rPr>
    </w:lvl>
  </w:abstractNum>
  <w:abstractNum w:abstractNumId="9" w15:restartNumberingAfterBreak="0">
    <w:nsid w:val="25A851F7"/>
    <w:multiLevelType w:val="hybridMultilevel"/>
    <w:tmpl w:val="87FC5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663549"/>
    <w:multiLevelType w:val="hybridMultilevel"/>
    <w:tmpl w:val="BD76E0A8"/>
    <w:lvl w:ilvl="0" w:tplc="47807888">
      <w:start w:val="1"/>
      <w:numFmt w:val="bullet"/>
      <w:lvlText w:val=""/>
      <w:lvlJc w:val="left"/>
      <w:pPr>
        <w:ind w:left="720" w:hanging="360"/>
      </w:pPr>
      <w:rPr>
        <w:rFonts w:ascii="Symbol" w:hAnsi="Symbol" w:hint="default"/>
      </w:rPr>
    </w:lvl>
    <w:lvl w:ilvl="1" w:tplc="93E42318">
      <w:start w:val="1"/>
      <w:numFmt w:val="bullet"/>
      <w:lvlText w:val="o"/>
      <w:lvlJc w:val="left"/>
      <w:pPr>
        <w:ind w:left="1440" w:hanging="360"/>
      </w:pPr>
      <w:rPr>
        <w:rFonts w:ascii="Courier New" w:hAnsi="Courier New" w:hint="default"/>
      </w:rPr>
    </w:lvl>
    <w:lvl w:ilvl="2" w:tplc="C8CE1A46">
      <w:start w:val="1"/>
      <w:numFmt w:val="bullet"/>
      <w:lvlText w:val=""/>
      <w:lvlJc w:val="left"/>
      <w:pPr>
        <w:ind w:left="2160" w:hanging="360"/>
      </w:pPr>
      <w:rPr>
        <w:rFonts w:ascii="Wingdings" w:hAnsi="Wingdings" w:hint="default"/>
      </w:rPr>
    </w:lvl>
    <w:lvl w:ilvl="3" w:tplc="3536A546">
      <w:start w:val="1"/>
      <w:numFmt w:val="bullet"/>
      <w:lvlText w:val=""/>
      <w:lvlJc w:val="left"/>
      <w:pPr>
        <w:ind w:left="2880" w:hanging="360"/>
      </w:pPr>
      <w:rPr>
        <w:rFonts w:ascii="Symbol" w:hAnsi="Symbol" w:hint="default"/>
      </w:rPr>
    </w:lvl>
    <w:lvl w:ilvl="4" w:tplc="FD58E216">
      <w:start w:val="1"/>
      <w:numFmt w:val="bullet"/>
      <w:lvlText w:val="o"/>
      <w:lvlJc w:val="left"/>
      <w:pPr>
        <w:ind w:left="3600" w:hanging="360"/>
      </w:pPr>
      <w:rPr>
        <w:rFonts w:ascii="Courier New" w:hAnsi="Courier New" w:hint="default"/>
      </w:rPr>
    </w:lvl>
    <w:lvl w:ilvl="5" w:tplc="EDDC9344">
      <w:start w:val="1"/>
      <w:numFmt w:val="bullet"/>
      <w:lvlText w:val=""/>
      <w:lvlJc w:val="left"/>
      <w:pPr>
        <w:ind w:left="4320" w:hanging="360"/>
      </w:pPr>
      <w:rPr>
        <w:rFonts w:ascii="Wingdings" w:hAnsi="Wingdings" w:hint="default"/>
      </w:rPr>
    </w:lvl>
    <w:lvl w:ilvl="6" w:tplc="24925EC4">
      <w:start w:val="1"/>
      <w:numFmt w:val="bullet"/>
      <w:lvlText w:val=""/>
      <w:lvlJc w:val="left"/>
      <w:pPr>
        <w:ind w:left="5040" w:hanging="360"/>
      </w:pPr>
      <w:rPr>
        <w:rFonts w:ascii="Symbol" w:hAnsi="Symbol" w:hint="default"/>
      </w:rPr>
    </w:lvl>
    <w:lvl w:ilvl="7" w:tplc="0BAAD948">
      <w:start w:val="1"/>
      <w:numFmt w:val="bullet"/>
      <w:lvlText w:val="o"/>
      <w:lvlJc w:val="left"/>
      <w:pPr>
        <w:ind w:left="5760" w:hanging="360"/>
      </w:pPr>
      <w:rPr>
        <w:rFonts w:ascii="Courier New" w:hAnsi="Courier New" w:hint="default"/>
      </w:rPr>
    </w:lvl>
    <w:lvl w:ilvl="8" w:tplc="3A927A02">
      <w:start w:val="1"/>
      <w:numFmt w:val="bullet"/>
      <w:lvlText w:val=""/>
      <w:lvlJc w:val="left"/>
      <w:pPr>
        <w:ind w:left="6480" w:hanging="360"/>
      </w:pPr>
      <w:rPr>
        <w:rFonts w:ascii="Wingdings" w:hAnsi="Wingdings" w:hint="default"/>
      </w:rPr>
    </w:lvl>
  </w:abstractNum>
  <w:abstractNum w:abstractNumId="11" w15:restartNumberingAfterBreak="0">
    <w:nsid w:val="2E727CF4"/>
    <w:multiLevelType w:val="multilevel"/>
    <w:tmpl w:val="F5D0B1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E2443F"/>
    <w:multiLevelType w:val="hybridMultilevel"/>
    <w:tmpl w:val="CDE6853C"/>
    <w:lvl w:ilvl="0" w:tplc="EC1235D4">
      <w:start w:val="1"/>
      <w:numFmt w:val="bullet"/>
      <w:lvlText w:val=""/>
      <w:lvlJc w:val="left"/>
      <w:pPr>
        <w:ind w:left="720" w:hanging="360"/>
      </w:pPr>
      <w:rPr>
        <w:rFonts w:ascii="Symbol" w:hAnsi="Symbol" w:hint="default"/>
      </w:rPr>
    </w:lvl>
    <w:lvl w:ilvl="1" w:tplc="871CD566">
      <w:start w:val="1"/>
      <w:numFmt w:val="bullet"/>
      <w:lvlText w:val="o"/>
      <w:lvlJc w:val="left"/>
      <w:pPr>
        <w:ind w:left="1440" w:hanging="360"/>
      </w:pPr>
      <w:rPr>
        <w:rFonts w:ascii="Courier New" w:hAnsi="Courier New" w:hint="default"/>
      </w:rPr>
    </w:lvl>
    <w:lvl w:ilvl="2" w:tplc="45E86744">
      <w:start w:val="1"/>
      <w:numFmt w:val="bullet"/>
      <w:lvlText w:val=""/>
      <w:lvlJc w:val="left"/>
      <w:pPr>
        <w:ind w:left="2160" w:hanging="360"/>
      </w:pPr>
      <w:rPr>
        <w:rFonts w:ascii="Wingdings" w:hAnsi="Wingdings" w:hint="default"/>
      </w:rPr>
    </w:lvl>
    <w:lvl w:ilvl="3" w:tplc="0632EC1C">
      <w:start w:val="1"/>
      <w:numFmt w:val="bullet"/>
      <w:lvlText w:val=""/>
      <w:lvlJc w:val="left"/>
      <w:pPr>
        <w:ind w:left="2880" w:hanging="360"/>
      </w:pPr>
      <w:rPr>
        <w:rFonts w:ascii="Symbol" w:hAnsi="Symbol" w:hint="default"/>
      </w:rPr>
    </w:lvl>
    <w:lvl w:ilvl="4" w:tplc="79F2ACE2">
      <w:start w:val="1"/>
      <w:numFmt w:val="bullet"/>
      <w:lvlText w:val="o"/>
      <w:lvlJc w:val="left"/>
      <w:pPr>
        <w:ind w:left="3600" w:hanging="360"/>
      </w:pPr>
      <w:rPr>
        <w:rFonts w:ascii="Courier New" w:hAnsi="Courier New" w:hint="default"/>
      </w:rPr>
    </w:lvl>
    <w:lvl w:ilvl="5" w:tplc="E078D6C2">
      <w:start w:val="1"/>
      <w:numFmt w:val="bullet"/>
      <w:lvlText w:val=""/>
      <w:lvlJc w:val="left"/>
      <w:pPr>
        <w:ind w:left="4320" w:hanging="360"/>
      </w:pPr>
      <w:rPr>
        <w:rFonts w:ascii="Wingdings" w:hAnsi="Wingdings" w:hint="default"/>
      </w:rPr>
    </w:lvl>
    <w:lvl w:ilvl="6" w:tplc="57C47C1C">
      <w:start w:val="1"/>
      <w:numFmt w:val="bullet"/>
      <w:lvlText w:val=""/>
      <w:lvlJc w:val="left"/>
      <w:pPr>
        <w:ind w:left="5040" w:hanging="360"/>
      </w:pPr>
      <w:rPr>
        <w:rFonts w:ascii="Symbol" w:hAnsi="Symbol" w:hint="default"/>
      </w:rPr>
    </w:lvl>
    <w:lvl w:ilvl="7" w:tplc="B69857CC">
      <w:start w:val="1"/>
      <w:numFmt w:val="bullet"/>
      <w:lvlText w:val="o"/>
      <w:lvlJc w:val="left"/>
      <w:pPr>
        <w:ind w:left="5760" w:hanging="360"/>
      </w:pPr>
      <w:rPr>
        <w:rFonts w:ascii="Courier New" w:hAnsi="Courier New" w:hint="default"/>
      </w:rPr>
    </w:lvl>
    <w:lvl w:ilvl="8" w:tplc="A87E62F6">
      <w:start w:val="1"/>
      <w:numFmt w:val="bullet"/>
      <w:lvlText w:val=""/>
      <w:lvlJc w:val="left"/>
      <w:pPr>
        <w:ind w:left="6480" w:hanging="360"/>
      </w:pPr>
      <w:rPr>
        <w:rFonts w:ascii="Wingdings" w:hAnsi="Wingdings" w:hint="default"/>
      </w:rPr>
    </w:lvl>
  </w:abstractNum>
  <w:abstractNum w:abstractNumId="13" w15:restartNumberingAfterBreak="0">
    <w:nsid w:val="2F8249D6"/>
    <w:multiLevelType w:val="hybridMultilevel"/>
    <w:tmpl w:val="B846F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9513CF"/>
    <w:multiLevelType w:val="hybridMultilevel"/>
    <w:tmpl w:val="3C44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EE4133"/>
    <w:multiLevelType w:val="multilevel"/>
    <w:tmpl w:val="287A40E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32B46C48"/>
    <w:multiLevelType w:val="multilevel"/>
    <w:tmpl w:val="C272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EE21A6"/>
    <w:multiLevelType w:val="multilevel"/>
    <w:tmpl w:val="3584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2D5E75"/>
    <w:multiLevelType w:val="hybridMultilevel"/>
    <w:tmpl w:val="F29CC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C45393"/>
    <w:multiLevelType w:val="multilevel"/>
    <w:tmpl w:val="08C610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DE3CDE"/>
    <w:multiLevelType w:val="multilevel"/>
    <w:tmpl w:val="858E02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6BE45E3"/>
    <w:multiLevelType w:val="hybridMultilevel"/>
    <w:tmpl w:val="CB6A4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024684"/>
    <w:multiLevelType w:val="hybridMultilevel"/>
    <w:tmpl w:val="05C2351E"/>
    <w:lvl w:ilvl="0" w:tplc="11A09F0A">
      <w:start w:val="1"/>
      <w:numFmt w:val="bullet"/>
      <w:lvlText w:val=""/>
      <w:lvlJc w:val="left"/>
      <w:pPr>
        <w:ind w:left="720" w:hanging="360"/>
      </w:pPr>
      <w:rPr>
        <w:rFonts w:ascii="Symbol" w:hAnsi="Symbol" w:hint="default"/>
      </w:rPr>
    </w:lvl>
    <w:lvl w:ilvl="1" w:tplc="B0900318">
      <w:start w:val="1"/>
      <w:numFmt w:val="bullet"/>
      <w:lvlText w:val="o"/>
      <w:lvlJc w:val="left"/>
      <w:pPr>
        <w:ind w:left="1440" w:hanging="360"/>
      </w:pPr>
      <w:rPr>
        <w:rFonts w:ascii="Courier New" w:hAnsi="Courier New" w:hint="default"/>
      </w:rPr>
    </w:lvl>
    <w:lvl w:ilvl="2" w:tplc="0D5AB1EC">
      <w:start w:val="1"/>
      <w:numFmt w:val="bullet"/>
      <w:lvlText w:val=""/>
      <w:lvlJc w:val="left"/>
      <w:pPr>
        <w:ind w:left="2160" w:hanging="360"/>
      </w:pPr>
      <w:rPr>
        <w:rFonts w:ascii="Wingdings" w:hAnsi="Wingdings" w:hint="default"/>
      </w:rPr>
    </w:lvl>
    <w:lvl w:ilvl="3" w:tplc="1A4C41E2">
      <w:start w:val="1"/>
      <w:numFmt w:val="bullet"/>
      <w:lvlText w:val=""/>
      <w:lvlJc w:val="left"/>
      <w:pPr>
        <w:ind w:left="2880" w:hanging="360"/>
      </w:pPr>
      <w:rPr>
        <w:rFonts w:ascii="Symbol" w:hAnsi="Symbol" w:hint="default"/>
      </w:rPr>
    </w:lvl>
    <w:lvl w:ilvl="4" w:tplc="FEC6BCF4">
      <w:start w:val="1"/>
      <w:numFmt w:val="bullet"/>
      <w:lvlText w:val="o"/>
      <w:lvlJc w:val="left"/>
      <w:pPr>
        <w:ind w:left="3600" w:hanging="360"/>
      </w:pPr>
      <w:rPr>
        <w:rFonts w:ascii="Courier New" w:hAnsi="Courier New" w:hint="default"/>
      </w:rPr>
    </w:lvl>
    <w:lvl w:ilvl="5" w:tplc="678834F8">
      <w:start w:val="1"/>
      <w:numFmt w:val="bullet"/>
      <w:lvlText w:val=""/>
      <w:lvlJc w:val="left"/>
      <w:pPr>
        <w:ind w:left="4320" w:hanging="360"/>
      </w:pPr>
      <w:rPr>
        <w:rFonts w:ascii="Wingdings" w:hAnsi="Wingdings" w:hint="default"/>
      </w:rPr>
    </w:lvl>
    <w:lvl w:ilvl="6" w:tplc="576AE1C4">
      <w:start w:val="1"/>
      <w:numFmt w:val="bullet"/>
      <w:lvlText w:val=""/>
      <w:lvlJc w:val="left"/>
      <w:pPr>
        <w:ind w:left="5040" w:hanging="360"/>
      </w:pPr>
      <w:rPr>
        <w:rFonts w:ascii="Symbol" w:hAnsi="Symbol" w:hint="default"/>
      </w:rPr>
    </w:lvl>
    <w:lvl w:ilvl="7" w:tplc="BBDC8AF4">
      <w:start w:val="1"/>
      <w:numFmt w:val="bullet"/>
      <w:lvlText w:val="o"/>
      <w:lvlJc w:val="left"/>
      <w:pPr>
        <w:ind w:left="5760" w:hanging="360"/>
      </w:pPr>
      <w:rPr>
        <w:rFonts w:ascii="Courier New" w:hAnsi="Courier New" w:hint="default"/>
      </w:rPr>
    </w:lvl>
    <w:lvl w:ilvl="8" w:tplc="1FC8B662">
      <w:start w:val="1"/>
      <w:numFmt w:val="bullet"/>
      <w:lvlText w:val=""/>
      <w:lvlJc w:val="left"/>
      <w:pPr>
        <w:ind w:left="6480" w:hanging="360"/>
      </w:pPr>
      <w:rPr>
        <w:rFonts w:ascii="Wingdings" w:hAnsi="Wingdings" w:hint="default"/>
      </w:rPr>
    </w:lvl>
  </w:abstractNum>
  <w:abstractNum w:abstractNumId="23" w15:restartNumberingAfterBreak="0">
    <w:nsid w:val="3C0D7EEA"/>
    <w:multiLevelType w:val="multilevel"/>
    <w:tmpl w:val="396A1500"/>
    <w:lvl w:ilvl="0">
      <w:start w:val="1"/>
      <w:numFmt w:val="bullet"/>
      <w:lvlText w:val="o"/>
      <w:lvlJc w:val="left"/>
      <w:pPr>
        <w:tabs>
          <w:tab w:val="num" w:pos="720"/>
        </w:tabs>
        <w:ind w:left="720" w:hanging="360"/>
      </w:pPr>
      <w:rPr>
        <w:rFonts w:ascii="Courier New" w:hAnsi="Courier New"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3C9158E2"/>
    <w:multiLevelType w:val="multilevel"/>
    <w:tmpl w:val="60029A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791744"/>
    <w:multiLevelType w:val="hybridMultilevel"/>
    <w:tmpl w:val="A2C61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3D5101"/>
    <w:multiLevelType w:val="multilevel"/>
    <w:tmpl w:val="A384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DF1822"/>
    <w:multiLevelType w:val="multilevel"/>
    <w:tmpl w:val="307C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D67DA1"/>
    <w:multiLevelType w:val="multilevel"/>
    <w:tmpl w:val="BAE43E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F1E7E47"/>
    <w:multiLevelType w:val="multilevel"/>
    <w:tmpl w:val="7D6AB2C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F8901A5"/>
    <w:multiLevelType w:val="hybridMultilevel"/>
    <w:tmpl w:val="A90E2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405F46"/>
    <w:multiLevelType w:val="multilevel"/>
    <w:tmpl w:val="71ECF3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15:restartNumberingAfterBreak="0">
    <w:nsid w:val="519C261B"/>
    <w:multiLevelType w:val="hybridMultilevel"/>
    <w:tmpl w:val="789A4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C77571"/>
    <w:multiLevelType w:val="multilevel"/>
    <w:tmpl w:val="65A03E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56A0453"/>
    <w:multiLevelType w:val="hybridMultilevel"/>
    <w:tmpl w:val="C7DCE0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6F54567"/>
    <w:multiLevelType w:val="multilevel"/>
    <w:tmpl w:val="99C21E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5F5643A3"/>
    <w:multiLevelType w:val="multilevel"/>
    <w:tmpl w:val="0DE0B23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1927928"/>
    <w:multiLevelType w:val="multilevel"/>
    <w:tmpl w:val="9A18043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2E36F39"/>
    <w:multiLevelType w:val="hybridMultilevel"/>
    <w:tmpl w:val="2FD8F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9A1B4E"/>
    <w:multiLevelType w:val="multilevel"/>
    <w:tmpl w:val="52F0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82B0FB1"/>
    <w:multiLevelType w:val="multilevel"/>
    <w:tmpl w:val="432C77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DC73EE5"/>
    <w:multiLevelType w:val="multilevel"/>
    <w:tmpl w:val="267827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6F4D23D3"/>
    <w:multiLevelType w:val="multilevel"/>
    <w:tmpl w:val="0F9E858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0193AE3"/>
    <w:multiLevelType w:val="multilevel"/>
    <w:tmpl w:val="9F0CFE4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725B6AE3"/>
    <w:multiLevelType w:val="multilevel"/>
    <w:tmpl w:val="96DA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2B85158"/>
    <w:multiLevelType w:val="multilevel"/>
    <w:tmpl w:val="B68EE3B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757E21B9"/>
    <w:multiLevelType w:val="multilevel"/>
    <w:tmpl w:val="C9425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829062E"/>
    <w:multiLevelType w:val="multilevel"/>
    <w:tmpl w:val="9EC6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C34270A"/>
    <w:multiLevelType w:val="multilevel"/>
    <w:tmpl w:val="E0688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18709813">
    <w:abstractNumId w:val="38"/>
  </w:num>
  <w:num w:numId="2" w16cid:durableId="737752383">
    <w:abstractNumId w:val="25"/>
  </w:num>
  <w:num w:numId="3" w16cid:durableId="1134177323">
    <w:abstractNumId w:val="13"/>
  </w:num>
  <w:num w:numId="4" w16cid:durableId="1301377442">
    <w:abstractNumId w:val="9"/>
  </w:num>
  <w:num w:numId="5" w16cid:durableId="1287660847">
    <w:abstractNumId w:val="30"/>
  </w:num>
  <w:num w:numId="6" w16cid:durableId="468665769">
    <w:abstractNumId w:val="21"/>
  </w:num>
  <w:num w:numId="7" w16cid:durableId="114639476">
    <w:abstractNumId w:val="14"/>
  </w:num>
  <w:num w:numId="8" w16cid:durableId="276722603">
    <w:abstractNumId w:val="8"/>
  </w:num>
  <w:num w:numId="9" w16cid:durableId="848105232">
    <w:abstractNumId w:val="16"/>
  </w:num>
  <w:num w:numId="10" w16cid:durableId="2129085234">
    <w:abstractNumId w:val="47"/>
  </w:num>
  <w:num w:numId="11" w16cid:durableId="134764267">
    <w:abstractNumId w:val="26"/>
  </w:num>
  <w:num w:numId="12" w16cid:durableId="360983784">
    <w:abstractNumId w:val="12"/>
  </w:num>
  <w:num w:numId="13" w16cid:durableId="1524199092">
    <w:abstractNumId w:val="2"/>
  </w:num>
  <w:num w:numId="14" w16cid:durableId="2111852713">
    <w:abstractNumId w:val="22"/>
  </w:num>
  <w:num w:numId="15" w16cid:durableId="661203794">
    <w:abstractNumId w:val="10"/>
  </w:num>
  <w:num w:numId="16" w16cid:durableId="1390810475">
    <w:abstractNumId w:val="27"/>
  </w:num>
  <w:num w:numId="17" w16cid:durableId="1695692673">
    <w:abstractNumId w:val="17"/>
  </w:num>
  <w:num w:numId="18" w16cid:durableId="305555075">
    <w:abstractNumId w:val="18"/>
  </w:num>
  <w:num w:numId="19" w16cid:durableId="1870602388">
    <w:abstractNumId w:val="29"/>
  </w:num>
  <w:num w:numId="20" w16cid:durableId="243226343">
    <w:abstractNumId w:val="28"/>
  </w:num>
  <w:num w:numId="21" w16cid:durableId="826242045">
    <w:abstractNumId w:val="31"/>
  </w:num>
  <w:num w:numId="22" w16cid:durableId="477068752">
    <w:abstractNumId w:val="37"/>
  </w:num>
  <w:num w:numId="23" w16cid:durableId="1405108141">
    <w:abstractNumId w:val="11"/>
  </w:num>
  <w:num w:numId="24" w16cid:durableId="302662371">
    <w:abstractNumId w:val="40"/>
  </w:num>
  <w:num w:numId="25" w16cid:durableId="408426900">
    <w:abstractNumId w:val="33"/>
  </w:num>
  <w:num w:numId="26" w16cid:durableId="258299793">
    <w:abstractNumId w:val="15"/>
  </w:num>
  <w:num w:numId="27" w16cid:durableId="51126597">
    <w:abstractNumId w:val="45"/>
  </w:num>
  <w:num w:numId="28" w16cid:durableId="530538533">
    <w:abstractNumId w:val="1"/>
  </w:num>
  <w:num w:numId="29" w16cid:durableId="556671329">
    <w:abstractNumId w:val="42"/>
  </w:num>
  <w:num w:numId="30" w16cid:durableId="1179587228">
    <w:abstractNumId w:val="43"/>
  </w:num>
  <w:num w:numId="31" w16cid:durableId="905653822">
    <w:abstractNumId w:val="46"/>
  </w:num>
  <w:num w:numId="32" w16cid:durableId="1714234562">
    <w:abstractNumId w:val="41"/>
  </w:num>
  <w:num w:numId="33" w16cid:durableId="1385326552">
    <w:abstractNumId w:val="44"/>
  </w:num>
  <w:num w:numId="34" w16cid:durableId="2073113101">
    <w:abstractNumId w:val="6"/>
  </w:num>
  <w:num w:numId="35" w16cid:durableId="1662389180">
    <w:abstractNumId w:val="39"/>
  </w:num>
  <w:num w:numId="36" w16cid:durableId="1160776606">
    <w:abstractNumId w:val="35"/>
  </w:num>
  <w:num w:numId="37" w16cid:durableId="2128691878">
    <w:abstractNumId w:val="3"/>
  </w:num>
  <w:num w:numId="38" w16cid:durableId="1817405820">
    <w:abstractNumId w:val="48"/>
  </w:num>
  <w:num w:numId="39" w16cid:durableId="852764654">
    <w:abstractNumId w:val="32"/>
  </w:num>
  <w:num w:numId="40" w16cid:durableId="485363143">
    <w:abstractNumId w:val="7"/>
  </w:num>
  <w:num w:numId="41" w16cid:durableId="1100680669">
    <w:abstractNumId w:val="20"/>
  </w:num>
  <w:num w:numId="42" w16cid:durableId="2126265154">
    <w:abstractNumId w:val="36"/>
  </w:num>
  <w:num w:numId="43" w16cid:durableId="1863005557">
    <w:abstractNumId w:val="4"/>
  </w:num>
  <w:num w:numId="44" w16cid:durableId="1790585967">
    <w:abstractNumId w:val="5"/>
  </w:num>
  <w:num w:numId="45" w16cid:durableId="246546692">
    <w:abstractNumId w:val="34"/>
  </w:num>
  <w:num w:numId="46" w16cid:durableId="1268007707">
    <w:abstractNumId w:val="24"/>
  </w:num>
  <w:num w:numId="47" w16cid:durableId="723910834">
    <w:abstractNumId w:val="23"/>
  </w:num>
  <w:num w:numId="48" w16cid:durableId="1676492235">
    <w:abstractNumId w:val="19"/>
  </w:num>
  <w:num w:numId="49" w16cid:durableId="1246571517">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04837B"/>
    <w:rsid w:val="00000389"/>
    <w:rsid w:val="00000670"/>
    <w:rsid w:val="000006FD"/>
    <w:rsid w:val="000014EF"/>
    <w:rsid w:val="00001721"/>
    <w:rsid w:val="00002276"/>
    <w:rsid w:val="000022C1"/>
    <w:rsid w:val="00002E1D"/>
    <w:rsid w:val="0000352A"/>
    <w:rsid w:val="000041FD"/>
    <w:rsid w:val="000043AA"/>
    <w:rsid w:val="00005DA7"/>
    <w:rsid w:val="0000639B"/>
    <w:rsid w:val="000068B4"/>
    <w:rsid w:val="00006BD4"/>
    <w:rsid w:val="00006C45"/>
    <w:rsid w:val="000074D6"/>
    <w:rsid w:val="000078D6"/>
    <w:rsid w:val="00007D3C"/>
    <w:rsid w:val="00010256"/>
    <w:rsid w:val="000103AD"/>
    <w:rsid w:val="000103F6"/>
    <w:rsid w:val="0001086C"/>
    <w:rsid w:val="00010CF5"/>
    <w:rsid w:val="0001101F"/>
    <w:rsid w:val="0001138D"/>
    <w:rsid w:val="0001196F"/>
    <w:rsid w:val="00011A91"/>
    <w:rsid w:val="00011B69"/>
    <w:rsid w:val="00011D8F"/>
    <w:rsid w:val="000128C4"/>
    <w:rsid w:val="000129F5"/>
    <w:rsid w:val="00013462"/>
    <w:rsid w:val="00015183"/>
    <w:rsid w:val="000153A2"/>
    <w:rsid w:val="00015B1F"/>
    <w:rsid w:val="0001651F"/>
    <w:rsid w:val="00016C96"/>
    <w:rsid w:val="000173D2"/>
    <w:rsid w:val="0001762A"/>
    <w:rsid w:val="00017D55"/>
    <w:rsid w:val="00017F90"/>
    <w:rsid w:val="0002085D"/>
    <w:rsid w:val="00021241"/>
    <w:rsid w:val="00021279"/>
    <w:rsid w:val="000214C6"/>
    <w:rsid w:val="000214D9"/>
    <w:rsid w:val="00021615"/>
    <w:rsid w:val="00021F3B"/>
    <w:rsid w:val="000220C2"/>
    <w:rsid w:val="00023667"/>
    <w:rsid w:val="00024181"/>
    <w:rsid w:val="0002513C"/>
    <w:rsid w:val="0002524F"/>
    <w:rsid w:val="00025253"/>
    <w:rsid w:val="000253A7"/>
    <w:rsid w:val="00025584"/>
    <w:rsid w:val="0002632E"/>
    <w:rsid w:val="00026C03"/>
    <w:rsid w:val="0002726F"/>
    <w:rsid w:val="00027BC0"/>
    <w:rsid w:val="00027F88"/>
    <w:rsid w:val="0003029B"/>
    <w:rsid w:val="00030A19"/>
    <w:rsid w:val="00031887"/>
    <w:rsid w:val="00031A24"/>
    <w:rsid w:val="000328C6"/>
    <w:rsid w:val="00033006"/>
    <w:rsid w:val="00033381"/>
    <w:rsid w:val="000339B5"/>
    <w:rsid w:val="000344B0"/>
    <w:rsid w:val="000345FC"/>
    <w:rsid w:val="00034E6E"/>
    <w:rsid w:val="000358BF"/>
    <w:rsid w:val="00035F89"/>
    <w:rsid w:val="0003642E"/>
    <w:rsid w:val="0003652B"/>
    <w:rsid w:val="0003696F"/>
    <w:rsid w:val="00036FBB"/>
    <w:rsid w:val="00037129"/>
    <w:rsid w:val="00037557"/>
    <w:rsid w:val="00037CEC"/>
    <w:rsid w:val="00040375"/>
    <w:rsid w:val="00040680"/>
    <w:rsid w:val="00040802"/>
    <w:rsid w:val="00041152"/>
    <w:rsid w:val="00041410"/>
    <w:rsid w:val="0004162F"/>
    <w:rsid w:val="0004180C"/>
    <w:rsid w:val="000418D6"/>
    <w:rsid w:val="000426B6"/>
    <w:rsid w:val="00042EEA"/>
    <w:rsid w:val="00044014"/>
    <w:rsid w:val="00044668"/>
    <w:rsid w:val="00045494"/>
    <w:rsid w:val="000456FE"/>
    <w:rsid w:val="00047BA6"/>
    <w:rsid w:val="00050A0F"/>
    <w:rsid w:val="00051606"/>
    <w:rsid w:val="00052343"/>
    <w:rsid w:val="00052C00"/>
    <w:rsid w:val="0005360C"/>
    <w:rsid w:val="000536B1"/>
    <w:rsid w:val="00054008"/>
    <w:rsid w:val="0005488C"/>
    <w:rsid w:val="000554F4"/>
    <w:rsid w:val="00055CB4"/>
    <w:rsid w:val="000560C9"/>
    <w:rsid w:val="00056CE9"/>
    <w:rsid w:val="00057011"/>
    <w:rsid w:val="0006034D"/>
    <w:rsid w:val="0006056D"/>
    <w:rsid w:val="00060631"/>
    <w:rsid w:val="00060B60"/>
    <w:rsid w:val="00060BB4"/>
    <w:rsid w:val="00060D87"/>
    <w:rsid w:val="00061BC7"/>
    <w:rsid w:val="00061E56"/>
    <w:rsid w:val="00061F92"/>
    <w:rsid w:val="00063C28"/>
    <w:rsid w:val="00064243"/>
    <w:rsid w:val="000648E0"/>
    <w:rsid w:val="000653EA"/>
    <w:rsid w:val="000657A6"/>
    <w:rsid w:val="00065D0F"/>
    <w:rsid w:val="000661D9"/>
    <w:rsid w:val="00066A73"/>
    <w:rsid w:val="00067754"/>
    <w:rsid w:val="00070520"/>
    <w:rsid w:val="00070607"/>
    <w:rsid w:val="00071086"/>
    <w:rsid w:val="00071451"/>
    <w:rsid w:val="000717B1"/>
    <w:rsid w:val="00071862"/>
    <w:rsid w:val="00071AC6"/>
    <w:rsid w:val="000720FB"/>
    <w:rsid w:val="00072C0F"/>
    <w:rsid w:val="000732DF"/>
    <w:rsid w:val="000734AC"/>
    <w:rsid w:val="00073CD2"/>
    <w:rsid w:val="00073E59"/>
    <w:rsid w:val="00073EED"/>
    <w:rsid w:val="00074C6B"/>
    <w:rsid w:val="000750E7"/>
    <w:rsid w:val="00075342"/>
    <w:rsid w:val="000756E6"/>
    <w:rsid w:val="00076521"/>
    <w:rsid w:val="0007714C"/>
    <w:rsid w:val="00077A0D"/>
    <w:rsid w:val="000806E9"/>
    <w:rsid w:val="00080F67"/>
    <w:rsid w:val="00081692"/>
    <w:rsid w:val="00081752"/>
    <w:rsid w:val="00081775"/>
    <w:rsid w:val="00081B61"/>
    <w:rsid w:val="000832B9"/>
    <w:rsid w:val="00083C6E"/>
    <w:rsid w:val="000847D6"/>
    <w:rsid w:val="000850DC"/>
    <w:rsid w:val="00085A9A"/>
    <w:rsid w:val="00085E5B"/>
    <w:rsid w:val="00085FFA"/>
    <w:rsid w:val="000864B2"/>
    <w:rsid w:val="000878C5"/>
    <w:rsid w:val="00087AA8"/>
    <w:rsid w:val="00090EB1"/>
    <w:rsid w:val="00090EB4"/>
    <w:rsid w:val="0009140B"/>
    <w:rsid w:val="00091934"/>
    <w:rsid w:val="00091F52"/>
    <w:rsid w:val="00093898"/>
    <w:rsid w:val="00094591"/>
    <w:rsid w:val="00094A13"/>
    <w:rsid w:val="00094D0C"/>
    <w:rsid w:val="00094D17"/>
    <w:rsid w:val="00095377"/>
    <w:rsid w:val="000958FF"/>
    <w:rsid w:val="00095A13"/>
    <w:rsid w:val="00095C37"/>
    <w:rsid w:val="00096554"/>
    <w:rsid w:val="000967CE"/>
    <w:rsid w:val="000968B9"/>
    <w:rsid w:val="000971A1"/>
    <w:rsid w:val="0009741D"/>
    <w:rsid w:val="00097F17"/>
    <w:rsid w:val="00097F62"/>
    <w:rsid w:val="000A0B8D"/>
    <w:rsid w:val="000A0F70"/>
    <w:rsid w:val="000A11E1"/>
    <w:rsid w:val="000A1674"/>
    <w:rsid w:val="000A19C4"/>
    <w:rsid w:val="000A1D6A"/>
    <w:rsid w:val="000A1E53"/>
    <w:rsid w:val="000A1E92"/>
    <w:rsid w:val="000A1EA1"/>
    <w:rsid w:val="000A1FF9"/>
    <w:rsid w:val="000A230B"/>
    <w:rsid w:val="000A2E12"/>
    <w:rsid w:val="000A426F"/>
    <w:rsid w:val="000A4277"/>
    <w:rsid w:val="000A4349"/>
    <w:rsid w:val="000A466F"/>
    <w:rsid w:val="000A476E"/>
    <w:rsid w:val="000A5168"/>
    <w:rsid w:val="000A5782"/>
    <w:rsid w:val="000A584A"/>
    <w:rsid w:val="000A5971"/>
    <w:rsid w:val="000A6236"/>
    <w:rsid w:val="000A671D"/>
    <w:rsid w:val="000A6953"/>
    <w:rsid w:val="000A712B"/>
    <w:rsid w:val="000A79D7"/>
    <w:rsid w:val="000A7C8B"/>
    <w:rsid w:val="000A7E4F"/>
    <w:rsid w:val="000B0E87"/>
    <w:rsid w:val="000B1974"/>
    <w:rsid w:val="000B2E9F"/>
    <w:rsid w:val="000B2F43"/>
    <w:rsid w:val="000B31E0"/>
    <w:rsid w:val="000B429C"/>
    <w:rsid w:val="000B4527"/>
    <w:rsid w:val="000B4EBB"/>
    <w:rsid w:val="000B614A"/>
    <w:rsid w:val="000B622F"/>
    <w:rsid w:val="000B68E1"/>
    <w:rsid w:val="000B6999"/>
    <w:rsid w:val="000B6F18"/>
    <w:rsid w:val="000B6FE7"/>
    <w:rsid w:val="000B72E3"/>
    <w:rsid w:val="000B7AF0"/>
    <w:rsid w:val="000B7BF2"/>
    <w:rsid w:val="000C0149"/>
    <w:rsid w:val="000C01AC"/>
    <w:rsid w:val="000C0D84"/>
    <w:rsid w:val="000C0F4E"/>
    <w:rsid w:val="000C19AE"/>
    <w:rsid w:val="000C19C9"/>
    <w:rsid w:val="000C1DE0"/>
    <w:rsid w:val="000C2291"/>
    <w:rsid w:val="000C25F6"/>
    <w:rsid w:val="000C2B87"/>
    <w:rsid w:val="000C2EA1"/>
    <w:rsid w:val="000C4961"/>
    <w:rsid w:val="000C5077"/>
    <w:rsid w:val="000C54E0"/>
    <w:rsid w:val="000C5A57"/>
    <w:rsid w:val="000C73E6"/>
    <w:rsid w:val="000C7973"/>
    <w:rsid w:val="000D0178"/>
    <w:rsid w:val="000D0392"/>
    <w:rsid w:val="000D0CA8"/>
    <w:rsid w:val="000D1193"/>
    <w:rsid w:val="000D1449"/>
    <w:rsid w:val="000D1651"/>
    <w:rsid w:val="000D1947"/>
    <w:rsid w:val="000D2092"/>
    <w:rsid w:val="000D2345"/>
    <w:rsid w:val="000D2CE9"/>
    <w:rsid w:val="000D39DD"/>
    <w:rsid w:val="000D3AF5"/>
    <w:rsid w:val="000D4252"/>
    <w:rsid w:val="000D426D"/>
    <w:rsid w:val="000D4D47"/>
    <w:rsid w:val="000D5298"/>
    <w:rsid w:val="000D5471"/>
    <w:rsid w:val="000D5894"/>
    <w:rsid w:val="000D677D"/>
    <w:rsid w:val="000D6A74"/>
    <w:rsid w:val="000D6A98"/>
    <w:rsid w:val="000D6E5F"/>
    <w:rsid w:val="000D6EA5"/>
    <w:rsid w:val="000D710E"/>
    <w:rsid w:val="000D7639"/>
    <w:rsid w:val="000D792C"/>
    <w:rsid w:val="000D7B3F"/>
    <w:rsid w:val="000D7DA3"/>
    <w:rsid w:val="000E12FD"/>
    <w:rsid w:val="000E1759"/>
    <w:rsid w:val="000E17EA"/>
    <w:rsid w:val="000E1880"/>
    <w:rsid w:val="000E24F2"/>
    <w:rsid w:val="000E29D4"/>
    <w:rsid w:val="000E2D5F"/>
    <w:rsid w:val="000E2D60"/>
    <w:rsid w:val="000E463E"/>
    <w:rsid w:val="000E54C2"/>
    <w:rsid w:val="000E5C71"/>
    <w:rsid w:val="000E5CC7"/>
    <w:rsid w:val="000E603D"/>
    <w:rsid w:val="000E65AC"/>
    <w:rsid w:val="000E6A28"/>
    <w:rsid w:val="000E750E"/>
    <w:rsid w:val="000E75B8"/>
    <w:rsid w:val="000E781D"/>
    <w:rsid w:val="000F0C14"/>
    <w:rsid w:val="000F162F"/>
    <w:rsid w:val="000F169D"/>
    <w:rsid w:val="000F1CA4"/>
    <w:rsid w:val="000F2181"/>
    <w:rsid w:val="000F249E"/>
    <w:rsid w:val="000F2AD4"/>
    <w:rsid w:val="000F3D52"/>
    <w:rsid w:val="000F3DD0"/>
    <w:rsid w:val="000F4033"/>
    <w:rsid w:val="000F4067"/>
    <w:rsid w:val="000F4415"/>
    <w:rsid w:val="000F4475"/>
    <w:rsid w:val="000F48D5"/>
    <w:rsid w:val="000F54F9"/>
    <w:rsid w:val="000F5833"/>
    <w:rsid w:val="000F62ED"/>
    <w:rsid w:val="000F644A"/>
    <w:rsid w:val="000F645A"/>
    <w:rsid w:val="000F6B1E"/>
    <w:rsid w:val="001001AE"/>
    <w:rsid w:val="00101498"/>
    <w:rsid w:val="00101F7F"/>
    <w:rsid w:val="0010225A"/>
    <w:rsid w:val="0010239D"/>
    <w:rsid w:val="001023A2"/>
    <w:rsid w:val="00102950"/>
    <w:rsid w:val="001032C7"/>
    <w:rsid w:val="001038D1"/>
    <w:rsid w:val="00103A85"/>
    <w:rsid w:val="001040B5"/>
    <w:rsid w:val="001047EA"/>
    <w:rsid w:val="001049B6"/>
    <w:rsid w:val="001060FF"/>
    <w:rsid w:val="001069D1"/>
    <w:rsid w:val="00106A91"/>
    <w:rsid w:val="00106B57"/>
    <w:rsid w:val="001073A3"/>
    <w:rsid w:val="0010777A"/>
    <w:rsid w:val="001078C4"/>
    <w:rsid w:val="00107ED0"/>
    <w:rsid w:val="001102CA"/>
    <w:rsid w:val="001106C1"/>
    <w:rsid w:val="001107DA"/>
    <w:rsid w:val="00110808"/>
    <w:rsid w:val="00110DCB"/>
    <w:rsid w:val="001116C1"/>
    <w:rsid w:val="0011191F"/>
    <w:rsid w:val="00111A38"/>
    <w:rsid w:val="00111CB3"/>
    <w:rsid w:val="001125FF"/>
    <w:rsid w:val="001128EA"/>
    <w:rsid w:val="00112DD5"/>
    <w:rsid w:val="001130E7"/>
    <w:rsid w:val="001133EC"/>
    <w:rsid w:val="00113B6D"/>
    <w:rsid w:val="001140D3"/>
    <w:rsid w:val="0011455E"/>
    <w:rsid w:val="0011465F"/>
    <w:rsid w:val="00114691"/>
    <w:rsid w:val="001147B5"/>
    <w:rsid w:val="001149E3"/>
    <w:rsid w:val="00114AB6"/>
    <w:rsid w:val="00114BD5"/>
    <w:rsid w:val="00115CB7"/>
    <w:rsid w:val="001160E1"/>
    <w:rsid w:val="001163F9"/>
    <w:rsid w:val="00116409"/>
    <w:rsid w:val="0011697E"/>
    <w:rsid w:val="00116D16"/>
    <w:rsid w:val="00117016"/>
    <w:rsid w:val="001172DE"/>
    <w:rsid w:val="00117C8B"/>
    <w:rsid w:val="0012013E"/>
    <w:rsid w:val="00120A4E"/>
    <w:rsid w:val="00121725"/>
    <w:rsid w:val="00122352"/>
    <w:rsid w:val="001237A7"/>
    <w:rsid w:val="00123D75"/>
    <w:rsid w:val="00123E41"/>
    <w:rsid w:val="00124105"/>
    <w:rsid w:val="001241F8"/>
    <w:rsid w:val="0012495B"/>
    <w:rsid w:val="00125395"/>
    <w:rsid w:val="0012542D"/>
    <w:rsid w:val="001254A3"/>
    <w:rsid w:val="001256CA"/>
    <w:rsid w:val="00125925"/>
    <w:rsid w:val="00125CF2"/>
    <w:rsid w:val="00125D9F"/>
    <w:rsid w:val="00126D1E"/>
    <w:rsid w:val="00127EC4"/>
    <w:rsid w:val="00130BB8"/>
    <w:rsid w:val="00130C5D"/>
    <w:rsid w:val="00131136"/>
    <w:rsid w:val="0013153A"/>
    <w:rsid w:val="001317FB"/>
    <w:rsid w:val="00131DCA"/>
    <w:rsid w:val="00131FA9"/>
    <w:rsid w:val="00132227"/>
    <w:rsid w:val="001327C5"/>
    <w:rsid w:val="00132A42"/>
    <w:rsid w:val="00132C0D"/>
    <w:rsid w:val="00133077"/>
    <w:rsid w:val="001334CF"/>
    <w:rsid w:val="00133FC7"/>
    <w:rsid w:val="001340CF"/>
    <w:rsid w:val="001344B0"/>
    <w:rsid w:val="00135C94"/>
    <w:rsid w:val="00136555"/>
    <w:rsid w:val="001368BF"/>
    <w:rsid w:val="00136F08"/>
    <w:rsid w:val="001372E4"/>
    <w:rsid w:val="00137410"/>
    <w:rsid w:val="00137597"/>
    <w:rsid w:val="00137BD5"/>
    <w:rsid w:val="00137C5D"/>
    <w:rsid w:val="00137F7A"/>
    <w:rsid w:val="00140183"/>
    <w:rsid w:val="001406C0"/>
    <w:rsid w:val="001406E9"/>
    <w:rsid w:val="0014078C"/>
    <w:rsid w:val="00140B5A"/>
    <w:rsid w:val="0014106F"/>
    <w:rsid w:val="001414D9"/>
    <w:rsid w:val="0014150B"/>
    <w:rsid w:val="001415CB"/>
    <w:rsid w:val="00141B40"/>
    <w:rsid w:val="0014216C"/>
    <w:rsid w:val="00142424"/>
    <w:rsid w:val="00142B2D"/>
    <w:rsid w:val="00142D8C"/>
    <w:rsid w:val="00144085"/>
    <w:rsid w:val="00144415"/>
    <w:rsid w:val="00145367"/>
    <w:rsid w:val="00146B64"/>
    <w:rsid w:val="0014756A"/>
    <w:rsid w:val="00147707"/>
    <w:rsid w:val="001477C5"/>
    <w:rsid w:val="00147B7A"/>
    <w:rsid w:val="00147D25"/>
    <w:rsid w:val="00150896"/>
    <w:rsid w:val="001510E1"/>
    <w:rsid w:val="001516DF"/>
    <w:rsid w:val="0015173A"/>
    <w:rsid w:val="0015181A"/>
    <w:rsid w:val="00152238"/>
    <w:rsid w:val="0015268E"/>
    <w:rsid w:val="00153387"/>
    <w:rsid w:val="00153628"/>
    <w:rsid w:val="001536AA"/>
    <w:rsid w:val="001536CD"/>
    <w:rsid w:val="001544AA"/>
    <w:rsid w:val="00154551"/>
    <w:rsid w:val="00154F14"/>
    <w:rsid w:val="00155477"/>
    <w:rsid w:val="00155575"/>
    <w:rsid w:val="001563DB"/>
    <w:rsid w:val="001564E7"/>
    <w:rsid w:val="001567B6"/>
    <w:rsid w:val="00156C0E"/>
    <w:rsid w:val="00156C41"/>
    <w:rsid w:val="001574EE"/>
    <w:rsid w:val="00157CBE"/>
    <w:rsid w:val="00160D74"/>
    <w:rsid w:val="00161418"/>
    <w:rsid w:val="00162255"/>
    <w:rsid w:val="00162354"/>
    <w:rsid w:val="00163089"/>
    <w:rsid w:val="00163274"/>
    <w:rsid w:val="00163F4A"/>
    <w:rsid w:val="00164547"/>
    <w:rsid w:val="0016559D"/>
    <w:rsid w:val="001656CB"/>
    <w:rsid w:val="001659F7"/>
    <w:rsid w:val="00165CD9"/>
    <w:rsid w:val="00165D0D"/>
    <w:rsid w:val="00166142"/>
    <w:rsid w:val="001664CE"/>
    <w:rsid w:val="00166621"/>
    <w:rsid w:val="001668CD"/>
    <w:rsid w:val="00166CB0"/>
    <w:rsid w:val="00167015"/>
    <w:rsid w:val="00169F88"/>
    <w:rsid w:val="001701BA"/>
    <w:rsid w:val="001709D6"/>
    <w:rsid w:val="00170F0C"/>
    <w:rsid w:val="001714CD"/>
    <w:rsid w:val="001718F7"/>
    <w:rsid w:val="00171C48"/>
    <w:rsid w:val="00171D45"/>
    <w:rsid w:val="00171D5B"/>
    <w:rsid w:val="00171FBE"/>
    <w:rsid w:val="00172C4B"/>
    <w:rsid w:val="00173055"/>
    <w:rsid w:val="001734AF"/>
    <w:rsid w:val="001734E9"/>
    <w:rsid w:val="00173D1A"/>
    <w:rsid w:val="001740FA"/>
    <w:rsid w:val="001744E4"/>
    <w:rsid w:val="00175297"/>
    <w:rsid w:val="00175450"/>
    <w:rsid w:val="0017568B"/>
    <w:rsid w:val="001756CF"/>
    <w:rsid w:val="0017615D"/>
    <w:rsid w:val="001762B3"/>
    <w:rsid w:val="00176327"/>
    <w:rsid w:val="001767C5"/>
    <w:rsid w:val="00176AB9"/>
    <w:rsid w:val="00176CCE"/>
    <w:rsid w:val="00176E49"/>
    <w:rsid w:val="0017751A"/>
    <w:rsid w:val="00177727"/>
    <w:rsid w:val="00177B97"/>
    <w:rsid w:val="00181254"/>
    <w:rsid w:val="0018129B"/>
    <w:rsid w:val="001816D8"/>
    <w:rsid w:val="00181901"/>
    <w:rsid w:val="00182224"/>
    <w:rsid w:val="001824F4"/>
    <w:rsid w:val="00182630"/>
    <w:rsid w:val="001826B1"/>
    <w:rsid w:val="00182719"/>
    <w:rsid w:val="00182B1E"/>
    <w:rsid w:val="00182CD7"/>
    <w:rsid w:val="00183710"/>
    <w:rsid w:val="00183D3F"/>
    <w:rsid w:val="0018493F"/>
    <w:rsid w:val="00184C8A"/>
    <w:rsid w:val="00185347"/>
    <w:rsid w:val="001855DD"/>
    <w:rsid w:val="0018657B"/>
    <w:rsid w:val="001869A3"/>
    <w:rsid w:val="00186A59"/>
    <w:rsid w:val="00186C6C"/>
    <w:rsid w:val="00186D87"/>
    <w:rsid w:val="00186E58"/>
    <w:rsid w:val="001875E8"/>
    <w:rsid w:val="00187DD4"/>
    <w:rsid w:val="00187DDF"/>
    <w:rsid w:val="001906A9"/>
    <w:rsid w:val="00190B8E"/>
    <w:rsid w:val="001919CF"/>
    <w:rsid w:val="001920AB"/>
    <w:rsid w:val="00192B18"/>
    <w:rsid w:val="00193258"/>
    <w:rsid w:val="001932BA"/>
    <w:rsid w:val="001933FC"/>
    <w:rsid w:val="0019345A"/>
    <w:rsid w:val="001934FF"/>
    <w:rsid w:val="00193ED8"/>
    <w:rsid w:val="001943CC"/>
    <w:rsid w:val="0019493A"/>
    <w:rsid w:val="00194A79"/>
    <w:rsid w:val="00194D73"/>
    <w:rsid w:val="00195398"/>
    <w:rsid w:val="0019542F"/>
    <w:rsid w:val="00195B3F"/>
    <w:rsid w:val="00195FC4"/>
    <w:rsid w:val="001965C5"/>
    <w:rsid w:val="001968F0"/>
    <w:rsid w:val="001969C7"/>
    <w:rsid w:val="001979FF"/>
    <w:rsid w:val="00197A23"/>
    <w:rsid w:val="00197C7B"/>
    <w:rsid w:val="001A075D"/>
    <w:rsid w:val="001A0B36"/>
    <w:rsid w:val="001A1CCE"/>
    <w:rsid w:val="001A1D47"/>
    <w:rsid w:val="001A21FA"/>
    <w:rsid w:val="001A245F"/>
    <w:rsid w:val="001A254F"/>
    <w:rsid w:val="001A2970"/>
    <w:rsid w:val="001A2BA7"/>
    <w:rsid w:val="001A2DB0"/>
    <w:rsid w:val="001A2E6C"/>
    <w:rsid w:val="001A32CA"/>
    <w:rsid w:val="001A35B5"/>
    <w:rsid w:val="001A3D4F"/>
    <w:rsid w:val="001A3D5C"/>
    <w:rsid w:val="001A3EBB"/>
    <w:rsid w:val="001A41C6"/>
    <w:rsid w:val="001A5273"/>
    <w:rsid w:val="001A563D"/>
    <w:rsid w:val="001A5DAE"/>
    <w:rsid w:val="001A62C0"/>
    <w:rsid w:val="001A65EE"/>
    <w:rsid w:val="001A67B9"/>
    <w:rsid w:val="001A681E"/>
    <w:rsid w:val="001A7244"/>
    <w:rsid w:val="001A7E4E"/>
    <w:rsid w:val="001A7F8F"/>
    <w:rsid w:val="001A7F98"/>
    <w:rsid w:val="001B01A2"/>
    <w:rsid w:val="001B026B"/>
    <w:rsid w:val="001B0651"/>
    <w:rsid w:val="001B0980"/>
    <w:rsid w:val="001B1817"/>
    <w:rsid w:val="001B203F"/>
    <w:rsid w:val="001B2315"/>
    <w:rsid w:val="001B26CA"/>
    <w:rsid w:val="001B2A0B"/>
    <w:rsid w:val="001B2E5C"/>
    <w:rsid w:val="001B2E62"/>
    <w:rsid w:val="001B330D"/>
    <w:rsid w:val="001B494B"/>
    <w:rsid w:val="001B4DA2"/>
    <w:rsid w:val="001B5215"/>
    <w:rsid w:val="001B54B9"/>
    <w:rsid w:val="001B5696"/>
    <w:rsid w:val="001B5F48"/>
    <w:rsid w:val="001B6C97"/>
    <w:rsid w:val="001B7D98"/>
    <w:rsid w:val="001C0967"/>
    <w:rsid w:val="001C0B1C"/>
    <w:rsid w:val="001C1349"/>
    <w:rsid w:val="001C134C"/>
    <w:rsid w:val="001C14CA"/>
    <w:rsid w:val="001C1B3F"/>
    <w:rsid w:val="001C26F5"/>
    <w:rsid w:val="001C27D3"/>
    <w:rsid w:val="001C2A4F"/>
    <w:rsid w:val="001C3F56"/>
    <w:rsid w:val="001C47B3"/>
    <w:rsid w:val="001C48F2"/>
    <w:rsid w:val="001C4A00"/>
    <w:rsid w:val="001C50F0"/>
    <w:rsid w:val="001C5269"/>
    <w:rsid w:val="001C6267"/>
    <w:rsid w:val="001C6691"/>
    <w:rsid w:val="001C672D"/>
    <w:rsid w:val="001C6A3C"/>
    <w:rsid w:val="001C6EFB"/>
    <w:rsid w:val="001C77BD"/>
    <w:rsid w:val="001C77FD"/>
    <w:rsid w:val="001C7C6F"/>
    <w:rsid w:val="001D050B"/>
    <w:rsid w:val="001D098F"/>
    <w:rsid w:val="001D159C"/>
    <w:rsid w:val="001D1694"/>
    <w:rsid w:val="001D19F8"/>
    <w:rsid w:val="001D2032"/>
    <w:rsid w:val="001D2402"/>
    <w:rsid w:val="001D2497"/>
    <w:rsid w:val="001D24A8"/>
    <w:rsid w:val="001D2FF3"/>
    <w:rsid w:val="001D4113"/>
    <w:rsid w:val="001D448E"/>
    <w:rsid w:val="001D451E"/>
    <w:rsid w:val="001D4B16"/>
    <w:rsid w:val="001D5608"/>
    <w:rsid w:val="001D5A0A"/>
    <w:rsid w:val="001D5B77"/>
    <w:rsid w:val="001D6192"/>
    <w:rsid w:val="001D6A5E"/>
    <w:rsid w:val="001D72B2"/>
    <w:rsid w:val="001D7635"/>
    <w:rsid w:val="001D7714"/>
    <w:rsid w:val="001D79EB"/>
    <w:rsid w:val="001E006C"/>
    <w:rsid w:val="001E01D1"/>
    <w:rsid w:val="001E0435"/>
    <w:rsid w:val="001E073B"/>
    <w:rsid w:val="001E07B5"/>
    <w:rsid w:val="001E09E9"/>
    <w:rsid w:val="001E0ADE"/>
    <w:rsid w:val="001E144A"/>
    <w:rsid w:val="001E1B7F"/>
    <w:rsid w:val="001E1CA3"/>
    <w:rsid w:val="001E1DF9"/>
    <w:rsid w:val="001E225C"/>
    <w:rsid w:val="001E2BF8"/>
    <w:rsid w:val="001E2F25"/>
    <w:rsid w:val="001E3046"/>
    <w:rsid w:val="001E3B3A"/>
    <w:rsid w:val="001E41F7"/>
    <w:rsid w:val="001E472F"/>
    <w:rsid w:val="001E5210"/>
    <w:rsid w:val="001E6350"/>
    <w:rsid w:val="001E676A"/>
    <w:rsid w:val="001E7001"/>
    <w:rsid w:val="001E73AC"/>
    <w:rsid w:val="001E7C99"/>
    <w:rsid w:val="001F07A3"/>
    <w:rsid w:val="001F0FE3"/>
    <w:rsid w:val="001F1404"/>
    <w:rsid w:val="001F1849"/>
    <w:rsid w:val="001F21C6"/>
    <w:rsid w:val="001F274A"/>
    <w:rsid w:val="001F28ED"/>
    <w:rsid w:val="001F2E05"/>
    <w:rsid w:val="001F33CE"/>
    <w:rsid w:val="001F4E30"/>
    <w:rsid w:val="001F5A6D"/>
    <w:rsid w:val="001F5B55"/>
    <w:rsid w:val="001F5E91"/>
    <w:rsid w:val="001F6054"/>
    <w:rsid w:val="001F6BA3"/>
    <w:rsid w:val="001F6BA4"/>
    <w:rsid w:val="001F6DC3"/>
    <w:rsid w:val="001F7699"/>
    <w:rsid w:val="001F7904"/>
    <w:rsid w:val="001F7F9A"/>
    <w:rsid w:val="00200490"/>
    <w:rsid w:val="002008C2"/>
    <w:rsid w:val="002018FC"/>
    <w:rsid w:val="00201DCC"/>
    <w:rsid w:val="0020277F"/>
    <w:rsid w:val="002028B6"/>
    <w:rsid w:val="00202C4B"/>
    <w:rsid w:val="00203077"/>
    <w:rsid w:val="0020334E"/>
    <w:rsid w:val="00203493"/>
    <w:rsid w:val="00203D4C"/>
    <w:rsid w:val="00204242"/>
    <w:rsid w:val="00204743"/>
    <w:rsid w:val="00204AE6"/>
    <w:rsid w:val="00204B7F"/>
    <w:rsid w:val="00205389"/>
    <w:rsid w:val="00205C7A"/>
    <w:rsid w:val="00205CD4"/>
    <w:rsid w:val="0020625F"/>
    <w:rsid w:val="002067E5"/>
    <w:rsid w:val="00206B87"/>
    <w:rsid w:val="00207274"/>
    <w:rsid w:val="0020788D"/>
    <w:rsid w:val="002100E1"/>
    <w:rsid w:val="0021078C"/>
    <w:rsid w:val="002118BC"/>
    <w:rsid w:val="002129CC"/>
    <w:rsid w:val="00212F0F"/>
    <w:rsid w:val="002133F9"/>
    <w:rsid w:val="0021359D"/>
    <w:rsid w:val="002139B6"/>
    <w:rsid w:val="00213ABB"/>
    <w:rsid w:val="00213DB4"/>
    <w:rsid w:val="002153FA"/>
    <w:rsid w:val="002155A5"/>
    <w:rsid w:val="0021609F"/>
    <w:rsid w:val="00216175"/>
    <w:rsid w:val="002161AD"/>
    <w:rsid w:val="00216A43"/>
    <w:rsid w:val="002173C4"/>
    <w:rsid w:val="0022070F"/>
    <w:rsid w:val="002207F9"/>
    <w:rsid w:val="0022084B"/>
    <w:rsid w:val="00221F5F"/>
    <w:rsid w:val="00222ECF"/>
    <w:rsid w:val="00222F96"/>
    <w:rsid w:val="002235D3"/>
    <w:rsid w:val="00223E84"/>
    <w:rsid w:val="00223E9F"/>
    <w:rsid w:val="00224018"/>
    <w:rsid w:val="0022405C"/>
    <w:rsid w:val="002243DE"/>
    <w:rsid w:val="00225054"/>
    <w:rsid w:val="002254D1"/>
    <w:rsid w:val="00225B51"/>
    <w:rsid w:val="00225DC9"/>
    <w:rsid w:val="00225E77"/>
    <w:rsid w:val="00225EF0"/>
    <w:rsid w:val="002260E9"/>
    <w:rsid w:val="002264F1"/>
    <w:rsid w:val="00226B34"/>
    <w:rsid w:val="002271EB"/>
    <w:rsid w:val="00227834"/>
    <w:rsid w:val="00227F0B"/>
    <w:rsid w:val="002300BE"/>
    <w:rsid w:val="00230381"/>
    <w:rsid w:val="00230AE3"/>
    <w:rsid w:val="002322C7"/>
    <w:rsid w:val="0023297A"/>
    <w:rsid w:val="00232B30"/>
    <w:rsid w:val="00233274"/>
    <w:rsid w:val="00233EA2"/>
    <w:rsid w:val="00234471"/>
    <w:rsid w:val="002345F2"/>
    <w:rsid w:val="00234D4C"/>
    <w:rsid w:val="00234D7D"/>
    <w:rsid w:val="00234DE6"/>
    <w:rsid w:val="00234E50"/>
    <w:rsid w:val="00235206"/>
    <w:rsid w:val="00235983"/>
    <w:rsid w:val="00235C79"/>
    <w:rsid w:val="002363E9"/>
    <w:rsid w:val="00236482"/>
    <w:rsid w:val="00236C9F"/>
    <w:rsid w:val="002371AF"/>
    <w:rsid w:val="00237587"/>
    <w:rsid w:val="002376F6"/>
    <w:rsid w:val="00237898"/>
    <w:rsid w:val="00237F1C"/>
    <w:rsid w:val="00241327"/>
    <w:rsid w:val="00241864"/>
    <w:rsid w:val="00241A87"/>
    <w:rsid w:val="00242E88"/>
    <w:rsid w:val="002430E4"/>
    <w:rsid w:val="00243901"/>
    <w:rsid w:val="00243C0C"/>
    <w:rsid w:val="00243EAF"/>
    <w:rsid w:val="002449F8"/>
    <w:rsid w:val="00244FB2"/>
    <w:rsid w:val="002451A2"/>
    <w:rsid w:val="0024577A"/>
    <w:rsid w:val="00246892"/>
    <w:rsid w:val="00246F87"/>
    <w:rsid w:val="002472BD"/>
    <w:rsid w:val="00247704"/>
    <w:rsid w:val="002502F5"/>
    <w:rsid w:val="0025100B"/>
    <w:rsid w:val="00251EA7"/>
    <w:rsid w:val="00252CC2"/>
    <w:rsid w:val="00253287"/>
    <w:rsid w:val="00253347"/>
    <w:rsid w:val="00253C41"/>
    <w:rsid w:val="00253F0C"/>
    <w:rsid w:val="0025455C"/>
    <w:rsid w:val="00254662"/>
    <w:rsid w:val="002547AF"/>
    <w:rsid w:val="00254CCA"/>
    <w:rsid w:val="00254EC2"/>
    <w:rsid w:val="00255719"/>
    <w:rsid w:val="00255AD2"/>
    <w:rsid w:val="00255EF6"/>
    <w:rsid w:val="00256814"/>
    <w:rsid w:val="002575D5"/>
    <w:rsid w:val="00257607"/>
    <w:rsid w:val="00257E65"/>
    <w:rsid w:val="00257FAE"/>
    <w:rsid w:val="002601C2"/>
    <w:rsid w:val="00260893"/>
    <w:rsid w:val="002611BC"/>
    <w:rsid w:val="002615F6"/>
    <w:rsid w:val="00262018"/>
    <w:rsid w:val="002626B3"/>
    <w:rsid w:val="00262CC8"/>
    <w:rsid w:val="00262E91"/>
    <w:rsid w:val="0026322C"/>
    <w:rsid w:val="00263B0A"/>
    <w:rsid w:val="00264FA9"/>
    <w:rsid w:val="002653C1"/>
    <w:rsid w:val="00265541"/>
    <w:rsid w:val="00265F2D"/>
    <w:rsid w:val="00266161"/>
    <w:rsid w:val="00266C92"/>
    <w:rsid w:val="00266E1D"/>
    <w:rsid w:val="0026705D"/>
    <w:rsid w:val="0026787C"/>
    <w:rsid w:val="0027010D"/>
    <w:rsid w:val="00270C5F"/>
    <w:rsid w:val="00270CB9"/>
    <w:rsid w:val="00270E43"/>
    <w:rsid w:val="00271BE3"/>
    <w:rsid w:val="002723C2"/>
    <w:rsid w:val="0027297A"/>
    <w:rsid w:val="00272B31"/>
    <w:rsid w:val="00273049"/>
    <w:rsid w:val="002731FC"/>
    <w:rsid w:val="002732AE"/>
    <w:rsid w:val="0027334C"/>
    <w:rsid w:val="002733AC"/>
    <w:rsid w:val="00273625"/>
    <w:rsid w:val="0027363B"/>
    <w:rsid w:val="0027377B"/>
    <w:rsid w:val="00273942"/>
    <w:rsid w:val="00273978"/>
    <w:rsid w:val="00274AFB"/>
    <w:rsid w:val="00274EC2"/>
    <w:rsid w:val="0027513D"/>
    <w:rsid w:val="0027559F"/>
    <w:rsid w:val="00275656"/>
    <w:rsid w:val="002758D1"/>
    <w:rsid w:val="00276016"/>
    <w:rsid w:val="0027628E"/>
    <w:rsid w:val="002764FA"/>
    <w:rsid w:val="002766B3"/>
    <w:rsid w:val="0027671A"/>
    <w:rsid w:val="00276DE6"/>
    <w:rsid w:val="00277840"/>
    <w:rsid w:val="00277AA5"/>
    <w:rsid w:val="00277BD6"/>
    <w:rsid w:val="00277DD6"/>
    <w:rsid w:val="00277E4A"/>
    <w:rsid w:val="00280565"/>
    <w:rsid w:val="00280BE6"/>
    <w:rsid w:val="00281571"/>
    <w:rsid w:val="002816B8"/>
    <w:rsid w:val="00281B92"/>
    <w:rsid w:val="00281CF0"/>
    <w:rsid w:val="002830D5"/>
    <w:rsid w:val="00283290"/>
    <w:rsid w:val="002845FE"/>
    <w:rsid w:val="002849F7"/>
    <w:rsid w:val="00284E55"/>
    <w:rsid w:val="00284F83"/>
    <w:rsid w:val="00285A14"/>
    <w:rsid w:val="00285CE7"/>
    <w:rsid w:val="00286C0B"/>
    <w:rsid w:val="00287938"/>
    <w:rsid w:val="00287A1D"/>
    <w:rsid w:val="00287F04"/>
    <w:rsid w:val="00287FE1"/>
    <w:rsid w:val="0029020E"/>
    <w:rsid w:val="00290943"/>
    <w:rsid w:val="00290C4B"/>
    <w:rsid w:val="00291ACC"/>
    <w:rsid w:val="00291C97"/>
    <w:rsid w:val="00292828"/>
    <w:rsid w:val="0029286B"/>
    <w:rsid w:val="002928EC"/>
    <w:rsid w:val="002928F9"/>
    <w:rsid w:val="00292DBF"/>
    <w:rsid w:val="002934F1"/>
    <w:rsid w:val="002938D8"/>
    <w:rsid w:val="00294D27"/>
    <w:rsid w:val="002956ED"/>
    <w:rsid w:val="00295A9C"/>
    <w:rsid w:val="00295CDB"/>
    <w:rsid w:val="00296058"/>
    <w:rsid w:val="00296865"/>
    <w:rsid w:val="00296BCB"/>
    <w:rsid w:val="00296C51"/>
    <w:rsid w:val="0029726D"/>
    <w:rsid w:val="00297945"/>
    <w:rsid w:val="002A0D3F"/>
    <w:rsid w:val="002A1320"/>
    <w:rsid w:val="002A133B"/>
    <w:rsid w:val="002A1487"/>
    <w:rsid w:val="002A1F8C"/>
    <w:rsid w:val="002A286D"/>
    <w:rsid w:val="002A2EE2"/>
    <w:rsid w:val="002A338A"/>
    <w:rsid w:val="002A387F"/>
    <w:rsid w:val="002A389A"/>
    <w:rsid w:val="002A518B"/>
    <w:rsid w:val="002A5770"/>
    <w:rsid w:val="002A57B6"/>
    <w:rsid w:val="002A5A50"/>
    <w:rsid w:val="002A5A63"/>
    <w:rsid w:val="002A5AF7"/>
    <w:rsid w:val="002A6421"/>
    <w:rsid w:val="002A6C03"/>
    <w:rsid w:val="002A70C0"/>
    <w:rsid w:val="002A7CD2"/>
    <w:rsid w:val="002B0E8A"/>
    <w:rsid w:val="002B0EEE"/>
    <w:rsid w:val="002B1150"/>
    <w:rsid w:val="002B18CE"/>
    <w:rsid w:val="002B1919"/>
    <w:rsid w:val="002B1D48"/>
    <w:rsid w:val="002B1FA3"/>
    <w:rsid w:val="002B2F82"/>
    <w:rsid w:val="002B3001"/>
    <w:rsid w:val="002B404D"/>
    <w:rsid w:val="002B411D"/>
    <w:rsid w:val="002B460F"/>
    <w:rsid w:val="002B4714"/>
    <w:rsid w:val="002B482D"/>
    <w:rsid w:val="002B4DDE"/>
    <w:rsid w:val="002B5E2B"/>
    <w:rsid w:val="002B63F5"/>
    <w:rsid w:val="002B6757"/>
    <w:rsid w:val="002B6FF7"/>
    <w:rsid w:val="002B7088"/>
    <w:rsid w:val="002B7103"/>
    <w:rsid w:val="002B77D5"/>
    <w:rsid w:val="002B7917"/>
    <w:rsid w:val="002C0023"/>
    <w:rsid w:val="002C0ABD"/>
    <w:rsid w:val="002C0B2E"/>
    <w:rsid w:val="002C206C"/>
    <w:rsid w:val="002C24DF"/>
    <w:rsid w:val="002C31AA"/>
    <w:rsid w:val="002C43FE"/>
    <w:rsid w:val="002C5180"/>
    <w:rsid w:val="002C52AE"/>
    <w:rsid w:val="002C5B80"/>
    <w:rsid w:val="002C5E3A"/>
    <w:rsid w:val="002C6588"/>
    <w:rsid w:val="002C6DE0"/>
    <w:rsid w:val="002C6F20"/>
    <w:rsid w:val="002C7506"/>
    <w:rsid w:val="002C7909"/>
    <w:rsid w:val="002D03F5"/>
    <w:rsid w:val="002D0927"/>
    <w:rsid w:val="002D252C"/>
    <w:rsid w:val="002D25E3"/>
    <w:rsid w:val="002D3295"/>
    <w:rsid w:val="002D3333"/>
    <w:rsid w:val="002D400C"/>
    <w:rsid w:val="002D43A8"/>
    <w:rsid w:val="002D4405"/>
    <w:rsid w:val="002D5107"/>
    <w:rsid w:val="002D51E7"/>
    <w:rsid w:val="002D5940"/>
    <w:rsid w:val="002D5F7C"/>
    <w:rsid w:val="002D6017"/>
    <w:rsid w:val="002D621A"/>
    <w:rsid w:val="002D632C"/>
    <w:rsid w:val="002D64FD"/>
    <w:rsid w:val="002D6696"/>
    <w:rsid w:val="002D6AC5"/>
    <w:rsid w:val="002D6C47"/>
    <w:rsid w:val="002D6D3F"/>
    <w:rsid w:val="002D6F1A"/>
    <w:rsid w:val="002D7256"/>
    <w:rsid w:val="002D7B62"/>
    <w:rsid w:val="002E064F"/>
    <w:rsid w:val="002E0ECD"/>
    <w:rsid w:val="002E17C0"/>
    <w:rsid w:val="002E2C17"/>
    <w:rsid w:val="002E3DC4"/>
    <w:rsid w:val="002E552E"/>
    <w:rsid w:val="002E5673"/>
    <w:rsid w:val="002E5CCF"/>
    <w:rsid w:val="002E6451"/>
    <w:rsid w:val="002E657C"/>
    <w:rsid w:val="002E6CB3"/>
    <w:rsid w:val="002E6D5D"/>
    <w:rsid w:val="002E6FAE"/>
    <w:rsid w:val="002E7ADC"/>
    <w:rsid w:val="002F0536"/>
    <w:rsid w:val="002F067D"/>
    <w:rsid w:val="002F09A7"/>
    <w:rsid w:val="002F0D59"/>
    <w:rsid w:val="002F0D7B"/>
    <w:rsid w:val="002F100D"/>
    <w:rsid w:val="002F169E"/>
    <w:rsid w:val="002F1C37"/>
    <w:rsid w:val="002F1CFB"/>
    <w:rsid w:val="002F23A9"/>
    <w:rsid w:val="002F23E7"/>
    <w:rsid w:val="002F2BC7"/>
    <w:rsid w:val="002F343D"/>
    <w:rsid w:val="002F38A9"/>
    <w:rsid w:val="002F3A93"/>
    <w:rsid w:val="002F4693"/>
    <w:rsid w:val="002F4C33"/>
    <w:rsid w:val="002F4D98"/>
    <w:rsid w:val="002F4FB4"/>
    <w:rsid w:val="002F577D"/>
    <w:rsid w:val="002F5CAE"/>
    <w:rsid w:val="002F6194"/>
    <w:rsid w:val="002F6EC3"/>
    <w:rsid w:val="002F6FB3"/>
    <w:rsid w:val="002F73A4"/>
    <w:rsid w:val="002F79BD"/>
    <w:rsid w:val="002F7E50"/>
    <w:rsid w:val="003008EC"/>
    <w:rsid w:val="00301D77"/>
    <w:rsid w:val="00302422"/>
    <w:rsid w:val="00302CDC"/>
    <w:rsid w:val="0030331B"/>
    <w:rsid w:val="003034D9"/>
    <w:rsid w:val="00303D84"/>
    <w:rsid w:val="003044B6"/>
    <w:rsid w:val="00304B2F"/>
    <w:rsid w:val="00304FCD"/>
    <w:rsid w:val="0030532D"/>
    <w:rsid w:val="003054DE"/>
    <w:rsid w:val="00305E3C"/>
    <w:rsid w:val="00305F52"/>
    <w:rsid w:val="00306A76"/>
    <w:rsid w:val="00306D7F"/>
    <w:rsid w:val="003071B4"/>
    <w:rsid w:val="003072FF"/>
    <w:rsid w:val="00307B63"/>
    <w:rsid w:val="003100B0"/>
    <w:rsid w:val="00310744"/>
    <w:rsid w:val="00310C45"/>
    <w:rsid w:val="00310C63"/>
    <w:rsid w:val="00312CB7"/>
    <w:rsid w:val="0031331B"/>
    <w:rsid w:val="003135CF"/>
    <w:rsid w:val="00313AB2"/>
    <w:rsid w:val="00313F91"/>
    <w:rsid w:val="003146AB"/>
    <w:rsid w:val="00314CEB"/>
    <w:rsid w:val="00314D61"/>
    <w:rsid w:val="003155DC"/>
    <w:rsid w:val="003162BA"/>
    <w:rsid w:val="00316317"/>
    <w:rsid w:val="00316BAB"/>
    <w:rsid w:val="00316EE2"/>
    <w:rsid w:val="00316F6A"/>
    <w:rsid w:val="0031704F"/>
    <w:rsid w:val="0031713F"/>
    <w:rsid w:val="00317B4D"/>
    <w:rsid w:val="00317B94"/>
    <w:rsid w:val="00317C27"/>
    <w:rsid w:val="00317F59"/>
    <w:rsid w:val="0032008F"/>
    <w:rsid w:val="00320169"/>
    <w:rsid w:val="003202C1"/>
    <w:rsid w:val="00321263"/>
    <w:rsid w:val="0032135F"/>
    <w:rsid w:val="0032156F"/>
    <w:rsid w:val="00321709"/>
    <w:rsid w:val="00322065"/>
    <w:rsid w:val="00322183"/>
    <w:rsid w:val="003221E5"/>
    <w:rsid w:val="00322463"/>
    <w:rsid w:val="0032252B"/>
    <w:rsid w:val="00322980"/>
    <w:rsid w:val="00322A8E"/>
    <w:rsid w:val="00322D81"/>
    <w:rsid w:val="0032312E"/>
    <w:rsid w:val="00323262"/>
    <w:rsid w:val="0032476E"/>
    <w:rsid w:val="00324F76"/>
    <w:rsid w:val="00324FB1"/>
    <w:rsid w:val="00325153"/>
    <w:rsid w:val="0032517E"/>
    <w:rsid w:val="003252E4"/>
    <w:rsid w:val="00325303"/>
    <w:rsid w:val="00325D8C"/>
    <w:rsid w:val="0032782B"/>
    <w:rsid w:val="00327BDC"/>
    <w:rsid w:val="00330100"/>
    <w:rsid w:val="00330135"/>
    <w:rsid w:val="00330AB9"/>
    <w:rsid w:val="00331053"/>
    <w:rsid w:val="00331355"/>
    <w:rsid w:val="00331AE4"/>
    <w:rsid w:val="00331B56"/>
    <w:rsid w:val="00331D9E"/>
    <w:rsid w:val="00331F65"/>
    <w:rsid w:val="00332354"/>
    <w:rsid w:val="00332684"/>
    <w:rsid w:val="003329FD"/>
    <w:rsid w:val="00332E38"/>
    <w:rsid w:val="00333389"/>
    <w:rsid w:val="003338E7"/>
    <w:rsid w:val="00333DE9"/>
    <w:rsid w:val="00333F50"/>
    <w:rsid w:val="0033439D"/>
    <w:rsid w:val="00334592"/>
    <w:rsid w:val="00334819"/>
    <w:rsid w:val="00334F74"/>
    <w:rsid w:val="0033507A"/>
    <w:rsid w:val="003353D9"/>
    <w:rsid w:val="00335C43"/>
    <w:rsid w:val="0033606D"/>
    <w:rsid w:val="00337327"/>
    <w:rsid w:val="00340198"/>
    <w:rsid w:val="0034099A"/>
    <w:rsid w:val="00340D5D"/>
    <w:rsid w:val="00341505"/>
    <w:rsid w:val="00341827"/>
    <w:rsid w:val="00341BC9"/>
    <w:rsid w:val="00341F43"/>
    <w:rsid w:val="00341FA7"/>
    <w:rsid w:val="0034325F"/>
    <w:rsid w:val="003432F0"/>
    <w:rsid w:val="003434E5"/>
    <w:rsid w:val="00343D69"/>
    <w:rsid w:val="00344419"/>
    <w:rsid w:val="003445E5"/>
    <w:rsid w:val="00344990"/>
    <w:rsid w:val="00344BA8"/>
    <w:rsid w:val="00345361"/>
    <w:rsid w:val="0034557A"/>
    <w:rsid w:val="00345F9D"/>
    <w:rsid w:val="00346C32"/>
    <w:rsid w:val="00346DB6"/>
    <w:rsid w:val="00346EC1"/>
    <w:rsid w:val="003470D9"/>
    <w:rsid w:val="003471E9"/>
    <w:rsid w:val="0034729F"/>
    <w:rsid w:val="003477A9"/>
    <w:rsid w:val="00350225"/>
    <w:rsid w:val="003507EB"/>
    <w:rsid w:val="00350C2F"/>
    <w:rsid w:val="00350FDD"/>
    <w:rsid w:val="00351491"/>
    <w:rsid w:val="00351929"/>
    <w:rsid w:val="00352846"/>
    <w:rsid w:val="00353C58"/>
    <w:rsid w:val="00353DB1"/>
    <w:rsid w:val="00354016"/>
    <w:rsid w:val="0035478B"/>
    <w:rsid w:val="003551C9"/>
    <w:rsid w:val="003558E1"/>
    <w:rsid w:val="003559BE"/>
    <w:rsid w:val="00355A8D"/>
    <w:rsid w:val="00355B89"/>
    <w:rsid w:val="003566E5"/>
    <w:rsid w:val="0035694E"/>
    <w:rsid w:val="00356AE2"/>
    <w:rsid w:val="00356F9F"/>
    <w:rsid w:val="00357964"/>
    <w:rsid w:val="00361607"/>
    <w:rsid w:val="00361C54"/>
    <w:rsid w:val="00361D02"/>
    <w:rsid w:val="00362896"/>
    <w:rsid w:val="00362CA9"/>
    <w:rsid w:val="00363764"/>
    <w:rsid w:val="00363A25"/>
    <w:rsid w:val="00363EDD"/>
    <w:rsid w:val="0036571F"/>
    <w:rsid w:val="003658C9"/>
    <w:rsid w:val="003662F2"/>
    <w:rsid w:val="00366BFA"/>
    <w:rsid w:val="00367340"/>
    <w:rsid w:val="003676CD"/>
    <w:rsid w:val="003709EF"/>
    <w:rsid w:val="00370C4B"/>
    <w:rsid w:val="00370D62"/>
    <w:rsid w:val="00371B80"/>
    <w:rsid w:val="00371C6F"/>
    <w:rsid w:val="0037268A"/>
    <w:rsid w:val="00372719"/>
    <w:rsid w:val="003729C9"/>
    <w:rsid w:val="00372B20"/>
    <w:rsid w:val="00373D04"/>
    <w:rsid w:val="003742E8"/>
    <w:rsid w:val="00375134"/>
    <w:rsid w:val="003760E0"/>
    <w:rsid w:val="003767A3"/>
    <w:rsid w:val="003773FB"/>
    <w:rsid w:val="003774FE"/>
    <w:rsid w:val="00377A5A"/>
    <w:rsid w:val="00377FCC"/>
    <w:rsid w:val="00380C5B"/>
    <w:rsid w:val="003812D9"/>
    <w:rsid w:val="00381C7D"/>
    <w:rsid w:val="003821E9"/>
    <w:rsid w:val="00382A45"/>
    <w:rsid w:val="00383085"/>
    <w:rsid w:val="003837FD"/>
    <w:rsid w:val="00383DCF"/>
    <w:rsid w:val="00383F51"/>
    <w:rsid w:val="003843BC"/>
    <w:rsid w:val="0038460F"/>
    <w:rsid w:val="00384824"/>
    <w:rsid w:val="00385238"/>
    <w:rsid w:val="003856E1"/>
    <w:rsid w:val="003866E5"/>
    <w:rsid w:val="00386D81"/>
    <w:rsid w:val="00387166"/>
    <w:rsid w:val="003900C7"/>
    <w:rsid w:val="0039054E"/>
    <w:rsid w:val="00390A25"/>
    <w:rsid w:val="003916C6"/>
    <w:rsid w:val="003927D4"/>
    <w:rsid w:val="00392B2A"/>
    <w:rsid w:val="00392CA8"/>
    <w:rsid w:val="0039315C"/>
    <w:rsid w:val="003933BD"/>
    <w:rsid w:val="0039401E"/>
    <w:rsid w:val="00394CA2"/>
    <w:rsid w:val="00395528"/>
    <w:rsid w:val="0039633D"/>
    <w:rsid w:val="0039661C"/>
    <w:rsid w:val="00397E5F"/>
    <w:rsid w:val="003A084C"/>
    <w:rsid w:val="003A10C6"/>
    <w:rsid w:val="003A11A6"/>
    <w:rsid w:val="003A1828"/>
    <w:rsid w:val="003A18B4"/>
    <w:rsid w:val="003A1E8D"/>
    <w:rsid w:val="003A2097"/>
    <w:rsid w:val="003A3280"/>
    <w:rsid w:val="003A36C2"/>
    <w:rsid w:val="003A3B2F"/>
    <w:rsid w:val="003A3C2A"/>
    <w:rsid w:val="003A4865"/>
    <w:rsid w:val="003A4BE9"/>
    <w:rsid w:val="003A5805"/>
    <w:rsid w:val="003A59FC"/>
    <w:rsid w:val="003A5D78"/>
    <w:rsid w:val="003A5F99"/>
    <w:rsid w:val="003A6144"/>
    <w:rsid w:val="003A68BA"/>
    <w:rsid w:val="003A6B47"/>
    <w:rsid w:val="003A7488"/>
    <w:rsid w:val="003B0A9B"/>
    <w:rsid w:val="003B122F"/>
    <w:rsid w:val="003B1A1A"/>
    <w:rsid w:val="003B1D8C"/>
    <w:rsid w:val="003B29E6"/>
    <w:rsid w:val="003B32E5"/>
    <w:rsid w:val="003B34D4"/>
    <w:rsid w:val="003B36E6"/>
    <w:rsid w:val="003B3771"/>
    <w:rsid w:val="003B38C5"/>
    <w:rsid w:val="003B3B11"/>
    <w:rsid w:val="003B3C6A"/>
    <w:rsid w:val="003B4136"/>
    <w:rsid w:val="003B44CA"/>
    <w:rsid w:val="003B4CB6"/>
    <w:rsid w:val="003B544D"/>
    <w:rsid w:val="003B591C"/>
    <w:rsid w:val="003B5ACC"/>
    <w:rsid w:val="003B631A"/>
    <w:rsid w:val="003B63EF"/>
    <w:rsid w:val="003B6E9C"/>
    <w:rsid w:val="003B7473"/>
    <w:rsid w:val="003B751E"/>
    <w:rsid w:val="003C0489"/>
    <w:rsid w:val="003C17DC"/>
    <w:rsid w:val="003C1C2A"/>
    <w:rsid w:val="003C240C"/>
    <w:rsid w:val="003C24B2"/>
    <w:rsid w:val="003C288F"/>
    <w:rsid w:val="003C297E"/>
    <w:rsid w:val="003C3404"/>
    <w:rsid w:val="003C3856"/>
    <w:rsid w:val="003C4581"/>
    <w:rsid w:val="003C4A34"/>
    <w:rsid w:val="003C4A80"/>
    <w:rsid w:val="003C56D7"/>
    <w:rsid w:val="003C5743"/>
    <w:rsid w:val="003C64B8"/>
    <w:rsid w:val="003C6F22"/>
    <w:rsid w:val="003C7663"/>
    <w:rsid w:val="003D0045"/>
    <w:rsid w:val="003D02E5"/>
    <w:rsid w:val="003D058B"/>
    <w:rsid w:val="003D0710"/>
    <w:rsid w:val="003D08B8"/>
    <w:rsid w:val="003D0CEC"/>
    <w:rsid w:val="003D10E4"/>
    <w:rsid w:val="003D1E10"/>
    <w:rsid w:val="003D2413"/>
    <w:rsid w:val="003D247E"/>
    <w:rsid w:val="003D28BB"/>
    <w:rsid w:val="003D2B5B"/>
    <w:rsid w:val="003D2C12"/>
    <w:rsid w:val="003D309B"/>
    <w:rsid w:val="003D3A8D"/>
    <w:rsid w:val="003D3B08"/>
    <w:rsid w:val="003D40CF"/>
    <w:rsid w:val="003D40F0"/>
    <w:rsid w:val="003D4A55"/>
    <w:rsid w:val="003D58B4"/>
    <w:rsid w:val="003D5CAB"/>
    <w:rsid w:val="003D633E"/>
    <w:rsid w:val="003D6AC4"/>
    <w:rsid w:val="003D7427"/>
    <w:rsid w:val="003D78C7"/>
    <w:rsid w:val="003D7AC6"/>
    <w:rsid w:val="003D7BEE"/>
    <w:rsid w:val="003D7CFE"/>
    <w:rsid w:val="003E1709"/>
    <w:rsid w:val="003E283F"/>
    <w:rsid w:val="003E2DCB"/>
    <w:rsid w:val="003E2E40"/>
    <w:rsid w:val="003E3233"/>
    <w:rsid w:val="003E3531"/>
    <w:rsid w:val="003E3AE5"/>
    <w:rsid w:val="003E4094"/>
    <w:rsid w:val="003E459F"/>
    <w:rsid w:val="003E4CFC"/>
    <w:rsid w:val="003E5584"/>
    <w:rsid w:val="003E5689"/>
    <w:rsid w:val="003E6014"/>
    <w:rsid w:val="003E627D"/>
    <w:rsid w:val="003E62B5"/>
    <w:rsid w:val="003E63DC"/>
    <w:rsid w:val="003E73CC"/>
    <w:rsid w:val="003E77A2"/>
    <w:rsid w:val="003E78C2"/>
    <w:rsid w:val="003F053B"/>
    <w:rsid w:val="003F06FD"/>
    <w:rsid w:val="003F0B3F"/>
    <w:rsid w:val="003F0B82"/>
    <w:rsid w:val="003F0C6A"/>
    <w:rsid w:val="003F112E"/>
    <w:rsid w:val="003F1CA0"/>
    <w:rsid w:val="003F2680"/>
    <w:rsid w:val="003F29C5"/>
    <w:rsid w:val="003F2D75"/>
    <w:rsid w:val="003F3906"/>
    <w:rsid w:val="003F3F8F"/>
    <w:rsid w:val="003F3F96"/>
    <w:rsid w:val="003F435D"/>
    <w:rsid w:val="003F4892"/>
    <w:rsid w:val="003F49E6"/>
    <w:rsid w:val="003F4E25"/>
    <w:rsid w:val="003F59C9"/>
    <w:rsid w:val="003F60EA"/>
    <w:rsid w:val="003F621A"/>
    <w:rsid w:val="003F628F"/>
    <w:rsid w:val="003F73AF"/>
    <w:rsid w:val="003F783C"/>
    <w:rsid w:val="003F7912"/>
    <w:rsid w:val="003F7C7D"/>
    <w:rsid w:val="00400246"/>
    <w:rsid w:val="004007AB"/>
    <w:rsid w:val="004007BE"/>
    <w:rsid w:val="00400A8B"/>
    <w:rsid w:val="00401682"/>
    <w:rsid w:val="00401A5E"/>
    <w:rsid w:val="00402BC8"/>
    <w:rsid w:val="00402C2E"/>
    <w:rsid w:val="00402C8E"/>
    <w:rsid w:val="0040322A"/>
    <w:rsid w:val="00403728"/>
    <w:rsid w:val="00403A61"/>
    <w:rsid w:val="00404001"/>
    <w:rsid w:val="00404DC3"/>
    <w:rsid w:val="00404FCD"/>
    <w:rsid w:val="00404FEA"/>
    <w:rsid w:val="00405BF8"/>
    <w:rsid w:val="00405C43"/>
    <w:rsid w:val="0040660D"/>
    <w:rsid w:val="00406DDF"/>
    <w:rsid w:val="00407647"/>
    <w:rsid w:val="00407B6B"/>
    <w:rsid w:val="00411C13"/>
    <w:rsid w:val="00412044"/>
    <w:rsid w:val="00412815"/>
    <w:rsid w:val="00412A05"/>
    <w:rsid w:val="00413AEB"/>
    <w:rsid w:val="00413DC9"/>
    <w:rsid w:val="0041406F"/>
    <w:rsid w:val="0041484F"/>
    <w:rsid w:val="00415255"/>
    <w:rsid w:val="004153B8"/>
    <w:rsid w:val="004154B1"/>
    <w:rsid w:val="00415E40"/>
    <w:rsid w:val="00415F09"/>
    <w:rsid w:val="00415FFF"/>
    <w:rsid w:val="004166E5"/>
    <w:rsid w:val="004169CA"/>
    <w:rsid w:val="004169E6"/>
    <w:rsid w:val="00416A34"/>
    <w:rsid w:val="00416BB6"/>
    <w:rsid w:val="00416E25"/>
    <w:rsid w:val="00417CAA"/>
    <w:rsid w:val="004202F8"/>
    <w:rsid w:val="00421D87"/>
    <w:rsid w:val="00422241"/>
    <w:rsid w:val="00422324"/>
    <w:rsid w:val="0042235D"/>
    <w:rsid w:val="004227C5"/>
    <w:rsid w:val="00422DBB"/>
    <w:rsid w:val="0042334A"/>
    <w:rsid w:val="00424900"/>
    <w:rsid w:val="00424C31"/>
    <w:rsid w:val="004250F7"/>
    <w:rsid w:val="004252F9"/>
    <w:rsid w:val="00425740"/>
    <w:rsid w:val="00426903"/>
    <w:rsid w:val="0042720A"/>
    <w:rsid w:val="0042768C"/>
    <w:rsid w:val="00427B77"/>
    <w:rsid w:val="00427DDB"/>
    <w:rsid w:val="00430049"/>
    <w:rsid w:val="00430280"/>
    <w:rsid w:val="00430C68"/>
    <w:rsid w:val="00432E56"/>
    <w:rsid w:val="004336BF"/>
    <w:rsid w:val="00433D9B"/>
    <w:rsid w:val="00433E31"/>
    <w:rsid w:val="004342CD"/>
    <w:rsid w:val="00434AC7"/>
    <w:rsid w:val="00434B1C"/>
    <w:rsid w:val="00434DBA"/>
    <w:rsid w:val="004357FF"/>
    <w:rsid w:val="00435941"/>
    <w:rsid w:val="004359A9"/>
    <w:rsid w:val="00436924"/>
    <w:rsid w:val="00436C87"/>
    <w:rsid w:val="00437BC6"/>
    <w:rsid w:val="00440664"/>
    <w:rsid w:val="00440983"/>
    <w:rsid w:val="00441484"/>
    <w:rsid w:val="00441946"/>
    <w:rsid w:val="004419C7"/>
    <w:rsid w:val="00442216"/>
    <w:rsid w:val="0044244D"/>
    <w:rsid w:val="00442F42"/>
    <w:rsid w:val="00444B4C"/>
    <w:rsid w:val="00445AFC"/>
    <w:rsid w:val="00446409"/>
    <w:rsid w:val="00446B48"/>
    <w:rsid w:val="00447698"/>
    <w:rsid w:val="00447A25"/>
    <w:rsid w:val="00447F1C"/>
    <w:rsid w:val="0044F2FA"/>
    <w:rsid w:val="004501C2"/>
    <w:rsid w:val="004504F6"/>
    <w:rsid w:val="00450519"/>
    <w:rsid w:val="004506F0"/>
    <w:rsid w:val="004509DD"/>
    <w:rsid w:val="00450D43"/>
    <w:rsid w:val="004517A8"/>
    <w:rsid w:val="00452229"/>
    <w:rsid w:val="004528D6"/>
    <w:rsid w:val="00452F7E"/>
    <w:rsid w:val="004536FD"/>
    <w:rsid w:val="00453CB1"/>
    <w:rsid w:val="00453FBF"/>
    <w:rsid w:val="00454551"/>
    <w:rsid w:val="004546B6"/>
    <w:rsid w:val="004547B5"/>
    <w:rsid w:val="00454938"/>
    <w:rsid w:val="00454BFD"/>
    <w:rsid w:val="004553D3"/>
    <w:rsid w:val="00455B05"/>
    <w:rsid w:val="0045630D"/>
    <w:rsid w:val="00456ADB"/>
    <w:rsid w:val="00456EA5"/>
    <w:rsid w:val="004573F1"/>
    <w:rsid w:val="00457CCD"/>
    <w:rsid w:val="00457D47"/>
    <w:rsid w:val="00460CBD"/>
    <w:rsid w:val="00460CBF"/>
    <w:rsid w:val="00461C41"/>
    <w:rsid w:val="0046201C"/>
    <w:rsid w:val="00462218"/>
    <w:rsid w:val="00462248"/>
    <w:rsid w:val="00462295"/>
    <w:rsid w:val="0046253B"/>
    <w:rsid w:val="004629A5"/>
    <w:rsid w:val="00462F35"/>
    <w:rsid w:val="004631A8"/>
    <w:rsid w:val="00463550"/>
    <w:rsid w:val="0046399A"/>
    <w:rsid w:val="00464181"/>
    <w:rsid w:val="004644C4"/>
    <w:rsid w:val="004650DB"/>
    <w:rsid w:val="004651A1"/>
    <w:rsid w:val="004653AF"/>
    <w:rsid w:val="0046638A"/>
    <w:rsid w:val="00466A7A"/>
    <w:rsid w:val="00466CC7"/>
    <w:rsid w:val="00467757"/>
    <w:rsid w:val="00467998"/>
    <w:rsid w:val="00470EE9"/>
    <w:rsid w:val="00471552"/>
    <w:rsid w:val="004719F0"/>
    <w:rsid w:val="00471A16"/>
    <w:rsid w:val="00471F3C"/>
    <w:rsid w:val="0047249C"/>
    <w:rsid w:val="00472C6A"/>
    <w:rsid w:val="0047330B"/>
    <w:rsid w:val="00473ABD"/>
    <w:rsid w:val="00473B84"/>
    <w:rsid w:val="00473F99"/>
    <w:rsid w:val="004744F0"/>
    <w:rsid w:val="00475364"/>
    <w:rsid w:val="004753F7"/>
    <w:rsid w:val="00475BF0"/>
    <w:rsid w:val="00476715"/>
    <w:rsid w:val="004768AF"/>
    <w:rsid w:val="00476A4C"/>
    <w:rsid w:val="00477562"/>
    <w:rsid w:val="004778A0"/>
    <w:rsid w:val="00477B06"/>
    <w:rsid w:val="00477F84"/>
    <w:rsid w:val="0048024C"/>
    <w:rsid w:val="00480F1B"/>
    <w:rsid w:val="00481038"/>
    <w:rsid w:val="00481AB4"/>
    <w:rsid w:val="00481FEC"/>
    <w:rsid w:val="00483436"/>
    <w:rsid w:val="00484633"/>
    <w:rsid w:val="00484EF7"/>
    <w:rsid w:val="004854CD"/>
    <w:rsid w:val="004854D7"/>
    <w:rsid w:val="0048594B"/>
    <w:rsid w:val="00485FDD"/>
    <w:rsid w:val="0048612B"/>
    <w:rsid w:val="0048623B"/>
    <w:rsid w:val="00486723"/>
    <w:rsid w:val="004868BA"/>
    <w:rsid w:val="00486905"/>
    <w:rsid w:val="00487F7A"/>
    <w:rsid w:val="004905BB"/>
    <w:rsid w:val="004905E3"/>
    <w:rsid w:val="0049079F"/>
    <w:rsid w:val="004909CA"/>
    <w:rsid w:val="00490B34"/>
    <w:rsid w:val="00491168"/>
    <w:rsid w:val="00491224"/>
    <w:rsid w:val="00491AA3"/>
    <w:rsid w:val="00491B03"/>
    <w:rsid w:val="00491C43"/>
    <w:rsid w:val="00491D41"/>
    <w:rsid w:val="004924A0"/>
    <w:rsid w:val="004925B9"/>
    <w:rsid w:val="00492AEE"/>
    <w:rsid w:val="004930D3"/>
    <w:rsid w:val="00493271"/>
    <w:rsid w:val="004936E3"/>
    <w:rsid w:val="004937EE"/>
    <w:rsid w:val="0049407F"/>
    <w:rsid w:val="00494313"/>
    <w:rsid w:val="00494703"/>
    <w:rsid w:val="004947FD"/>
    <w:rsid w:val="00494B3A"/>
    <w:rsid w:val="0049517D"/>
    <w:rsid w:val="00496756"/>
    <w:rsid w:val="00496909"/>
    <w:rsid w:val="00496D89"/>
    <w:rsid w:val="0049734A"/>
    <w:rsid w:val="00497535"/>
    <w:rsid w:val="004A060A"/>
    <w:rsid w:val="004A1B58"/>
    <w:rsid w:val="004A23DA"/>
    <w:rsid w:val="004A2556"/>
    <w:rsid w:val="004A275B"/>
    <w:rsid w:val="004A29D5"/>
    <w:rsid w:val="004A2A69"/>
    <w:rsid w:val="004A3150"/>
    <w:rsid w:val="004A3376"/>
    <w:rsid w:val="004A3E8A"/>
    <w:rsid w:val="004A491C"/>
    <w:rsid w:val="004A4C11"/>
    <w:rsid w:val="004A51B8"/>
    <w:rsid w:val="004A5FE8"/>
    <w:rsid w:val="004A71E0"/>
    <w:rsid w:val="004A7219"/>
    <w:rsid w:val="004A78DB"/>
    <w:rsid w:val="004A7F26"/>
    <w:rsid w:val="004B0AB5"/>
    <w:rsid w:val="004B0B24"/>
    <w:rsid w:val="004B1493"/>
    <w:rsid w:val="004B1948"/>
    <w:rsid w:val="004B1F29"/>
    <w:rsid w:val="004B2534"/>
    <w:rsid w:val="004B25E6"/>
    <w:rsid w:val="004B2B6C"/>
    <w:rsid w:val="004B3140"/>
    <w:rsid w:val="004B3210"/>
    <w:rsid w:val="004B3FE1"/>
    <w:rsid w:val="004B437C"/>
    <w:rsid w:val="004B459B"/>
    <w:rsid w:val="004B4DF9"/>
    <w:rsid w:val="004B6158"/>
    <w:rsid w:val="004B66C7"/>
    <w:rsid w:val="004B674C"/>
    <w:rsid w:val="004B682C"/>
    <w:rsid w:val="004C08FD"/>
    <w:rsid w:val="004C14F3"/>
    <w:rsid w:val="004C215F"/>
    <w:rsid w:val="004C26D2"/>
    <w:rsid w:val="004C2BA4"/>
    <w:rsid w:val="004C2F33"/>
    <w:rsid w:val="004C3E5E"/>
    <w:rsid w:val="004C4738"/>
    <w:rsid w:val="004C51F7"/>
    <w:rsid w:val="004C5414"/>
    <w:rsid w:val="004C589D"/>
    <w:rsid w:val="004C5E55"/>
    <w:rsid w:val="004C6455"/>
    <w:rsid w:val="004C6BD4"/>
    <w:rsid w:val="004C6BDF"/>
    <w:rsid w:val="004C6F0D"/>
    <w:rsid w:val="004C7954"/>
    <w:rsid w:val="004C7CAA"/>
    <w:rsid w:val="004D07E7"/>
    <w:rsid w:val="004D0870"/>
    <w:rsid w:val="004D11BE"/>
    <w:rsid w:val="004D196E"/>
    <w:rsid w:val="004D262D"/>
    <w:rsid w:val="004D2CF8"/>
    <w:rsid w:val="004D46F0"/>
    <w:rsid w:val="004D48E3"/>
    <w:rsid w:val="004D60A8"/>
    <w:rsid w:val="004D60EA"/>
    <w:rsid w:val="004D64C8"/>
    <w:rsid w:val="004D6CDB"/>
    <w:rsid w:val="004D723B"/>
    <w:rsid w:val="004D7765"/>
    <w:rsid w:val="004D7806"/>
    <w:rsid w:val="004E1687"/>
    <w:rsid w:val="004E2597"/>
    <w:rsid w:val="004E2B40"/>
    <w:rsid w:val="004E2F26"/>
    <w:rsid w:val="004E3B6D"/>
    <w:rsid w:val="004E3DAE"/>
    <w:rsid w:val="004E4075"/>
    <w:rsid w:val="004E46B1"/>
    <w:rsid w:val="004E4E4C"/>
    <w:rsid w:val="004E5C94"/>
    <w:rsid w:val="004E5E3E"/>
    <w:rsid w:val="004E5F53"/>
    <w:rsid w:val="004E6D40"/>
    <w:rsid w:val="004E771D"/>
    <w:rsid w:val="004E7B07"/>
    <w:rsid w:val="004E7E05"/>
    <w:rsid w:val="004F002C"/>
    <w:rsid w:val="004F0196"/>
    <w:rsid w:val="004F01D3"/>
    <w:rsid w:val="004F06B6"/>
    <w:rsid w:val="004F0E3A"/>
    <w:rsid w:val="004F1ADD"/>
    <w:rsid w:val="004F23E9"/>
    <w:rsid w:val="004F248D"/>
    <w:rsid w:val="004F2511"/>
    <w:rsid w:val="004F2999"/>
    <w:rsid w:val="004F2B6E"/>
    <w:rsid w:val="004F2EC7"/>
    <w:rsid w:val="004F391C"/>
    <w:rsid w:val="004F43D4"/>
    <w:rsid w:val="004F450E"/>
    <w:rsid w:val="004F453A"/>
    <w:rsid w:val="004F4D87"/>
    <w:rsid w:val="004F5EB3"/>
    <w:rsid w:val="004F5EC0"/>
    <w:rsid w:val="004F67F6"/>
    <w:rsid w:val="004F6D8B"/>
    <w:rsid w:val="005002B9"/>
    <w:rsid w:val="005005AD"/>
    <w:rsid w:val="00501DE4"/>
    <w:rsid w:val="00502272"/>
    <w:rsid w:val="00502445"/>
    <w:rsid w:val="0050260C"/>
    <w:rsid w:val="00502B7F"/>
    <w:rsid w:val="00503802"/>
    <w:rsid w:val="00506560"/>
    <w:rsid w:val="00506B4E"/>
    <w:rsid w:val="0050726B"/>
    <w:rsid w:val="00507694"/>
    <w:rsid w:val="0051008C"/>
    <w:rsid w:val="005109A5"/>
    <w:rsid w:val="005111DB"/>
    <w:rsid w:val="00511442"/>
    <w:rsid w:val="005116A5"/>
    <w:rsid w:val="00511726"/>
    <w:rsid w:val="005123E2"/>
    <w:rsid w:val="00512482"/>
    <w:rsid w:val="005127F2"/>
    <w:rsid w:val="00512839"/>
    <w:rsid w:val="00512AD4"/>
    <w:rsid w:val="00512DB9"/>
    <w:rsid w:val="005144C5"/>
    <w:rsid w:val="005148EC"/>
    <w:rsid w:val="00515AFD"/>
    <w:rsid w:val="00516C0C"/>
    <w:rsid w:val="00517BA8"/>
    <w:rsid w:val="00520CE6"/>
    <w:rsid w:val="005219F2"/>
    <w:rsid w:val="0052286C"/>
    <w:rsid w:val="005231E4"/>
    <w:rsid w:val="00523756"/>
    <w:rsid w:val="00523FDB"/>
    <w:rsid w:val="0052460F"/>
    <w:rsid w:val="00524F9A"/>
    <w:rsid w:val="00525252"/>
    <w:rsid w:val="00525361"/>
    <w:rsid w:val="00525CBB"/>
    <w:rsid w:val="00525DC9"/>
    <w:rsid w:val="00525F88"/>
    <w:rsid w:val="005262E8"/>
    <w:rsid w:val="00526338"/>
    <w:rsid w:val="00526A21"/>
    <w:rsid w:val="00526E55"/>
    <w:rsid w:val="00526F42"/>
    <w:rsid w:val="0052772E"/>
    <w:rsid w:val="005279BE"/>
    <w:rsid w:val="00527BD0"/>
    <w:rsid w:val="00530667"/>
    <w:rsid w:val="005306AE"/>
    <w:rsid w:val="00530AD7"/>
    <w:rsid w:val="0053145F"/>
    <w:rsid w:val="005316D5"/>
    <w:rsid w:val="0053229F"/>
    <w:rsid w:val="005327D6"/>
    <w:rsid w:val="0053282B"/>
    <w:rsid w:val="00532C81"/>
    <w:rsid w:val="00533F8D"/>
    <w:rsid w:val="0053440E"/>
    <w:rsid w:val="0053480B"/>
    <w:rsid w:val="00534AD8"/>
    <w:rsid w:val="00535102"/>
    <w:rsid w:val="0053557E"/>
    <w:rsid w:val="00535D03"/>
    <w:rsid w:val="00536962"/>
    <w:rsid w:val="00536A9F"/>
    <w:rsid w:val="005371C1"/>
    <w:rsid w:val="005373FF"/>
    <w:rsid w:val="0053772F"/>
    <w:rsid w:val="005378B8"/>
    <w:rsid w:val="00537E56"/>
    <w:rsid w:val="00540D82"/>
    <w:rsid w:val="00541060"/>
    <w:rsid w:val="005419EF"/>
    <w:rsid w:val="00541A50"/>
    <w:rsid w:val="00541D71"/>
    <w:rsid w:val="00542651"/>
    <w:rsid w:val="00542EA8"/>
    <w:rsid w:val="005434AD"/>
    <w:rsid w:val="00544329"/>
    <w:rsid w:val="00544CEE"/>
    <w:rsid w:val="00544DB2"/>
    <w:rsid w:val="0054530E"/>
    <w:rsid w:val="005455F1"/>
    <w:rsid w:val="0054586F"/>
    <w:rsid w:val="00545ABF"/>
    <w:rsid w:val="0054640A"/>
    <w:rsid w:val="005471CC"/>
    <w:rsid w:val="005478D8"/>
    <w:rsid w:val="00547D82"/>
    <w:rsid w:val="005506B4"/>
    <w:rsid w:val="005507C8"/>
    <w:rsid w:val="00550B54"/>
    <w:rsid w:val="005517E5"/>
    <w:rsid w:val="005520CB"/>
    <w:rsid w:val="00552209"/>
    <w:rsid w:val="00552287"/>
    <w:rsid w:val="005532DB"/>
    <w:rsid w:val="0055363F"/>
    <w:rsid w:val="0055440D"/>
    <w:rsid w:val="005545E7"/>
    <w:rsid w:val="0055471B"/>
    <w:rsid w:val="00555CF4"/>
    <w:rsid w:val="00556197"/>
    <w:rsid w:val="00557615"/>
    <w:rsid w:val="005576A3"/>
    <w:rsid w:val="005577C2"/>
    <w:rsid w:val="005601F4"/>
    <w:rsid w:val="00560CDB"/>
    <w:rsid w:val="00561212"/>
    <w:rsid w:val="0056272C"/>
    <w:rsid w:val="00562B88"/>
    <w:rsid w:val="0056316B"/>
    <w:rsid w:val="00563801"/>
    <w:rsid w:val="005639C5"/>
    <w:rsid w:val="00564F0E"/>
    <w:rsid w:val="00564F9B"/>
    <w:rsid w:val="00565755"/>
    <w:rsid w:val="00565BC5"/>
    <w:rsid w:val="00565E1F"/>
    <w:rsid w:val="0056638E"/>
    <w:rsid w:val="005663BB"/>
    <w:rsid w:val="005664E1"/>
    <w:rsid w:val="005672E3"/>
    <w:rsid w:val="005673A6"/>
    <w:rsid w:val="005673FE"/>
    <w:rsid w:val="0056751A"/>
    <w:rsid w:val="00567D93"/>
    <w:rsid w:val="005703E6"/>
    <w:rsid w:val="005709E6"/>
    <w:rsid w:val="00570A76"/>
    <w:rsid w:val="00570D39"/>
    <w:rsid w:val="00570ECF"/>
    <w:rsid w:val="005714E2"/>
    <w:rsid w:val="00571E4B"/>
    <w:rsid w:val="00571F15"/>
    <w:rsid w:val="00571FB1"/>
    <w:rsid w:val="00572219"/>
    <w:rsid w:val="00572FF7"/>
    <w:rsid w:val="00573196"/>
    <w:rsid w:val="00574FED"/>
    <w:rsid w:val="0057531A"/>
    <w:rsid w:val="00575690"/>
    <w:rsid w:val="0057657D"/>
    <w:rsid w:val="00577203"/>
    <w:rsid w:val="00577895"/>
    <w:rsid w:val="00580720"/>
    <w:rsid w:val="005808E1"/>
    <w:rsid w:val="00581122"/>
    <w:rsid w:val="0058172E"/>
    <w:rsid w:val="00581D10"/>
    <w:rsid w:val="005823BF"/>
    <w:rsid w:val="00582893"/>
    <w:rsid w:val="005828EE"/>
    <w:rsid w:val="00582B2F"/>
    <w:rsid w:val="00582D7F"/>
    <w:rsid w:val="0058338F"/>
    <w:rsid w:val="00583919"/>
    <w:rsid w:val="00583F12"/>
    <w:rsid w:val="0058466B"/>
    <w:rsid w:val="0058554B"/>
    <w:rsid w:val="00585A74"/>
    <w:rsid w:val="00586186"/>
    <w:rsid w:val="0058620C"/>
    <w:rsid w:val="00586313"/>
    <w:rsid w:val="00586591"/>
    <w:rsid w:val="005868C1"/>
    <w:rsid w:val="00586C09"/>
    <w:rsid w:val="0058701B"/>
    <w:rsid w:val="00587050"/>
    <w:rsid w:val="00587081"/>
    <w:rsid w:val="005873CE"/>
    <w:rsid w:val="005873EF"/>
    <w:rsid w:val="00587CF2"/>
    <w:rsid w:val="0059062E"/>
    <w:rsid w:val="00590987"/>
    <w:rsid w:val="00590FA5"/>
    <w:rsid w:val="00590FCE"/>
    <w:rsid w:val="00591445"/>
    <w:rsid w:val="0059197B"/>
    <w:rsid w:val="00591E07"/>
    <w:rsid w:val="00592074"/>
    <w:rsid w:val="00592613"/>
    <w:rsid w:val="005926E4"/>
    <w:rsid w:val="005926F9"/>
    <w:rsid w:val="005928DF"/>
    <w:rsid w:val="00592FE8"/>
    <w:rsid w:val="0059364E"/>
    <w:rsid w:val="00593688"/>
    <w:rsid w:val="00594C27"/>
    <w:rsid w:val="0059541C"/>
    <w:rsid w:val="0059552C"/>
    <w:rsid w:val="00595D7E"/>
    <w:rsid w:val="005965FB"/>
    <w:rsid w:val="0059660D"/>
    <w:rsid w:val="00596917"/>
    <w:rsid w:val="00596E2A"/>
    <w:rsid w:val="00596E99"/>
    <w:rsid w:val="0059752F"/>
    <w:rsid w:val="0059768F"/>
    <w:rsid w:val="00597D7E"/>
    <w:rsid w:val="005A1FFF"/>
    <w:rsid w:val="005A2079"/>
    <w:rsid w:val="005A266F"/>
    <w:rsid w:val="005A2829"/>
    <w:rsid w:val="005A2E69"/>
    <w:rsid w:val="005A34F6"/>
    <w:rsid w:val="005A3886"/>
    <w:rsid w:val="005A388A"/>
    <w:rsid w:val="005A42ED"/>
    <w:rsid w:val="005A4327"/>
    <w:rsid w:val="005A51A6"/>
    <w:rsid w:val="005A57CF"/>
    <w:rsid w:val="005A5ADD"/>
    <w:rsid w:val="005A628C"/>
    <w:rsid w:val="005A64DD"/>
    <w:rsid w:val="005A726D"/>
    <w:rsid w:val="005B0515"/>
    <w:rsid w:val="005B065A"/>
    <w:rsid w:val="005B07A0"/>
    <w:rsid w:val="005B1580"/>
    <w:rsid w:val="005B1606"/>
    <w:rsid w:val="005B2371"/>
    <w:rsid w:val="005B23E3"/>
    <w:rsid w:val="005B367D"/>
    <w:rsid w:val="005B3B1C"/>
    <w:rsid w:val="005B4A99"/>
    <w:rsid w:val="005B4BDE"/>
    <w:rsid w:val="005B50F6"/>
    <w:rsid w:val="005B5177"/>
    <w:rsid w:val="005B56FF"/>
    <w:rsid w:val="005B57AF"/>
    <w:rsid w:val="005B5AAC"/>
    <w:rsid w:val="005B5EDD"/>
    <w:rsid w:val="005B62F7"/>
    <w:rsid w:val="005B6789"/>
    <w:rsid w:val="005B6B85"/>
    <w:rsid w:val="005B6DCF"/>
    <w:rsid w:val="005B71BE"/>
    <w:rsid w:val="005B760E"/>
    <w:rsid w:val="005B763A"/>
    <w:rsid w:val="005B7E3F"/>
    <w:rsid w:val="005C00FC"/>
    <w:rsid w:val="005C0999"/>
    <w:rsid w:val="005C0A2D"/>
    <w:rsid w:val="005C0B30"/>
    <w:rsid w:val="005C1A16"/>
    <w:rsid w:val="005C2C02"/>
    <w:rsid w:val="005C3660"/>
    <w:rsid w:val="005C4491"/>
    <w:rsid w:val="005C45B6"/>
    <w:rsid w:val="005C480D"/>
    <w:rsid w:val="005C4A79"/>
    <w:rsid w:val="005C5D5D"/>
    <w:rsid w:val="005C6987"/>
    <w:rsid w:val="005C745E"/>
    <w:rsid w:val="005D201B"/>
    <w:rsid w:val="005D31C1"/>
    <w:rsid w:val="005D326A"/>
    <w:rsid w:val="005D3455"/>
    <w:rsid w:val="005D424E"/>
    <w:rsid w:val="005D48A0"/>
    <w:rsid w:val="005D4E16"/>
    <w:rsid w:val="005D5E34"/>
    <w:rsid w:val="005D600F"/>
    <w:rsid w:val="005D614F"/>
    <w:rsid w:val="005D634A"/>
    <w:rsid w:val="005D6A4D"/>
    <w:rsid w:val="005D6B1A"/>
    <w:rsid w:val="005D6F94"/>
    <w:rsid w:val="005D736C"/>
    <w:rsid w:val="005D7CF0"/>
    <w:rsid w:val="005D7FF8"/>
    <w:rsid w:val="005E028A"/>
    <w:rsid w:val="005E1000"/>
    <w:rsid w:val="005E13AC"/>
    <w:rsid w:val="005E1819"/>
    <w:rsid w:val="005E21FA"/>
    <w:rsid w:val="005E2596"/>
    <w:rsid w:val="005E268C"/>
    <w:rsid w:val="005E2A2B"/>
    <w:rsid w:val="005E2F49"/>
    <w:rsid w:val="005E40EE"/>
    <w:rsid w:val="005E439D"/>
    <w:rsid w:val="005E459B"/>
    <w:rsid w:val="005E5551"/>
    <w:rsid w:val="005E587F"/>
    <w:rsid w:val="005E58E6"/>
    <w:rsid w:val="005E64C7"/>
    <w:rsid w:val="005E6532"/>
    <w:rsid w:val="005E680F"/>
    <w:rsid w:val="005E6DAA"/>
    <w:rsid w:val="005E6EA3"/>
    <w:rsid w:val="005E6EED"/>
    <w:rsid w:val="005E7A6D"/>
    <w:rsid w:val="005F05D1"/>
    <w:rsid w:val="005F0863"/>
    <w:rsid w:val="005F0A42"/>
    <w:rsid w:val="005F173F"/>
    <w:rsid w:val="005F175E"/>
    <w:rsid w:val="005F18A3"/>
    <w:rsid w:val="005F2E59"/>
    <w:rsid w:val="005F31CB"/>
    <w:rsid w:val="005F343D"/>
    <w:rsid w:val="005F388E"/>
    <w:rsid w:val="005F58A2"/>
    <w:rsid w:val="005F5FEE"/>
    <w:rsid w:val="005F682C"/>
    <w:rsid w:val="005F6E72"/>
    <w:rsid w:val="005F6FAE"/>
    <w:rsid w:val="005F6FFB"/>
    <w:rsid w:val="005F77F0"/>
    <w:rsid w:val="00600B82"/>
    <w:rsid w:val="00600D77"/>
    <w:rsid w:val="00600ED6"/>
    <w:rsid w:val="00601108"/>
    <w:rsid w:val="006011E2"/>
    <w:rsid w:val="0060143A"/>
    <w:rsid w:val="00602103"/>
    <w:rsid w:val="00602BF9"/>
    <w:rsid w:val="00602F8F"/>
    <w:rsid w:val="00603321"/>
    <w:rsid w:val="00603D07"/>
    <w:rsid w:val="006040D8"/>
    <w:rsid w:val="006042BC"/>
    <w:rsid w:val="0060438E"/>
    <w:rsid w:val="00604BAE"/>
    <w:rsid w:val="00604F68"/>
    <w:rsid w:val="00605182"/>
    <w:rsid w:val="0060522B"/>
    <w:rsid w:val="006053FB"/>
    <w:rsid w:val="006054B2"/>
    <w:rsid w:val="00605595"/>
    <w:rsid w:val="00605746"/>
    <w:rsid w:val="0060580F"/>
    <w:rsid w:val="00605AE3"/>
    <w:rsid w:val="006060AD"/>
    <w:rsid w:val="0060652D"/>
    <w:rsid w:val="00606730"/>
    <w:rsid w:val="00606937"/>
    <w:rsid w:val="0060695C"/>
    <w:rsid w:val="00606DAF"/>
    <w:rsid w:val="00607723"/>
    <w:rsid w:val="00607B8C"/>
    <w:rsid w:val="00607C58"/>
    <w:rsid w:val="00607DC0"/>
    <w:rsid w:val="0061024F"/>
    <w:rsid w:val="00610483"/>
    <w:rsid w:val="006104A6"/>
    <w:rsid w:val="00610D46"/>
    <w:rsid w:val="00611B27"/>
    <w:rsid w:val="00611E0A"/>
    <w:rsid w:val="006122BE"/>
    <w:rsid w:val="006126DB"/>
    <w:rsid w:val="00612890"/>
    <w:rsid w:val="00613404"/>
    <w:rsid w:val="0061413A"/>
    <w:rsid w:val="006142C6"/>
    <w:rsid w:val="00615202"/>
    <w:rsid w:val="00615558"/>
    <w:rsid w:val="00615F5D"/>
    <w:rsid w:val="00616027"/>
    <w:rsid w:val="0061618D"/>
    <w:rsid w:val="006162CF"/>
    <w:rsid w:val="00616EA5"/>
    <w:rsid w:val="00616EF7"/>
    <w:rsid w:val="00617218"/>
    <w:rsid w:val="00617B89"/>
    <w:rsid w:val="00620309"/>
    <w:rsid w:val="006206D0"/>
    <w:rsid w:val="0062122F"/>
    <w:rsid w:val="006212FC"/>
    <w:rsid w:val="00621476"/>
    <w:rsid w:val="00621806"/>
    <w:rsid w:val="00621876"/>
    <w:rsid w:val="00621B5D"/>
    <w:rsid w:val="00621D9D"/>
    <w:rsid w:val="00622491"/>
    <w:rsid w:val="006226CA"/>
    <w:rsid w:val="00623F4C"/>
    <w:rsid w:val="006240B3"/>
    <w:rsid w:val="00624730"/>
    <w:rsid w:val="00625751"/>
    <w:rsid w:val="006258E5"/>
    <w:rsid w:val="0062625C"/>
    <w:rsid w:val="00626F69"/>
    <w:rsid w:val="00627178"/>
    <w:rsid w:val="0062743A"/>
    <w:rsid w:val="0062754C"/>
    <w:rsid w:val="006275CD"/>
    <w:rsid w:val="0063013C"/>
    <w:rsid w:val="006303A5"/>
    <w:rsid w:val="0063057C"/>
    <w:rsid w:val="00630BEB"/>
    <w:rsid w:val="006319F6"/>
    <w:rsid w:val="00632557"/>
    <w:rsid w:val="00632626"/>
    <w:rsid w:val="00632B39"/>
    <w:rsid w:val="00632C5C"/>
    <w:rsid w:val="00632D2A"/>
    <w:rsid w:val="00633289"/>
    <w:rsid w:val="00633790"/>
    <w:rsid w:val="00633D10"/>
    <w:rsid w:val="00633E30"/>
    <w:rsid w:val="0063473E"/>
    <w:rsid w:val="006349C4"/>
    <w:rsid w:val="00634C99"/>
    <w:rsid w:val="00634E86"/>
    <w:rsid w:val="006350BF"/>
    <w:rsid w:val="006354C4"/>
    <w:rsid w:val="00635861"/>
    <w:rsid w:val="0063619C"/>
    <w:rsid w:val="00637AF5"/>
    <w:rsid w:val="00637B80"/>
    <w:rsid w:val="00637E73"/>
    <w:rsid w:val="0064028A"/>
    <w:rsid w:val="00640625"/>
    <w:rsid w:val="006411CD"/>
    <w:rsid w:val="00641234"/>
    <w:rsid w:val="00641BC0"/>
    <w:rsid w:val="00641FEB"/>
    <w:rsid w:val="00642B29"/>
    <w:rsid w:val="00644D73"/>
    <w:rsid w:val="006455C5"/>
    <w:rsid w:val="00645861"/>
    <w:rsid w:val="00645C98"/>
    <w:rsid w:val="006461D2"/>
    <w:rsid w:val="00646E22"/>
    <w:rsid w:val="0064714E"/>
    <w:rsid w:val="0064742B"/>
    <w:rsid w:val="006503E1"/>
    <w:rsid w:val="006514F8"/>
    <w:rsid w:val="00652B2F"/>
    <w:rsid w:val="00652C20"/>
    <w:rsid w:val="00653343"/>
    <w:rsid w:val="006537DD"/>
    <w:rsid w:val="006538DC"/>
    <w:rsid w:val="006540C8"/>
    <w:rsid w:val="0065411C"/>
    <w:rsid w:val="00654D18"/>
    <w:rsid w:val="006553BE"/>
    <w:rsid w:val="006555A8"/>
    <w:rsid w:val="0065579B"/>
    <w:rsid w:val="0065596E"/>
    <w:rsid w:val="00655DE4"/>
    <w:rsid w:val="00656C9E"/>
    <w:rsid w:val="00657881"/>
    <w:rsid w:val="00657AF9"/>
    <w:rsid w:val="00657D2F"/>
    <w:rsid w:val="00657D3F"/>
    <w:rsid w:val="00657F64"/>
    <w:rsid w:val="0066098F"/>
    <w:rsid w:val="00660B5A"/>
    <w:rsid w:val="006614F9"/>
    <w:rsid w:val="006615FD"/>
    <w:rsid w:val="006616DE"/>
    <w:rsid w:val="00662011"/>
    <w:rsid w:val="006628B8"/>
    <w:rsid w:val="00662D3C"/>
    <w:rsid w:val="00663366"/>
    <w:rsid w:val="00663B68"/>
    <w:rsid w:val="006644EB"/>
    <w:rsid w:val="0066568C"/>
    <w:rsid w:val="006657E3"/>
    <w:rsid w:val="00665C3A"/>
    <w:rsid w:val="00665F42"/>
    <w:rsid w:val="006662DD"/>
    <w:rsid w:val="0066765A"/>
    <w:rsid w:val="006677D5"/>
    <w:rsid w:val="00667934"/>
    <w:rsid w:val="00667FBE"/>
    <w:rsid w:val="00670350"/>
    <w:rsid w:val="006704F3"/>
    <w:rsid w:val="00670CC1"/>
    <w:rsid w:val="00670D6B"/>
    <w:rsid w:val="00671242"/>
    <w:rsid w:val="006719B7"/>
    <w:rsid w:val="00671AF9"/>
    <w:rsid w:val="00671BCA"/>
    <w:rsid w:val="00673770"/>
    <w:rsid w:val="00674665"/>
    <w:rsid w:val="00674D9D"/>
    <w:rsid w:val="006758D0"/>
    <w:rsid w:val="00675EFE"/>
    <w:rsid w:val="00675F81"/>
    <w:rsid w:val="006767CE"/>
    <w:rsid w:val="00677A81"/>
    <w:rsid w:val="00677C84"/>
    <w:rsid w:val="00680695"/>
    <w:rsid w:val="00681200"/>
    <w:rsid w:val="00682201"/>
    <w:rsid w:val="0068222D"/>
    <w:rsid w:val="006830DF"/>
    <w:rsid w:val="006835BF"/>
    <w:rsid w:val="00683AE6"/>
    <w:rsid w:val="00683D12"/>
    <w:rsid w:val="00684076"/>
    <w:rsid w:val="00684218"/>
    <w:rsid w:val="006846FC"/>
    <w:rsid w:val="006847AB"/>
    <w:rsid w:val="006852D8"/>
    <w:rsid w:val="0068570E"/>
    <w:rsid w:val="006857F5"/>
    <w:rsid w:val="006859B9"/>
    <w:rsid w:val="00686B67"/>
    <w:rsid w:val="00686C3A"/>
    <w:rsid w:val="00687B66"/>
    <w:rsid w:val="00690A45"/>
    <w:rsid w:val="00690C8F"/>
    <w:rsid w:val="00690F6D"/>
    <w:rsid w:val="00691653"/>
    <w:rsid w:val="0069177C"/>
    <w:rsid w:val="0069298E"/>
    <w:rsid w:val="006939C0"/>
    <w:rsid w:val="00693B40"/>
    <w:rsid w:val="00693EFD"/>
    <w:rsid w:val="006942E3"/>
    <w:rsid w:val="00694332"/>
    <w:rsid w:val="0069486E"/>
    <w:rsid w:val="00694B09"/>
    <w:rsid w:val="006961CB"/>
    <w:rsid w:val="006965FD"/>
    <w:rsid w:val="006968E8"/>
    <w:rsid w:val="00696E4B"/>
    <w:rsid w:val="006970F0"/>
    <w:rsid w:val="006A10DD"/>
    <w:rsid w:val="006A12E9"/>
    <w:rsid w:val="006A1439"/>
    <w:rsid w:val="006A191A"/>
    <w:rsid w:val="006A1C98"/>
    <w:rsid w:val="006A23F9"/>
    <w:rsid w:val="006A2680"/>
    <w:rsid w:val="006A2A90"/>
    <w:rsid w:val="006A2AC7"/>
    <w:rsid w:val="006A2F66"/>
    <w:rsid w:val="006A39A9"/>
    <w:rsid w:val="006A3E32"/>
    <w:rsid w:val="006A4439"/>
    <w:rsid w:val="006A4B7F"/>
    <w:rsid w:val="006A4E98"/>
    <w:rsid w:val="006A527A"/>
    <w:rsid w:val="006A5922"/>
    <w:rsid w:val="006A71C8"/>
    <w:rsid w:val="006A753B"/>
    <w:rsid w:val="006A762A"/>
    <w:rsid w:val="006A7721"/>
    <w:rsid w:val="006A7974"/>
    <w:rsid w:val="006A7B3F"/>
    <w:rsid w:val="006B013C"/>
    <w:rsid w:val="006B0153"/>
    <w:rsid w:val="006B08CB"/>
    <w:rsid w:val="006B0EEB"/>
    <w:rsid w:val="006B102B"/>
    <w:rsid w:val="006B1424"/>
    <w:rsid w:val="006B19C9"/>
    <w:rsid w:val="006B1EE4"/>
    <w:rsid w:val="006B206D"/>
    <w:rsid w:val="006B30D5"/>
    <w:rsid w:val="006B3970"/>
    <w:rsid w:val="006B3BFE"/>
    <w:rsid w:val="006B442C"/>
    <w:rsid w:val="006B4445"/>
    <w:rsid w:val="006B4DFF"/>
    <w:rsid w:val="006B4E3D"/>
    <w:rsid w:val="006B5063"/>
    <w:rsid w:val="006B50EA"/>
    <w:rsid w:val="006B5525"/>
    <w:rsid w:val="006B555A"/>
    <w:rsid w:val="006B6094"/>
    <w:rsid w:val="006B633C"/>
    <w:rsid w:val="006B676B"/>
    <w:rsid w:val="006B6914"/>
    <w:rsid w:val="006B6AA3"/>
    <w:rsid w:val="006B7A11"/>
    <w:rsid w:val="006B7B27"/>
    <w:rsid w:val="006B7E3E"/>
    <w:rsid w:val="006C0108"/>
    <w:rsid w:val="006C074C"/>
    <w:rsid w:val="006C082C"/>
    <w:rsid w:val="006C08CE"/>
    <w:rsid w:val="006C0A83"/>
    <w:rsid w:val="006C0A89"/>
    <w:rsid w:val="006C0D46"/>
    <w:rsid w:val="006C0EE6"/>
    <w:rsid w:val="006C1EB3"/>
    <w:rsid w:val="006C2158"/>
    <w:rsid w:val="006C26C3"/>
    <w:rsid w:val="006C26C6"/>
    <w:rsid w:val="006C2732"/>
    <w:rsid w:val="006C2780"/>
    <w:rsid w:val="006C2CA4"/>
    <w:rsid w:val="006C2CBE"/>
    <w:rsid w:val="006C3563"/>
    <w:rsid w:val="006C3680"/>
    <w:rsid w:val="006C3E75"/>
    <w:rsid w:val="006C40ED"/>
    <w:rsid w:val="006C5365"/>
    <w:rsid w:val="006C541C"/>
    <w:rsid w:val="006C5E93"/>
    <w:rsid w:val="006C5F76"/>
    <w:rsid w:val="006C6462"/>
    <w:rsid w:val="006D04C4"/>
    <w:rsid w:val="006D0761"/>
    <w:rsid w:val="006D1340"/>
    <w:rsid w:val="006D1A86"/>
    <w:rsid w:val="006D2428"/>
    <w:rsid w:val="006D26C1"/>
    <w:rsid w:val="006D2B38"/>
    <w:rsid w:val="006D3454"/>
    <w:rsid w:val="006D41CE"/>
    <w:rsid w:val="006D4378"/>
    <w:rsid w:val="006D5077"/>
    <w:rsid w:val="006D5158"/>
    <w:rsid w:val="006D56FD"/>
    <w:rsid w:val="006D59F5"/>
    <w:rsid w:val="006D5F78"/>
    <w:rsid w:val="006D65FA"/>
    <w:rsid w:val="006D6C0F"/>
    <w:rsid w:val="006D6C27"/>
    <w:rsid w:val="006D6DB3"/>
    <w:rsid w:val="006D6DCC"/>
    <w:rsid w:val="006D7569"/>
    <w:rsid w:val="006D7B6D"/>
    <w:rsid w:val="006D7C1B"/>
    <w:rsid w:val="006D7E6F"/>
    <w:rsid w:val="006D7EE6"/>
    <w:rsid w:val="006E03A2"/>
    <w:rsid w:val="006E058A"/>
    <w:rsid w:val="006E06E2"/>
    <w:rsid w:val="006E0710"/>
    <w:rsid w:val="006E1CE4"/>
    <w:rsid w:val="006E1F34"/>
    <w:rsid w:val="006E21FD"/>
    <w:rsid w:val="006E2F73"/>
    <w:rsid w:val="006E3A0F"/>
    <w:rsid w:val="006E3E3E"/>
    <w:rsid w:val="006E49A9"/>
    <w:rsid w:val="006E54DA"/>
    <w:rsid w:val="006E6155"/>
    <w:rsid w:val="006E6AC1"/>
    <w:rsid w:val="006E72D9"/>
    <w:rsid w:val="006E7AC0"/>
    <w:rsid w:val="006F0661"/>
    <w:rsid w:val="006F0805"/>
    <w:rsid w:val="006F0ACA"/>
    <w:rsid w:val="006F14B6"/>
    <w:rsid w:val="006F175E"/>
    <w:rsid w:val="006F19F2"/>
    <w:rsid w:val="006F1AC6"/>
    <w:rsid w:val="006F1D53"/>
    <w:rsid w:val="006F1F03"/>
    <w:rsid w:val="006F2ABA"/>
    <w:rsid w:val="006F2E06"/>
    <w:rsid w:val="006F2F62"/>
    <w:rsid w:val="006F3854"/>
    <w:rsid w:val="006F5BB3"/>
    <w:rsid w:val="006F5DA7"/>
    <w:rsid w:val="006F5DE9"/>
    <w:rsid w:val="006F5ED9"/>
    <w:rsid w:val="006F61B6"/>
    <w:rsid w:val="006F6C71"/>
    <w:rsid w:val="006F6D80"/>
    <w:rsid w:val="006F6F55"/>
    <w:rsid w:val="006F779C"/>
    <w:rsid w:val="006F7A45"/>
    <w:rsid w:val="006F7FB8"/>
    <w:rsid w:val="0070054C"/>
    <w:rsid w:val="00700A00"/>
    <w:rsid w:val="00701CA3"/>
    <w:rsid w:val="0070224A"/>
    <w:rsid w:val="00703284"/>
    <w:rsid w:val="0070357E"/>
    <w:rsid w:val="007038D2"/>
    <w:rsid w:val="007040C2"/>
    <w:rsid w:val="00704166"/>
    <w:rsid w:val="0070417D"/>
    <w:rsid w:val="007043C0"/>
    <w:rsid w:val="007044D2"/>
    <w:rsid w:val="007045AB"/>
    <w:rsid w:val="00705E86"/>
    <w:rsid w:val="0070691E"/>
    <w:rsid w:val="00706C20"/>
    <w:rsid w:val="007076DA"/>
    <w:rsid w:val="00707C4E"/>
    <w:rsid w:val="00707CB0"/>
    <w:rsid w:val="0071064D"/>
    <w:rsid w:val="00711B4A"/>
    <w:rsid w:val="00711C5C"/>
    <w:rsid w:val="00711EDC"/>
    <w:rsid w:val="00712790"/>
    <w:rsid w:val="007127D5"/>
    <w:rsid w:val="00712E0E"/>
    <w:rsid w:val="0071314B"/>
    <w:rsid w:val="0071402F"/>
    <w:rsid w:val="00714AAF"/>
    <w:rsid w:val="007157A0"/>
    <w:rsid w:val="00715FC9"/>
    <w:rsid w:val="0071681C"/>
    <w:rsid w:val="0071715E"/>
    <w:rsid w:val="007203C7"/>
    <w:rsid w:val="00720D55"/>
    <w:rsid w:val="007223F6"/>
    <w:rsid w:val="007230F0"/>
    <w:rsid w:val="00723F39"/>
    <w:rsid w:val="00723FD3"/>
    <w:rsid w:val="0072467C"/>
    <w:rsid w:val="00724CAC"/>
    <w:rsid w:val="00724D1E"/>
    <w:rsid w:val="0072579D"/>
    <w:rsid w:val="00725D14"/>
    <w:rsid w:val="00725ECC"/>
    <w:rsid w:val="00725F65"/>
    <w:rsid w:val="007265B4"/>
    <w:rsid w:val="00726DAF"/>
    <w:rsid w:val="00726DFF"/>
    <w:rsid w:val="007275E2"/>
    <w:rsid w:val="00730F69"/>
    <w:rsid w:val="007325B1"/>
    <w:rsid w:val="00732B3B"/>
    <w:rsid w:val="00732EF2"/>
    <w:rsid w:val="00733855"/>
    <w:rsid w:val="00733A9A"/>
    <w:rsid w:val="00733B1D"/>
    <w:rsid w:val="00734156"/>
    <w:rsid w:val="00735510"/>
    <w:rsid w:val="0073565E"/>
    <w:rsid w:val="0073578F"/>
    <w:rsid w:val="007359E9"/>
    <w:rsid w:val="00735AE4"/>
    <w:rsid w:val="007361A1"/>
    <w:rsid w:val="00736260"/>
    <w:rsid w:val="00736305"/>
    <w:rsid w:val="00736390"/>
    <w:rsid w:val="007363EF"/>
    <w:rsid w:val="007364E4"/>
    <w:rsid w:val="00736B32"/>
    <w:rsid w:val="00736BD9"/>
    <w:rsid w:val="007376E0"/>
    <w:rsid w:val="007377EB"/>
    <w:rsid w:val="007406A4"/>
    <w:rsid w:val="00741177"/>
    <w:rsid w:val="0074131B"/>
    <w:rsid w:val="00741C76"/>
    <w:rsid w:val="00742AFE"/>
    <w:rsid w:val="00742BE0"/>
    <w:rsid w:val="00742E31"/>
    <w:rsid w:val="007433CE"/>
    <w:rsid w:val="007433DC"/>
    <w:rsid w:val="0074369B"/>
    <w:rsid w:val="007439DC"/>
    <w:rsid w:val="00744517"/>
    <w:rsid w:val="00744AAF"/>
    <w:rsid w:val="00744B36"/>
    <w:rsid w:val="007450C5"/>
    <w:rsid w:val="007457E3"/>
    <w:rsid w:val="00745B3B"/>
    <w:rsid w:val="007461E4"/>
    <w:rsid w:val="007463E6"/>
    <w:rsid w:val="007470AF"/>
    <w:rsid w:val="007475F3"/>
    <w:rsid w:val="00750142"/>
    <w:rsid w:val="00750169"/>
    <w:rsid w:val="0075155D"/>
    <w:rsid w:val="00752E1A"/>
    <w:rsid w:val="00753EE3"/>
    <w:rsid w:val="007543D9"/>
    <w:rsid w:val="007544CF"/>
    <w:rsid w:val="007546D0"/>
    <w:rsid w:val="00754A4F"/>
    <w:rsid w:val="00754CC8"/>
    <w:rsid w:val="00754FCA"/>
    <w:rsid w:val="0075526B"/>
    <w:rsid w:val="0075545B"/>
    <w:rsid w:val="0075599E"/>
    <w:rsid w:val="007564D6"/>
    <w:rsid w:val="00756B48"/>
    <w:rsid w:val="00756E57"/>
    <w:rsid w:val="00756F02"/>
    <w:rsid w:val="00757448"/>
    <w:rsid w:val="00757768"/>
    <w:rsid w:val="00757C55"/>
    <w:rsid w:val="007602F4"/>
    <w:rsid w:val="007608AA"/>
    <w:rsid w:val="007611B9"/>
    <w:rsid w:val="00761C8C"/>
    <w:rsid w:val="007620AE"/>
    <w:rsid w:val="00762790"/>
    <w:rsid w:val="00762B74"/>
    <w:rsid w:val="00762CD7"/>
    <w:rsid w:val="00762D7A"/>
    <w:rsid w:val="00762F9F"/>
    <w:rsid w:val="0076397B"/>
    <w:rsid w:val="00763BDD"/>
    <w:rsid w:val="00763F89"/>
    <w:rsid w:val="007643C5"/>
    <w:rsid w:val="00764544"/>
    <w:rsid w:val="00764A70"/>
    <w:rsid w:val="00764B57"/>
    <w:rsid w:val="00764BA5"/>
    <w:rsid w:val="00765005"/>
    <w:rsid w:val="00765EEF"/>
    <w:rsid w:val="00766254"/>
    <w:rsid w:val="00766462"/>
    <w:rsid w:val="00766B9E"/>
    <w:rsid w:val="00767D9D"/>
    <w:rsid w:val="0077070D"/>
    <w:rsid w:val="0077078F"/>
    <w:rsid w:val="007707DE"/>
    <w:rsid w:val="00770AED"/>
    <w:rsid w:val="007714BD"/>
    <w:rsid w:val="007715EA"/>
    <w:rsid w:val="00772513"/>
    <w:rsid w:val="0077437F"/>
    <w:rsid w:val="00774D8F"/>
    <w:rsid w:val="00775B4F"/>
    <w:rsid w:val="0077699B"/>
    <w:rsid w:val="00776BE5"/>
    <w:rsid w:val="00776D0D"/>
    <w:rsid w:val="00777AC9"/>
    <w:rsid w:val="00777B1C"/>
    <w:rsid w:val="007808F7"/>
    <w:rsid w:val="00780D60"/>
    <w:rsid w:val="00780EE0"/>
    <w:rsid w:val="00781603"/>
    <w:rsid w:val="0078333E"/>
    <w:rsid w:val="007833FD"/>
    <w:rsid w:val="007834FB"/>
    <w:rsid w:val="00783CA7"/>
    <w:rsid w:val="00783E03"/>
    <w:rsid w:val="00784C17"/>
    <w:rsid w:val="007859C1"/>
    <w:rsid w:val="00785D10"/>
    <w:rsid w:val="00785F6D"/>
    <w:rsid w:val="0078620C"/>
    <w:rsid w:val="007866A4"/>
    <w:rsid w:val="00786942"/>
    <w:rsid w:val="00786D9A"/>
    <w:rsid w:val="0078766C"/>
    <w:rsid w:val="007912FF"/>
    <w:rsid w:val="00791CBE"/>
    <w:rsid w:val="007921C7"/>
    <w:rsid w:val="00792685"/>
    <w:rsid w:val="00792AC2"/>
    <w:rsid w:val="00792AF6"/>
    <w:rsid w:val="00792B07"/>
    <w:rsid w:val="007931EE"/>
    <w:rsid w:val="00793212"/>
    <w:rsid w:val="00793517"/>
    <w:rsid w:val="0079375A"/>
    <w:rsid w:val="0079385A"/>
    <w:rsid w:val="00794302"/>
    <w:rsid w:val="00794397"/>
    <w:rsid w:val="00794A5A"/>
    <w:rsid w:val="00794C6D"/>
    <w:rsid w:val="00795203"/>
    <w:rsid w:val="00795214"/>
    <w:rsid w:val="007954BE"/>
    <w:rsid w:val="00795615"/>
    <w:rsid w:val="00795AF1"/>
    <w:rsid w:val="00795F4C"/>
    <w:rsid w:val="00796731"/>
    <w:rsid w:val="00796E93"/>
    <w:rsid w:val="00797E2C"/>
    <w:rsid w:val="007A04B3"/>
    <w:rsid w:val="007A1699"/>
    <w:rsid w:val="007A1EE1"/>
    <w:rsid w:val="007A205F"/>
    <w:rsid w:val="007A2643"/>
    <w:rsid w:val="007A3151"/>
    <w:rsid w:val="007A31F2"/>
    <w:rsid w:val="007A32FD"/>
    <w:rsid w:val="007A33C3"/>
    <w:rsid w:val="007A4CEE"/>
    <w:rsid w:val="007A5117"/>
    <w:rsid w:val="007A5135"/>
    <w:rsid w:val="007A5D33"/>
    <w:rsid w:val="007A5D84"/>
    <w:rsid w:val="007A63AC"/>
    <w:rsid w:val="007A63DB"/>
    <w:rsid w:val="007A6697"/>
    <w:rsid w:val="007A69BF"/>
    <w:rsid w:val="007A6EA1"/>
    <w:rsid w:val="007A7136"/>
    <w:rsid w:val="007A7587"/>
    <w:rsid w:val="007A7F1B"/>
    <w:rsid w:val="007B0AB3"/>
    <w:rsid w:val="007B0C7B"/>
    <w:rsid w:val="007B11B4"/>
    <w:rsid w:val="007B1215"/>
    <w:rsid w:val="007B13B9"/>
    <w:rsid w:val="007B1605"/>
    <w:rsid w:val="007B2C59"/>
    <w:rsid w:val="007B2FC2"/>
    <w:rsid w:val="007B322E"/>
    <w:rsid w:val="007B5628"/>
    <w:rsid w:val="007B5FED"/>
    <w:rsid w:val="007B7763"/>
    <w:rsid w:val="007B79BA"/>
    <w:rsid w:val="007C0112"/>
    <w:rsid w:val="007C0246"/>
    <w:rsid w:val="007C0687"/>
    <w:rsid w:val="007C0B24"/>
    <w:rsid w:val="007C1F98"/>
    <w:rsid w:val="007C234B"/>
    <w:rsid w:val="007C2D78"/>
    <w:rsid w:val="007C2E06"/>
    <w:rsid w:val="007C359D"/>
    <w:rsid w:val="007C36DD"/>
    <w:rsid w:val="007C3D00"/>
    <w:rsid w:val="007C413A"/>
    <w:rsid w:val="007C44AC"/>
    <w:rsid w:val="007C4B63"/>
    <w:rsid w:val="007C4D0E"/>
    <w:rsid w:val="007C4D77"/>
    <w:rsid w:val="007C4F1A"/>
    <w:rsid w:val="007C4FC3"/>
    <w:rsid w:val="007C77EA"/>
    <w:rsid w:val="007C789C"/>
    <w:rsid w:val="007C7C91"/>
    <w:rsid w:val="007D019A"/>
    <w:rsid w:val="007D0412"/>
    <w:rsid w:val="007D043A"/>
    <w:rsid w:val="007D0EF6"/>
    <w:rsid w:val="007D1838"/>
    <w:rsid w:val="007D18C1"/>
    <w:rsid w:val="007D3388"/>
    <w:rsid w:val="007D3794"/>
    <w:rsid w:val="007D37AE"/>
    <w:rsid w:val="007D3B2B"/>
    <w:rsid w:val="007D4443"/>
    <w:rsid w:val="007D4767"/>
    <w:rsid w:val="007D4775"/>
    <w:rsid w:val="007D4C89"/>
    <w:rsid w:val="007D4D2F"/>
    <w:rsid w:val="007D59B8"/>
    <w:rsid w:val="007D5D92"/>
    <w:rsid w:val="007D66C3"/>
    <w:rsid w:val="007D6A72"/>
    <w:rsid w:val="007D74DF"/>
    <w:rsid w:val="007E00AB"/>
    <w:rsid w:val="007E03E5"/>
    <w:rsid w:val="007E06A6"/>
    <w:rsid w:val="007E0C78"/>
    <w:rsid w:val="007E0D8B"/>
    <w:rsid w:val="007E12B7"/>
    <w:rsid w:val="007E283A"/>
    <w:rsid w:val="007E296E"/>
    <w:rsid w:val="007E3090"/>
    <w:rsid w:val="007E30A2"/>
    <w:rsid w:val="007E30CA"/>
    <w:rsid w:val="007E3529"/>
    <w:rsid w:val="007E385C"/>
    <w:rsid w:val="007E3886"/>
    <w:rsid w:val="007E3A62"/>
    <w:rsid w:val="007E3C78"/>
    <w:rsid w:val="007E4628"/>
    <w:rsid w:val="007E4FBE"/>
    <w:rsid w:val="007E52DB"/>
    <w:rsid w:val="007E59C3"/>
    <w:rsid w:val="007E5DE2"/>
    <w:rsid w:val="007E5FBB"/>
    <w:rsid w:val="007E6090"/>
    <w:rsid w:val="007E712A"/>
    <w:rsid w:val="007E7263"/>
    <w:rsid w:val="007E72D1"/>
    <w:rsid w:val="007E7640"/>
    <w:rsid w:val="007E7E0E"/>
    <w:rsid w:val="007E7E44"/>
    <w:rsid w:val="007F118C"/>
    <w:rsid w:val="007F1489"/>
    <w:rsid w:val="007F246B"/>
    <w:rsid w:val="007F2AF0"/>
    <w:rsid w:val="007F332E"/>
    <w:rsid w:val="007F35D5"/>
    <w:rsid w:val="007F39A3"/>
    <w:rsid w:val="007F3F36"/>
    <w:rsid w:val="007F49D7"/>
    <w:rsid w:val="007F4C66"/>
    <w:rsid w:val="007F53AC"/>
    <w:rsid w:val="007F589C"/>
    <w:rsid w:val="007F5C18"/>
    <w:rsid w:val="007F6552"/>
    <w:rsid w:val="007F74CF"/>
    <w:rsid w:val="007F75DB"/>
    <w:rsid w:val="007F7E0F"/>
    <w:rsid w:val="007F7F7C"/>
    <w:rsid w:val="008002BA"/>
    <w:rsid w:val="0080038E"/>
    <w:rsid w:val="0080077C"/>
    <w:rsid w:val="0080103F"/>
    <w:rsid w:val="0080150C"/>
    <w:rsid w:val="0080298D"/>
    <w:rsid w:val="00802DF0"/>
    <w:rsid w:val="00802E94"/>
    <w:rsid w:val="00802FDC"/>
    <w:rsid w:val="008037DD"/>
    <w:rsid w:val="0080386E"/>
    <w:rsid w:val="00803E98"/>
    <w:rsid w:val="0080430E"/>
    <w:rsid w:val="00804F23"/>
    <w:rsid w:val="00805473"/>
    <w:rsid w:val="00805740"/>
    <w:rsid w:val="00805C40"/>
    <w:rsid w:val="00805D6D"/>
    <w:rsid w:val="00805EF4"/>
    <w:rsid w:val="008061C3"/>
    <w:rsid w:val="00806FC6"/>
    <w:rsid w:val="00807694"/>
    <w:rsid w:val="00807C57"/>
    <w:rsid w:val="00810063"/>
    <w:rsid w:val="0081033F"/>
    <w:rsid w:val="008107A1"/>
    <w:rsid w:val="00810A02"/>
    <w:rsid w:val="00810AA4"/>
    <w:rsid w:val="008118EC"/>
    <w:rsid w:val="00811DFD"/>
    <w:rsid w:val="008129DE"/>
    <w:rsid w:val="00812D49"/>
    <w:rsid w:val="00813666"/>
    <w:rsid w:val="008138B2"/>
    <w:rsid w:val="00813972"/>
    <w:rsid w:val="00813AAF"/>
    <w:rsid w:val="0081442E"/>
    <w:rsid w:val="00814872"/>
    <w:rsid w:val="008152DA"/>
    <w:rsid w:val="0081536E"/>
    <w:rsid w:val="008153BF"/>
    <w:rsid w:val="008154C6"/>
    <w:rsid w:val="00815B6A"/>
    <w:rsid w:val="008161A9"/>
    <w:rsid w:val="00816939"/>
    <w:rsid w:val="00817F5B"/>
    <w:rsid w:val="00820054"/>
    <w:rsid w:val="00820378"/>
    <w:rsid w:val="00820475"/>
    <w:rsid w:val="0082066D"/>
    <w:rsid w:val="00820B9B"/>
    <w:rsid w:val="00820DFD"/>
    <w:rsid w:val="00821264"/>
    <w:rsid w:val="008218CD"/>
    <w:rsid w:val="00821A88"/>
    <w:rsid w:val="00821FD2"/>
    <w:rsid w:val="0082263A"/>
    <w:rsid w:val="00822B2B"/>
    <w:rsid w:val="008230F4"/>
    <w:rsid w:val="00823AEE"/>
    <w:rsid w:val="00823F1D"/>
    <w:rsid w:val="008243B9"/>
    <w:rsid w:val="008248A1"/>
    <w:rsid w:val="008249E2"/>
    <w:rsid w:val="00824D16"/>
    <w:rsid w:val="00824F06"/>
    <w:rsid w:val="0082510F"/>
    <w:rsid w:val="008253A1"/>
    <w:rsid w:val="008255F4"/>
    <w:rsid w:val="00825EFF"/>
    <w:rsid w:val="0082688F"/>
    <w:rsid w:val="00826ACF"/>
    <w:rsid w:val="0082772D"/>
    <w:rsid w:val="00827838"/>
    <w:rsid w:val="00830039"/>
    <w:rsid w:val="0083052C"/>
    <w:rsid w:val="00830A36"/>
    <w:rsid w:val="00831184"/>
    <w:rsid w:val="00831E35"/>
    <w:rsid w:val="0083299C"/>
    <w:rsid w:val="00832A43"/>
    <w:rsid w:val="00832B05"/>
    <w:rsid w:val="00832B35"/>
    <w:rsid w:val="00832B5A"/>
    <w:rsid w:val="00833099"/>
    <w:rsid w:val="008347FF"/>
    <w:rsid w:val="0083488D"/>
    <w:rsid w:val="00834B34"/>
    <w:rsid w:val="00834C7C"/>
    <w:rsid w:val="008358DC"/>
    <w:rsid w:val="00835D0D"/>
    <w:rsid w:val="0083631E"/>
    <w:rsid w:val="008363AF"/>
    <w:rsid w:val="00836565"/>
    <w:rsid w:val="00836662"/>
    <w:rsid w:val="00836CFB"/>
    <w:rsid w:val="00837266"/>
    <w:rsid w:val="00837C7B"/>
    <w:rsid w:val="008409E1"/>
    <w:rsid w:val="00840EF2"/>
    <w:rsid w:val="00841230"/>
    <w:rsid w:val="0084168B"/>
    <w:rsid w:val="00842868"/>
    <w:rsid w:val="008430E4"/>
    <w:rsid w:val="008430EB"/>
    <w:rsid w:val="008432BF"/>
    <w:rsid w:val="008432FB"/>
    <w:rsid w:val="00843A95"/>
    <w:rsid w:val="00843D53"/>
    <w:rsid w:val="008441A4"/>
    <w:rsid w:val="00844456"/>
    <w:rsid w:val="00844469"/>
    <w:rsid w:val="00844953"/>
    <w:rsid w:val="0084499D"/>
    <w:rsid w:val="00845192"/>
    <w:rsid w:val="008455F0"/>
    <w:rsid w:val="008456EA"/>
    <w:rsid w:val="00845C39"/>
    <w:rsid w:val="00845D3D"/>
    <w:rsid w:val="00846445"/>
    <w:rsid w:val="008465D3"/>
    <w:rsid w:val="0084695E"/>
    <w:rsid w:val="00846A57"/>
    <w:rsid w:val="00846D15"/>
    <w:rsid w:val="008472F1"/>
    <w:rsid w:val="0084787F"/>
    <w:rsid w:val="00847A9B"/>
    <w:rsid w:val="0085068B"/>
    <w:rsid w:val="00850F57"/>
    <w:rsid w:val="00852246"/>
    <w:rsid w:val="00852D03"/>
    <w:rsid w:val="00853406"/>
    <w:rsid w:val="0085392D"/>
    <w:rsid w:val="00853A7F"/>
    <w:rsid w:val="00853EC4"/>
    <w:rsid w:val="00854543"/>
    <w:rsid w:val="00854B67"/>
    <w:rsid w:val="00854F22"/>
    <w:rsid w:val="0085629A"/>
    <w:rsid w:val="0085633F"/>
    <w:rsid w:val="008563C0"/>
    <w:rsid w:val="008569F4"/>
    <w:rsid w:val="00856CD2"/>
    <w:rsid w:val="00856F08"/>
    <w:rsid w:val="0085724B"/>
    <w:rsid w:val="008577CC"/>
    <w:rsid w:val="008600C6"/>
    <w:rsid w:val="00860482"/>
    <w:rsid w:val="00860699"/>
    <w:rsid w:val="00860BC0"/>
    <w:rsid w:val="00861316"/>
    <w:rsid w:val="008615BA"/>
    <w:rsid w:val="00861A0E"/>
    <w:rsid w:val="00861E25"/>
    <w:rsid w:val="00862BC9"/>
    <w:rsid w:val="00862E7F"/>
    <w:rsid w:val="00865369"/>
    <w:rsid w:val="00865EF1"/>
    <w:rsid w:val="00865FFB"/>
    <w:rsid w:val="00866554"/>
    <w:rsid w:val="0086714F"/>
    <w:rsid w:val="00870418"/>
    <w:rsid w:val="008704E6"/>
    <w:rsid w:val="0087063B"/>
    <w:rsid w:val="00871226"/>
    <w:rsid w:val="00871816"/>
    <w:rsid w:val="00871941"/>
    <w:rsid w:val="008729FD"/>
    <w:rsid w:val="0087361D"/>
    <w:rsid w:val="00873A0A"/>
    <w:rsid w:val="00873B84"/>
    <w:rsid w:val="00874063"/>
    <w:rsid w:val="0087439E"/>
    <w:rsid w:val="00874664"/>
    <w:rsid w:val="00874C47"/>
    <w:rsid w:val="00874CB3"/>
    <w:rsid w:val="00874CD0"/>
    <w:rsid w:val="008752BC"/>
    <w:rsid w:val="008767D6"/>
    <w:rsid w:val="00876EBE"/>
    <w:rsid w:val="00877731"/>
    <w:rsid w:val="00880122"/>
    <w:rsid w:val="00880DC9"/>
    <w:rsid w:val="0088135D"/>
    <w:rsid w:val="008813D4"/>
    <w:rsid w:val="0088167A"/>
    <w:rsid w:val="00881A94"/>
    <w:rsid w:val="00882483"/>
    <w:rsid w:val="00882D97"/>
    <w:rsid w:val="00883401"/>
    <w:rsid w:val="00883B7F"/>
    <w:rsid w:val="00883F3E"/>
    <w:rsid w:val="008843EE"/>
    <w:rsid w:val="008847F2"/>
    <w:rsid w:val="00885091"/>
    <w:rsid w:val="00885FED"/>
    <w:rsid w:val="0088677A"/>
    <w:rsid w:val="008868B7"/>
    <w:rsid w:val="00886B5D"/>
    <w:rsid w:val="008870CB"/>
    <w:rsid w:val="008876FF"/>
    <w:rsid w:val="00887DCC"/>
    <w:rsid w:val="00887FB4"/>
    <w:rsid w:val="008906D4"/>
    <w:rsid w:val="00890A3F"/>
    <w:rsid w:val="00891D59"/>
    <w:rsid w:val="00892311"/>
    <w:rsid w:val="00892CFD"/>
    <w:rsid w:val="008938C7"/>
    <w:rsid w:val="00893964"/>
    <w:rsid w:val="00893D1A"/>
    <w:rsid w:val="00894525"/>
    <w:rsid w:val="0089461C"/>
    <w:rsid w:val="0089463A"/>
    <w:rsid w:val="00894BAA"/>
    <w:rsid w:val="00894EC3"/>
    <w:rsid w:val="0089500C"/>
    <w:rsid w:val="008959B3"/>
    <w:rsid w:val="00895AD6"/>
    <w:rsid w:val="00895C2B"/>
    <w:rsid w:val="00895D94"/>
    <w:rsid w:val="008964B4"/>
    <w:rsid w:val="008967C9"/>
    <w:rsid w:val="00896C38"/>
    <w:rsid w:val="00897030"/>
    <w:rsid w:val="00897043"/>
    <w:rsid w:val="00897346"/>
    <w:rsid w:val="00897927"/>
    <w:rsid w:val="00897C54"/>
    <w:rsid w:val="00897E7C"/>
    <w:rsid w:val="008A008A"/>
    <w:rsid w:val="008A0185"/>
    <w:rsid w:val="008A097C"/>
    <w:rsid w:val="008A0CA8"/>
    <w:rsid w:val="008A0D3C"/>
    <w:rsid w:val="008A1915"/>
    <w:rsid w:val="008A1D79"/>
    <w:rsid w:val="008A200C"/>
    <w:rsid w:val="008A24AC"/>
    <w:rsid w:val="008A35B9"/>
    <w:rsid w:val="008A3748"/>
    <w:rsid w:val="008A3869"/>
    <w:rsid w:val="008A3F56"/>
    <w:rsid w:val="008A4026"/>
    <w:rsid w:val="008A4A0E"/>
    <w:rsid w:val="008A4C98"/>
    <w:rsid w:val="008A4DFE"/>
    <w:rsid w:val="008A5720"/>
    <w:rsid w:val="008A59F1"/>
    <w:rsid w:val="008A5CD9"/>
    <w:rsid w:val="008A5E3A"/>
    <w:rsid w:val="008A64F9"/>
    <w:rsid w:val="008A66F7"/>
    <w:rsid w:val="008A6705"/>
    <w:rsid w:val="008A6B8A"/>
    <w:rsid w:val="008A6ED8"/>
    <w:rsid w:val="008A7027"/>
    <w:rsid w:val="008A706E"/>
    <w:rsid w:val="008A79EB"/>
    <w:rsid w:val="008B014E"/>
    <w:rsid w:val="008B0D38"/>
    <w:rsid w:val="008B0E96"/>
    <w:rsid w:val="008B1328"/>
    <w:rsid w:val="008B21E9"/>
    <w:rsid w:val="008B27C6"/>
    <w:rsid w:val="008B282C"/>
    <w:rsid w:val="008B2CAD"/>
    <w:rsid w:val="008B3010"/>
    <w:rsid w:val="008B35CB"/>
    <w:rsid w:val="008B3859"/>
    <w:rsid w:val="008B3B82"/>
    <w:rsid w:val="008B418D"/>
    <w:rsid w:val="008B46DB"/>
    <w:rsid w:val="008B470F"/>
    <w:rsid w:val="008B4A56"/>
    <w:rsid w:val="008B4ADD"/>
    <w:rsid w:val="008B4C07"/>
    <w:rsid w:val="008B5A2F"/>
    <w:rsid w:val="008B5AE9"/>
    <w:rsid w:val="008B5F01"/>
    <w:rsid w:val="008B5F2B"/>
    <w:rsid w:val="008B67F5"/>
    <w:rsid w:val="008B6A42"/>
    <w:rsid w:val="008B712A"/>
    <w:rsid w:val="008B73E6"/>
    <w:rsid w:val="008B7B5D"/>
    <w:rsid w:val="008B7F5A"/>
    <w:rsid w:val="008C0345"/>
    <w:rsid w:val="008C0A96"/>
    <w:rsid w:val="008C1091"/>
    <w:rsid w:val="008C16F9"/>
    <w:rsid w:val="008C2106"/>
    <w:rsid w:val="008C30D5"/>
    <w:rsid w:val="008C3260"/>
    <w:rsid w:val="008C33FB"/>
    <w:rsid w:val="008C3554"/>
    <w:rsid w:val="008C4456"/>
    <w:rsid w:val="008C4E1D"/>
    <w:rsid w:val="008C5262"/>
    <w:rsid w:val="008C5D79"/>
    <w:rsid w:val="008C5F13"/>
    <w:rsid w:val="008C60B3"/>
    <w:rsid w:val="008C6104"/>
    <w:rsid w:val="008C64C0"/>
    <w:rsid w:val="008C6B83"/>
    <w:rsid w:val="008C7265"/>
    <w:rsid w:val="008D01D2"/>
    <w:rsid w:val="008D1961"/>
    <w:rsid w:val="008D20D7"/>
    <w:rsid w:val="008D258F"/>
    <w:rsid w:val="008D27FC"/>
    <w:rsid w:val="008D2E8D"/>
    <w:rsid w:val="008D2F61"/>
    <w:rsid w:val="008D2FC7"/>
    <w:rsid w:val="008D3B40"/>
    <w:rsid w:val="008D43B0"/>
    <w:rsid w:val="008D4827"/>
    <w:rsid w:val="008D4B1C"/>
    <w:rsid w:val="008D4F7D"/>
    <w:rsid w:val="008D4FE3"/>
    <w:rsid w:val="008D54FF"/>
    <w:rsid w:val="008D565A"/>
    <w:rsid w:val="008D5B2E"/>
    <w:rsid w:val="008D6634"/>
    <w:rsid w:val="008D68BE"/>
    <w:rsid w:val="008D6926"/>
    <w:rsid w:val="008D6D6A"/>
    <w:rsid w:val="008D7919"/>
    <w:rsid w:val="008D795B"/>
    <w:rsid w:val="008D7AB1"/>
    <w:rsid w:val="008D7AFA"/>
    <w:rsid w:val="008D7B27"/>
    <w:rsid w:val="008E00FA"/>
    <w:rsid w:val="008E1A21"/>
    <w:rsid w:val="008E2ED6"/>
    <w:rsid w:val="008E3352"/>
    <w:rsid w:val="008E3B83"/>
    <w:rsid w:val="008E3E50"/>
    <w:rsid w:val="008E459A"/>
    <w:rsid w:val="008E4E32"/>
    <w:rsid w:val="008E4FD6"/>
    <w:rsid w:val="008E5A31"/>
    <w:rsid w:val="008E5B5C"/>
    <w:rsid w:val="008E5CA3"/>
    <w:rsid w:val="008E6337"/>
    <w:rsid w:val="008E6D2B"/>
    <w:rsid w:val="008F0097"/>
    <w:rsid w:val="008F03FD"/>
    <w:rsid w:val="008F0BCF"/>
    <w:rsid w:val="008F26E2"/>
    <w:rsid w:val="008F282A"/>
    <w:rsid w:val="008F2ABF"/>
    <w:rsid w:val="008F5074"/>
    <w:rsid w:val="008F57E1"/>
    <w:rsid w:val="008F5830"/>
    <w:rsid w:val="008F5BE3"/>
    <w:rsid w:val="008F5BE5"/>
    <w:rsid w:val="008F5F6A"/>
    <w:rsid w:val="008F61BA"/>
    <w:rsid w:val="008F6FB0"/>
    <w:rsid w:val="008F737A"/>
    <w:rsid w:val="008F7754"/>
    <w:rsid w:val="008F7981"/>
    <w:rsid w:val="008F7CEE"/>
    <w:rsid w:val="008F7D0D"/>
    <w:rsid w:val="008F7D71"/>
    <w:rsid w:val="009010ED"/>
    <w:rsid w:val="00901DB7"/>
    <w:rsid w:val="00901F6D"/>
    <w:rsid w:val="0090202B"/>
    <w:rsid w:val="00902619"/>
    <w:rsid w:val="00902FB4"/>
    <w:rsid w:val="0090313C"/>
    <w:rsid w:val="009032B7"/>
    <w:rsid w:val="00903411"/>
    <w:rsid w:val="00903565"/>
    <w:rsid w:val="00903A5C"/>
    <w:rsid w:val="00904072"/>
    <w:rsid w:val="00905F3D"/>
    <w:rsid w:val="00906235"/>
    <w:rsid w:val="00906AA4"/>
    <w:rsid w:val="00906B13"/>
    <w:rsid w:val="00906ED4"/>
    <w:rsid w:val="00907393"/>
    <w:rsid w:val="009074C1"/>
    <w:rsid w:val="00910056"/>
    <w:rsid w:val="0091058F"/>
    <w:rsid w:val="009106D7"/>
    <w:rsid w:val="00910D2F"/>
    <w:rsid w:val="0091189D"/>
    <w:rsid w:val="00912438"/>
    <w:rsid w:val="009126A6"/>
    <w:rsid w:val="00912C9D"/>
    <w:rsid w:val="00912E45"/>
    <w:rsid w:val="00913028"/>
    <w:rsid w:val="009134B3"/>
    <w:rsid w:val="00913C90"/>
    <w:rsid w:val="00914084"/>
    <w:rsid w:val="00914C3D"/>
    <w:rsid w:val="00914CBD"/>
    <w:rsid w:val="00914E27"/>
    <w:rsid w:val="00914F03"/>
    <w:rsid w:val="00915E71"/>
    <w:rsid w:val="00916342"/>
    <w:rsid w:val="009169A4"/>
    <w:rsid w:val="00916D79"/>
    <w:rsid w:val="00916F46"/>
    <w:rsid w:val="00917306"/>
    <w:rsid w:val="00917B65"/>
    <w:rsid w:val="00920203"/>
    <w:rsid w:val="00920D88"/>
    <w:rsid w:val="009219F1"/>
    <w:rsid w:val="00921E65"/>
    <w:rsid w:val="00922902"/>
    <w:rsid w:val="00922C1D"/>
    <w:rsid w:val="009234AC"/>
    <w:rsid w:val="0092369D"/>
    <w:rsid w:val="00924344"/>
    <w:rsid w:val="009247D0"/>
    <w:rsid w:val="009247F7"/>
    <w:rsid w:val="00924949"/>
    <w:rsid w:val="00924BB0"/>
    <w:rsid w:val="00925DFD"/>
    <w:rsid w:val="009268BF"/>
    <w:rsid w:val="009268F5"/>
    <w:rsid w:val="009269AF"/>
    <w:rsid w:val="00926BE1"/>
    <w:rsid w:val="00927754"/>
    <w:rsid w:val="009302DD"/>
    <w:rsid w:val="00930787"/>
    <w:rsid w:val="00930D6E"/>
    <w:rsid w:val="009314D1"/>
    <w:rsid w:val="009319BD"/>
    <w:rsid w:val="0093216E"/>
    <w:rsid w:val="009326A6"/>
    <w:rsid w:val="009327D9"/>
    <w:rsid w:val="00932AA4"/>
    <w:rsid w:val="009339A2"/>
    <w:rsid w:val="00933A1A"/>
    <w:rsid w:val="00933B63"/>
    <w:rsid w:val="0093413B"/>
    <w:rsid w:val="00934A74"/>
    <w:rsid w:val="00934CDD"/>
    <w:rsid w:val="00935A99"/>
    <w:rsid w:val="00935E6E"/>
    <w:rsid w:val="0093616D"/>
    <w:rsid w:val="009361A6"/>
    <w:rsid w:val="00936412"/>
    <w:rsid w:val="009405A6"/>
    <w:rsid w:val="00941108"/>
    <w:rsid w:val="00941C90"/>
    <w:rsid w:val="0094207F"/>
    <w:rsid w:val="00942393"/>
    <w:rsid w:val="009423DD"/>
    <w:rsid w:val="0094243A"/>
    <w:rsid w:val="00943099"/>
    <w:rsid w:val="009431E8"/>
    <w:rsid w:val="0094366B"/>
    <w:rsid w:val="0094366E"/>
    <w:rsid w:val="00943914"/>
    <w:rsid w:val="00943A93"/>
    <w:rsid w:val="00943D1D"/>
    <w:rsid w:val="00943E5C"/>
    <w:rsid w:val="0094425C"/>
    <w:rsid w:val="0094425E"/>
    <w:rsid w:val="00944EEA"/>
    <w:rsid w:val="0094577F"/>
    <w:rsid w:val="009457F1"/>
    <w:rsid w:val="0094634C"/>
    <w:rsid w:val="0094661E"/>
    <w:rsid w:val="009466C6"/>
    <w:rsid w:val="00946810"/>
    <w:rsid w:val="00946C11"/>
    <w:rsid w:val="0095013A"/>
    <w:rsid w:val="009502B3"/>
    <w:rsid w:val="00951DC2"/>
    <w:rsid w:val="00952059"/>
    <w:rsid w:val="00952304"/>
    <w:rsid w:val="00953BC7"/>
    <w:rsid w:val="00953D80"/>
    <w:rsid w:val="009544F7"/>
    <w:rsid w:val="00954A12"/>
    <w:rsid w:val="00955FDE"/>
    <w:rsid w:val="00956344"/>
    <w:rsid w:val="009564E9"/>
    <w:rsid w:val="00956DF7"/>
    <w:rsid w:val="00956FA1"/>
    <w:rsid w:val="009574FC"/>
    <w:rsid w:val="009579DD"/>
    <w:rsid w:val="00957B59"/>
    <w:rsid w:val="00960099"/>
    <w:rsid w:val="00960DF9"/>
    <w:rsid w:val="00960F9C"/>
    <w:rsid w:val="00961381"/>
    <w:rsid w:val="0096221A"/>
    <w:rsid w:val="0096243B"/>
    <w:rsid w:val="009635E9"/>
    <w:rsid w:val="00964028"/>
    <w:rsid w:val="0096445F"/>
    <w:rsid w:val="009647CA"/>
    <w:rsid w:val="00964A16"/>
    <w:rsid w:val="00964A3B"/>
    <w:rsid w:val="00965520"/>
    <w:rsid w:val="009656A3"/>
    <w:rsid w:val="00965D20"/>
    <w:rsid w:val="0096771C"/>
    <w:rsid w:val="0097088C"/>
    <w:rsid w:val="00970E5C"/>
    <w:rsid w:val="00971074"/>
    <w:rsid w:val="00971634"/>
    <w:rsid w:val="0097169B"/>
    <w:rsid w:val="009716F1"/>
    <w:rsid w:val="00971744"/>
    <w:rsid w:val="009719E9"/>
    <w:rsid w:val="00972792"/>
    <w:rsid w:val="009727D0"/>
    <w:rsid w:val="00972DC6"/>
    <w:rsid w:val="00973F5A"/>
    <w:rsid w:val="009744EC"/>
    <w:rsid w:val="00974BF9"/>
    <w:rsid w:val="0097502E"/>
    <w:rsid w:val="00975135"/>
    <w:rsid w:val="009753F5"/>
    <w:rsid w:val="00976409"/>
    <w:rsid w:val="009765EF"/>
    <w:rsid w:val="00976680"/>
    <w:rsid w:val="0097680E"/>
    <w:rsid w:val="00976965"/>
    <w:rsid w:val="00976A9F"/>
    <w:rsid w:val="00977317"/>
    <w:rsid w:val="00977C57"/>
    <w:rsid w:val="0098003A"/>
    <w:rsid w:val="00981B53"/>
    <w:rsid w:val="00981C86"/>
    <w:rsid w:val="009825B0"/>
    <w:rsid w:val="009826DC"/>
    <w:rsid w:val="00982B37"/>
    <w:rsid w:val="0098344F"/>
    <w:rsid w:val="009836B3"/>
    <w:rsid w:val="00983E47"/>
    <w:rsid w:val="009844CC"/>
    <w:rsid w:val="00984AF6"/>
    <w:rsid w:val="009867FD"/>
    <w:rsid w:val="00986809"/>
    <w:rsid w:val="0098698B"/>
    <w:rsid w:val="0098699E"/>
    <w:rsid w:val="00986CDD"/>
    <w:rsid w:val="00986D93"/>
    <w:rsid w:val="009873D3"/>
    <w:rsid w:val="0098750D"/>
    <w:rsid w:val="0098792A"/>
    <w:rsid w:val="00987DA0"/>
    <w:rsid w:val="009900B4"/>
    <w:rsid w:val="0099015C"/>
    <w:rsid w:val="009901F0"/>
    <w:rsid w:val="009913BC"/>
    <w:rsid w:val="00991B9F"/>
    <w:rsid w:val="009927D8"/>
    <w:rsid w:val="00992AC1"/>
    <w:rsid w:val="0099334C"/>
    <w:rsid w:val="00993C98"/>
    <w:rsid w:val="0099411C"/>
    <w:rsid w:val="009959E1"/>
    <w:rsid w:val="0099614D"/>
    <w:rsid w:val="00996795"/>
    <w:rsid w:val="009968CF"/>
    <w:rsid w:val="00996EB5"/>
    <w:rsid w:val="00997082"/>
    <w:rsid w:val="0099750D"/>
    <w:rsid w:val="00997AF2"/>
    <w:rsid w:val="00997EBF"/>
    <w:rsid w:val="009A020D"/>
    <w:rsid w:val="009A08BE"/>
    <w:rsid w:val="009A1478"/>
    <w:rsid w:val="009A1765"/>
    <w:rsid w:val="009A1820"/>
    <w:rsid w:val="009A2352"/>
    <w:rsid w:val="009A26E6"/>
    <w:rsid w:val="009A322D"/>
    <w:rsid w:val="009A3438"/>
    <w:rsid w:val="009A4266"/>
    <w:rsid w:val="009A4D4D"/>
    <w:rsid w:val="009A5105"/>
    <w:rsid w:val="009A51C1"/>
    <w:rsid w:val="009A5685"/>
    <w:rsid w:val="009A5CE4"/>
    <w:rsid w:val="009A5E33"/>
    <w:rsid w:val="009A62B4"/>
    <w:rsid w:val="009A6313"/>
    <w:rsid w:val="009A6316"/>
    <w:rsid w:val="009A6C54"/>
    <w:rsid w:val="009A6C61"/>
    <w:rsid w:val="009A72E5"/>
    <w:rsid w:val="009A73FE"/>
    <w:rsid w:val="009A7564"/>
    <w:rsid w:val="009B0278"/>
    <w:rsid w:val="009B06C9"/>
    <w:rsid w:val="009B12DF"/>
    <w:rsid w:val="009B14CD"/>
    <w:rsid w:val="009B1B20"/>
    <w:rsid w:val="009B23C6"/>
    <w:rsid w:val="009B2CA5"/>
    <w:rsid w:val="009B36F2"/>
    <w:rsid w:val="009B505F"/>
    <w:rsid w:val="009B5A9A"/>
    <w:rsid w:val="009B5B73"/>
    <w:rsid w:val="009B5FB1"/>
    <w:rsid w:val="009B6372"/>
    <w:rsid w:val="009B684A"/>
    <w:rsid w:val="009B6D11"/>
    <w:rsid w:val="009B714B"/>
    <w:rsid w:val="009B77AE"/>
    <w:rsid w:val="009B7AC1"/>
    <w:rsid w:val="009C0215"/>
    <w:rsid w:val="009C0418"/>
    <w:rsid w:val="009C0B89"/>
    <w:rsid w:val="009C0E84"/>
    <w:rsid w:val="009C0EFA"/>
    <w:rsid w:val="009C1259"/>
    <w:rsid w:val="009C1982"/>
    <w:rsid w:val="009C1F04"/>
    <w:rsid w:val="009C258C"/>
    <w:rsid w:val="009C2608"/>
    <w:rsid w:val="009C2A3D"/>
    <w:rsid w:val="009C3D63"/>
    <w:rsid w:val="009C4103"/>
    <w:rsid w:val="009C4306"/>
    <w:rsid w:val="009C43AA"/>
    <w:rsid w:val="009C4753"/>
    <w:rsid w:val="009C4D15"/>
    <w:rsid w:val="009C5906"/>
    <w:rsid w:val="009C5CF8"/>
    <w:rsid w:val="009C63B3"/>
    <w:rsid w:val="009C6A59"/>
    <w:rsid w:val="009C799D"/>
    <w:rsid w:val="009C7C00"/>
    <w:rsid w:val="009D00C6"/>
    <w:rsid w:val="009D0759"/>
    <w:rsid w:val="009D09F2"/>
    <w:rsid w:val="009D12DF"/>
    <w:rsid w:val="009D1689"/>
    <w:rsid w:val="009D1B30"/>
    <w:rsid w:val="009D349F"/>
    <w:rsid w:val="009D388C"/>
    <w:rsid w:val="009D3AFA"/>
    <w:rsid w:val="009D3B83"/>
    <w:rsid w:val="009D40AB"/>
    <w:rsid w:val="009D455D"/>
    <w:rsid w:val="009D4BEB"/>
    <w:rsid w:val="009D6EF4"/>
    <w:rsid w:val="009D771A"/>
    <w:rsid w:val="009E005E"/>
    <w:rsid w:val="009E0E40"/>
    <w:rsid w:val="009E0EB1"/>
    <w:rsid w:val="009E1314"/>
    <w:rsid w:val="009E13F9"/>
    <w:rsid w:val="009E168D"/>
    <w:rsid w:val="009E1C5B"/>
    <w:rsid w:val="009E1C5D"/>
    <w:rsid w:val="009E2063"/>
    <w:rsid w:val="009E2155"/>
    <w:rsid w:val="009E21DE"/>
    <w:rsid w:val="009E2890"/>
    <w:rsid w:val="009E30F2"/>
    <w:rsid w:val="009E34BD"/>
    <w:rsid w:val="009E3C29"/>
    <w:rsid w:val="009E3D87"/>
    <w:rsid w:val="009E4AE9"/>
    <w:rsid w:val="009E4D8A"/>
    <w:rsid w:val="009E51D1"/>
    <w:rsid w:val="009E560B"/>
    <w:rsid w:val="009E70E9"/>
    <w:rsid w:val="009E7697"/>
    <w:rsid w:val="009E7D8D"/>
    <w:rsid w:val="009F0333"/>
    <w:rsid w:val="009F1640"/>
    <w:rsid w:val="009F181A"/>
    <w:rsid w:val="009F1D5C"/>
    <w:rsid w:val="009F1FF2"/>
    <w:rsid w:val="009F2161"/>
    <w:rsid w:val="009F289E"/>
    <w:rsid w:val="009F30D3"/>
    <w:rsid w:val="009F3487"/>
    <w:rsid w:val="009F365D"/>
    <w:rsid w:val="009F3C9E"/>
    <w:rsid w:val="009F40D0"/>
    <w:rsid w:val="009F414D"/>
    <w:rsid w:val="009F4266"/>
    <w:rsid w:val="009F4EC4"/>
    <w:rsid w:val="009F4EF2"/>
    <w:rsid w:val="009F56ED"/>
    <w:rsid w:val="009F58BC"/>
    <w:rsid w:val="009F5AC7"/>
    <w:rsid w:val="009F5B0D"/>
    <w:rsid w:val="009F65CD"/>
    <w:rsid w:val="009F6FC0"/>
    <w:rsid w:val="009F70B5"/>
    <w:rsid w:val="009F7116"/>
    <w:rsid w:val="009F7346"/>
    <w:rsid w:val="009F7D54"/>
    <w:rsid w:val="00A0090C"/>
    <w:rsid w:val="00A00B9C"/>
    <w:rsid w:val="00A00BC2"/>
    <w:rsid w:val="00A0154B"/>
    <w:rsid w:val="00A016AC"/>
    <w:rsid w:val="00A01DAA"/>
    <w:rsid w:val="00A0205F"/>
    <w:rsid w:val="00A029B5"/>
    <w:rsid w:val="00A02FCB"/>
    <w:rsid w:val="00A03910"/>
    <w:rsid w:val="00A03F34"/>
    <w:rsid w:val="00A04B43"/>
    <w:rsid w:val="00A054BD"/>
    <w:rsid w:val="00A056E8"/>
    <w:rsid w:val="00A05758"/>
    <w:rsid w:val="00A06E64"/>
    <w:rsid w:val="00A07C21"/>
    <w:rsid w:val="00A1048A"/>
    <w:rsid w:val="00A1125D"/>
    <w:rsid w:val="00A1157F"/>
    <w:rsid w:val="00A12C03"/>
    <w:rsid w:val="00A12D1B"/>
    <w:rsid w:val="00A13764"/>
    <w:rsid w:val="00A138DC"/>
    <w:rsid w:val="00A13C4F"/>
    <w:rsid w:val="00A14D30"/>
    <w:rsid w:val="00A14D50"/>
    <w:rsid w:val="00A1514D"/>
    <w:rsid w:val="00A160E2"/>
    <w:rsid w:val="00A1615D"/>
    <w:rsid w:val="00A161A6"/>
    <w:rsid w:val="00A167EA"/>
    <w:rsid w:val="00A16860"/>
    <w:rsid w:val="00A16F40"/>
    <w:rsid w:val="00A17657"/>
    <w:rsid w:val="00A17753"/>
    <w:rsid w:val="00A17A17"/>
    <w:rsid w:val="00A17B04"/>
    <w:rsid w:val="00A17D30"/>
    <w:rsid w:val="00A20361"/>
    <w:rsid w:val="00A20437"/>
    <w:rsid w:val="00A21D80"/>
    <w:rsid w:val="00A21DEC"/>
    <w:rsid w:val="00A2225F"/>
    <w:rsid w:val="00A225A8"/>
    <w:rsid w:val="00A230B7"/>
    <w:rsid w:val="00A233B0"/>
    <w:rsid w:val="00A235E9"/>
    <w:rsid w:val="00A23782"/>
    <w:rsid w:val="00A24069"/>
    <w:rsid w:val="00A24DBB"/>
    <w:rsid w:val="00A24EA0"/>
    <w:rsid w:val="00A25031"/>
    <w:rsid w:val="00A250D2"/>
    <w:rsid w:val="00A255E7"/>
    <w:rsid w:val="00A25ED0"/>
    <w:rsid w:val="00A262D4"/>
    <w:rsid w:val="00A27054"/>
    <w:rsid w:val="00A3020A"/>
    <w:rsid w:val="00A3035E"/>
    <w:rsid w:val="00A30812"/>
    <w:rsid w:val="00A30C29"/>
    <w:rsid w:val="00A3111B"/>
    <w:rsid w:val="00A31788"/>
    <w:rsid w:val="00A31C5D"/>
    <w:rsid w:val="00A32665"/>
    <w:rsid w:val="00A32D7A"/>
    <w:rsid w:val="00A33256"/>
    <w:rsid w:val="00A33906"/>
    <w:rsid w:val="00A33CB0"/>
    <w:rsid w:val="00A33D46"/>
    <w:rsid w:val="00A33F2E"/>
    <w:rsid w:val="00A341E3"/>
    <w:rsid w:val="00A34937"/>
    <w:rsid w:val="00A3587E"/>
    <w:rsid w:val="00A3635E"/>
    <w:rsid w:val="00A36E54"/>
    <w:rsid w:val="00A37543"/>
    <w:rsid w:val="00A379DF"/>
    <w:rsid w:val="00A40101"/>
    <w:rsid w:val="00A401B6"/>
    <w:rsid w:val="00A402B4"/>
    <w:rsid w:val="00A4050A"/>
    <w:rsid w:val="00A40839"/>
    <w:rsid w:val="00A416CB"/>
    <w:rsid w:val="00A41970"/>
    <w:rsid w:val="00A42788"/>
    <w:rsid w:val="00A42AEB"/>
    <w:rsid w:val="00A43031"/>
    <w:rsid w:val="00A433C7"/>
    <w:rsid w:val="00A433CA"/>
    <w:rsid w:val="00A4436B"/>
    <w:rsid w:val="00A46729"/>
    <w:rsid w:val="00A46AA6"/>
    <w:rsid w:val="00A470CE"/>
    <w:rsid w:val="00A473D1"/>
    <w:rsid w:val="00A474CC"/>
    <w:rsid w:val="00A47B65"/>
    <w:rsid w:val="00A47CBB"/>
    <w:rsid w:val="00A5002E"/>
    <w:rsid w:val="00A50553"/>
    <w:rsid w:val="00A507A4"/>
    <w:rsid w:val="00A50AFC"/>
    <w:rsid w:val="00A51441"/>
    <w:rsid w:val="00A517FD"/>
    <w:rsid w:val="00A51B3E"/>
    <w:rsid w:val="00A528B9"/>
    <w:rsid w:val="00A52DC9"/>
    <w:rsid w:val="00A52F0E"/>
    <w:rsid w:val="00A531EF"/>
    <w:rsid w:val="00A5398A"/>
    <w:rsid w:val="00A53B0A"/>
    <w:rsid w:val="00A54076"/>
    <w:rsid w:val="00A54D53"/>
    <w:rsid w:val="00A54D71"/>
    <w:rsid w:val="00A55A95"/>
    <w:rsid w:val="00A55BC4"/>
    <w:rsid w:val="00A55D70"/>
    <w:rsid w:val="00A560BD"/>
    <w:rsid w:val="00A56239"/>
    <w:rsid w:val="00A56982"/>
    <w:rsid w:val="00A56DE6"/>
    <w:rsid w:val="00A57E30"/>
    <w:rsid w:val="00A57E6A"/>
    <w:rsid w:val="00A616D4"/>
    <w:rsid w:val="00A617E4"/>
    <w:rsid w:val="00A61D17"/>
    <w:rsid w:val="00A62388"/>
    <w:rsid w:val="00A630D3"/>
    <w:rsid w:val="00A6314E"/>
    <w:rsid w:val="00A637C5"/>
    <w:rsid w:val="00A63B26"/>
    <w:rsid w:val="00A63D00"/>
    <w:rsid w:val="00A64B98"/>
    <w:rsid w:val="00A651D5"/>
    <w:rsid w:val="00A65DC0"/>
    <w:rsid w:val="00A66874"/>
    <w:rsid w:val="00A66E25"/>
    <w:rsid w:val="00A66EE0"/>
    <w:rsid w:val="00A6770D"/>
    <w:rsid w:val="00A67C16"/>
    <w:rsid w:val="00A67DD6"/>
    <w:rsid w:val="00A67EB5"/>
    <w:rsid w:val="00A708ED"/>
    <w:rsid w:val="00A70F93"/>
    <w:rsid w:val="00A710B6"/>
    <w:rsid w:val="00A7115E"/>
    <w:rsid w:val="00A71C39"/>
    <w:rsid w:val="00A71D8F"/>
    <w:rsid w:val="00A71D97"/>
    <w:rsid w:val="00A72913"/>
    <w:rsid w:val="00A7306D"/>
    <w:rsid w:val="00A7395D"/>
    <w:rsid w:val="00A742D0"/>
    <w:rsid w:val="00A74B6D"/>
    <w:rsid w:val="00A74DCB"/>
    <w:rsid w:val="00A7512D"/>
    <w:rsid w:val="00A75466"/>
    <w:rsid w:val="00A759F6"/>
    <w:rsid w:val="00A75CC4"/>
    <w:rsid w:val="00A765E5"/>
    <w:rsid w:val="00A76927"/>
    <w:rsid w:val="00A76DF9"/>
    <w:rsid w:val="00A77074"/>
    <w:rsid w:val="00A773A6"/>
    <w:rsid w:val="00A7752F"/>
    <w:rsid w:val="00A77842"/>
    <w:rsid w:val="00A77A48"/>
    <w:rsid w:val="00A77D26"/>
    <w:rsid w:val="00A804F2"/>
    <w:rsid w:val="00A81172"/>
    <w:rsid w:val="00A819E3"/>
    <w:rsid w:val="00A82140"/>
    <w:rsid w:val="00A830B9"/>
    <w:rsid w:val="00A83483"/>
    <w:rsid w:val="00A836FF"/>
    <w:rsid w:val="00A83EA5"/>
    <w:rsid w:val="00A8539C"/>
    <w:rsid w:val="00A85D8C"/>
    <w:rsid w:val="00A85E92"/>
    <w:rsid w:val="00A86549"/>
    <w:rsid w:val="00A877E8"/>
    <w:rsid w:val="00A879AB"/>
    <w:rsid w:val="00A87B2F"/>
    <w:rsid w:val="00A90F6A"/>
    <w:rsid w:val="00A913C8"/>
    <w:rsid w:val="00A91856"/>
    <w:rsid w:val="00A91966"/>
    <w:rsid w:val="00A91CFC"/>
    <w:rsid w:val="00A9219E"/>
    <w:rsid w:val="00A9241B"/>
    <w:rsid w:val="00A92702"/>
    <w:rsid w:val="00A93549"/>
    <w:rsid w:val="00A9383A"/>
    <w:rsid w:val="00A938F4"/>
    <w:rsid w:val="00A93E9E"/>
    <w:rsid w:val="00A94913"/>
    <w:rsid w:val="00A9515F"/>
    <w:rsid w:val="00A95830"/>
    <w:rsid w:val="00A95936"/>
    <w:rsid w:val="00A95AE6"/>
    <w:rsid w:val="00A971CE"/>
    <w:rsid w:val="00A97676"/>
    <w:rsid w:val="00A97829"/>
    <w:rsid w:val="00A97FF4"/>
    <w:rsid w:val="00AA11B3"/>
    <w:rsid w:val="00AA1D05"/>
    <w:rsid w:val="00AA3A29"/>
    <w:rsid w:val="00AA3D7D"/>
    <w:rsid w:val="00AA4319"/>
    <w:rsid w:val="00AA437D"/>
    <w:rsid w:val="00AA44E1"/>
    <w:rsid w:val="00AA4ECF"/>
    <w:rsid w:val="00AA58A2"/>
    <w:rsid w:val="00AA5D17"/>
    <w:rsid w:val="00AA5DCE"/>
    <w:rsid w:val="00AA64A0"/>
    <w:rsid w:val="00AA72B0"/>
    <w:rsid w:val="00AA776C"/>
    <w:rsid w:val="00AB0AB7"/>
    <w:rsid w:val="00AB0D51"/>
    <w:rsid w:val="00AB0FB2"/>
    <w:rsid w:val="00AB103D"/>
    <w:rsid w:val="00AB1FE6"/>
    <w:rsid w:val="00AB2C9C"/>
    <w:rsid w:val="00AB2D94"/>
    <w:rsid w:val="00AB3293"/>
    <w:rsid w:val="00AB37B7"/>
    <w:rsid w:val="00AB3F0F"/>
    <w:rsid w:val="00AB40CC"/>
    <w:rsid w:val="00AB62A9"/>
    <w:rsid w:val="00AB6802"/>
    <w:rsid w:val="00AB6836"/>
    <w:rsid w:val="00AB689B"/>
    <w:rsid w:val="00AB75B5"/>
    <w:rsid w:val="00AB7C8C"/>
    <w:rsid w:val="00AC04C9"/>
    <w:rsid w:val="00AC0D7A"/>
    <w:rsid w:val="00AC1A26"/>
    <w:rsid w:val="00AC1CD5"/>
    <w:rsid w:val="00AC1F75"/>
    <w:rsid w:val="00AC314C"/>
    <w:rsid w:val="00AC414F"/>
    <w:rsid w:val="00AC476C"/>
    <w:rsid w:val="00AC4E50"/>
    <w:rsid w:val="00AC5B34"/>
    <w:rsid w:val="00AC5D8A"/>
    <w:rsid w:val="00AC6184"/>
    <w:rsid w:val="00AC6326"/>
    <w:rsid w:val="00AC6649"/>
    <w:rsid w:val="00AC67BE"/>
    <w:rsid w:val="00AC6DEC"/>
    <w:rsid w:val="00AC70F8"/>
    <w:rsid w:val="00AC732D"/>
    <w:rsid w:val="00AC7377"/>
    <w:rsid w:val="00AC776D"/>
    <w:rsid w:val="00AC7972"/>
    <w:rsid w:val="00AC7BC1"/>
    <w:rsid w:val="00AD0832"/>
    <w:rsid w:val="00AD0AB7"/>
    <w:rsid w:val="00AD16A5"/>
    <w:rsid w:val="00AD16EA"/>
    <w:rsid w:val="00AD197D"/>
    <w:rsid w:val="00AD26FB"/>
    <w:rsid w:val="00AD27AA"/>
    <w:rsid w:val="00AD2962"/>
    <w:rsid w:val="00AD2AD4"/>
    <w:rsid w:val="00AD2DAF"/>
    <w:rsid w:val="00AD319C"/>
    <w:rsid w:val="00AD355C"/>
    <w:rsid w:val="00AD3FC5"/>
    <w:rsid w:val="00AD4134"/>
    <w:rsid w:val="00AD530F"/>
    <w:rsid w:val="00AD5AAA"/>
    <w:rsid w:val="00AD6819"/>
    <w:rsid w:val="00AD69EC"/>
    <w:rsid w:val="00AD6E3B"/>
    <w:rsid w:val="00AD75DB"/>
    <w:rsid w:val="00AD7D5E"/>
    <w:rsid w:val="00AD7F91"/>
    <w:rsid w:val="00AE024B"/>
    <w:rsid w:val="00AE0B30"/>
    <w:rsid w:val="00AE0CA5"/>
    <w:rsid w:val="00AE10AC"/>
    <w:rsid w:val="00AE12A3"/>
    <w:rsid w:val="00AE1AD8"/>
    <w:rsid w:val="00AE2623"/>
    <w:rsid w:val="00AE2ECC"/>
    <w:rsid w:val="00AE379D"/>
    <w:rsid w:val="00AE37F6"/>
    <w:rsid w:val="00AE3836"/>
    <w:rsid w:val="00AE387E"/>
    <w:rsid w:val="00AE3BB5"/>
    <w:rsid w:val="00AE3FF0"/>
    <w:rsid w:val="00AE4143"/>
    <w:rsid w:val="00AE4284"/>
    <w:rsid w:val="00AE47B9"/>
    <w:rsid w:val="00AE52F3"/>
    <w:rsid w:val="00AE5A9B"/>
    <w:rsid w:val="00AE5C63"/>
    <w:rsid w:val="00AE6056"/>
    <w:rsid w:val="00AE61ED"/>
    <w:rsid w:val="00AE6219"/>
    <w:rsid w:val="00AE651F"/>
    <w:rsid w:val="00AE6EB1"/>
    <w:rsid w:val="00AE7281"/>
    <w:rsid w:val="00AF02A3"/>
    <w:rsid w:val="00AF063A"/>
    <w:rsid w:val="00AF0CD5"/>
    <w:rsid w:val="00AF17D5"/>
    <w:rsid w:val="00AF1D6E"/>
    <w:rsid w:val="00AF1E15"/>
    <w:rsid w:val="00AF1E58"/>
    <w:rsid w:val="00AF27FF"/>
    <w:rsid w:val="00AF31C6"/>
    <w:rsid w:val="00AF39EC"/>
    <w:rsid w:val="00AF3E69"/>
    <w:rsid w:val="00AF3F40"/>
    <w:rsid w:val="00AF40D8"/>
    <w:rsid w:val="00AF42F9"/>
    <w:rsid w:val="00AF4EE9"/>
    <w:rsid w:val="00AF500F"/>
    <w:rsid w:val="00AF5010"/>
    <w:rsid w:val="00AF5DE5"/>
    <w:rsid w:val="00AF5DE7"/>
    <w:rsid w:val="00AF630C"/>
    <w:rsid w:val="00AF6941"/>
    <w:rsid w:val="00AF727F"/>
    <w:rsid w:val="00AF7339"/>
    <w:rsid w:val="00AF7499"/>
    <w:rsid w:val="00AF78C8"/>
    <w:rsid w:val="00AF7926"/>
    <w:rsid w:val="00AF7B6F"/>
    <w:rsid w:val="00B001A2"/>
    <w:rsid w:val="00B0021A"/>
    <w:rsid w:val="00B00891"/>
    <w:rsid w:val="00B009AA"/>
    <w:rsid w:val="00B010BF"/>
    <w:rsid w:val="00B01351"/>
    <w:rsid w:val="00B01395"/>
    <w:rsid w:val="00B01BE7"/>
    <w:rsid w:val="00B01DA9"/>
    <w:rsid w:val="00B01F17"/>
    <w:rsid w:val="00B028D8"/>
    <w:rsid w:val="00B02AC1"/>
    <w:rsid w:val="00B02E1C"/>
    <w:rsid w:val="00B03ED9"/>
    <w:rsid w:val="00B04F23"/>
    <w:rsid w:val="00B05123"/>
    <w:rsid w:val="00B056F1"/>
    <w:rsid w:val="00B05CE4"/>
    <w:rsid w:val="00B06309"/>
    <w:rsid w:val="00B06B7F"/>
    <w:rsid w:val="00B070D1"/>
    <w:rsid w:val="00B071E6"/>
    <w:rsid w:val="00B07469"/>
    <w:rsid w:val="00B07E7B"/>
    <w:rsid w:val="00B103A6"/>
    <w:rsid w:val="00B104DA"/>
    <w:rsid w:val="00B10A93"/>
    <w:rsid w:val="00B1125F"/>
    <w:rsid w:val="00B12327"/>
    <w:rsid w:val="00B12ED4"/>
    <w:rsid w:val="00B12F0B"/>
    <w:rsid w:val="00B1381E"/>
    <w:rsid w:val="00B13FF6"/>
    <w:rsid w:val="00B1425F"/>
    <w:rsid w:val="00B144FA"/>
    <w:rsid w:val="00B150CC"/>
    <w:rsid w:val="00B154C3"/>
    <w:rsid w:val="00B157A5"/>
    <w:rsid w:val="00B16249"/>
    <w:rsid w:val="00B1660B"/>
    <w:rsid w:val="00B168E0"/>
    <w:rsid w:val="00B1690C"/>
    <w:rsid w:val="00B16BDA"/>
    <w:rsid w:val="00B16C58"/>
    <w:rsid w:val="00B1755C"/>
    <w:rsid w:val="00B20927"/>
    <w:rsid w:val="00B2144F"/>
    <w:rsid w:val="00B21841"/>
    <w:rsid w:val="00B21963"/>
    <w:rsid w:val="00B21C89"/>
    <w:rsid w:val="00B21E0E"/>
    <w:rsid w:val="00B21FDF"/>
    <w:rsid w:val="00B233AE"/>
    <w:rsid w:val="00B23684"/>
    <w:rsid w:val="00B23F2A"/>
    <w:rsid w:val="00B24150"/>
    <w:rsid w:val="00B24C06"/>
    <w:rsid w:val="00B254CF"/>
    <w:rsid w:val="00B25564"/>
    <w:rsid w:val="00B25AB9"/>
    <w:rsid w:val="00B25D25"/>
    <w:rsid w:val="00B25E57"/>
    <w:rsid w:val="00B2622C"/>
    <w:rsid w:val="00B267F2"/>
    <w:rsid w:val="00B26824"/>
    <w:rsid w:val="00B27533"/>
    <w:rsid w:val="00B27ED6"/>
    <w:rsid w:val="00B3077B"/>
    <w:rsid w:val="00B30EBE"/>
    <w:rsid w:val="00B312C3"/>
    <w:rsid w:val="00B314E2"/>
    <w:rsid w:val="00B315D7"/>
    <w:rsid w:val="00B31FD6"/>
    <w:rsid w:val="00B32122"/>
    <w:rsid w:val="00B321FF"/>
    <w:rsid w:val="00B32549"/>
    <w:rsid w:val="00B32789"/>
    <w:rsid w:val="00B32BC5"/>
    <w:rsid w:val="00B32D44"/>
    <w:rsid w:val="00B32FD6"/>
    <w:rsid w:val="00B336EB"/>
    <w:rsid w:val="00B33B07"/>
    <w:rsid w:val="00B33BC4"/>
    <w:rsid w:val="00B33C0C"/>
    <w:rsid w:val="00B33E48"/>
    <w:rsid w:val="00B35011"/>
    <w:rsid w:val="00B350F0"/>
    <w:rsid w:val="00B35191"/>
    <w:rsid w:val="00B3598B"/>
    <w:rsid w:val="00B35E9E"/>
    <w:rsid w:val="00B36743"/>
    <w:rsid w:val="00B36AC7"/>
    <w:rsid w:val="00B3733F"/>
    <w:rsid w:val="00B37CE2"/>
    <w:rsid w:val="00B37DAA"/>
    <w:rsid w:val="00B37E59"/>
    <w:rsid w:val="00B40370"/>
    <w:rsid w:val="00B4073B"/>
    <w:rsid w:val="00B41C51"/>
    <w:rsid w:val="00B432C2"/>
    <w:rsid w:val="00B4363F"/>
    <w:rsid w:val="00B43EB2"/>
    <w:rsid w:val="00B4415F"/>
    <w:rsid w:val="00B449E4"/>
    <w:rsid w:val="00B44AFA"/>
    <w:rsid w:val="00B45C24"/>
    <w:rsid w:val="00B46261"/>
    <w:rsid w:val="00B46D2B"/>
    <w:rsid w:val="00B47BB7"/>
    <w:rsid w:val="00B508B0"/>
    <w:rsid w:val="00B50C66"/>
    <w:rsid w:val="00B518ED"/>
    <w:rsid w:val="00B5211A"/>
    <w:rsid w:val="00B5237C"/>
    <w:rsid w:val="00B52861"/>
    <w:rsid w:val="00B5316B"/>
    <w:rsid w:val="00B53737"/>
    <w:rsid w:val="00B5402B"/>
    <w:rsid w:val="00B5425B"/>
    <w:rsid w:val="00B543CB"/>
    <w:rsid w:val="00B54A25"/>
    <w:rsid w:val="00B5546F"/>
    <w:rsid w:val="00B55B2D"/>
    <w:rsid w:val="00B55BD2"/>
    <w:rsid w:val="00B55CE6"/>
    <w:rsid w:val="00B55E66"/>
    <w:rsid w:val="00B5672E"/>
    <w:rsid w:val="00B56F18"/>
    <w:rsid w:val="00B572CB"/>
    <w:rsid w:val="00B57C5A"/>
    <w:rsid w:val="00B60A18"/>
    <w:rsid w:val="00B60C48"/>
    <w:rsid w:val="00B61549"/>
    <w:rsid w:val="00B618A4"/>
    <w:rsid w:val="00B61AE1"/>
    <w:rsid w:val="00B61B00"/>
    <w:rsid w:val="00B62478"/>
    <w:rsid w:val="00B624CF"/>
    <w:rsid w:val="00B625CF"/>
    <w:rsid w:val="00B626B6"/>
    <w:rsid w:val="00B63230"/>
    <w:rsid w:val="00B63488"/>
    <w:rsid w:val="00B63943"/>
    <w:rsid w:val="00B6442F"/>
    <w:rsid w:val="00B64656"/>
    <w:rsid w:val="00B64AA3"/>
    <w:rsid w:val="00B64B16"/>
    <w:rsid w:val="00B6580D"/>
    <w:rsid w:val="00B65E8A"/>
    <w:rsid w:val="00B66029"/>
    <w:rsid w:val="00B6603A"/>
    <w:rsid w:val="00B6666C"/>
    <w:rsid w:val="00B670EB"/>
    <w:rsid w:val="00B6745E"/>
    <w:rsid w:val="00B67574"/>
    <w:rsid w:val="00B67BA7"/>
    <w:rsid w:val="00B67D81"/>
    <w:rsid w:val="00B67F2C"/>
    <w:rsid w:val="00B709D5"/>
    <w:rsid w:val="00B712A2"/>
    <w:rsid w:val="00B71345"/>
    <w:rsid w:val="00B71752"/>
    <w:rsid w:val="00B717E8"/>
    <w:rsid w:val="00B7187E"/>
    <w:rsid w:val="00B7311D"/>
    <w:rsid w:val="00B747B5"/>
    <w:rsid w:val="00B74AD2"/>
    <w:rsid w:val="00B74C3B"/>
    <w:rsid w:val="00B75096"/>
    <w:rsid w:val="00B75985"/>
    <w:rsid w:val="00B761E9"/>
    <w:rsid w:val="00B76434"/>
    <w:rsid w:val="00B76938"/>
    <w:rsid w:val="00B76C8C"/>
    <w:rsid w:val="00B76D8F"/>
    <w:rsid w:val="00B77021"/>
    <w:rsid w:val="00B77247"/>
    <w:rsid w:val="00B772EF"/>
    <w:rsid w:val="00B77EA5"/>
    <w:rsid w:val="00B805EC"/>
    <w:rsid w:val="00B80AFA"/>
    <w:rsid w:val="00B80BCE"/>
    <w:rsid w:val="00B8138D"/>
    <w:rsid w:val="00B8165B"/>
    <w:rsid w:val="00B817EE"/>
    <w:rsid w:val="00B8243B"/>
    <w:rsid w:val="00B82591"/>
    <w:rsid w:val="00B8285F"/>
    <w:rsid w:val="00B82A7F"/>
    <w:rsid w:val="00B82E5C"/>
    <w:rsid w:val="00B8322C"/>
    <w:rsid w:val="00B83B43"/>
    <w:rsid w:val="00B842E8"/>
    <w:rsid w:val="00B8467B"/>
    <w:rsid w:val="00B84B5A"/>
    <w:rsid w:val="00B84FAB"/>
    <w:rsid w:val="00B85B44"/>
    <w:rsid w:val="00B867A1"/>
    <w:rsid w:val="00B869AA"/>
    <w:rsid w:val="00B874E2"/>
    <w:rsid w:val="00B87732"/>
    <w:rsid w:val="00B90AC2"/>
    <w:rsid w:val="00B90C32"/>
    <w:rsid w:val="00B91097"/>
    <w:rsid w:val="00B92931"/>
    <w:rsid w:val="00B92B14"/>
    <w:rsid w:val="00B92CD6"/>
    <w:rsid w:val="00B9475D"/>
    <w:rsid w:val="00B94F35"/>
    <w:rsid w:val="00B9540D"/>
    <w:rsid w:val="00B955D7"/>
    <w:rsid w:val="00B95C56"/>
    <w:rsid w:val="00B95D3F"/>
    <w:rsid w:val="00B95E4F"/>
    <w:rsid w:val="00B9715D"/>
    <w:rsid w:val="00B9754E"/>
    <w:rsid w:val="00B97CC1"/>
    <w:rsid w:val="00BA04CF"/>
    <w:rsid w:val="00BA0698"/>
    <w:rsid w:val="00BA14F8"/>
    <w:rsid w:val="00BA1800"/>
    <w:rsid w:val="00BA19C4"/>
    <w:rsid w:val="00BA1D3B"/>
    <w:rsid w:val="00BA2175"/>
    <w:rsid w:val="00BA21FD"/>
    <w:rsid w:val="00BA2DA6"/>
    <w:rsid w:val="00BA3596"/>
    <w:rsid w:val="00BA3616"/>
    <w:rsid w:val="00BA390F"/>
    <w:rsid w:val="00BA3F34"/>
    <w:rsid w:val="00BA440C"/>
    <w:rsid w:val="00BA547F"/>
    <w:rsid w:val="00BA64B7"/>
    <w:rsid w:val="00BA6706"/>
    <w:rsid w:val="00BA6DB4"/>
    <w:rsid w:val="00BA7567"/>
    <w:rsid w:val="00BA7622"/>
    <w:rsid w:val="00BB1562"/>
    <w:rsid w:val="00BB198C"/>
    <w:rsid w:val="00BB1BE2"/>
    <w:rsid w:val="00BB1EFE"/>
    <w:rsid w:val="00BB25F4"/>
    <w:rsid w:val="00BB2B78"/>
    <w:rsid w:val="00BB2DDE"/>
    <w:rsid w:val="00BB2F14"/>
    <w:rsid w:val="00BB30E6"/>
    <w:rsid w:val="00BB3732"/>
    <w:rsid w:val="00BB392A"/>
    <w:rsid w:val="00BB4238"/>
    <w:rsid w:val="00BB4876"/>
    <w:rsid w:val="00BB4D91"/>
    <w:rsid w:val="00BB76A5"/>
    <w:rsid w:val="00BB7EE1"/>
    <w:rsid w:val="00BC0159"/>
    <w:rsid w:val="00BC0B37"/>
    <w:rsid w:val="00BC12EA"/>
    <w:rsid w:val="00BC1316"/>
    <w:rsid w:val="00BC240B"/>
    <w:rsid w:val="00BC26E1"/>
    <w:rsid w:val="00BC3338"/>
    <w:rsid w:val="00BC3EB9"/>
    <w:rsid w:val="00BC4DE3"/>
    <w:rsid w:val="00BC4E41"/>
    <w:rsid w:val="00BC5B3F"/>
    <w:rsid w:val="00BC62C8"/>
    <w:rsid w:val="00BC62FE"/>
    <w:rsid w:val="00BC6305"/>
    <w:rsid w:val="00BC6A8E"/>
    <w:rsid w:val="00BC7865"/>
    <w:rsid w:val="00BC799F"/>
    <w:rsid w:val="00BC7DC5"/>
    <w:rsid w:val="00BD0560"/>
    <w:rsid w:val="00BD1513"/>
    <w:rsid w:val="00BD166A"/>
    <w:rsid w:val="00BD16B1"/>
    <w:rsid w:val="00BD18AB"/>
    <w:rsid w:val="00BD27B8"/>
    <w:rsid w:val="00BD3E8E"/>
    <w:rsid w:val="00BD4034"/>
    <w:rsid w:val="00BD40F5"/>
    <w:rsid w:val="00BD441C"/>
    <w:rsid w:val="00BD4FD6"/>
    <w:rsid w:val="00BD5017"/>
    <w:rsid w:val="00BD509E"/>
    <w:rsid w:val="00BD56F8"/>
    <w:rsid w:val="00BD5E53"/>
    <w:rsid w:val="00BD5FDC"/>
    <w:rsid w:val="00BD6C8E"/>
    <w:rsid w:val="00BD74CF"/>
    <w:rsid w:val="00BD7945"/>
    <w:rsid w:val="00BE01F0"/>
    <w:rsid w:val="00BE1115"/>
    <w:rsid w:val="00BE1461"/>
    <w:rsid w:val="00BE1AD1"/>
    <w:rsid w:val="00BE1DB1"/>
    <w:rsid w:val="00BE24E2"/>
    <w:rsid w:val="00BE285F"/>
    <w:rsid w:val="00BE2B94"/>
    <w:rsid w:val="00BE2EC7"/>
    <w:rsid w:val="00BE2EE9"/>
    <w:rsid w:val="00BE2EFE"/>
    <w:rsid w:val="00BE3E9B"/>
    <w:rsid w:val="00BE5F92"/>
    <w:rsid w:val="00BE6193"/>
    <w:rsid w:val="00BE671E"/>
    <w:rsid w:val="00BE6DB9"/>
    <w:rsid w:val="00BE7FD6"/>
    <w:rsid w:val="00BF036A"/>
    <w:rsid w:val="00BF048D"/>
    <w:rsid w:val="00BF0BDE"/>
    <w:rsid w:val="00BF0D86"/>
    <w:rsid w:val="00BF24B1"/>
    <w:rsid w:val="00BF2506"/>
    <w:rsid w:val="00BF3B4B"/>
    <w:rsid w:val="00BF4929"/>
    <w:rsid w:val="00BF4995"/>
    <w:rsid w:val="00BF544C"/>
    <w:rsid w:val="00BF5990"/>
    <w:rsid w:val="00BF67B8"/>
    <w:rsid w:val="00BF6CA7"/>
    <w:rsid w:val="00BF799A"/>
    <w:rsid w:val="00C00A80"/>
    <w:rsid w:val="00C01052"/>
    <w:rsid w:val="00C01458"/>
    <w:rsid w:val="00C01DFA"/>
    <w:rsid w:val="00C01EDC"/>
    <w:rsid w:val="00C02241"/>
    <w:rsid w:val="00C02348"/>
    <w:rsid w:val="00C023C7"/>
    <w:rsid w:val="00C02400"/>
    <w:rsid w:val="00C02960"/>
    <w:rsid w:val="00C02CF6"/>
    <w:rsid w:val="00C02D9E"/>
    <w:rsid w:val="00C04405"/>
    <w:rsid w:val="00C04466"/>
    <w:rsid w:val="00C04B54"/>
    <w:rsid w:val="00C0685B"/>
    <w:rsid w:val="00C07BB7"/>
    <w:rsid w:val="00C10BA9"/>
    <w:rsid w:val="00C1119E"/>
    <w:rsid w:val="00C11202"/>
    <w:rsid w:val="00C11EB8"/>
    <w:rsid w:val="00C13270"/>
    <w:rsid w:val="00C135C4"/>
    <w:rsid w:val="00C1367D"/>
    <w:rsid w:val="00C1522A"/>
    <w:rsid w:val="00C15AF0"/>
    <w:rsid w:val="00C167BA"/>
    <w:rsid w:val="00C16B37"/>
    <w:rsid w:val="00C1717C"/>
    <w:rsid w:val="00C17E75"/>
    <w:rsid w:val="00C2074E"/>
    <w:rsid w:val="00C21C2F"/>
    <w:rsid w:val="00C21DC0"/>
    <w:rsid w:val="00C21E4A"/>
    <w:rsid w:val="00C22A93"/>
    <w:rsid w:val="00C2302E"/>
    <w:rsid w:val="00C23323"/>
    <w:rsid w:val="00C23454"/>
    <w:rsid w:val="00C2383F"/>
    <w:rsid w:val="00C24525"/>
    <w:rsid w:val="00C245AC"/>
    <w:rsid w:val="00C24D78"/>
    <w:rsid w:val="00C250B9"/>
    <w:rsid w:val="00C253C4"/>
    <w:rsid w:val="00C25A95"/>
    <w:rsid w:val="00C25E29"/>
    <w:rsid w:val="00C2706B"/>
    <w:rsid w:val="00C27AD8"/>
    <w:rsid w:val="00C31530"/>
    <w:rsid w:val="00C31C9D"/>
    <w:rsid w:val="00C31D83"/>
    <w:rsid w:val="00C31DB5"/>
    <w:rsid w:val="00C31E11"/>
    <w:rsid w:val="00C3269B"/>
    <w:rsid w:val="00C331A7"/>
    <w:rsid w:val="00C33304"/>
    <w:rsid w:val="00C339AD"/>
    <w:rsid w:val="00C33B83"/>
    <w:rsid w:val="00C34014"/>
    <w:rsid w:val="00C34139"/>
    <w:rsid w:val="00C342DC"/>
    <w:rsid w:val="00C3432C"/>
    <w:rsid w:val="00C34444"/>
    <w:rsid w:val="00C348FA"/>
    <w:rsid w:val="00C34A08"/>
    <w:rsid w:val="00C34B65"/>
    <w:rsid w:val="00C36B21"/>
    <w:rsid w:val="00C36EAE"/>
    <w:rsid w:val="00C3710F"/>
    <w:rsid w:val="00C37143"/>
    <w:rsid w:val="00C37337"/>
    <w:rsid w:val="00C37760"/>
    <w:rsid w:val="00C37D21"/>
    <w:rsid w:val="00C40161"/>
    <w:rsid w:val="00C40281"/>
    <w:rsid w:val="00C41122"/>
    <w:rsid w:val="00C413FC"/>
    <w:rsid w:val="00C42A6C"/>
    <w:rsid w:val="00C42D4E"/>
    <w:rsid w:val="00C42ECF"/>
    <w:rsid w:val="00C43183"/>
    <w:rsid w:val="00C43393"/>
    <w:rsid w:val="00C43B8A"/>
    <w:rsid w:val="00C44147"/>
    <w:rsid w:val="00C44585"/>
    <w:rsid w:val="00C447DF"/>
    <w:rsid w:val="00C45047"/>
    <w:rsid w:val="00C45434"/>
    <w:rsid w:val="00C45600"/>
    <w:rsid w:val="00C45850"/>
    <w:rsid w:val="00C45BB1"/>
    <w:rsid w:val="00C46861"/>
    <w:rsid w:val="00C46D57"/>
    <w:rsid w:val="00C46EA7"/>
    <w:rsid w:val="00C504BF"/>
    <w:rsid w:val="00C50743"/>
    <w:rsid w:val="00C50D18"/>
    <w:rsid w:val="00C50F40"/>
    <w:rsid w:val="00C511DB"/>
    <w:rsid w:val="00C5138B"/>
    <w:rsid w:val="00C51907"/>
    <w:rsid w:val="00C52DEE"/>
    <w:rsid w:val="00C5315B"/>
    <w:rsid w:val="00C535FA"/>
    <w:rsid w:val="00C53862"/>
    <w:rsid w:val="00C53F5A"/>
    <w:rsid w:val="00C540D9"/>
    <w:rsid w:val="00C54B48"/>
    <w:rsid w:val="00C55013"/>
    <w:rsid w:val="00C5518B"/>
    <w:rsid w:val="00C563C9"/>
    <w:rsid w:val="00C563EB"/>
    <w:rsid w:val="00C565BF"/>
    <w:rsid w:val="00C5689F"/>
    <w:rsid w:val="00C60558"/>
    <w:rsid w:val="00C6109C"/>
    <w:rsid w:val="00C61421"/>
    <w:rsid w:val="00C6213F"/>
    <w:rsid w:val="00C639B6"/>
    <w:rsid w:val="00C63F31"/>
    <w:rsid w:val="00C646DE"/>
    <w:rsid w:val="00C6515E"/>
    <w:rsid w:val="00C67490"/>
    <w:rsid w:val="00C67543"/>
    <w:rsid w:val="00C67B70"/>
    <w:rsid w:val="00C701B5"/>
    <w:rsid w:val="00C71109"/>
    <w:rsid w:val="00C71731"/>
    <w:rsid w:val="00C71E32"/>
    <w:rsid w:val="00C72428"/>
    <w:rsid w:val="00C726E9"/>
    <w:rsid w:val="00C72810"/>
    <w:rsid w:val="00C728C1"/>
    <w:rsid w:val="00C72EEA"/>
    <w:rsid w:val="00C7519C"/>
    <w:rsid w:val="00C75843"/>
    <w:rsid w:val="00C75903"/>
    <w:rsid w:val="00C76940"/>
    <w:rsid w:val="00C76D4A"/>
    <w:rsid w:val="00C77987"/>
    <w:rsid w:val="00C77BC8"/>
    <w:rsid w:val="00C77FBE"/>
    <w:rsid w:val="00C80CAC"/>
    <w:rsid w:val="00C80DF5"/>
    <w:rsid w:val="00C80F7D"/>
    <w:rsid w:val="00C8119B"/>
    <w:rsid w:val="00C8188E"/>
    <w:rsid w:val="00C81AD6"/>
    <w:rsid w:val="00C823D6"/>
    <w:rsid w:val="00C82860"/>
    <w:rsid w:val="00C8336B"/>
    <w:rsid w:val="00C84117"/>
    <w:rsid w:val="00C84216"/>
    <w:rsid w:val="00C84567"/>
    <w:rsid w:val="00C84B0F"/>
    <w:rsid w:val="00C84D21"/>
    <w:rsid w:val="00C8506C"/>
    <w:rsid w:val="00C8510D"/>
    <w:rsid w:val="00C854C8"/>
    <w:rsid w:val="00C8591C"/>
    <w:rsid w:val="00C85EDD"/>
    <w:rsid w:val="00C8631E"/>
    <w:rsid w:val="00C87152"/>
    <w:rsid w:val="00C87412"/>
    <w:rsid w:val="00C87CE2"/>
    <w:rsid w:val="00C9017B"/>
    <w:rsid w:val="00C90831"/>
    <w:rsid w:val="00C908D2"/>
    <w:rsid w:val="00C90C16"/>
    <w:rsid w:val="00C91472"/>
    <w:rsid w:val="00C91D47"/>
    <w:rsid w:val="00C91EE4"/>
    <w:rsid w:val="00C920AE"/>
    <w:rsid w:val="00C92137"/>
    <w:rsid w:val="00C92AFD"/>
    <w:rsid w:val="00C93C77"/>
    <w:rsid w:val="00C943C9"/>
    <w:rsid w:val="00C94624"/>
    <w:rsid w:val="00C94971"/>
    <w:rsid w:val="00C94BF1"/>
    <w:rsid w:val="00C94D25"/>
    <w:rsid w:val="00C94F54"/>
    <w:rsid w:val="00C9518F"/>
    <w:rsid w:val="00C95896"/>
    <w:rsid w:val="00C95993"/>
    <w:rsid w:val="00C96392"/>
    <w:rsid w:val="00C965C9"/>
    <w:rsid w:val="00C97080"/>
    <w:rsid w:val="00C97B79"/>
    <w:rsid w:val="00C97DB6"/>
    <w:rsid w:val="00CA01B8"/>
    <w:rsid w:val="00CA0200"/>
    <w:rsid w:val="00CA0989"/>
    <w:rsid w:val="00CA09A7"/>
    <w:rsid w:val="00CA0A9D"/>
    <w:rsid w:val="00CA1A2F"/>
    <w:rsid w:val="00CA2F00"/>
    <w:rsid w:val="00CA3F7D"/>
    <w:rsid w:val="00CA43D3"/>
    <w:rsid w:val="00CA4495"/>
    <w:rsid w:val="00CA4A26"/>
    <w:rsid w:val="00CA5576"/>
    <w:rsid w:val="00CA5C3B"/>
    <w:rsid w:val="00CA61A5"/>
    <w:rsid w:val="00CA6685"/>
    <w:rsid w:val="00CA6793"/>
    <w:rsid w:val="00CA6D68"/>
    <w:rsid w:val="00CA6DC3"/>
    <w:rsid w:val="00CA6EDA"/>
    <w:rsid w:val="00CA71D5"/>
    <w:rsid w:val="00CA71E8"/>
    <w:rsid w:val="00CA7577"/>
    <w:rsid w:val="00CA78B4"/>
    <w:rsid w:val="00CA7A5E"/>
    <w:rsid w:val="00CA7B3F"/>
    <w:rsid w:val="00CB0507"/>
    <w:rsid w:val="00CB0F12"/>
    <w:rsid w:val="00CB106A"/>
    <w:rsid w:val="00CB24BB"/>
    <w:rsid w:val="00CB2C33"/>
    <w:rsid w:val="00CB2EF5"/>
    <w:rsid w:val="00CB3537"/>
    <w:rsid w:val="00CB42D8"/>
    <w:rsid w:val="00CB4670"/>
    <w:rsid w:val="00CB46F7"/>
    <w:rsid w:val="00CB4730"/>
    <w:rsid w:val="00CB48E2"/>
    <w:rsid w:val="00CB4C9A"/>
    <w:rsid w:val="00CB56C7"/>
    <w:rsid w:val="00CB57DD"/>
    <w:rsid w:val="00CB5B83"/>
    <w:rsid w:val="00CB6ACC"/>
    <w:rsid w:val="00CB7F7F"/>
    <w:rsid w:val="00CC06F0"/>
    <w:rsid w:val="00CC0C8B"/>
    <w:rsid w:val="00CC1402"/>
    <w:rsid w:val="00CC1978"/>
    <w:rsid w:val="00CC2BB6"/>
    <w:rsid w:val="00CC2C52"/>
    <w:rsid w:val="00CC2D4C"/>
    <w:rsid w:val="00CC3397"/>
    <w:rsid w:val="00CC3849"/>
    <w:rsid w:val="00CC3D03"/>
    <w:rsid w:val="00CC41C3"/>
    <w:rsid w:val="00CC47B6"/>
    <w:rsid w:val="00CC5287"/>
    <w:rsid w:val="00CC54A1"/>
    <w:rsid w:val="00CC5812"/>
    <w:rsid w:val="00CC5CEF"/>
    <w:rsid w:val="00CC622F"/>
    <w:rsid w:val="00CC628D"/>
    <w:rsid w:val="00CC64FA"/>
    <w:rsid w:val="00CC6D4A"/>
    <w:rsid w:val="00CC7C65"/>
    <w:rsid w:val="00CC7EFB"/>
    <w:rsid w:val="00CD1170"/>
    <w:rsid w:val="00CD140E"/>
    <w:rsid w:val="00CD1568"/>
    <w:rsid w:val="00CD1C00"/>
    <w:rsid w:val="00CD1F97"/>
    <w:rsid w:val="00CD1FAF"/>
    <w:rsid w:val="00CD25F9"/>
    <w:rsid w:val="00CD2EDF"/>
    <w:rsid w:val="00CD3293"/>
    <w:rsid w:val="00CD3647"/>
    <w:rsid w:val="00CD3708"/>
    <w:rsid w:val="00CD388A"/>
    <w:rsid w:val="00CD432F"/>
    <w:rsid w:val="00CD4342"/>
    <w:rsid w:val="00CD4573"/>
    <w:rsid w:val="00CD4CCF"/>
    <w:rsid w:val="00CD546C"/>
    <w:rsid w:val="00CD5F96"/>
    <w:rsid w:val="00CD5FF4"/>
    <w:rsid w:val="00CD62A5"/>
    <w:rsid w:val="00CD655C"/>
    <w:rsid w:val="00CD6825"/>
    <w:rsid w:val="00CD760E"/>
    <w:rsid w:val="00CD7795"/>
    <w:rsid w:val="00CD7C96"/>
    <w:rsid w:val="00CD7F44"/>
    <w:rsid w:val="00CE020B"/>
    <w:rsid w:val="00CE038A"/>
    <w:rsid w:val="00CE0647"/>
    <w:rsid w:val="00CE09CA"/>
    <w:rsid w:val="00CE14D8"/>
    <w:rsid w:val="00CE1BB7"/>
    <w:rsid w:val="00CE24AC"/>
    <w:rsid w:val="00CE251B"/>
    <w:rsid w:val="00CE3A63"/>
    <w:rsid w:val="00CE3B9D"/>
    <w:rsid w:val="00CE3F07"/>
    <w:rsid w:val="00CE417E"/>
    <w:rsid w:val="00CE45F1"/>
    <w:rsid w:val="00CE4BD7"/>
    <w:rsid w:val="00CE544A"/>
    <w:rsid w:val="00CE5ADE"/>
    <w:rsid w:val="00CE6718"/>
    <w:rsid w:val="00CE6DE9"/>
    <w:rsid w:val="00CE6FAC"/>
    <w:rsid w:val="00CE722F"/>
    <w:rsid w:val="00CE7D27"/>
    <w:rsid w:val="00CF0051"/>
    <w:rsid w:val="00CF03E5"/>
    <w:rsid w:val="00CF0A0E"/>
    <w:rsid w:val="00CF0D84"/>
    <w:rsid w:val="00CF0DDE"/>
    <w:rsid w:val="00CF114F"/>
    <w:rsid w:val="00CF1E08"/>
    <w:rsid w:val="00CF235E"/>
    <w:rsid w:val="00CF2B08"/>
    <w:rsid w:val="00CF2E19"/>
    <w:rsid w:val="00CF2F44"/>
    <w:rsid w:val="00CF3B9D"/>
    <w:rsid w:val="00CF3D0A"/>
    <w:rsid w:val="00CF412E"/>
    <w:rsid w:val="00CF4E18"/>
    <w:rsid w:val="00CF519E"/>
    <w:rsid w:val="00CF54AD"/>
    <w:rsid w:val="00CF57E6"/>
    <w:rsid w:val="00CF59A8"/>
    <w:rsid w:val="00CF68AA"/>
    <w:rsid w:val="00CF6CA7"/>
    <w:rsid w:val="00CF772C"/>
    <w:rsid w:val="00CF7F25"/>
    <w:rsid w:val="00D00949"/>
    <w:rsid w:val="00D01580"/>
    <w:rsid w:val="00D015C7"/>
    <w:rsid w:val="00D01842"/>
    <w:rsid w:val="00D018C4"/>
    <w:rsid w:val="00D028EB"/>
    <w:rsid w:val="00D02CEB"/>
    <w:rsid w:val="00D02E33"/>
    <w:rsid w:val="00D041EB"/>
    <w:rsid w:val="00D043A0"/>
    <w:rsid w:val="00D04C53"/>
    <w:rsid w:val="00D04E01"/>
    <w:rsid w:val="00D05435"/>
    <w:rsid w:val="00D063CB"/>
    <w:rsid w:val="00D0640C"/>
    <w:rsid w:val="00D06BCA"/>
    <w:rsid w:val="00D07769"/>
    <w:rsid w:val="00D077C3"/>
    <w:rsid w:val="00D07800"/>
    <w:rsid w:val="00D07F18"/>
    <w:rsid w:val="00D1049F"/>
    <w:rsid w:val="00D10654"/>
    <w:rsid w:val="00D12F7E"/>
    <w:rsid w:val="00D142E1"/>
    <w:rsid w:val="00D145F3"/>
    <w:rsid w:val="00D149B8"/>
    <w:rsid w:val="00D152EE"/>
    <w:rsid w:val="00D15932"/>
    <w:rsid w:val="00D1662C"/>
    <w:rsid w:val="00D16CAE"/>
    <w:rsid w:val="00D171BD"/>
    <w:rsid w:val="00D1782F"/>
    <w:rsid w:val="00D17DDF"/>
    <w:rsid w:val="00D20149"/>
    <w:rsid w:val="00D20459"/>
    <w:rsid w:val="00D20CA4"/>
    <w:rsid w:val="00D21658"/>
    <w:rsid w:val="00D21D6D"/>
    <w:rsid w:val="00D2288C"/>
    <w:rsid w:val="00D22CAD"/>
    <w:rsid w:val="00D230C4"/>
    <w:rsid w:val="00D231F3"/>
    <w:rsid w:val="00D23EFB"/>
    <w:rsid w:val="00D241E7"/>
    <w:rsid w:val="00D242AC"/>
    <w:rsid w:val="00D242DD"/>
    <w:rsid w:val="00D245A9"/>
    <w:rsid w:val="00D249EE"/>
    <w:rsid w:val="00D24D48"/>
    <w:rsid w:val="00D2523A"/>
    <w:rsid w:val="00D25E3F"/>
    <w:rsid w:val="00D26063"/>
    <w:rsid w:val="00D26097"/>
    <w:rsid w:val="00D26757"/>
    <w:rsid w:val="00D26DCE"/>
    <w:rsid w:val="00D271FD"/>
    <w:rsid w:val="00D279E0"/>
    <w:rsid w:val="00D27B06"/>
    <w:rsid w:val="00D27B08"/>
    <w:rsid w:val="00D30596"/>
    <w:rsid w:val="00D3065F"/>
    <w:rsid w:val="00D308FC"/>
    <w:rsid w:val="00D3130A"/>
    <w:rsid w:val="00D31DBE"/>
    <w:rsid w:val="00D31ED4"/>
    <w:rsid w:val="00D327E8"/>
    <w:rsid w:val="00D34442"/>
    <w:rsid w:val="00D3504F"/>
    <w:rsid w:val="00D35344"/>
    <w:rsid w:val="00D355D2"/>
    <w:rsid w:val="00D36018"/>
    <w:rsid w:val="00D365DA"/>
    <w:rsid w:val="00D368FF"/>
    <w:rsid w:val="00D36A0A"/>
    <w:rsid w:val="00D36B9C"/>
    <w:rsid w:val="00D378A8"/>
    <w:rsid w:val="00D378C1"/>
    <w:rsid w:val="00D379AB"/>
    <w:rsid w:val="00D37A1A"/>
    <w:rsid w:val="00D4029E"/>
    <w:rsid w:val="00D406A0"/>
    <w:rsid w:val="00D41CA8"/>
    <w:rsid w:val="00D41F3B"/>
    <w:rsid w:val="00D42B62"/>
    <w:rsid w:val="00D42E03"/>
    <w:rsid w:val="00D43963"/>
    <w:rsid w:val="00D449B4"/>
    <w:rsid w:val="00D44C74"/>
    <w:rsid w:val="00D4515C"/>
    <w:rsid w:val="00D45280"/>
    <w:rsid w:val="00D4558C"/>
    <w:rsid w:val="00D4589C"/>
    <w:rsid w:val="00D45C4D"/>
    <w:rsid w:val="00D46655"/>
    <w:rsid w:val="00D46AC5"/>
    <w:rsid w:val="00D46BC4"/>
    <w:rsid w:val="00D46D92"/>
    <w:rsid w:val="00D46ECD"/>
    <w:rsid w:val="00D47144"/>
    <w:rsid w:val="00D477ED"/>
    <w:rsid w:val="00D516E0"/>
    <w:rsid w:val="00D51860"/>
    <w:rsid w:val="00D51CC0"/>
    <w:rsid w:val="00D51DDC"/>
    <w:rsid w:val="00D5236D"/>
    <w:rsid w:val="00D5237E"/>
    <w:rsid w:val="00D526DD"/>
    <w:rsid w:val="00D528E3"/>
    <w:rsid w:val="00D52DD0"/>
    <w:rsid w:val="00D5344C"/>
    <w:rsid w:val="00D54B37"/>
    <w:rsid w:val="00D54E2F"/>
    <w:rsid w:val="00D550D9"/>
    <w:rsid w:val="00D555A1"/>
    <w:rsid w:val="00D55C7E"/>
    <w:rsid w:val="00D55C8C"/>
    <w:rsid w:val="00D563E7"/>
    <w:rsid w:val="00D56426"/>
    <w:rsid w:val="00D56A8E"/>
    <w:rsid w:val="00D573F7"/>
    <w:rsid w:val="00D577D6"/>
    <w:rsid w:val="00D57C66"/>
    <w:rsid w:val="00D606C5"/>
    <w:rsid w:val="00D60910"/>
    <w:rsid w:val="00D60F1D"/>
    <w:rsid w:val="00D614B5"/>
    <w:rsid w:val="00D61512"/>
    <w:rsid w:val="00D616EB"/>
    <w:rsid w:val="00D6287F"/>
    <w:rsid w:val="00D628D7"/>
    <w:rsid w:val="00D63203"/>
    <w:rsid w:val="00D63620"/>
    <w:rsid w:val="00D64036"/>
    <w:rsid w:val="00D6484B"/>
    <w:rsid w:val="00D653D1"/>
    <w:rsid w:val="00D65C80"/>
    <w:rsid w:val="00D65FF6"/>
    <w:rsid w:val="00D66CD5"/>
    <w:rsid w:val="00D67333"/>
    <w:rsid w:val="00D677D0"/>
    <w:rsid w:val="00D70121"/>
    <w:rsid w:val="00D70272"/>
    <w:rsid w:val="00D703A6"/>
    <w:rsid w:val="00D70545"/>
    <w:rsid w:val="00D714F4"/>
    <w:rsid w:val="00D7153E"/>
    <w:rsid w:val="00D71BFA"/>
    <w:rsid w:val="00D71D7D"/>
    <w:rsid w:val="00D72478"/>
    <w:rsid w:val="00D73A57"/>
    <w:rsid w:val="00D73F5D"/>
    <w:rsid w:val="00D73FFB"/>
    <w:rsid w:val="00D7428C"/>
    <w:rsid w:val="00D748CE"/>
    <w:rsid w:val="00D7569A"/>
    <w:rsid w:val="00D756C0"/>
    <w:rsid w:val="00D75944"/>
    <w:rsid w:val="00D75CBA"/>
    <w:rsid w:val="00D77018"/>
    <w:rsid w:val="00D777FB"/>
    <w:rsid w:val="00D77981"/>
    <w:rsid w:val="00D77ADA"/>
    <w:rsid w:val="00D8025A"/>
    <w:rsid w:val="00D80456"/>
    <w:rsid w:val="00D80644"/>
    <w:rsid w:val="00D80A78"/>
    <w:rsid w:val="00D812A4"/>
    <w:rsid w:val="00D819CD"/>
    <w:rsid w:val="00D81CF9"/>
    <w:rsid w:val="00D81E43"/>
    <w:rsid w:val="00D825A4"/>
    <w:rsid w:val="00D8273A"/>
    <w:rsid w:val="00D84641"/>
    <w:rsid w:val="00D8488C"/>
    <w:rsid w:val="00D84C22"/>
    <w:rsid w:val="00D84E39"/>
    <w:rsid w:val="00D84F58"/>
    <w:rsid w:val="00D8502A"/>
    <w:rsid w:val="00D8519B"/>
    <w:rsid w:val="00D854E2"/>
    <w:rsid w:val="00D85B31"/>
    <w:rsid w:val="00D860DB"/>
    <w:rsid w:val="00D86C76"/>
    <w:rsid w:val="00D86D8E"/>
    <w:rsid w:val="00D86FB1"/>
    <w:rsid w:val="00D870EE"/>
    <w:rsid w:val="00D87641"/>
    <w:rsid w:val="00D9027A"/>
    <w:rsid w:val="00D902A9"/>
    <w:rsid w:val="00D903DC"/>
    <w:rsid w:val="00D90432"/>
    <w:rsid w:val="00D9067F"/>
    <w:rsid w:val="00D9073B"/>
    <w:rsid w:val="00D908B1"/>
    <w:rsid w:val="00D90C54"/>
    <w:rsid w:val="00D90CC7"/>
    <w:rsid w:val="00D910D4"/>
    <w:rsid w:val="00D912AB"/>
    <w:rsid w:val="00D91473"/>
    <w:rsid w:val="00D9148A"/>
    <w:rsid w:val="00D91C7B"/>
    <w:rsid w:val="00D91D10"/>
    <w:rsid w:val="00D9235B"/>
    <w:rsid w:val="00D9261B"/>
    <w:rsid w:val="00D92AC0"/>
    <w:rsid w:val="00D92BCF"/>
    <w:rsid w:val="00D931D6"/>
    <w:rsid w:val="00D937B1"/>
    <w:rsid w:val="00D93FAE"/>
    <w:rsid w:val="00D93FB8"/>
    <w:rsid w:val="00D95590"/>
    <w:rsid w:val="00D95973"/>
    <w:rsid w:val="00D962AA"/>
    <w:rsid w:val="00D9680F"/>
    <w:rsid w:val="00D96904"/>
    <w:rsid w:val="00D96ABE"/>
    <w:rsid w:val="00D96FFA"/>
    <w:rsid w:val="00D970A4"/>
    <w:rsid w:val="00D9721A"/>
    <w:rsid w:val="00D97753"/>
    <w:rsid w:val="00D97CCB"/>
    <w:rsid w:val="00D97DE1"/>
    <w:rsid w:val="00DA0270"/>
    <w:rsid w:val="00DA0406"/>
    <w:rsid w:val="00DA13D5"/>
    <w:rsid w:val="00DA1DA2"/>
    <w:rsid w:val="00DA2011"/>
    <w:rsid w:val="00DA24B4"/>
    <w:rsid w:val="00DA2783"/>
    <w:rsid w:val="00DA294B"/>
    <w:rsid w:val="00DA2B0C"/>
    <w:rsid w:val="00DA2EA3"/>
    <w:rsid w:val="00DA2F54"/>
    <w:rsid w:val="00DA3396"/>
    <w:rsid w:val="00DA40C8"/>
    <w:rsid w:val="00DA428A"/>
    <w:rsid w:val="00DA4676"/>
    <w:rsid w:val="00DA6A7E"/>
    <w:rsid w:val="00DA6DD4"/>
    <w:rsid w:val="00DA6F7B"/>
    <w:rsid w:val="00DA7217"/>
    <w:rsid w:val="00DA75DD"/>
    <w:rsid w:val="00DA7DEB"/>
    <w:rsid w:val="00DB054B"/>
    <w:rsid w:val="00DB120A"/>
    <w:rsid w:val="00DB1493"/>
    <w:rsid w:val="00DB1C43"/>
    <w:rsid w:val="00DB1D2E"/>
    <w:rsid w:val="00DB32B9"/>
    <w:rsid w:val="00DB32FF"/>
    <w:rsid w:val="00DB4CD9"/>
    <w:rsid w:val="00DB51F1"/>
    <w:rsid w:val="00DB561D"/>
    <w:rsid w:val="00DB6FFA"/>
    <w:rsid w:val="00DB71F1"/>
    <w:rsid w:val="00DB79A1"/>
    <w:rsid w:val="00DB7D2C"/>
    <w:rsid w:val="00DC0433"/>
    <w:rsid w:val="00DC097D"/>
    <w:rsid w:val="00DC0B51"/>
    <w:rsid w:val="00DC0B8D"/>
    <w:rsid w:val="00DC20D7"/>
    <w:rsid w:val="00DC2393"/>
    <w:rsid w:val="00DC2ABF"/>
    <w:rsid w:val="00DC2C91"/>
    <w:rsid w:val="00DC2EA8"/>
    <w:rsid w:val="00DC307A"/>
    <w:rsid w:val="00DC3503"/>
    <w:rsid w:val="00DC352A"/>
    <w:rsid w:val="00DC3F43"/>
    <w:rsid w:val="00DC4363"/>
    <w:rsid w:val="00DC497D"/>
    <w:rsid w:val="00DC52D1"/>
    <w:rsid w:val="00DD0253"/>
    <w:rsid w:val="00DD03B5"/>
    <w:rsid w:val="00DD06F3"/>
    <w:rsid w:val="00DD0779"/>
    <w:rsid w:val="00DD07D2"/>
    <w:rsid w:val="00DD18EB"/>
    <w:rsid w:val="00DD1DB3"/>
    <w:rsid w:val="00DD1FE3"/>
    <w:rsid w:val="00DD2CCC"/>
    <w:rsid w:val="00DD3328"/>
    <w:rsid w:val="00DD3338"/>
    <w:rsid w:val="00DD3482"/>
    <w:rsid w:val="00DD34C7"/>
    <w:rsid w:val="00DD3AA4"/>
    <w:rsid w:val="00DD3B8F"/>
    <w:rsid w:val="00DD3C6A"/>
    <w:rsid w:val="00DD4192"/>
    <w:rsid w:val="00DD4486"/>
    <w:rsid w:val="00DD4528"/>
    <w:rsid w:val="00DD4B22"/>
    <w:rsid w:val="00DD4EA6"/>
    <w:rsid w:val="00DD5215"/>
    <w:rsid w:val="00DD5513"/>
    <w:rsid w:val="00DD55C5"/>
    <w:rsid w:val="00DD5ACF"/>
    <w:rsid w:val="00DD65C1"/>
    <w:rsid w:val="00DD718E"/>
    <w:rsid w:val="00DD7581"/>
    <w:rsid w:val="00DD75C3"/>
    <w:rsid w:val="00DD76D6"/>
    <w:rsid w:val="00DD7B54"/>
    <w:rsid w:val="00DD7B73"/>
    <w:rsid w:val="00DE03AD"/>
    <w:rsid w:val="00DE0E1F"/>
    <w:rsid w:val="00DE0EDA"/>
    <w:rsid w:val="00DE100A"/>
    <w:rsid w:val="00DE12DA"/>
    <w:rsid w:val="00DE14A5"/>
    <w:rsid w:val="00DE14B5"/>
    <w:rsid w:val="00DE1A6D"/>
    <w:rsid w:val="00DE27DE"/>
    <w:rsid w:val="00DE3297"/>
    <w:rsid w:val="00DE42FA"/>
    <w:rsid w:val="00DE4A2D"/>
    <w:rsid w:val="00DE51C0"/>
    <w:rsid w:val="00DE5312"/>
    <w:rsid w:val="00DE5733"/>
    <w:rsid w:val="00DE59D6"/>
    <w:rsid w:val="00DE5AB7"/>
    <w:rsid w:val="00DE5B1E"/>
    <w:rsid w:val="00DE612B"/>
    <w:rsid w:val="00DE639C"/>
    <w:rsid w:val="00DE67E4"/>
    <w:rsid w:val="00DE6954"/>
    <w:rsid w:val="00DE7C99"/>
    <w:rsid w:val="00DF0B9A"/>
    <w:rsid w:val="00DF1766"/>
    <w:rsid w:val="00DF1F6C"/>
    <w:rsid w:val="00DF23F7"/>
    <w:rsid w:val="00DF2827"/>
    <w:rsid w:val="00DF2969"/>
    <w:rsid w:val="00DF2B21"/>
    <w:rsid w:val="00DF312D"/>
    <w:rsid w:val="00DF3B7C"/>
    <w:rsid w:val="00DF3F0F"/>
    <w:rsid w:val="00DF3F9A"/>
    <w:rsid w:val="00DF458D"/>
    <w:rsid w:val="00DF459F"/>
    <w:rsid w:val="00DF5002"/>
    <w:rsid w:val="00DF549C"/>
    <w:rsid w:val="00DF5744"/>
    <w:rsid w:val="00DF62AB"/>
    <w:rsid w:val="00DF631D"/>
    <w:rsid w:val="00DF7693"/>
    <w:rsid w:val="00DF7B1C"/>
    <w:rsid w:val="00E005F8"/>
    <w:rsid w:val="00E00CB3"/>
    <w:rsid w:val="00E023C0"/>
    <w:rsid w:val="00E023E6"/>
    <w:rsid w:val="00E033B7"/>
    <w:rsid w:val="00E0454B"/>
    <w:rsid w:val="00E058FC"/>
    <w:rsid w:val="00E059CC"/>
    <w:rsid w:val="00E06292"/>
    <w:rsid w:val="00E06744"/>
    <w:rsid w:val="00E07818"/>
    <w:rsid w:val="00E079AA"/>
    <w:rsid w:val="00E07ACB"/>
    <w:rsid w:val="00E07CD0"/>
    <w:rsid w:val="00E108A6"/>
    <w:rsid w:val="00E10F06"/>
    <w:rsid w:val="00E112DA"/>
    <w:rsid w:val="00E11C7E"/>
    <w:rsid w:val="00E11E01"/>
    <w:rsid w:val="00E11F18"/>
    <w:rsid w:val="00E12CE6"/>
    <w:rsid w:val="00E12DCA"/>
    <w:rsid w:val="00E136B9"/>
    <w:rsid w:val="00E13750"/>
    <w:rsid w:val="00E14380"/>
    <w:rsid w:val="00E144CF"/>
    <w:rsid w:val="00E1466B"/>
    <w:rsid w:val="00E14CED"/>
    <w:rsid w:val="00E155B4"/>
    <w:rsid w:val="00E156DE"/>
    <w:rsid w:val="00E16157"/>
    <w:rsid w:val="00E161BF"/>
    <w:rsid w:val="00E16A56"/>
    <w:rsid w:val="00E173FA"/>
    <w:rsid w:val="00E17A65"/>
    <w:rsid w:val="00E20219"/>
    <w:rsid w:val="00E20248"/>
    <w:rsid w:val="00E204A4"/>
    <w:rsid w:val="00E206C7"/>
    <w:rsid w:val="00E209F3"/>
    <w:rsid w:val="00E20F8E"/>
    <w:rsid w:val="00E21270"/>
    <w:rsid w:val="00E21492"/>
    <w:rsid w:val="00E214F7"/>
    <w:rsid w:val="00E21DFA"/>
    <w:rsid w:val="00E2265E"/>
    <w:rsid w:val="00E23199"/>
    <w:rsid w:val="00E233E5"/>
    <w:rsid w:val="00E23CD7"/>
    <w:rsid w:val="00E24019"/>
    <w:rsid w:val="00E25751"/>
    <w:rsid w:val="00E257E5"/>
    <w:rsid w:val="00E266F0"/>
    <w:rsid w:val="00E26BA7"/>
    <w:rsid w:val="00E26EB3"/>
    <w:rsid w:val="00E26FD9"/>
    <w:rsid w:val="00E3038C"/>
    <w:rsid w:val="00E30A8E"/>
    <w:rsid w:val="00E30C9F"/>
    <w:rsid w:val="00E30E58"/>
    <w:rsid w:val="00E3165B"/>
    <w:rsid w:val="00E31CDA"/>
    <w:rsid w:val="00E31CF0"/>
    <w:rsid w:val="00E3231A"/>
    <w:rsid w:val="00E32B48"/>
    <w:rsid w:val="00E32E96"/>
    <w:rsid w:val="00E330F3"/>
    <w:rsid w:val="00E33274"/>
    <w:rsid w:val="00E338B5"/>
    <w:rsid w:val="00E33AC7"/>
    <w:rsid w:val="00E35354"/>
    <w:rsid w:val="00E35B2E"/>
    <w:rsid w:val="00E35F1A"/>
    <w:rsid w:val="00E36565"/>
    <w:rsid w:val="00E36BC8"/>
    <w:rsid w:val="00E3701A"/>
    <w:rsid w:val="00E3704F"/>
    <w:rsid w:val="00E3710B"/>
    <w:rsid w:val="00E372D5"/>
    <w:rsid w:val="00E37BC4"/>
    <w:rsid w:val="00E37E3A"/>
    <w:rsid w:val="00E40A9C"/>
    <w:rsid w:val="00E40EE9"/>
    <w:rsid w:val="00E40FEF"/>
    <w:rsid w:val="00E41814"/>
    <w:rsid w:val="00E41CC4"/>
    <w:rsid w:val="00E421E0"/>
    <w:rsid w:val="00E429B9"/>
    <w:rsid w:val="00E42FBA"/>
    <w:rsid w:val="00E4394C"/>
    <w:rsid w:val="00E43CE3"/>
    <w:rsid w:val="00E443CD"/>
    <w:rsid w:val="00E44CFF"/>
    <w:rsid w:val="00E45561"/>
    <w:rsid w:val="00E45716"/>
    <w:rsid w:val="00E45BA3"/>
    <w:rsid w:val="00E45F41"/>
    <w:rsid w:val="00E4662B"/>
    <w:rsid w:val="00E467E9"/>
    <w:rsid w:val="00E47EF7"/>
    <w:rsid w:val="00E5033A"/>
    <w:rsid w:val="00E5113C"/>
    <w:rsid w:val="00E511C8"/>
    <w:rsid w:val="00E51EF1"/>
    <w:rsid w:val="00E51F56"/>
    <w:rsid w:val="00E52B15"/>
    <w:rsid w:val="00E534B3"/>
    <w:rsid w:val="00E53A6F"/>
    <w:rsid w:val="00E53BB0"/>
    <w:rsid w:val="00E54915"/>
    <w:rsid w:val="00E54DB2"/>
    <w:rsid w:val="00E5524D"/>
    <w:rsid w:val="00E553A6"/>
    <w:rsid w:val="00E5550F"/>
    <w:rsid w:val="00E55517"/>
    <w:rsid w:val="00E558B7"/>
    <w:rsid w:val="00E55A18"/>
    <w:rsid w:val="00E55A57"/>
    <w:rsid w:val="00E55C78"/>
    <w:rsid w:val="00E56436"/>
    <w:rsid w:val="00E5667B"/>
    <w:rsid w:val="00E56E86"/>
    <w:rsid w:val="00E57016"/>
    <w:rsid w:val="00E57405"/>
    <w:rsid w:val="00E579B8"/>
    <w:rsid w:val="00E603F1"/>
    <w:rsid w:val="00E60418"/>
    <w:rsid w:val="00E61114"/>
    <w:rsid w:val="00E61237"/>
    <w:rsid w:val="00E62605"/>
    <w:rsid w:val="00E63143"/>
    <w:rsid w:val="00E63523"/>
    <w:rsid w:val="00E636DE"/>
    <w:rsid w:val="00E63E95"/>
    <w:rsid w:val="00E63F63"/>
    <w:rsid w:val="00E6450A"/>
    <w:rsid w:val="00E646F6"/>
    <w:rsid w:val="00E64C61"/>
    <w:rsid w:val="00E64CF8"/>
    <w:rsid w:val="00E6532B"/>
    <w:rsid w:val="00E65725"/>
    <w:rsid w:val="00E65F69"/>
    <w:rsid w:val="00E66B6A"/>
    <w:rsid w:val="00E67460"/>
    <w:rsid w:val="00E67624"/>
    <w:rsid w:val="00E70167"/>
    <w:rsid w:val="00E70359"/>
    <w:rsid w:val="00E714FF"/>
    <w:rsid w:val="00E71C7D"/>
    <w:rsid w:val="00E72D95"/>
    <w:rsid w:val="00E7376C"/>
    <w:rsid w:val="00E74E8A"/>
    <w:rsid w:val="00E74F3F"/>
    <w:rsid w:val="00E750F1"/>
    <w:rsid w:val="00E753CE"/>
    <w:rsid w:val="00E755B3"/>
    <w:rsid w:val="00E757A4"/>
    <w:rsid w:val="00E75B5F"/>
    <w:rsid w:val="00E76115"/>
    <w:rsid w:val="00E7626E"/>
    <w:rsid w:val="00E769E9"/>
    <w:rsid w:val="00E77519"/>
    <w:rsid w:val="00E77DA7"/>
    <w:rsid w:val="00E8053E"/>
    <w:rsid w:val="00E8115D"/>
    <w:rsid w:val="00E81424"/>
    <w:rsid w:val="00E8147A"/>
    <w:rsid w:val="00E81745"/>
    <w:rsid w:val="00E81E88"/>
    <w:rsid w:val="00E82521"/>
    <w:rsid w:val="00E82BB7"/>
    <w:rsid w:val="00E841B0"/>
    <w:rsid w:val="00E84932"/>
    <w:rsid w:val="00E84B1A"/>
    <w:rsid w:val="00E84BDB"/>
    <w:rsid w:val="00E84F57"/>
    <w:rsid w:val="00E851DC"/>
    <w:rsid w:val="00E85452"/>
    <w:rsid w:val="00E85598"/>
    <w:rsid w:val="00E85A6A"/>
    <w:rsid w:val="00E863B6"/>
    <w:rsid w:val="00E864DD"/>
    <w:rsid w:val="00E87A27"/>
    <w:rsid w:val="00E87EB2"/>
    <w:rsid w:val="00E90405"/>
    <w:rsid w:val="00E90677"/>
    <w:rsid w:val="00E910A5"/>
    <w:rsid w:val="00E910D0"/>
    <w:rsid w:val="00E914B5"/>
    <w:rsid w:val="00E91B6E"/>
    <w:rsid w:val="00E91E53"/>
    <w:rsid w:val="00E91E6E"/>
    <w:rsid w:val="00E92886"/>
    <w:rsid w:val="00E9347A"/>
    <w:rsid w:val="00E93556"/>
    <w:rsid w:val="00E93861"/>
    <w:rsid w:val="00E93A42"/>
    <w:rsid w:val="00E94048"/>
    <w:rsid w:val="00E94504"/>
    <w:rsid w:val="00E949BD"/>
    <w:rsid w:val="00E94A6A"/>
    <w:rsid w:val="00E94F24"/>
    <w:rsid w:val="00E94FB5"/>
    <w:rsid w:val="00E959F9"/>
    <w:rsid w:val="00E95A97"/>
    <w:rsid w:val="00E95AC7"/>
    <w:rsid w:val="00E962A3"/>
    <w:rsid w:val="00E96415"/>
    <w:rsid w:val="00E96C57"/>
    <w:rsid w:val="00E96EF4"/>
    <w:rsid w:val="00E97153"/>
    <w:rsid w:val="00E97642"/>
    <w:rsid w:val="00E97B6D"/>
    <w:rsid w:val="00EA012D"/>
    <w:rsid w:val="00EA0726"/>
    <w:rsid w:val="00EA0F0A"/>
    <w:rsid w:val="00EA1AF7"/>
    <w:rsid w:val="00EA1C44"/>
    <w:rsid w:val="00EA28D6"/>
    <w:rsid w:val="00EA2CA6"/>
    <w:rsid w:val="00EA2EB4"/>
    <w:rsid w:val="00EA3E7F"/>
    <w:rsid w:val="00EA4545"/>
    <w:rsid w:val="00EA4951"/>
    <w:rsid w:val="00EA4A6E"/>
    <w:rsid w:val="00EA5863"/>
    <w:rsid w:val="00EA596B"/>
    <w:rsid w:val="00EA5E4B"/>
    <w:rsid w:val="00EA6C53"/>
    <w:rsid w:val="00EA6EED"/>
    <w:rsid w:val="00EA7F99"/>
    <w:rsid w:val="00EB0CBC"/>
    <w:rsid w:val="00EB0E12"/>
    <w:rsid w:val="00EB1DAA"/>
    <w:rsid w:val="00EB2544"/>
    <w:rsid w:val="00EB2CF1"/>
    <w:rsid w:val="00EB32D6"/>
    <w:rsid w:val="00EB32EB"/>
    <w:rsid w:val="00EB3978"/>
    <w:rsid w:val="00EB3F08"/>
    <w:rsid w:val="00EB529D"/>
    <w:rsid w:val="00EB5540"/>
    <w:rsid w:val="00EB58A9"/>
    <w:rsid w:val="00EB5932"/>
    <w:rsid w:val="00EB6969"/>
    <w:rsid w:val="00EB6F1B"/>
    <w:rsid w:val="00EB709E"/>
    <w:rsid w:val="00EB7C5E"/>
    <w:rsid w:val="00EC01C2"/>
    <w:rsid w:val="00EC02DF"/>
    <w:rsid w:val="00EC10EF"/>
    <w:rsid w:val="00EC1620"/>
    <w:rsid w:val="00EC1C39"/>
    <w:rsid w:val="00EC1C9C"/>
    <w:rsid w:val="00EC2B69"/>
    <w:rsid w:val="00EC2D0D"/>
    <w:rsid w:val="00EC2D4F"/>
    <w:rsid w:val="00EC3506"/>
    <w:rsid w:val="00EC40B0"/>
    <w:rsid w:val="00EC4410"/>
    <w:rsid w:val="00EC4A58"/>
    <w:rsid w:val="00EC522B"/>
    <w:rsid w:val="00EC6418"/>
    <w:rsid w:val="00EC7525"/>
    <w:rsid w:val="00EC7C7F"/>
    <w:rsid w:val="00EC7D72"/>
    <w:rsid w:val="00EC7F97"/>
    <w:rsid w:val="00ED0C89"/>
    <w:rsid w:val="00ED0CC1"/>
    <w:rsid w:val="00ED0CD2"/>
    <w:rsid w:val="00ED1493"/>
    <w:rsid w:val="00ED18B3"/>
    <w:rsid w:val="00ED19D8"/>
    <w:rsid w:val="00ED26AE"/>
    <w:rsid w:val="00ED275B"/>
    <w:rsid w:val="00ED2C4D"/>
    <w:rsid w:val="00ED40D1"/>
    <w:rsid w:val="00ED4E2B"/>
    <w:rsid w:val="00ED503D"/>
    <w:rsid w:val="00ED52A8"/>
    <w:rsid w:val="00ED532E"/>
    <w:rsid w:val="00ED5A86"/>
    <w:rsid w:val="00ED5ADB"/>
    <w:rsid w:val="00ED5EA7"/>
    <w:rsid w:val="00ED63AF"/>
    <w:rsid w:val="00ED66F2"/>
    <w:rsid w:val="00ED6F8A"/>
    <w:rsid w:val="00ED7E63"/>
    <w:rsid w:val="00EE0973"/>
    <w:rsid w:val="00EE09CA"/>
    <w:rsid w:val="00EE136A"/>
    <w:rsid w:val="00EE15AA"/>
    <w:rsid w:val="00EE2859"/>
    <w:rsid w:val="00EE3AC9"/>
    <w:rsid w:val="00EE3B36"/>
    <w:rsid w:val="00EE3CDD"/>
    <w:rsid w:val="00EE3D92"/>
    <w:rsid w:val="00EE3E67"/>
    <w:rsid w:val="00EE4A28"/>
    <w:rsid w:val="00EE65E4"/>
    <w:rsid w:val="00EE7129"/>
    <w:rsid w:val="00EE79F6"/>
    <w:rsid w:val="00EF10D1"/>
    <w:rsid w:val="00EF12D4"/>
    <w:rsid w:val="00EF139C"/>
    <w:rsid w:val="00EF1C2F"/>
    <w:rsid w:val="00EF2214"/>
    <w:rsid w:val="00EF290A"/>
    <w:rsid w:val="00EF2C71"/>
    <w:rsid w:val="00EF306E"/>
    <w:rsid w:val="00EF3E39"/>
    <w:rsid w:val="00EF3FCC"/>
    <w:rsid w:val="00EF4055"/>
    <w:rsid w:val="00EF544A"/>
    <w:rsid w:val="00EF5AD0"/>
    <w:rsid w:val="00EF6731"/>
    <w:rsid w:val="00EF6881"/>
    <w:rsid w:val="00EF6A51"/>
    <w:rsid w:val="00EF71B9"/>
    <w:rsid w:val="00EF789C"/>
    <w:rsid w:val="00EF7C65"/>
    <w:rsid w:val="00EF7D17"/>
    <w:rsid w:val="00EF7F0D"/>
    <w:rsid w:val="00F00F42"/>
    <w:rsid w:val="00F01542"/>
    <w:rsid w:val="00F020EA"/>
    <w:rsid w:val="00F02868"/>
    <w:rsid w:val="00F033E5"/>
    <w:rsid w:val="00F036A6"/>
    <w:rsid w:val="00F0382C"/>
    <w:rsid w:val="00F03B02"/>
    <w:rsid w:val="00F03DFF"/>
    <w:rsid w:val="00F042F0"/>
    <w:rsid w:val="00F0438A"/>
    <w:rsid w:val="00F05293"/>
    <w:rsid w:val="00F056BD"/>
    <w:rsid w:val="00F058C8"/>
    <w:rsid w:val="00F059EC"/>
    <w:rsid w:val="00F05D78"/>
    <w:rsid w:val="00F06370"/>
    <w:rsid w:val="00F068A2"/>
    <w:rsid w:val="00F06931"/>
    <w:rsid w:val="00F06CB8"/>
    <w:rsid w:val="00F07EA9"/>
    <w:rsid w:val="00F10549"/>
    <w:rsid w:val="00F111E0"/>
    <w:rsid w:val="00F12029"/>
    <w:rsid w:val="00F12576"/>
    <w:rsid w:val="00F12BCC"/>
    <w:rsid w:val="00F13021"/>
    <w:rsid w:val="00F1316A"/>
    <w:rsid w:val="00F13238"/>
    <w:rsid w:val="00F139EE"/>
    <w:rsid w:val="00F13D2C"/>
    <w:rsid w:val="00F13F1A"/>
    <w:rsid w:val="00F14650"/>
    <w:rsid w:val="00F1495A"/>
    <w:rsid w:val="00F14D8A"/>
    <w:rsid w:val="00F150CD"/>
    <w:rsid w:val="00F15214"/>
    <w:rsid w:val="00F153AF"/>
    <w:rsid w:val="00F16021"/>
    <w:rsid w:val="00F16580"/>
    <w:rsid w:val="00F16752"/>
    <w:rsid w:val="00F1692C"/>
    <w:rsid w:val="00F175E9"/>
    <w:rsid w:val="00F17691"/>
    <w:rsid w:val="00F1775A"/>
    <w:rsid w:val="00F20810"/>
    <w:rsid w:val="00F20B87"/>
    <w:rsid w:val="00F20E15"/>
    <w:rsid w:val="00F210B2"/>
    <w:rsid w:val="00F21177"/>
    <w:rsid w:val="00F22FA5"/>
    <w:rsid w:val="00F2365A"/>
    <w:rsid w:val="00F236A8"/>
    <w:rsid w:val="00F23B8F"/>
    <w:rsid w:val="00F23BE2"/>
    <w:rsid w:val="00F2477E"/>
    <w:rsid w:val="00F247D3"/>
    <w:rsid w:val="00F249C1"/>
    <w:rsid w:val="00F25093"/>
    <w:rsid w:val="00F2538E"/>
    <w:rsid w:val="00F2634B"/>
    <w:rsid w:val="00F26F05"/>
    <w:rsid w:val="00F27321"/>
    <w:rsid w:val="00F27C08"/>
    <w:rsid w:val="00F27C13"/>
    <w:rsid w:val="00F27CC0"/>
    <w:rsid w:val="00F303F7"/>
    <w:rsid w:val="00F30806"/>
    <w:rsid w:val="00F308E7"/>
    <w:rsid w:val="00F3112F"/>
    <w:rsid w:val="00F3135A"/>
    <w:rsid w:val="00F3149B"/>
    <w:rsid w:val="00F31C66"/>
    <w:rsid w:val="00F32AC6"/>
    <w:rsid w:val="00F32C6F"/>
    <w:rsid w:val="00F33E3E"/>
    <w:rsid w:val="00F34E67"/>
    <w:rsid w:val="00F352E5"/>
    <w:rsid w:val="00F35B82"/>
    <w:rsid w:val="00F35FD5"/>
    <w:rsid w:val="00F363C7"/>
    <w:rsid w:val="00F364C7"/>
    <w:rsid w:val="00F36BD7"/>
    <w:rsid w:val="00F3792B"/>
    <w:rsid w:val="00F379C5"/>
    <w:rsid w:val="00F4089D"/>
    <w:rsid w:val="00F40CD0"/>
    <w:rsid w:val="00F415E0"/>
    <w:rsid w:val="00F41742"/>
    <w:rsid w:val="00F41C28"/>
    <w:rsid w:val="00F41F62"/>
    <w:rsid w:val="00F4227F"/>
    <w:rsid w:val="00F425D1"/>
    <w:rsid w:val="00F426B7"/>
    <w:rsid w:val="00F42789"/>
    <w:rsid w:val="00F43107"/>
    <w:rsid w:val="00F43603"/>
    <w:rsid w:val="00F43638"/>
    <w:rsid w:val="00F44226"/>
    <w:rsid w:val="00F44400"/>
    <w:rsid w:val="00F44E47"/>
    <w:rsid w:val="00F454E7"/>
    <w:rsid w:val="00F45724"/>
    <w:rsid w:val="00F45F61"/>
    <w:rsid w:val="00F463AE"/>
    <w:rsid w:val="00F4688B"/>
    <w:rsid w:val="00F46FA1"/>
    <w:rsid w:val="00F47B1F"/>
    <w:rsid w:val="00F47B70"/>
    <w:rsid w:val="00F50BAA"/>
    <w:rsid w:val="00F51527"/>
    <w:rsid w:val="00F51714"/>
    <w:rsid w:val="00F5230A"/>
    <w:rsid w:val="00F52AF0"/>
    <w:rsid w:val="00F52E17"/>
    <w:rsid w:val="00F52FBF"/>
    <w:rsid w:val="00F536E9"/>
    <w:rsid w:val="00F537FE"/>
    <w:rsid w:val="00F53D98"/>
    <w:rsid w:val="00F54166"/>
    <w:rsid w:val="00F541B8"/>
    <w:rsid w:val="00F54EC8"/>
    <w:rsid w:val="00F55C21"/>
    <w:rsid w:val="00F5717C"/>
    <w:rsid w:val="00F6018C"/>
    <w:rsid w:val="00F6059A"/>
    <w:rsid w:val="00F609E3"/>
    <w:rsid w:val="00F60B3C"/>
    <w:rsid w:val="00F61AA8"/>
    <w:rsid w:val="00F61B28"/>
    <w:rsid w:val="00F61CB2"/>
    <w:rsid w:val="00F61FBB"/>
    <w:rsid w:val="00F62358"/>
    <w:rsid w:val="00F6265C"/>
    <w:rsid w:val="00F63135"/>
    <w:rsid w:val="00F6369C"/>
    <w:rsid w:val="00F63B46"/>
    <w:rsid w:val="00F6468A"/>
    <w:rsid w:val="00F64BD9"/>
    <w:rsid w:val="00F64DA4"/>
    <w:rsid w:val="00F6551F"/>
    <w:rsid w:val="00F65BC4"/>
    <w:rsid w:val="00F65C31"/>
    <w:rsid w:val="00F6636E"/>
    <w:rsid w:val="00F668D9"/>
    <w:rsid w:val="00F66F92"/>
    <w:rsid w:val="00F6728A"/>
    <w:rsid w:val="00F67AA6"/>
    <w:rsid w:val="00F70795"/>
    <w:rsid w:val="00F70C88"/>
    <w:rsid w:val="00F70DE4"/>
    <w:rsid w:val="00F71166"/>
    <w:rsid w:val="00F71198"/>
    <w:rsid w:val="00F71F97"/>
    <w:rsid w:val="00F71FD9"/>
    <w:rsid w:val="00F72E4C"/>
    <w:rsid w:val="00F72F55"/>
    <w:rsid w:val="00F72F5B"/>
    <w:rsid w:val="00F73A11"/>
    <w:rsid w:val="00F73A3C"/>
    <w:rsid w:val="00F73D35"/>
    <w:rsid w:val="00F73F39"/>
    <w:rsid w:val="00F74089"/>
    <w:rsid w:val="00F74153"/>
    <w:rsid w:val="00F75058"/>
    <w:rsid w:val="00F7589C"/>
    <w:rsid w:val="00F76033"/>
    <w:rsid w:val="00F76B60"/>
    <w:rsid w:val="00F76D27"/>
    <w:rsid w:val="00F77190"/>
    <w:rsid w:val="00F77C3C"/>
    <w:rsid w:val="00F77CAD"/>
    <w:rsid w:val="00F80A90"/>
    <w:rsid w:val="00F81536"/>
    <w:rsid w:val="00F81C5F"/>
    <w:rsid w:val="00F823CE"/>
    <w:rsid w:val="00F825A8"/>
    <w:rsid w:val="00F82627"/>
    <w:rsid w:val="00F82AB0"/>
    <w:rsid w:val="00F82AF8"/>
    <w:rsid w:val="00F82C0B"/>
    <w:rsid w:val="00F82CD2"/>
    <w:rsid w:val="00F83036"/>
    <w:rsid w:val="00F8347A"/>
    <w:rsid w:val="00F83A77"/>
    <w:rsid w:val="00F83E7A"/>
    <w:rsid w:val="00F84271"/>
    <w:rsid w:val="00F84FDA"/>
    <w:rsid w:val="00F85170"/>
    <w:rsid w:val="00F85768"/>
    <w:rsid w:val="00F85F92"/>
    <w:rsid w:val="00F8668C"/>
    <w:rsid w:val="00F87947"/>
    <w:rsid w:val="00F87FFD"/>
    <w:rsid w:val="00F91CF2"/>
    <w:rsid w:val="00F927A0"/>
    <w:rsid w:val="00F934B9"/>
    <w:rsid w:val="00F93A97"/>
    <w:rsid w:val="00F942D1"/>
    <w:rsid w:val="00F94632"/>
    <w:rsid w:val="00F94887"/>
    <w:rsid w:val="00F95491"/>
    <w:rsid w:val="00F95A8A"/>
    <w:rsid w:val="00F95A96"/>
    <w:rsid w:val="00F95B0F"/>
    <w:rsid w:val="00F96363"/>
    <w:rsid w:val="00F96642"/>
    <w:rsid w:val="00F97175"/>
    <w:rsid w:val="00F977A5"/>
    <w:rsid w:val="00F97A81"/>
    <w:rsid w:val="00F97BB1"/>
    <w:rsid w:val="00F97EB8"/>
    <w:rsid w:val="00FA078A"/>
    <w:rsid w:val="00FA0C01"/>
    <w:rsid w:val="00FA0DB5"/>
    <w:rsid w:val="00FA133A"/>
    <w:rsid w:val="00FA1377"/>
    <w:rsid w:val="00FA152A"/>
    <w:rsid w:val="00FA1D1B"/>
    <w:rsid w:val="00FA3014"/>
    <w:rsid w:val="00FA3C83"/>
    <w:rsid w:val="00FA3F69"/>
    <w:rsid w:val="00FA4413"/>
    <w:rsid w:val="00FA49E9"/>
    <w:rsid w:val="00FA4A64"/>
    <w:rsid w:val="00FA4CFE"/>
    <w:rsid w:val="00FA6007"/>
    <w:rsid w:val="00FA6121"/>
    <w:rsid w:val="00FA627D"/>
    <w:rsid w:val="00FA628D"/>
    <w:rsid w:val="00FA6344"/>
    <w:rsid w:val="00FA768C"/>
    <w:rsid w:val="00FA7E22"/>
    <w:rsid w:val="00FA7E4E"/>
    <w:rsid w:val="00FA7FE7"/>
    <w:rsid w:val="00FB0665"/>
    <w:rsid w:val="00FB0C65"/>
    <w:rsid w:val="00FB14A8"/>
    <w:rsid w:val="00FB1A40"/>
    <w:rsid w:val="00FB1A45"/>
    <w:rsid w:val="00FB1CF2"/>
    <w:rsid w:val="00FB3216"/>
    <w:rsid w:val="00FB355E"/>
    <w:rsid w:val="00FB389C"/>
    <w:rsid w:val="00FB4797"/>
    <w:rsid w:val="00FB51B8"/>
    <w:rsid w:val="00FB5BFC"/>
    <w:rsid w:val="00FB5D10"/>
    <w:rsid w:val="00FB6C27"/>
    <w:rsid w:val="00FB724C"/>
    <w:rsid w:val="00FB7544"/>
    <w:rsid w:val="00FB7642"/>
    <w:rsid w:val="00FB7E5F"/>
    <w:rsid w:val="00FC023E"/>
    <w:rsid w:val="00FC02E9"/>
    <w:rsid w:val="00FC0E25"/>
    <w:rsid w:val="00FC1ABD"/>
    <w:rsid w:val="00FC21C3"/>
    <w:rsid w:val="00FC23CC"/>
    <w:rsid w:val="00FC24C4"/>
    <w:rsid w:val="00FC29B6"/>
    <w:rsid w:val="00FC32DA"/>
    <w:rsid w:val="00FC332F"/>
    <w:rsid w:val="00FC408E"/>
    <w:rsid w:val="00FC451E"/>
    <w:rsid w:val="00FC4579"/>
    <w:rsid w:val="00FC491B"/>
    <w:rsid w:val="00FC5742"/>
    <w:rsid w:val="00FC5C86"/>
    <w:rsid w:val="00FC60C9"/>
    <w:rsid w:val="00FC6303"/>
    <w:rsid w:val="00FC66BF"/>
    <w:rsid w:val="00FC680F"/>
    <w:rsid w:val="00FC75AA"/>
    <w:rsid w:val="00FC7C09"/>
    <w:rsid w:val="00FC7C70"/>
    <w:rsid w:val="00FD1590"/>
    <w:rsid w:val="00FD180C"/>
    <w:rsid w:val="00FD1900"/>
    <w:rsid w:val="00FD23FE"/>
    <w:rsid w:val="00FD2589"/>
    <w:rsid w:val="00FD3BAA"/>
    <w:rsid w:val="00FD505C"/>
    <w:rsid w:val="00FD562C"/>
    <w:rsid w:val="00FD571A"/>
    <w:rsid w:val="00FD5CF9"/>
    <w:rsid w:val="00FD5F43"/>
    <w:rsid w:val="00FD616A"/>
    <w:rsid w:val="00FD62E1"/>
    <w:rsid w:val="00FD657F"/>
    <w:rsid w:val="00FD6BE0"/>
    <w:rsid w:val="00FD7118"/>
    <w:rsid w:val="00FD711D"/>
    <w:rsid w:val="00FD78C1"/>
    <w:rsid w:val="00FD7F96"/>
    <w:rsid w:val="00FE0AE8"/>
    <w:rsid w:val="00FE0BCD"/>
    <w:rsid w:val="00FE0E9D"/>
    <w:rsid w:val="00FE130B"/>
    <w:rsid w:val="00FE190D"/>
    <w:rsid w:val="00FE2873"/>
    <w:rsid w:val="00FE2E2E"/>
    <w:rsid w:val="00FE30B8"/>
    <w:rsid w:val="00FE3DF2"/>
    <w:rsid w:val="00FE400D"/>
    <w:rsid w:val="00FE418B"/>
    <w:rsid w:val="00FE4253"/>
    <w:rsid w:val="00FE47C0"/>
    <w:rsid w:val="00FE4939"/>
    <w:rsid w:val="00FE4AA1"/>
    <w:rsid w:val="00FE4BAD"/>
    <w:rsid w:val="00FE56E8"/>
    <w:rsid w:val="00FE57B2"/>
    <w:rsid w:val="00FE5966"/>
    <w:rsid w:val="00FE7694"/>
    <w:rsid w:val="00FE770D"/>
    <w:rsid w:val="00FE7850"/>
    <w:rsid w:val="00FF005E"/>
    <w:rsid w:val="00FF02DA"/>
    <w:rsid w:val="00FF3798"/>
    <w:rsid w:val="00FF388F"/>
    <w:rsid w:val="00FF3D4B"/>
    <w:rsid w:val="00FF488C"/>
    <w:rsid w:val="00FF5849"/>
    <w:rsid w:val="00FF599A"/>
    <w:rsid w:val="00FF6833"/>
    <w:rsid w:val="00FF6A21"/>
    <w:rsid w:val="00FF6A50"/>
    <w:rsid w:val="00FF6BC4"/>
    <w:rsid w:val="00FF72FE"/>
    <w:rsid w:val="00FF75C3"/>
    <w:rsid w:val="00FF791B"/>
    <w:rsid w:val="00FF7EC3"/>
    <w:rsid w:val="01D72088"/>
    <w:rsid w:val="024DE951"/>
    <w:rsid w:val="039009C2"/>
    <w:rsid w:val="03D6AC75"/>
    <w:rsid w:val="0404837B"/>
    <w:rsid w:val="05473A05"/>
    <w:rsid w:val="06B07648"/>
    <w:rsid w:val="06B16EC3"/>
    <w:rsid w:val="06DE4CC8"/>
    <w:rsid w:val="098AF8F5"/>
    <w:rsid w:val="09A54F47"/>
    <w:rsid w:val="0A5ECCB0"/>
    <w:rsid w:val="0A6ABE8A"/>
    <w:rsid w:val="0A91AAA1"/>
    <w:rsid w:val="0BA24188"/>
    <w:rsid w:val="0BD5FA01"/>
    <w:rsid w:val="0C056FD8"/>
    <w:rsid w:val="0C710FD2"/>
    <w:rsid w:val="0DF20051"/>
    <w:rsid w:val="0EE8628E"/>
    <w:rsid w:val="0F1EA3C4"/>
    <w:rsid w:val="0FFD7DDA"/>
    <w:rsid w:val="102740D7"/>
    <w:rsid w:val="10607F55"/>
    <w:rsid w:val="115146BC"/>
    <w:rsid w:val="1377E9E0"/>
    <w:rsid w:val="1504EABE"/>
    <w:rsid w:val="15F5C4A0"/>
    <w:rsid w:val="1616DC17"/>
    <w:rsid w:val="169F6DBC"/>
    <w:rsid w:val="174F68B0"/>
    <w:rsid w:val="1935D3BE"/>
    <w:rsid w:val="19410630"/>
    <w:rsid w:val="194E7CD9"/>
    <w:rsid w:val="1995616E"/>
    <w:rsid w:val="19C4B4A7"/>
    <w:rsid w:val="1A338346"/>
    <w:rsid w:val="1AC76242"/>
    <w:rsid w:val="1B622138"/>
    <w:rsid w:val="1C170E12"/>
    <w:rsid w:val="1C18E2D0"/>
    <w:rsid w:val="1C802DC7"/>
    <w:rsid w:val="1C93F963"/>
    <w:rsid w:val="1D26A325"/>
    <w:rsid w:val="1FEB260E"/>
    <w:rsid w:val="1FF77365"/>
    <w:rsid w:val="20358222"/>
    <w:rsid w:val="206C9F24"/>
    <w:rsid w:val="20E4CD9E"/>
    <w:rsid w:val="20F1850B"/>
    <w:rsid w:val="222974C3"/>
    <w:rsid w:val="225B2D79"/>
    <w:rsid w:val="22AF3430"/>
    <w:rsid w:val="235888FB"/>
    <w:rsid w:val="251A8B6E"/>
    <w:rsid w:val="25255508"/>
    <w:rsid w:val="25D21E4A"/>
    <w:rsid w:val="266E64F0"/>
    <w:rsid w:val="296C8E29"/>
    <w:rsid w:val="29BAF2F9"/>
    <w:rsid w:val="2A529129"/>
    <w:rsid w:val="2A62FF34"/>
    <w:rsid w:val="2B72049A"/>
    <w:rsid w:val="2BAC3E44"/>
    <w:rsid w:val="30229191"/>
    <w:rsid w:val="319454B0"/>
    <w:rsid w:val="3246FA09"/>
    <w:rsid w:val="326D19D7"/>
    <w:rsid w:val="332FE2B9"/>
    <w:rsid w:val="3357386E"/>
    <w:rsid w:val="33D26570"/>
    <w:rsid w:val="33D8AA64"/>
    <w:rsid w:val="33F20109"/>
    <w:rsid w:val="34BC5CE7"/>
    <w:rsid w:val="34BED7C9"/>
    <w:rsid w:val="34DF532E"/>
    <w:rsid w:val="34EFDB96"/>
    <w:rsid w:val="35B51280"/>
    <w:rsid w:val="36242F3A"/>
    <w:rsid w:val="3753CCA6"/>
    <w:rsid w:val="3825841A"/>
    <w:rsid w:val="3A0A0F20"/>
    <w:rsid w:val="3A0D3BD6"/>
    <w:rsid w:val="3B1BBFCD"/>
    <w:rsid w:val="3D1A4486"/>
    <w:rsid w:val="3D57DDD7"/>
    <w:rsid w:val="3FE17BE3"/>
    <w:rsid w:val="40A17A51"/>
    <w:rsid w:val="40F9F5BE"/>
    <w:rsid w:val="42FEAAEC"/>
    <w:rsid w:val="43091FF2"/>
    <w:rsid w:val="43CC86C8"/>
    <w:rsid w:val="452328DC"/>
    <w:rsid w:val="45F9C253"/>
    <w:rsid w:val="4638D2F5"/>
    <w:rsid w:val="463F60D7"/>
    <w:rsid w:val="47B3FE2F"/>
    <w:rsid w:val="480FAF8F"/>
    <w:rsid w:val="499B0FF1"/>
    <w:rsid w:val="49CCC3AB"/>
    <w:rsid w:val="4AECBF5F"/>
    <w:rsid w:val="4B0F0337"/>
    <w:rsid w:val="4B83B145"/>
    <w:rsid w:val="4CBCA0CF"/>
    <w:rsid w:val="516A0F04"/>
    <w:rsid w:val="52BD24C0"/>
    <w:rsid w:val="530B0459"/>
    <w:rsid w:val="54913F38"/>
    <w:rsid w:val="57BC42AF"/>
    <w:rsid w:val="57D16985"/>
    <w:rsid w:val="57FF2BC8"/>
    <w:rsid w:val="588C7832"/>
    <w:rsid w:val="588E7070"/>
    <w:rsid w:val="5958ECCB"/>
    <w:rsid w:val="598A52BF"/>
    <w:rsid w:val="59FDE55F"/>
    <w:rsid w:val="5AF28860"/>
    <w:rsid w:val="5D24D312"/>
    <w:rsid w:val="5DB9ACFB"/>
    <w:rsid w:val="5F49994F"/>
    <w:rsid w:val="5FA58D8C"/>
    <w:rsid w:val="6105B516"/>
    <w:rsid w:val="61308CCD"/>
    <w:rsid w:val="6165A02B"/>
    <w:rsid w:val="61E14BFF"/>
    <w:rsid w:val="644AE3A9"/>
    <w:rsid w:val="6542459A"/>
    <w:rsid w:val="659DBA38"/>
    <w:rsid w:val="65D76A9D"/>
    <w:rsid w:val="67E08B86"/>
    <w:rsid w:val="69933239"/>
    <w:rsid w:val="69B7E316"/>
    <w:rsid w:val="69CF2339"/>
    <w:rsid w:val="6AB4F35A"/>
    <w:rsid w:val="6AD9F59C"/>
    <w:rsid w:val="6CCAD2FB"/>
    <w:rsid w:val="6E66A35C"/>
    <w:rsid w:val="6EB24880"/>
    <w:rsid w:val="6EDCB086"/>
    <w:rsid w:val="6F3B4F2D"/>
    <w:rsid w:val="6FAF5595"/>
    <w:rsid w:val="719B49B6"/>
    <w:rsid w:val="719DDF0F"/>
    <w:rsid w:val="71BDAFB4"/>
    <w:rsid w:val="7220172D"/>
    <w:rsid w:val="7261E6EE"/>
    <w:rsid w:val="72C42E97"/>
    <w:rsid w:val="72C5FA87"/>
    <w:rsid w:val="7371F871"/>
    <w:rsid w:val="73A24A6A"/>
    <w:rsid w:val="75902AE3"/>
    <w:rsid w:val="763879A3"/>
    <w:rsid w:val="78D81114"/>
    <w:rsid w:val="78E01DF2"/>
    <w:rsid w:val="78F3A022"/>
    <w:rsid w:val="79A1AD59"/>
    <w:rsid w:val="79F146D7"/>
    <w:rsid w:val="7A6BFCB4"/>
    <w:rsid w:val="7B7181D6"/>
    <w:rsid w:val="7BC0D255"/>
    <w:rsid w:val="7BE021D0"/>
    <w:rsid w:val="7CEDA9A8"/>
    <w:rsid w:val="7D2F4B25"/>
    <w:rsid w:val="7DC056B8"/>
    <w:rsid w:val="7E7F342B"/>
    <w:rsid w:val="7FAFC929"/>
    <w:rsid w:val="7FCF3B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837B"/>
  <w15:chartTrackingRefBased/>
  <w15:docId w15:val="{E0091D8D-E5BA-4582-86F2-5F50D9FE1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243"/>
    <w:pPr>
      <w:keepNext/>
      <w:keepLines/>
      <w:spacing w:before="240" w:after="0"/>
      <w:outlineLvl w:val="0"/>
    </w:pPr>
    <w:rPr>
      <w:rFonts w:ascii="Times New Roman" w:eastAsiaTheme="majorEastAsia" w:hAnsi="Times New Roman"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499D"/>
    <w:pPr>
      <w:keepNext/>
      <w:keepLines/>
      <w:spacing w:before="40" w:after="0"/>
      <w:outlineLvl w:val="1"/>
    </w:pPr>
    <w:rPr>
      <w:rFonts w:ascii="Times New Roman" w:eastAsiaTheme="majorEastAsia" w:hAnsi="Times New Roman"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946"/>
  </w:style>
  <w:style w:type="paragraph" w:styleId="Footer">
    <w:name w:val="footer"/>
    <w:basedOn w:val="Normal"/>
    <w:link w:val="FooterChar"/>
    <w:uiPriority w:val="99"/>
    <w:unhideWhenUsed/>
    <w:rsid w:val="00441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946"/>
  </w:style>
  <w:style w:type="paragraph" w:styleId="ListParagraph">
    <w:name w:val="List Paragraph"/>
    <w:basedOn w:val="Normal"/>
    <w:uiPriority w:val="34"/>
    <w:qFormat/>
    <w:rsid w:val="000F0C14"/>
    <w:pPr>
      <w:ind w:left="720"/>
      <w:contextualSpacing/>
    </w:pPr>
  </w:style>
  <w:style w:type="character" w:customStyle="1" w:styleId="Heading2Char">
    <w:name w:val="Heading 2 Char"/>
    <w:basedOn w:val="DefaultParagraphFont"/>
    <w:link w:val="Heading2"/>
    <w:uiPriority w:val="9"/>
    <w:rsid w:val="0084499D"/>
    <w:rPr>
      <w:rFonts w:ascii="Times New Roman" w:eastAsiaTheme="majorEastAsia" w:hAnsi="Times New Roman" w:cstheme="majorBidi"/>
      <w:color w:val="2F5496" w:themeColor="accent1" w:themeShade="BF"/>
      <w:sz w:val="26"/>
      <w:szCs w:val="26"/>
    </w:rPr>
  </w:style>
  <w:style w:type="character" w:customStyle="1" w:styleId="Heading1Char">
    <w:name w:val="Heading 1 Char"/>
    <w:basedOn w:val="DefaultParagraphFont"/>
    <w:link w:val="Heading1"/>
    <w:uiPriority w:val="9"/>
    <w:rsid w:val="00064243"/>
    <w:rPr>
      <w:rFonts w:ascii="Times New Roman" w:eastAsiaTheme="majorEastAsia" w:hAnsi="Times New Roman" w:cstheme="majorBidi"/>
      <w:color w:val="2F5496" w:themeColor="accent1" w:themeShade="BF"/>
      <w:sz w:val="32"/>
      <w:szCs w:val="32"/>
    </w:rPr>
  </w:style>
  <w:style w:type="table" w:styleId="TableGrid">
    <w:name w:val="Table Grid"/>
    <w:basedOn w:val="TableNormal"/>
    <w:uiPriority w:val="59"/>
    <w:rsid w:val="00D93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262018"/>
    <w:rPr>
      <w:rFonts w:ascii="Times New Roman" w:hAnsi="Times New Roman"/>
      <w:i/>
      <w:iCs/>
      <w:color w:val="1F3763" w:themeColor="accent1" w:themeShade="7F"/>
      <w:sz w:val="26"/>
    </w:rPr>
  </w:style>
  <w:style w:type="paragraph" w:styleId="TOCHeading">
    <w:name w:val="TOC Heading"/>
    <w:basedOn w:val="Heading1"/>
    <w:next w:val="Normal"/>
    <w:uiPriority w:val="39"/>
    <w:unhideWhenUsed/>
    <w:qFormat/>
    <w:rsid w:val="00907393"/>
    <w:pPr>
      <w:outlineLvl w:val="9"/>
    </w:pPr>
    <w:rPr>
      <w:rFonts w:asciiTheme="majorHAnsi" w:hAnsiTheme="majorHAnsi"/>
    </w:rPr>
  </w:style>
  <w:style w:type="paragraph" w:styleId="TOC1">
    <w:name w:val="toc 1"/>
    <w:basedOn w:val="Normal"/>
    <w:next w:val="Normal"/>
    <w:autoRedefine/>
    <w:uiPriority w:val="39"/>
    <w:unhideWhenUsed/>
    <w:rsid w:val="00907393"/>
    <w:pPr>
      <w:spacing w:after="100"/>
    </w:pPr>
  </w:style>
  <w:style w:type="paragraph" w:styleId="TOC2">
    <w:name w:val="toc 2"/>
    <w:basedOn w:val="Normal"/>
    <w:next w:val="Normal"/>
    <w:autoRedefine/>
    <w:uiPriority w:val="39"/>
    <w:unhideWhenUsed/>
    <w:rsid w:val="00907393"/>
    <w:pPr>
      <w:spacing w:after="100"/>
      <w:ind w:left="220"/>
    </w:pPr>
  </w:style>
  <w:style w:type="character" w:styleId="Hyperlink">
    <w:name w:val="Hyperlink"/>
    <w:basedOn w:val="DefaultParagraphFont"/>
    <w:uiPriority w:val="99"/>
    <w:unhideWhenUsed/>
    <w:rsid w:val="00907393"/>
    <w:rPr>
      <w:color w:val="0563C1" w:themeColor="hyperlink"/>
      <w:u w:val="single"/>
    </w:rPr>
  </w:style>
  <w:style w:type="character" w:styleId="IntenseEmphasis">
    <w:name w:val="Intense Emphasis"/>
    <w:basedOn w:val="DefaultParagraphFont"/>
    <w:uiPriority w:val="21"/>
    <w:qFormat/>
    <w:rsid w:val="00887DCC"/>
    <w:rPr>
      <w:rFonts w:ascii="Times New Roman" w:hAnsi="Times New Roman"/>
      <w:i/>
      <w:iCs/>
      <w:color w:val="4472C4" w:themeColor="accent1"/>
    </w:rPr>
  </w:style>
  <w:style w:type="character" w:styleId="UnresolvedMention">
    <w:name w:val="Unresolved Mention"/>
    <w:basedOn w:val="DefaultParagraphFont"/>
    <w:uiPriority w:val="99"/>
    <w:semiHidden/>
    <w:unhideWhenUsed/>
    <w:rsid w:val="00562B88"/>
    <w:rPr>
      <w:color w:val="605E5C"/>
      <w:shd w:val="clear" w:color="auto" w:fill="E1DFDD"/>
    </w:rPr>
  </w:style>
  <w:style w:type="character" w:styleId="FollowedHyperlink">
    <w:name w:val="FollowedHyperlink"/>
    <w:basedOn w:val="DefaultParagraphFont"/>
    <w:uiPriority w:val="99"/>
    <w:semiHidden/>
    <w:unhideWhenUsed/>
    <w:rsid w:val="00381C7D"/>
    <w:rPr>
      <w:color w:val="954F72" w:themeColor="followedHyperlink"/>
      <w:u w:val="single"/>
    </w:rPr>
  </w:style>
  <w:style w:type="character" w:styleId="CommentReference">
    <w:name w:val="annotation reference"/>
    <w:basedOn w:val="DefaultParagraphFont"/>
    <w:uiPriority w:val="99"/>
    <w:semiHidden/>
    <w:unhideWhenUsed/>
    <w:rsid w:val="006F1AC6"/>
    <w:rPr>
      <w:sz w:val="16"/>
      <w:szCs w:val="16"/>
    </w:rPr>
  </w:style>
  <w:style w:type="paragraph" w:styleId="CommentText">
    <w:name w:val="annotation text"/>
    <w:basedOn w:val="Normal"/>
    <w:link w:val="CommentTextChar"/>
    <w:uiPriority w:val="99"/>
    <w:semiHidden/>
    <w:unhideWhenUsed/>
    <w:rsid w:val="006F1AC6"/>
    <w:pPr>
      <w:spacing w:line="240" w:lineRule="auto"/>
    </w:pPr>
    <w:rPr>
      <w:sz w:val="20"/>
      <w:szCs w:val="20"/>
    </w:rPr>
  </w:style>
  <w:style w:type="character" w:customStyle="1" w:styleId="CommentTextChar">
    <w:name w:val="Comment Text Char"/>
    <w:basedOn w:val="DefaultParagraphFont"/>
    <w:link w:val="CommentText"/>
    <w:uiPriority w:val="99"/>
    <w:semiHidden/>
    <w:rsid w:val="006F1AC6"/>
    <w:rPr>
      <w:sz w:val="20"/>
      <w:szCs w:val="20"/>
    </w:rPr>
  </w:style>
  <w:style w:type="paragraph" w:styleId="CommentSubject">
    <w:name w:val="annotation subject"/>
    <w:basedOn w:val="CommentText"/>
    <w:next w:val="CommentText"/>
    <w:link w:val="CommentSubjectChar"/>
    <w:uiPriority w:val="99"/>
    <w:semiHidden/>
    <w:unhideWhenUsed/>
    <w:rsid w:val="006F1AC6"/>
    <w:rPr>
      <w:b/>
      <w:bCs/>
    </w:rPr>
  </w:style>
  <w:style w:type="character" w:customStyle="1" w:styleId="CommentSubjectChar">
    <w:name w:val="Comment Subject Char"/>
    <w:basedOn w:val="CommentTextChar"/>
    <w:link w:val="CommentSubject"/>
    <w:uiPriority w:val="99"/>
    <w:semiHidden/>
    <w:rsid w:val="006F1AC6"/>
    <w:rPr>
      <w:b/>
      <w:bCs/>
      <w:sz w:val="20"/>
      <w:szCs w:val="20"/>
    </w:rPr>
  </w:style>
  <w:style w:type="character" w:styleId="Mention">
    <w:name w:val="Mention"/>
    <w:basedOn w:val="DefaultParagraphFont"/>
    <w:uiPriority w:val="99"/>
    <w:unhideWhenUsed/>
    <w:rsid w:val="0017751A"/>
    <w:rPr>
      <w:color w:val="2B579A"/>
      <w:shd w:val="clear" w:color="auto" w:fill="E6E6E6"/>
    </w:rPr>
  </w:style>
  <w:style w:type="paragraph" w:customStyle="1" w:styleId="paragraph">
    <w:name w:val="paragraph"/>
    <w:basedOn w:val="Normal"/>
    <w:rsid w:val="00AF69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6941"/>
  </w:style>
  <w:style w:type="character" w:customStyle="1" w:styleId="eop">
    <w:name w:val="eop"/>
    <w:basedOn w:val="DefaultParagraphFont"/>
    <w:rsid w:val="00AF6941"/>
  </w:style>
  <w:style w:type="character" w:customStyle="1" w:styleId="spellingerror">
    <w:name w:val="spellingerror"/>
    <w:basedOn w:val="DefaultParagraphFont"/>
    <w:rsid w:val="000734AC"/>
  </w:style>
  <w:style w:type="character" w:customStyle="1" w:styleId="scxw59924635">
    <w:name w:val="scxw59924635"/>
    <w:basedOn w:val="DefaultParagraphFont"/>
    <w:rsid w:val="001A7F8F"/>
  </w:style>
  <w:style w:type="character" w:customStyle="1" w:styleId="advancedproofingissue">
    <w:name w:val="advancedproofingissue"/>
    <w:basedOn w:val="DefaultParagraphFont"/>
    <w:rsid w:val="00F97EB8"/>
  </w:style>
  <w:style w:type="character" w:customStyle="1" w:styleId="contextualspellingandgrammarerror">
    <w:name w:val="contextualspellingandgrammarerror"/>
    <w:basedOn w:val="DefaultParagraphFont"/>
    <w:rsid w:val="00F97EB8"/>
  </w:style>
  <w:style w:type="character" w:customStyle="1" w:styleId="scxw73392725">
    <w:name w:val="scxw73392725"/>
    <w:basedOn w:val="DefaultParagraphFont"/>
    <w:rsid w:val="00A66874"/>
  </w:style>
  <w:style w:type="character" w:customStyle="1" w:styleId="scxw158243851">
    <w:name w:val="scxw158243851"/>
    <w:basedOn w:val="DefaultParagraphFont"/>
    <w:rsid w:val="00D16CAE"/>
  </w:style>
  <w:style w:type="character" w:customStyle="1" w:styleId="scxw246590375">
    <w:name w:val="scxw246590375"/>
    <w:basedOn w:val="DefaultParagraphFont"/>
    <w:rsid w:val="00E90405"/>
  </w:style>
  <w:style w:type="character" w:customStyle="1" w:styleId="scxw95226893">
    <w:name w:val="scxw95226893"/>
    <w:basedOn w:val="DefaultParagraphFont"/>
    <w:rsid w:val="005F175E"/>
  </w:style>
  <w:style w:type="character" w:customStyle="1" w:styleId="scxw67467753">
    <w:name w:val="scxw67467753"/>
    <w:basedOn w:val="DefaultParagraphFont"/>
    <w:rsid w:val="003742E8"/>
  </w:style>
  <w:style w:type="character" w:customStyle="1" w:styleId="scxw120489810">
    <w:name w:val="scxw120489810"/>
    <w:basedOn w:val="DefaultParagraphFont"/>
    <w:rsid w:val="00147B7A"/>
  </w:style>
  <w:style w:type="character" w:customStyle="1" w:styleId="bcx0">
    <w:name w:val="bcx0"/>
    <w:basedOn w:val="DefaultParagraphFont"/>
    <w:rsid w:val="0060522B"/>
  </w:style>
  <w:style w:type="character" w:customStyle="1" w:styleId="scxw118425629">
    <w:name w:val="scxw118425629"/>
    <w:basedOn w:val="DefaultParagraphFont"/>
    <w:rsid w:val="0048594B"/>
  </w:style>
  <w:style w:type="character" w:customStyle="1" w:styleId="scxw52255993">
    <w:name w:val="scxw52255993"/>
    <w:basedOn w:val="DefaultParagraphFont"/>
    <w:rsid w:val="00344419"/>
  </w:style>
  <w:style w:type="character" w:customStyle="1" w:styleId="scxw124788065">
    <w:name w:val="scxw124788065"/>
    <w:basedOn w:val="DefaultParagraphFont"/>
    <w:rsid w:val="000536B1"/>
  </w:style>
  <w:style w:type="character" w:customStyle="1" w:styleId="scxw124215723">
    <w:name w:val="scxw124215723"/>
    <w:basedOn w:val="DefaultParagraphFont"/>
    <w:rsid w:val="00A85E92"/>
  </w:style>
  <w:style w:type="character" w:customStyle="1" w:styleId="scxw127031168">
    <w:name w:val="scxw127031168"/>
    <w:basedOn w:val="DefaultParagraphFont"/>
    <w:rsid w:val="00142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7898">
      <w:bodyDiv w:val="1"/>
      <w:marLeft w:val="0"/>
      <w:marRight w:val="0"/>
      <w:marTop w:val="0"/>
      <w:marBottom w:val="0"/>
      <w:divBdr>
        <w:top w:val="none" w:sz="0" w:space="0" w:color="auto"/>
        <w:left w:val="none" w:sz="0" w:space="0" w:color="auto"/>
        <w:bottom w:val="none" w:sz="0" w:space="0" w:color="auto"/>
        <w:right w:val="none" w:sz="0" w:space="0" w:color="auto"/>
      </w:divBdr>
      <w:divsChild>
        <w:div w:id="870655274">
          <w:marLeft w:val="0"/>
          <w:marRight w:val="0"/>
          <w:marTop w:val="0"/>
          <w:marBottom w:val="0"/>
          <w:divBdr>
            <w:top w:val="none" w:sz="0" w:space="0" w:color="auto"/>
            <w:left w:val="none" w:sz="0" w:space="0" w:color="auto"/>
            <w:bottom w:val="none" w:sz="0" w:space="0" w:color="auto"/>
            <w:right w:val="none" w:sz="0" w:space="0" w:color="auto"/>
          </w:divBdr>
        </w:div>
        <w:div w:id="1231500051">
          <w:marLeft w:val="0"/>
          <w:marRight w:val="0"/>
          <w:marTop w:val="0"/>
          <w:marBottom w:val="0"/>
          <w:divBdr>
            <w:top w:val="none" w:sz="0" w:space="0" w:color="auto"/>
            <w:left w:val="none" w:sz="0" w:space="0" w:color="auto"/>
            <w:bottom w:val="none" w:sz="0" w:space="0" w:color="auto"/>
            <w:right w:val="none" w:sz="0" w:space="0" w:color="auto"/>
          </w:divBdr>
        </w:div>
        <w:div w:id="1592664618">
          <w:marLeft w:val="0"/>
          <w:marRight w:val="0"/>
          <w:marTop w:val="0"/>
          <w:marBottom w:val="0"/>
          <w:divBdr>
            <w:top w:val="none" w:sz="0" w:space="0" w:color="auto"/>
            <w:left w:val="none" w:sz="0" w:space="0" w:color="auto"/>
            <w:bottom w:val="none" w:sz="0" w:space="0" w:color="auto"/>
            <w:right w:val="none" w:sz="0" w:space="0" w:color="auto"/>
          </w:divBdr>
        </w:div>
        <w:div w:id="1645426645">
          <w:marLeft w:val="0"/>
          <w:marRight w:val="0"/>
          <w:marTop w:val="0"/>
          <w:marBottom w:val="0"/>
          <w:divBdr>
            <w:top w:val="none" w:sz="0" w:space="0" w:color="auto"/>
            <w:left w:val="none" w:sz="0" w:space="0" w:color="auto"/>
            <w:bottom w:val="none" w:sz="0" w:space="0" w:color="auto"/>
            <w:right w:val="none" w:sz="0" w:space="0" w:color="auto"/>
          </w:divBdr>
        </w:div>
        <w:div w:id="1751846395">
          <w:marLeft w:val="0"/>
          <w:marRight w:val="0"/>
          <w:marTop w:val="0"/>
          <w:marBottom w:val="0"/>
          <w:divBdr>
            <w:top w:val="none" w:sz="0" w:space="0" w:color="auto"/>
            <w:left w:val="none" w:sz="0" w:space="0" w:color="auto"/>
            <w:bottom w:val="none" w:sz="0" w:space="0" w:color="auto"/>
            <w:right w:val="none" w:sz="0" w:space="0" w:color="auto"/>
          </w:divBdr>
        </w:div>
        <w:div w:id="1972900660">
          <w:marLeft w:val="0"/>
          <w:marRight w:val="0"/>
          <w:marTop w:val="0"/>
          <w:marBottom w:val="0"/>
          <w:divBdr>
            <w:top w:val="none" w:sz="0" w:space="0" w:color="auto"/>
            <w:left w:val="none" w:sz="0" w:space="0" w:color="auto"/>
            <w:bottom w:val="none" w:sz="0" w:space="0" w:color="auto"/>
            <w:right w:val="none" w:sz="0" w:space="0" w:color="auto"/>
          </w:divBdr>
        </w:div>
      </w:divsChild>
    </w:div>
    <w:div w:id="9576037">
      <w:bodyDiv w:val="1"/>
      <w:marLeft w:val="0"/>
      <w:marRight w:val="0"/>
      <w:marTop w:val="0"/>
      <w:marBottom w:val="0"/>
      <w:divBdr>
        <w:top w:val="none" w:sz="0" w:space="0" w:color="auto"/>
        <w:left w:val="none" w:sz="0" w:space="0" w:color="auto"/>
        <w:bottom w:val="none" w:sz="0" w:space="0" w:color="auto"/>
        <w:right w:val="none" w:sz="0" w:space="0" w:color="auto"/>
      </w:divBdr>
      <w:divsChild>
        <w:div w:id="33190947">
          <w:marLeft w:val="0"/>
          <w:marRight w:val="0"/>
          <w:marTop w:val="0"/>
          <w:marBottom w:val="0"/>
          <w:divBdr>
            <w:top w:val="none" w:sz="0" w:space="0" w:color="auto"/>
            <w:left w:val="none" w:sz="0" w:space="0" w:color="auto"/>
            <w:bottom w:val="none" w:sz="0" w:space="0" w:color="auto"/>
            <w:right w:val="none" w:sz="0" w:space="0" w:color="auto"/>
          </w:divBdr>
        </w:div>
        <w:div w:id="172888048">
          <w:marLeft w:val="0"/>
          <w:marRight w:val="0"/>
          <w:marTop w:val="0"/>
          <w:marBottom w:val="0"/>
          <w:divBdr>
            <w:top w:val="none" w:sz="0" w:space="0" w:color="auto"/>
            <w:left w:val="none" w:sz="0" w:space="0" w:color="auto"/>
            <w:bottom w:val="none" w:sz="0" w:space="0" w:color="auto"/>
            <w:right w:val="none" w:sz="0" w:space="0" w:color="auto"/>
          </w:divBdr>
        </w:div>
        <w:div w:id="375394253">
          <w:marLeft w:val="0"/>
          <w:marRight w:val="0"/>
          <w:marTop w:val="0"/>
          <w:marBottom w:val="0"/>
          <w:divBdr>
            <w:top w:val="none" w:sz="0" w:space="0" w:color="auto"/>
            <w:left w:val="none" w:sz="0" w:space="0" w:color="auto"/>
            <w:bottom w:val="none" w:sz="0" w:space="0" w:color="auto"/>
            <w:right w:val="none" w:sz="0" w:space="0" w:color="auto"/>
          </w:divBdr>
        </w:div>
        <w:div w:id="454763012">
          <w:marLeft w:val="0"/>
          <w:marRight w:val="0"/>
          <w:marTop w:val="0"/>
          <w:marBottom w:val="0"/>
          <w:divBdr>
            <w:top w:val="none" w:sz="0" w:space="0" w:color="auto"/>
            <w:left w:val="none" w:sz="0" w:space="0" w:color="auto"/>
            <w:bottom w:val="none" w:sz="0" w:space="0" w:color="auto"/>
            <w:right w:val="none" w:sz="0" w:space="0" w:color="auto"/>
          </w:divBdr>
        </w:div>
        <w:div w:id="769931139">
          <w:marLeft w:val="0"/>
          <w:marRight w:val="0"/>
          <w:marTop w:val="0"/>
          <w:marBottom w:val="0"/>
          <w:divBdr>
            <w:top w:val="none" w:sz="0" w:space="0" w:color="auto"/>
            <w:left w:val="none" w:sz="0" w:space="0" w:color="auto"/>
            <w:bottom w:val="none" w:sz="0" w:space="0" w:color="auto"/>
            <w:right w:val="none" w:sz="0" w:space="0" w:color="auto"/>
          </w:divBdr>
        </w:div>
        <w:div w:id="865409391">
          <w:marLeft w:val="0"/>
          <w:marRight w:val="0"/>
          <w:marTop w:val="0"/>
          <w:marBottom w:val="0"/>
          <w:divBdr>
            <w:top w:val="none" w:sz="0" w:space="0" w:color="auto"/>
            <w:left w:val="none" w:sz="0" w:space="0" w:color="auto"/>
            <w:bottom w:val="none" w:sz="0" w:space="0" w:color="auto"/>
            <w:right w:val="none" w:sz="0" w:space="0" w:color="auto"/>
          </w:divBdr>
        </w:div>
        <w:div w:id="874195998">
          <w:marLeft w:val="0"/>
          <w:marRight w:val="0"/>
          <w:marTop w:val="0"/>
          <w:marBottom w:val="0"/>
          <w:divBdr>
            <w:top w:val="none" w:sz="0" w:space="0" w:color="auto"/>
            <w:left w:val="none" w:sz="0" w:space="0" w:color="auto"/>
            <w:bottom w:val="none" w:sz="0" w:space="0" w:color="auto"/>
            <w:right w:val="none" w:sz="0" w:space="0" w:color="auto"/>
          </w:divBdr>
        </w:div>
        <w:div w:id="1244215395">
          <w:marLeft w:val="0"/>
          <w:marRight w:val="0"/>
          <w:marTop w:val="0"/>
          <w:marBottom w:val="0"/>
          <w:divBdr>
            <w:top w:val="none" w:sz="0" w:space="0" w:color="auto"/>
            <w:left w:val="none" w:sz="0" w:space="0" w:color="auto"/>
            <w:bottom w:val="none" w:sz="0" w:space="0" w:color="auto"/>
            <w:right w:val="none" w:sz="0" w:space="0" w:color="auto"/>
          </w:divBdr>
        </w:div>
        <w:div w:id="1435127518">
          <w:marLeft w:val="0"/>
          <w:marRight w:val="0"/>
          <w:marTop w:val="0"/>
          <w:marBottom w:val="0"/>
          <w:divBdr>
            <w:top w:val="none" w:sz="0" w:space="0" w:color="auto"/>
            <w:left w:val="none" w:sz="0" w:space="0" w:color="auto"/>
            <w:bottom w:val="none" w:sz="0" w:space="0" w:color="auto"/>
            <w:right w:val="none" w:sz="0" w:space="0" w:color="auto"/>
          </w:divBdr>
        </w:div>
      </w:divsChild>
    </w:div>
    <w:div w:id="96754437">
      <w:bodyDiv w:val="1"/>
      <w:marLeft w:val="0"/>
      <w:marRight w:val="0"/>
      <w:marTop w:val="0"/>
      <w:marBottom w:val="0"/>
      <w:divBdr>
        <w:top w:val="none" w:sz="0" w:space="0" w:color="auto"/>
        <w:left w:val="none" w:sz="0" w:space="0" w:color="auto"/>
        <w:bottom w:val="none" w:sz="0" w:space="0" w:color="auto"/>
        <w:right w:val="none" w:sz="0" w:space="0" w:color="auto"/>
      </w:divBdr>
    </w:div>
    <w:div w:id="117336866">
      <w:bodyDiv w:val="1"/>
      <w:marLeft w:val="0"/>
      <w:marRight w:val="0"/>
      <w:marTop w:val="0"/>
      <w:marBottom w:val="0"/>
      <w:divBdr>
        <w:top w:val="none" w:sz="0" w:space="0" w:color="auto"/>
        <w:left w:val="none" w:sz="0" w:space="0" w:color="auto"/>
        <w:bottom w:val="none" w:sz="0" w:space="0" w:color="auto"/>
        <w:right w:val="none" w:sz="0" w:space="0" w:color="auto"/>
      </w:divBdr>
      <w:divsChild>
        <w:div w:id="241259565">
          <w:marLeft w:val="0"/>
          <w:marRight w:val="0"/>
          <w:marTop w:val="0"/>
          <w:marBottom w:val="0"/>
          <w:divBdr>
            <w:top w:val="none" w:sz="0" w:space="0" w:color="auto"/>
            <w:left w:val="none" w:sz="0" w:space="0" w:color="auto"/>
            <w:bottom w:val="none" w:sz="0" w:space="0" w:color="auto"/>
            <w:right w:val="none" w:sz="0" w:space="0" w:color="auto"/>
          </w:divBdr>
          <w:divsChild>
            <w:div w:id="762922376">
              <w:marLeft w:val="0"/>
              <w:marRight w:val="0"/>
              <w:marTop w:val="0"/>
              <w:marBottom w:val="0"/>
              <w:divBdr>
                <w:top w:val="none" w:sz="0" w:space="0" w:color="auto"/>
                <w:left w:val="none" w:sz="0" w:space="0" w:color="auto"/>
                <w:bottom w:val="none" w:sz="0" w:space="0" w:color="auto"/>
                <w:right w:val="none" w:sz="0" w:space="0" w:color="auto"/>
              </w:divBdr>
            </w:div>
            <w:div w:id="1472164383">
              <w:marLeft w:val="0"/>
              <w:marRight w:val="0"/>
              <w:marTop w:val="0"/>
              <w:marBottom w:val="0"/>
              <w:divBdr>
                <w:top w:val="none" w:sz="0" w:space="0" w:color="auto"/>
                <w:left w:val="none" w:sz="0" w:space="0" w:color="auto"/>
                <w:bottom w:val="none" w:sz="0" w:space="0" w:color="auto"/>
                <w:right w:val="none" w:sz="0" w:space="0" w:color="auto"/>
              </w:divBdr>
            </w:div>
          </w:divsChild>
        </w:div>
        <w:div w:id="2086024746">
          <w:marLeft w:val="0"/>
          <w:marRight w:val="0"/>
          <w:marTop w:val="0"/>
          <w:marBottom w:val="0"/>
          <w:divBdr>
            <w:top w:val="none" w:sz="0" w:space="0" w:color="auto"/>
            <w:left w:val="none" w:sz="0" w:space="0" w:color="auto"/>
            <w:bottom w:val="none" w:sz="0" w:space="0" w:color="auto"/>
            <w:right w:val="none" w:sz="0" w:space="0" w:color="auto"/>
          </w:divBdr>
          <w:divsChild>
            <w:div w:id="1058893394">
              <w:marLeft w:val="0"/>
              <w:marRight w:val="0"/>
              <w:marTop w:val="0"/>
              <w:marBottom w:val="0"/>
              <w:divBdr>
                <w:top w:val="none" w:sz="0" w:space="0" w:color="auto"/>
                <w:left w:val="none" w:sz="0" w:space="0" w:color="auto"/>
                <w:bottom w:val="none" w:sz="0" w:space="0" w:color="auto"/>
                <w:right w:val="none" w:sz="0" w:space="0" w:color="auto"/>
              </w:divBdr>
            </w:div>
            <w:div w:id="1071192361">
              <w:marLeft w:val="0"/>
              <w:marRight w:val="0"/>
              <w:marTop w:val="0"/>
              <w:marBottom w:val="0"/>
              <w:divBdr>
                <w:top w:val="none" w:sz="0" w:space="0" w:color="auto"/>
                <w:left w:val="none" w:sz="0" w:space="0" w:color="auto"/>
                <w:bottom w:val="none" w:sz="0" w:space="0" w:color="auto"/>
                <w:right w:val="none" w:sz="0" w:space="0" w:color="auto"/>
              </w:divBdr>
            </w:div>
            <w:div w:id="1515849902">
              <w:marLeft w:val="0"/>
              <w:marRight w:val="0"/>
              <w:marTop w:val="0"/>
              <w:marBottom w:val="0"/>
              <w:divBdr>
                <w:top w:val="none" w:sz="0" w:space="0" w:color="auto"/>
                <w:left w:val="none" w:sz="0" w:space="0" w:color="auto"/>
                <w:bottom w:val="none" w:sz="0" w:space="0" w:color="auto"/>
                <w:right w:val="none" w:sz="0" w:space="0" w:color="auto"/>
              </w:divBdr>
            </w:div>
            <w:div w:id="1931234739">
              <w:marLeft w:val="0"/>
              <w:marRight w:val="0"/>
              <w:marTop w:val="0"/>
              <w:marBottom w:val="0"/>
              <w:divBdr>
                <w:top w:val="none" w:sz="0" w:space="0" w:color="auto"/>
                <w:left w:val="none" w:sz="0" w:space="0" w:color="auto"/>
                <w:bottom w:val="none" w:sz="0" w:space="0" w:color="auto"/>
                <w:right w:val="none" w:sz="0" w:space="0" w:color="auto"/>
              </w:divBdr>
            </w:div>
            <w:div w:id="20586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7925">
      <w:bodyDiv w:val="1"/>
      <w:marLeft w:val="0"/>
      <w:marRight w:val="0"/>
      <w:marTop w:val="0"/>
      <w:marBottom w:val="0"/>
      <w:divBdr>
        <w:top w:val="none" w:sz="0" w:space="0" w:color="auto"/>
        <w:left w:val="none" w:sz="0" w:space="0" w:color="auto"/>
        <w:bottom w:val="none" w:sz="0" w:space="0" w:color="auto"/>
        <w:right w:val="none" w:sz="0" w:space="0" w:color="auto"/>
      </w:divBdr>
      <w:divsChild>
        <w:div w:id="314915145">
          <w:marLeft w:val="0"/>
          <w:marRight w:val="0"/>
          <w:marTop w:val="0"/>
          <w:marBottom w:val="0"/>
          <w:divBdr>
            <w:top w:val="none" w:sz="0" w:space="0" w:color="auto"/>
            <w:left w:val="none" w:sz="0" w:space="0" w:color="auto"/>
            <w:bottom w:val="none" w:sz="0" w:space="0" w:color="auto"/>
            <w:right w:val="none" w:sz="0" w:space="0" w:color="auto"/>
          </w:divBdr>
          <w:divsChild>
            <w:div w:id="232084604">
              <w:marLeft w:val="0"/>
              <w:marRight w:val="0"/>
              <w:marTop w:val="0"/>
              <w:marBottom w:val="0"/>
              <w:divBdr>
                <w:top w:val="none" w:sz="0" w:space="0" w:color="auto"/>
                <w:left w:val="none" w:sz="0" w:space="0" w:color="auto"/>
                <w:bottom w:val="none" w:sz="0" w:space="0" w:color="auto"/>
                <w:right w:val="none" w:sz="0" w:space="0" w:color="auto"/>
              </w:divBdr>
            </w:div>
            <w:div w:id="910505843">
              <w:marLeft w:val="0"/>
              <w:marRight w:val="0"/>
              <w:marTop w:val="0"/>
              <w:marBottom w:val="0"/>
              <w:divBdr>
                <w:top w:val="none" w:sz="0" w:space="0" w:color="auto"/>
                <w:left w:val="none" w:sz="0" w:space="0" w:color="auto"/>
                <w:bottom w:val="none" w:sz="0" w:space="0" w:color="auto"/>
                <w:right w:val="none" w:sz="0" w:space="0" w:color="auto"/>
              </w:divBdr>
            </w:div>
            <w:div w:id="1334142066">
              <w:marLeft w:val="0"/>
              <w:marRight w:val="0"/>
              <w:marTop w:val="0"/>
              <w:marBottom w:val="0"/>
              <w:divBdr>
                <w:top w:val="none" w:sz="0" w:space="0" w:color="auto"/>
                <w:left w:val="none" w:sz="0" w:space="0" w:color="auto"/>
                <w:bottom w:val="none" w:sz="0" w:space="0" w:color="auto"/>
                <w:right w:val="none" w:sz="0" w:space="0" w:color="auto"/>
              </w:divBdr>
            </w:div>
          </w:divsChild>
        </w:div>
        <w:div w:id="831068203">
          <w:marLeft w:val="0"/>
          <w:marRight w:val="0"/>
          <w:marTop w:val="0"/>
          <w:marBottom w:val="0"/>
          <w:divBdr>
            <w:top w:val="none" w:sz="0" w:space="0" w:color="auto"/>
            <w:left w:val="none" w:sz="0" w:space="0" w:color="auto"/>
            <w:bottom w:val="none" w:sz="0" w:space="0" w:color="auto"/>
            <w:right w:val="none" w:sz="0" w:space="0" w:color="auto"/>
          </w:divBdr>
        </w:div>
        <w:div w:id="1186794256">
          <w:marLeft w:val="0"/>
          <w:marRight w:val="0"/>
          <w:marTop w:val="0"/>
          <w:marBottom w:val="0"/>
          <w:divBdr>
            <w:top w:val="none" w:sz="0" w:space="0" w:color="auto"/>
            <w:left w:val="none" w:sz="0" w:space="0" w:color="auto"/>
            <w:bottom w:val="none" w:sz="0" w:space="0" w:color="auto"/>
            <w:right w:val="none" w:sz="0" w:space="0" w:color="auto"/>
          </w:divBdr>
          <w:divsChild>
            <w:div w:id="87308896">
              <w:marLeft w:val="0"/>
              <w:marRight w:val="0"/>
              <w:marTop w:val="0"/>
              <w:marBottom w:val="0"/>
              <w:divBdr>
                <w:top w:val="none" w:sz="0" w:space="0" w:color="auto"/>
                <w:left w:val="none" w:sz="0" w:space="0" w:color="auto"/>
                <w:bottom w:val="none" w:sz="0" w:space="0" w:color="auto"/>
                <w:right w:val="none" w:sz="0" w:space="0" w:color="auto"/>
              </w:divBdr>
            </w:div>
            <w:div w:id="210269406">
              <w:marLeft w:val="0"/>
              <w:marRight w:val="0"/>
              <w:marTop w:val="0"/>
              <w:marBottom w:val="0"/>
              <w:divBdr>
                <w:top w:val="none" w:sz="0" w:space="0" w:color="auto"/>
                <w:left w:val="none" w:sz="0" w:space="0" w:color="auto"/>
                <w:bottom w:val="none" w:sz="0" w:space="0" w:color="auto"/>
                <w:right w:val="none" w:sz="0" w:space="0" w:color="auto"/>
              </w:divBdr>
            </w:div>
            <w:div w:id="367488342">
              <w:marLeft w:val="0"/>
              <w:marRight w:val="0"/>
              <w:marTop w:val="0"/>
              <w:marBottom w:val="0"/>
              <w:divBdr>
                <w:top w:val="none" w:sz="0" w:space="0" w:color="auto"/>
                <w:left w:val="none" w:sz="0" w:space="0" w:color="auto"/>
                <w:bottom w:val="none" w:sz="0" w:space="0" w:color="auto"/>
                <w:right w:val="none" w:sz="0" w:space="0" w:color="auto"/>
              </w:divBdr>
            </w:div>
            <w:div w:id="1615671077">
              <w:marLeft w:val="0"/>
              <w:marRight w:val="0"/>
              <w:marTop w:val="0"/>
              <w:marBottom w:val="0"/>
              <w:divBdr>
                <w:top w:val="none" w:sz="0" w:space="0" w:color="auto"/>
                <w:left w:val="none" w:sz="0" w:space="0" w:color="auto"/>
                <w:bottom w:val="none" w:sz="0" w:space="0" w:color="auto"/>
                <w:right w:val="none" w:sz="0" w:space="0" w:color="auto"/>
              </w:divBdr>
            </w:div>
          </w:divsChild>
        </w:div>
        <w:div w:id="1250891720">
          <w:marLeft w:val="0"/>
          <w:marRight w:val="0"/>
          <w:marTop w:val="0"/>
          <w:marBottom w:val="0"/>
          <w:divBdr>
            <w:top w:val="none" w:sz="0" w:space="0" w:color="auto"/>
            <w:left w:val="none" w:sz="0" w:space="0" w:color="auto"/>
            <w:bottom w:val="none" w:sz="0" w:space="0" w:color="auto"/>
            <w:right w:val="none" w:sz="0" w:space="0" w:color="auto"/>
          </w:divBdr>
        </w:div>
        <w:div w:id="1389574818">
          <w:marLeft w:val="0"/>
          <w:marRight w:val="0"/>
          <w:marTop w:val="0"/>
          <w:marBottom w:val="0"/>
          <w:divBdr>
            <w:top w:val="none" w:sz="0" w:space="0" w:color="auto"/>
            <w:left w:val="none" w:sz="0" w:space="0" w:color="auto"/>
            <w:bottom w:val="none" w:sz="0" w:space="0" w:color="auto"/>
            <w:right w:val="none" w:sz="0" w:space="0" w:color="auto"/>
          </w:divBdr>
        </w:div>
        <w:div w:id="1813250609">
          <w:marLeft w:val="0"/>
          <w:marRight w:val="0"/>
          <w:marTop w:val="0"/>
          <w:marBottom w:val="0"/>
          <w:divBdr>
            <w:top w:val="none" w:sz="0" w:space="0" w:color="auto"/>
            <w:left w:val="none" w:sz="0" w:space="0" w:color="auto"/>
            <w:bottom w:val="none" w:sz="0" w:space="0" w:color="auto"/>
            <w:right w:val="none" w:sz="0" w:space="0" w:color="auto"/>
          </w:divBdr>
        </w:div>
      </w:divsChild>
    </w:div>
    <w:div w:id="185677559">
      <w:bodyDiv w:val="1"/>
      <w:marLeft w:val="0"/>
      <w:marRight w:val="0"/>
      <w:marTop w:val="0"/>
      <w:marBottom w:val="0"/>
      <w:divBdr>
        <w:top w:val="none" w:sz="0" w:space="0" w:color="auto"/>
        <w:left w:val="none" w:sz="0" w:space="0" w:color="auto"/>
        <w:bottom w:val="none" w:sz="0" w:space="0" w:color="auto"/>
        <w:right w:val="none" w:sz="0" w:space="0" w:color="auto"/>
      </w:divBdr>
      <w:divsChild>
        <w:div w:id="566764419">
          <w:marLeft w:val="0"/>
          <w:marRight w:val="0"/>
          <w:marTop w:val="0"/>
          <w:marBottom w:val="0"/>
          <w:divBdr>
            <w:top w:val="none" w:sz="0" w:space="0" w:color="auto"/>
            <w:left w:val="none" w:sz="0" w:space="0" w:color="auto"/>
            <w:bottom w:val="none" w:sz="0" w:space="0" w:color="auto"/>
            <w:right w:val="none" w:sz="0" w:space="0" w:color="auto"/>
          </w:divBdr>
        </w:div>
        <w:div w:id="794517584">
          <w:marLeft w:val="0"/>
          <w:marRight w:val="0"/>
          <w:marTop w:val="0"/>
          <w:marBottom w:val="0"/>
          <w:divBdr>
            <w:top w:val="none" w:sz="0" w:space="0" w:color="auto"/>
            <w:left w:val="none" w:sz="0" w:space="0" w:color="auto"/>
            <w:bottom w:val="none" w:sz="0" w:space="0" w:color="auto"/>
            <w:right w:val="none" w:sz="0" w:space="0" w:color="auto"/>
          </w:divBdr>
        </w:div>
        <w:div w:id="1518497674">
          <w:marLeft w:val="0"/>
          <w:marRight w:val="0"/>
          <w:marTop w:val="0"/>
          <w:marBottom w:val="0"/>
          <w:divBdr>
            <w:top w:val="none" w:sz="0" w:space="0" w:color="auto"/>
            <w:left w:val="none" w:sz="0" w:space="0" w:color="auto"/>
            <w:bottom w:val="none" w:sz="0" w:space="0" w:color="auto"/>
            <w:right w:val="none" w:sz="0" w:space="0" w:color="auto"/>
          </w:divBdr>
        </w:div>
        <w:div w:id="1727296844">
          <w:marLeft w:val="0"/>
          <w:marRight w:val="0"/>
          <w:marTop w:val="0"/>
          <w:marBottom w:val="0"/>
          <w:divBdr>
            <w:top w:val="none" w:sz="0" w:space="0" w:color="auto"/>
            <w:left w:val="none" w:sz="0" w:space="0" w:color="auto"/>
            <w:bottom w:val="none" w:sz="0" w:space="0" w:color="auto"/>
            <w:right w:val="none" w:sz="0" w:space="0" w:color="auto"/>
          </w:divBdr>
        </w:div>
        <w:div w:id="1745758691">
          <w:marLeft w:val="0"/>
          <w:marRight w:val="0"/>
          <w:marTop w:val="0"/>
          <w:marBottom w:val="0"/>
          <w:divBdr>
            <w:top w:val="none" w:sz="0" w:space="0" w:color="auto"/>
            <w:left w:val="none" w:sz="0" w:space="0" w:color="auto"/>
            <w:bottom w:val="none" w:sz="0" w:space="0" w:color="auto"/>
            <w:right w:val="none" w:sz="0" w:space="0" w:color="auto"/>
          </w:divBdr>
        </w:div>
        <w:div w:id="1831864257">
          <w:marLeft w:val="0"/>
          <w:marRight w:val="0"/>
          <w:marTop w:val="0"/>
          <w:marBottom w:val="0"/>
          <w:divBdr>
            <w:top w:val="none" w:sz="0" w:space="0" w:color="auto"/>
            <w:left w:val="none" w:sz="0" w:space="0" w:color="auto"/>
            <w:bottom w:val="none" w:sz="0" w:space="0" w:color="auto"/>
            <w:right w:val="none" w:sz="0" w:space="0" w:color="auto"/>
          </w:divBdr>
        </w:div>
        <w:div w:id="1889608002">
          <w:marLeft w:val="0"/>
          <w:marRight w:val="0"/>
          <w:marTop w:val="0"/>
          <w:marBottom w:val="0"/>
          <w:divBdr>
            <w:top w:val="none" w:sz="0" w:space="0" w:color="auto"/>
            <w:left w:val="none" w:sz="0" w:space="0" w:color="auto"/>
            <w:bottom w:val="none" w:sz="0" w:space="0" w:color="auto"/>
            <w:right w:val="none" w:sz="0" w:space="0" w:color="auto"/>
          </w:divBdr>
        </w:div>
        <w:div w:id="1890649020">
          <w:marLeft w:val="0"/>
          <w:marRight w:val="0"/>
          <w:marTop w:val="0"/>
          <w:marBottom w:val="0"/>
          <w:divBdr>
            <w:top w:val="none" w:sz="0" w:space="0" w:color="auto"/>
            <w:left w:val="none" w:sz="0" w:space="0" w:color="auto"/>
            <w:bottom w:val="none" w:sz="0" w:space="0" w:color="auto"/>
            <w:right w:val="none" w:sz="0" w:space="0" w:color="auto"/>
          </w:divBdr>
        </w:div>
        <w:div w:id="2140953529">
          <w:marLeft w:val="0"/>
          <w:marRight w:val="0"/>
          <w:marTop w:val="0"/>
          <w:marBottom w:val="0"/>
          <w:divBdr>
            <w:top w:val="none" w:sz="0" w:space="0" w:color="auto"/>
            <w:left w:val="none" w:sz="0" w:space="0" w:color="auto"/>
            <w:bottom w:val="none" w:sz="0" w:space="0" w:color="auto"/>
            <w:right w:val="none" w:sz="0" w:space="0" w:color="auto"/>
          </w:divBdr>
        </w:div>
      </w:divsChild>
    </w:div>
    <w:div w:id="189690200">
      <w:bodyDiv w:val="1"/>
      <w:marLeft w:val="0"/>
      <w:marRight w:val="0"/>
      <w:marTop w:val="0"/>
      <w:marBottom w:val="0"/>
      <w:divBdr>
        <w:top w:val="none" w:sz="0" w:space="0" w:color="auto"/>
        <w:left w:val="none" w:sz="0" w:space="0" w:color="auto"/>
        <w:bottom w:val="none" w:sz="0" w:space="0" w:color="auto"/>
        <w:right w:val="none" w:sz="0" w:space="0" w:color="auto"/>
      </w:divBdr>
      <w:divsChild>
        <w:div w:id="13727186">
          <w:marLeft w:val="0"/>
          <w:marRight w:val="0"/>
          <w:marTop w:val="0"/>
          <w:marBottom w:val="0"/>
          <w:divBdr>
            <w:top w:val="none" w:sz="0" w:space="0" w:color="auto"/>
            <w:left w:val="none" w:sz="0" w:space="0" w:color="auto"/>
            <w:bottom w:val="none" w:sz="0" w:space="0" w:color="auto"/>
            <w:right w:val="none" w:sz="0" w:space="0" w:color="auto"/>
          </w:divBdr>
        </w:div>
        <w:div w:id="307977512">
          <w:marLeft w:val="0"/>
          <w:marRight w:val="0"/>
          <w:marTop w:val="0"/>
          <w:marBottom w:val="0"/>
          <w:divBdr>
            <w:top w:val="none" w:sz="0" w:space="0" w:color="auto"/>
            <w:left w:val="none" w:sz="0" w:space="0" w:color="auto"/>
            <w:bottom w:val="none" w:sz="0" w:space="0" w:color="auto"/>
            <w:right w:val="none" w:sz="0" w:space="0" w:color="auto"/>
          </w:divBdr>
        </w:div>
        <w:div w:id="547179712">
          <w:marLeft w:val="0"/>
          <w:marRight w:val="0"/>
          <w:marTop w:val="0"/>
          <w:marBottom w:val="0"/>
          <w:divBdr>
            <w:top w:val="none" w:sz="0" w:space="0" w:color="auto"/>
            <w:left w:val="none" w:sz="0" w:space="0" w:color="auto"/>
            <w:bottom w:val="none" w:sz="0" w:space="0" w:color="auto"/>
            <w:right w:val="none" w:sz="0" w:space="0" w:color="auto"/>
          </w:divBdr>
        </w:div>
        <w:div w:id="863329129">
          <w:marLeft w:val="0"/>
          <w:marRight w:val="0"/>
          <w:marTop w:val="0"/>
          <w:marBottom w:val="0"/>
          <w:divBdr>
            <w:top w:val="none" w:sz="0" w:space="0" w:color="auto"/>
            <w:left w:val="none" w:sz="0" w:space="0" w:color="auto"/>
            <w:bottom w:val="none" w:sz="0" w:space="0" w:color="auto"/>
            <w:right w:val="none" w:sz="0" w:space="0" w:color="auto"/>
          </w:divBdr>
        </w:div>
        <w:div w:id="1780222523">
          <w:marLeft w:val="0"/>
          <w:marRight w:val="0"/>
          <w:marTop w:val="0"/>
          <w:marBottom w:val="0"/>
          <w:divBdr>
            <w:top w:val="none" w:sz="0" w:space="0" w:color="auto"/>
            <w:left w:val="none" w:sz="0" w:space="0" w:color="auto"/>
            <w:bottom w:val="none" w:sz="0" w:space="0" w:color="auto"/>
            <w:right w:val="none" w:sz="0" w:space="0" w:color="auto"/>
          </w:divBdr>
        </w:div>
        <w:div w:id="1858034858">
          <w:marLeft w:val="0"/>
          <w:marRight w:val="0"/>
          <w:marTop w:val="0"/>
          <w:marBottom w:val="0"/>
          <w:divBdr>
            <w:top w:val="none" w:sz="0" w:space="0" w:color="auto"/>
            <w:left w:val="none" w:sz="0" w:space="0" w:color="auto"/>
            <w:bottom w:val="none" w:sz="0" w:space="0" w:color="auto"/>
            <w:right w:val="none" w:sz="0" w:space="0" w:color="auto"/>
          </w:divBdr>
        </w:div>
        <w:div w:id="1860191241">
          <w:marLeft w:val="0"/>
          <w:marRight w:val="0"/>
          <w:marTop w:val="0"/>
          <w:marBottom w:val="0"/>
          <w:divBdr>
            <w:top w:val="none" w:sz="0" w:space="0" w:color="auto"/>
            <w:left w:val="none" w:sz="0" w:space="0" w:color="auto"/>
            <w:bottom w:val="none" w:sz="0" w:space="0" w:color="auto"/>
            <w:right w:val="none" w:sz="0" w:space="0" w:color="auto"/>
          </w:divBdr>
        </w:div>
        <w:div w:id="2002846590">
          <w:marLeft w:val="0"/>
          <w:marRight w:val="0"/>
          <w:marTop w:val="0"/>
          <w:marBottom w:val="0"/>
          <w:divBdr>
            <w:top w:val="none" w:sz="0" w:space="0" w:color="auto"/>
            <w:left w:val="none" w:sz="0" w:space="0" w:color="auto"/>
            <w:bottom w:val="none" w:sz="0" w:space="0" w:color="auto"/>
            <w:right w:val="none" w:sz="0" w:space="0" w:color="auto"/>
          </w:divBdr>
        </w:div>
        <w:div w:id="2066760239">
          <w:marLeft w:val="0"/>
          <w:marRight w:val="0"/>
          <w:marTop w:val="0"/>
          <w:marBottom w:val="0"/>
          <w:divBdr>
            <w:top w:val="none" w:sz="0" w:space="0" w:color="auto"/>
            <w:left w:val="none" w:sz="0" w:space="0" w:color="auto"/>
            <w:bottom w:val="none" w:sz="0" w:space="0" w:color="auto"/>
            <w:right w:val="none" w:sz="0" w:space="0" w:color="auto"/>
          </w:divBdr>
        </w:div>
      </w:divsChild>
    </w:div>
    <w:div w:id="204800852">
      <w:bodyDiv w:val="1"/>
      <w:marLeft w:val="0"/>
      <w:marRight w:val="0"/>
      <w:marTop w:val="0"/>
      <w:marBottom w:val="0"/>
      <w:divBdr>
        <w:top w:val="none" w:sz="0" w:space="0" w:color="auto"/>
        <w:left w:val="none" w:sz="0" w:space="0" w:color="auto"/>
        <w:bottom w:val="none" w:sz="0" w:space="0" w:color="auto"/>
        <w:right w:val="none" w:sz="0" w:space="0" w:color="auto"/>
      </w:divBdr>
      <w:divsChild>
        <w:div w:id="888497215">
          <w:marLeft w:val="0"/>
          <w:marRight w:val="0"/>
          <w:marTop w:val="0"/>
          <w:marBottom w:val="0"/>
          <w:divBdr>
            <w:top w:val="none" w:sz="0" w:space="0" w:color="auto"/>
            <w:left w:val="none" w:sz="0" w:space="0" w:color="auto"/>
            <w:bottom w:val="none" w:sz="0" w:space="0" w:color="auto"/>
            <w:right w:val="none" w:sz="0" w:space="0" w:color="auto"/>
          </w:divBdr>
        </w:div>
        <w:div w:id="1106005184">
          <w:marLeft w:val="0"/>
          <w:marRight w:val="0"/>
          <w:marTop w:val="0"/>
          <w:marBottom w:val="0"/>
          <w:divBdr>
            <w:top w:val="none" w:sz="0" w:space="0" w:color="auto"/>
            <w:left w:val="none" w:sz="0" w:space="0" w:color="auto"/>
            <w:bottom w:val="none" w:sz="0" w:space="0" w:color="auto"/>
            <w:right w:val="none" w:sz="0" w:space="0" w:color="auto"/>
          </w:divBdr>
        </w:div>
        <w:div w:id="1334604891">
          <w:marLeft w:val="0"/>
          <w:marRight w:val="0"/>
          <w:marTop w:val="0"/>
          <w:marBottom w:val="0"/>
          <w:divBdr>
            <w:top w:val="none" w:sz="0" w:space="0" w:color="auto"/>
            <w:left w:val="none" w:sz="0" w:space="0" w:color="auto"/>
            <w:bottom w:val="none" w:sz="0" w:space="0" w:color="auto"/>
            <w:right w:val="none" w:sz="0" w:space="0" w:color="auto"/>
          </w:divBdr>
        </w:div>
        <w:div w:id="1794400100">
          <w:marLeft w:val="0"/>
          <w:marRight w:val="0"/>
          <w:marTop w:val="0"/>
          <w:marBottom w:val="0"/>
          <w:divBdr>
            <w:top w:val="none" w:sz="0" w:space="0" w:color="auto"/>
            <w:left w:val="none" w:sz="0" w:space="0" w:color="auto"/>
            <w:bottom w:val="none" w:sz="0" w:space="0" w:color="auto"/>
            <w:right w:val="none" w:sz="0" w:space="0" w:color="auto"/>
          </w:divBdr>
        </w:div>
        <w:div w:id="1842813662">
          <w:marLeft w:val="0"/>
          <w:marRight w:val="0"/>
          <w:marTop w:val="0"/>
          <w:marBottom w:val="0"/>
          <w:divBdr>
            <w:top w:val="none" w:sz="0" w:space="0" w:color="auto"/>
            <w:left w:val="none" w:sz="0" w:space="0" w:color="auto"/>
            <w:bottom w:val="none" w:sz="0" w:space="0" w:color="auto"/>
            <w:right w:val="none" w:sz="0" w:space="0" w:color="auto"/>
          </w:divBdr>
        </w:div>
        <w:div w:id="2084600177">
          <w:marLeft w:val="0"/>
          <w:marRight w:val="0"/>
          <w:marTop w:val="0"/>
          <w:marBottom w:val="0"/>
          <w:divBdr>
            <w:top w:val="none" w:sz="0" w:space="0" w:color="auto"/>
            <w:left w:val="none" w:sz="0" w:space="0" w:color="auto"/>
            <w:bottom w:val="none" w:sz="0" w:space="0" w:color="auto"/>
            <w:right w:val="none" w:sz="0" w:space="0" w:color="auto"/>
          </w:divBdr>
        </w:div>
        <w:div w:id="2130314333">
          <w:marLeft w:val="0"/>
          <w:marRight w:val="0"/>
          <w:marTop w:val="0"/>
          <w:marBottom w:val="0"/>
          <w:divBdr>
            <w:top w:val="none" w:sz="0" w:space="0" w:color="auto"/>
            <w:left w:val="none" w:sz="0" w:space="0" w:color="auto"/>
            <w:bottom w:val="none" w:sz="0" w:space="0" w:color="auto"/>
            <w:right w:val="none" w:sz="0" w:space="0" w:color="auto"/>
          </w:divBdr>
        </w:div>
      </w:divsChild>
    </w:div>
    <w:div w:id="259293138">
      <w:bodyDiv w:val="1"/>
      <w:marLeft w:val="0"/>
      <w:marRight w:val="0"/>
      <w:marTop w:val="0"/>
      <w:marBottom w:val="0"/>
      <w:divBdr>
        <w:top w:val="none" w:sz="0" w:space="0" w:color="auto"/>
        <w:left w:val="none" w:sz="0" w:space="0" w:color="auto"/>
        <w:bottom w:val="none" w:sz="0" w:space="0" w:color="auto"/>
        <w:right w:val="none" w:sz="0" w:space="0" w:color="auto"/>
      </w:divBdr>
      <w:divsChild>
        <w:div w:id="265889518">
          <w:marLeft w:val="0"/>
          <w:marRight w:val="0"/>
          <w:marTop w:val="0"/>
          <w:marBottom w:val="0"/>
          <w:divBdr>
            <w:top w:val="none" w:sz="0" w:space="0" w:color="auto"/>
            <w:left w:val="none" w:sz="0" w:space="0" w:color="auto"/>
            <w:bottom w:val="none" w:sz="0" w:space="0" w:color="auto"/>
            <w:right w:val="none" w:sz="0" w:space="0" w:color="auto"/>
          </w:divBdr>
        </w:div>
        <w:div w:id="604072121">
          <w:marLeft w:val="0"/>
          <w:marRight w:val="0"/>
          <w:marTop w:val="0"/>
          <w:marBottom w:val="0"/>
          <w:divBdr>
            <w:top w:val="none" w:sz="0" w:space="0" w:color="auto"/>
            <w:left w:val="none" w:sz="0" w:space="0" w:color="auto"/>
            <w:bottom w:val="none" w:sz="0" w:space="0" w:color="auto"/>
            <w:right w:val="none" w:sz="0" w:space="0" w:color="auto"/>
          </w:divBdr>
        </w:div>
        <w:div w:id="785467076">
          <w:marLeft w:val="0"/>
          <w:marRight w:val="0"/>
          <w:marTop w:val="0"/>
          <w:marBottom w:val="0"/>
          <w:divBdr>
            <w:top w:val="none" w:sz="0" w:space="0" w:color="auto"/>
            <w:left w:val="none" w:sz="0" w:space="0" w:color="auto"/>
            <w:bottom w:val="none" w:sz="0" w:space="0" w:color="auto"/>
            <w:right w:val="none" w:sz="0" w:space="0" w:color="auto"/>
          </w:divBdr>
        </w:div>
        <w:div w:id="1492058416">
          <w:marLeft w:val="0"/>
          <w:marRight w:val="0"/>
          <w:marTop w:val="0"/>
          <w:marBottom w:val="0"/>
          <w:divBdr>
            <w:top w:val="none" w:sz="0" w:space="0" w:color="auto"/>
            <w:left w:val="none" w:sz="0" w:space="0" w:color="auto"/>
            <w:bottom w:val="none" w:sz="0" w:space="0" w:color="auto"/>
            <w:right w:val="none" w:sz="0" w:space="0" w:color="auto"/>
          </w:divBdr>
        </w:div>
        <w:div w:id="1586912166">
          <w:marLeft w:val="0"/>
          <w:marRight w:val="0"/>
          <w:marTop w:val="0"/>
          <w:marBottom w:val="0"/>
          <w:divBdr>
            <w:top w:val="none" w:sz="0" w:space="0" w:color="auto"/>
            <w:left w:val="none" w:sz="0" w:space="0" w:color="auto"/>
            <w:bottom w:val="none" w:sz="0" w:space="0" w:color="auto"/>
            <w:right w:val="none" w:sz="0" w:space="0" w:color="auto"/>
          </w:divBdr>
        </w:div>
        <w:div w:id="1860968063">
          <w:marLeft w:val="0"/>
          <w:marRight w:val="0"/>
          <w:marTop w:val="0"/>
          <w:marBottom w:val="0"/>
          <w:divBdr>
            <w:top w:val="none" w:sz="0" w:space="0" w:color="auto"/>
            <w:left w:val="none" w:sz="0" w:space="0" w:color="auto"/>
            <w:bottom w:val="none" w:sz="0" w:space="0" w:color="auto"/>
            <w:right w:val="none" w:sz="0" w:space="0" w:color="auto"/>
          </w:divBdr>
        </w:div>
        <w:div w:id="1862208059">
          <w:marLeft w:val="0"/>
          <w:marRight w:val="0"/>
          <w:marTop w:val="0"/>
          <w:marBottom w:val="0"/>
          <w:divBdr>
            <w:top w:val="none" w:sz="0" w:space="0" w:color="auto"/>
            <w:left w:val="none" w:sz="0" w:space="0" w:color="auto"/>
            <w:bottom w:val="none" w:sz="0" w:space="0" w:color="auto"/>
            <w:right w:val="none" w:sz="0" w:space="0" w:color="auto"/>
          </w:divBdr>
        </w:div>
        <w:div w:id="1955475612">
          <w:marLeft w:val="0"/>
          <w:marRight w:val="0"/>
          <w:marTop w:val="0"/>
          <w:marBottom w:val="0"/>
          <w:divBdr>
            <w:top w:val="none" w:sz="0" w:space="0" w:color="auto"/>
            <w:left w:val="none" w:sz="0" w:space="0" w:color="auto"/>
            <w:bottom w:val="none" w:sz="0" w:space="0" w:color="auto"/>
            <w:right w:val="none" w:sz="0" w:space="0" w:color="auto"/>
          </w:divBdr>
        </w:div>
      </w:divsChild>
    </w:div>
    <w:div w:id="275214929">
      <w:bodyDiv w:val="1"/>
      <w:marLeft w:val="0"/>
      <w:marRight w:val="0"/>
      <w:marTop w:val="0"/>
      <w:marBottom w:val="0"/>
      <w:divBdr>
        <w:top w:val="none" w:sz="0" w:space="0" w:color="auto"/>
        <w:left w:val="none" w:sz="0" w:space="0" w:color="auto"/>
        <w:bottom w:val="none" w:sz="0" w:space="0" w:color="auto"/>
        <w:right w:val="none" w:sz="0" w:space="0" w:color="auto"/>
      </w:divBdr>
      <w:divsChild>
        <w:div w:id="128745407">
          <w:marLeft w:val="0"/>
          <w:marRight w:val="0"/>
          <w:marTop w:val="0"/>
          <w:marBottom w:val="0"/>
          <w:divBdr>
            <w:top w:val="none" w:sz="0" w:space="0" w:color="auto"/>
            <w:left w:val="none" w:sz="0" w:space="0" w:color="auto"/>
            <w:bottom w:val="none" w:sz="0" w:space="0" w:color="auto"/>
            <w:right w:val="none" w:sz="0" w:space="0" w:color="auto"/>
          </w:divBdr>
        </w:div>
        <w:div w:id="206921058">
          <w:marLeft w:val="0"/>
          <w:marRight w:val="0"/>
          <w:marTop w:val="0"/>
          <w:marBottom w:val="0"/>
          <w:divBdr>
            <w:top w:val="none" w:sz="0" w:space="0" w:color="auto"/>
            <w:left w:val="none" w:sz="0" w:space="0" w:color="auto"/>
            <w:bottom w:val="none" w:sz="0" w:space="0" w:color="auto"/>
            <w:right w:val="none" w:sz="0" w:space="0" w:color="auto"/>
          </w:divBdr>
        </w:div>
        <w:div w:id="1153378252">
          <w:marLeft w:val="0"/>
          <w:marRight w:val="0"/>
          <w:marTop w:val="0"/>
          <w:marBottom w:val="0"/>
          <w:divBdr>
            <w:top w:val="none" w:sz="0" w:space="0" w:color="auto"/>
            <w:left w:val="none" w:sz="0" w:space="0" w:color="auto"/>
            <w:bottom w:val="none" w:sz="0" w:space="0" w:color="auto"/>
            <w:right w:val="none" w:sz="0" w:space="0" w:color="auto"/>
          </w:divBdr>
        </w:div>
        <w:div w:id="1172721352">
          <w:marLeft w:val="0"/>
          <w:marRight w:val="0"/>
          <w:marTop w:val="0"/>
          <w:marBottom w:val="0"/>
          <w:divBdr>
            <w:top w:val="none" w:sz="0" w:space="0" w:color="auto"/>
            <w:left w:val="none" w:sz="0" w:space="0" w:color="auto"/>
            <w:bottom w:val="none" w:sz="0" w:space="0" w:color="auto"/>
            <w:right w:val="none" w:sz="0" w:space="0" w:color="auto"/>
          </w:divBdr>
        </w:div>
        <w:div w:id="1297835385">
          <w:marLeft w:val="0"/>
          <w:marRight w:val="0"/>
          <w:marTop w:val="0"/>
          <w:marBottom w:val="0"/>
          <w:divBdr>
            <w:top w:val="none" w:sz="0" w:space="0" w:color="auto"/>
            <w:left w:val="none" w:sz="0" w:space="0" w:color="auto"/>
            <w:bottom w:val="none" w:sz="0" w:space="0" w:color="auto"/>
            <w:right w:val="none" w:sz="0" w:space="0" w:color="auto"/>
          </w:divBdr>
        </w:div>
        <w:div w:id="1968196243">
          <w:marLeft w:val="0"/>
          <w:marRight w:val="0"/>
          <w:marTop w:val="0"/>
          <w:marBottom w:val="0"/>
          <w:divBdr>
            <w:top w:val="none" w:sz="0" w:space="0" w:color="auto"/>
            <w:left w:val="none" w:sz="0" w:space="0" w:color="auto"/>
            <w:bottom w:val="none" w:sz="0" w:space="0" w:color="auto"/>
            <w:right w:val="none" w:sz="0" w:space="0" w:color="auto"/>
          </w:divBdr>
        </w:div>
        <w:div w:id="1975216124">
          <w:marLeft w:val="0"/>
          <w:marRight w:val="0"/>
          <w:marTop w:val="0"/>
          <w:marBottom w:val="0"/>
          <w:divBdr>
            <w:top w:val="none" w:sz="0" w:space="0" w:color="auto"/>
            <w:left w:val="none" w:sz="0" w:space="0" w:color="auto"/>
            <w:bottom w:val="none" w:sz="0" w:space="0" w:color="auto"/>
            <w:right w:val="none" w:sz="0" w:space="0" w:color="auto"/>
          </w:divBdr>
        </w:div>
        <w:div w:id="2090077727">
          <w:marLeft w:val="0"/>
          <w:marRight w:val="0"/>
          <w:marTop w:val="0"/>
          <w:marBottom w:val="0"/>
          <w:divBdr>
            <w:top w:val="none" w:sz="0" w:space="0" w:color="auto"/>
            <w:left w:val="none" w:sz="0" w:space="0" w:color="auto"/>
            <w:bottom w:val="none" w:sz="0" w:space="0" w:color="auto"/>
            <w:right w:val="none" w:sz="0" w:space="0" w:color="auto"/>
          </w:divBdr>
        </w:div>
      </w:divsChild>
    </w:div>
    <w:div w:id="296227857">
      <w:bodyDiv w:val="1"/>
      <w:marLeft w:val="0"/>
      <w:marRight w:val="0"/>
      <w:marTop w:val="0"/>
      <w:marBottom w:val="0"/>
      <w:divBdr>
        <w:top w:val="none" w:sz="0" w:space="0" w:color="auto"/>
        <w:left w:val="none" w:sz="0" w:space="0" w:color="auto"/>
        <w:bottom w:val="none" w:sz="0" w:space="0" w:color="auto"/>
        <w:right w:val="none" w:sz="0" w:space="0" w:color="auto"/>
      </w:divBdr>
      <w:divsChild>
        <w:div w:id="54090262">
          <w:marLeft w:val="0"/>
          <w:marRight w:val="0"/>
          <w:marTop w:val="0"/>
          <w:marBottom w:val="0"/>
          <w:divBdr>
            <w:top w:val="none" w:sz="0" w:space="0" w:color="auto"/>
            <w:left w:val="none" w:sz="0" w:space="0" w:color="auto"/>
            <w:bottom w:val="none" w:sz="0" w:space="0" w:color="auto"/>
            <w:right w:val="none" w:sz="0" w:space="0" w:color="auto"/>
          </w:divBdr>
        </w:div>
        <w:div w:id="226844727">
          <w:marLeft w:val="0"/>
          <w:marRight w:val="0"/>
          <w:marTop w:val="0"/>
          <w:marBottom w:val="0"/>
          <w:divBdr>
            <w:top w:val="none" w:sz="0" w:space="0" w:color="auto"/>
            <w:left w:val="none" w:sz="0" w:space="0" w:color="auto"/>
            <w:bottom w:val="none" w:sz="0" w:space="0" w:color="auto"/>
            <w:right w:val="none" w:sz="0" w:space="0" w:color="auto"/>
          </w:divBdr>
        </w:div>
        <w:div w:id="379672824">
          <w:marLeft w:val="0"/>
          <w:marRight w:val="0"/>
          <w:marTop w:val="0"/>
          <w:marBottom w:val="0"/>
          <w:divBdr>
            <w:top w:val="none" w:sz="0" w:space="0" w:color="auto"/>
            <w:left w:val="none" w:sz="0" w:space="0" w:color="auto"/>
            <w:bottom w:val="none" w:sz="0" w:space="0" w:color="auto"/>
            <w:right w:val="none" w:sz="0" w:space="0" w:color="auto"/>
          </w:divBdr>
        </w:div>
        <w:div w:id="384106506">
          <w:marLeft w:val="0"/>
          <w:marRight w:val="0"/>
          <w:marTop w:val="0"/>
          <w:marBottom w:val="0"/>
          <w:divBdr>
            <w:top w:val="none" w:sz="0" w:space="0" w:color="auto"/>
            <w:left w:val="none" w:sz="0" w:space="0" w:color="auto"/>
            <w:bottom w:val="none" w:sz="0" w:space="0" w:color="auto"/>
            <w:right w:val="none" w:sz="0" w:space="0" w:color="auto"/>
          </w:divBdr>
        </w:div>
        <w:div w:id="484247650">
          <w:marLeft w:val="0"/>
          <w:marRight w:val="0"/>
          <w:marTop w:val="0"/>
          <w:marBottom w:val="0"/>
          <w:divBdr>
            <w:top w:val="none" w:sz="0" w:space="0" w:color="auto"/>
            <w:left w:val="none" w:sz="0" w:space="0" w:color="auto"/>
            <w:bottom w:val="none" w:sz="0" w:space="0" w:color="auto"/>
            <w:right w:val="none" w:sz="0" w:space="0" w:color="auto"/>
          </w:divBdr>
        </w:div>
        <w:div w:id="609552582">
          <w:marLeft w:val="0"/>
          <w:marRight w:val="0"/>
          <w:marTop w:val="0"/>
          <w:marBottom w:val="0"/>
          <w:divBdr>
            <w:top w:val="none" w:sz="0" w:space="0" w:color="auto"/>
            <w:left w:val="none" w:sz="0" w:space="0" w:color="auto"/>
            <w:bottom w:val="none" w:sz="0" w:space="0" w:color="auto"/>
            <w:right w:val="none" w:sz="0" w:space="0" w:color="auto"/>
          </w:divBdr>
        </w:div>
        <w:div w:id="684789586">
          <w:marLeft w:val="0"/>
          <w:marRight w:val="0"/>
          <w:marTop w:val="0"/>
          <w:marBottom w:val="0"/>
          <w:divBdr>
            <w:top w:val="none" w:sz="0" w:space="0" w:color="auto"/>
            <w:left w:val="none" w:sz="0" w:space="0" w:color="auto"/>
            <w:bottom w:val="none" w:sz="0" w:space="0" w:color="auto"/>
            <w:right w:val="none" w:sz="0" w:space="0" w:color="auto"/>
          </w:divBdr>
        </w:div>
        <w:div w:id="1539005330">
          <w:marLeft w:val="0"/>
          <w:marRight w:val="0"/>
          <w:marTop w:val="0"/>
          <w:marBottom w:val="0"/>
          <w:divBdr>
            <w:top w:val="none" w:sz="0" w:space="0" w:color="auto"/>
            <w:left w:val="none" w:sz="0" w:space="0" w:color="auto"/>
            <w:bottom w:val="none" w:sz="0" w:space="0" w:color="auto"/>
            <w:right w:val="none" w:sz="0" w:space="0" w:color="auto"/>
          </w:divBdr>
        </w:div>
        <w:div w:id="1846820941">
          <w:marLeft w:val="0"/>
          <w:marRight w:val="0"/>
          <w:marTop w:val="0"/>
          <w:marBottom w:val="0"/>
          <w:divBdr>
            <w:top w:val="none" w:sz="0" w:space="0" w:color="auto"/>
            <w:left w:val="none" w:sz="0" w:space="0" w:color="auto"/>
            <w:bottom w:val="none" w:sz="0" w:space="0" w:color="auto"/>
            <w:right w:val="none" w:sz="0" w:space="0" w:color="auto"/>
          </w:divBdr>
        </w:div>
      </w:divsChild>
    </w:div>
    <w:div w:id="313068342">
      <w:bodyDiv w:val="1"/>
      <w:marLeft w:val="0"/>
      <w:marRight w:val="0"/>
      <w:marTop w:val="0"/>
      <w:marBottom w:val="0"/>
      <w:divBdr>
        <w:top w:val="none" w:sz="0" w:space="0" w:color="auto"/>
        <w:left w:val="none" w:sz="0" w:space="0" w:color="auto"/>
        <w:bottom w:val="none" w:sz="0" w:space="0" w:color="auto"/>
        <w:right w:val="none" w:sz="0" w:space="0" w:color="auto"/>
      </w:divBdr>
      <w:divsChild>
        <w:div w:id="338393755">
          <w:marLeft w:val="0"/>
          <w:marRight w:val="0"/>
          <w:marTop w:val="0"/>
          <w:marBottom w:val="0"/>
          <w:divBdr>
            <w:top w:val="none" w:sz="0" w:space="0" w:color="auto"/>
            <w:left w:val="none" w:sz="0" w:space="0" w:color="auto"/>
            <w:bottom w:val="none" w:sz="0" w:space="0" w:color="auto"/>
            <w:right w:val="none" w:sz="0" w:space="0" w:color="auto"/>
          </w:divBdr>
        </w:div>
        <w:div w:id="1065106691">
          <w:marLeft w:val="0"/>
          <w:marRight w:val="0"/>
          <w:marTop w:val="0"/>
          <w:marBottom w:val="0"/>
          <w:divBdr>
            <w:top w:val="none" w:sz="0" w:space="0" w:color="auto"/>
            <w:left w:val="none" w:sz="0" w:space="0" w:color="auto"/>
            <w:bottom w:val="none" w:sz="0" w:space="0" w:color="auto"/>
            <w:right w:val="none" w:sz="0" w:space="0" w:color="auto"/>
          </w:divBdr>
        </w:div>
        <w:div w:id="1073313340">
          <w:marLeft w:val="0"/>
          <w:marRight w:val="0"/>
          <w:marTop w:val="0"/>
          <w:marBottom w:val="0"/>
          <w:divBdr>
            <w:top w:val="none" w:sz="0" w:space="0" w:color="auto"/>
            <w:left w:val="none" w:sz="0" w:space="0" w:color="auto"/>
            <w:bottom w:val="none" w:sz="0" w:space="0" w:color="auto"/>
            <w:right w:val="none" w:sz="0" w:space="0" w:color="auto"/>
          </w:divBdr>
        </w:div>
        <w:div w:id="1883130054">
          <w:marLeft w:val="0"/>
          <w:marRight w:val="0"/>
          <w:marTop w:val="0"/>
          <w:marBottom w:val="0"/>
          <w:divBdr>
            <w:top w:val="none" w:sz="0" w:space="0" w:color="auto"/>
            <w:left w:val="none" w:sz="0" w:space="0" w:color="auto"/>
            <w:bottom w:val="none" w:sz="0" w:space="0" w:color="auto"/>
            <w:right w:val="none" w:sz="0" w:space="0" w:color="auto"/>
          </w:divBdr>
        </w:div>
        <w:div w:id="2110345509">
          <w:marLeft w:val="0"/>
          <w:marRight w:val="0"/>
          <w:marTop w:val="0"/>
          <w:marBottom w:val="0"/>
          <w:divBdr>
            <w:top w:val="none" w:sz="0" w:space="0" w:color="auto"/>
            <w:left w:val="none" w:sz="0" w:space="0" w:color="auto"/>
            <w:bottom w:val="none" w:sz="0" w:space="0" w:color="auto"/>
            <w:right w:val="none" w:sz="0" w:space="0" w:color="auto"/>
          </w:divBdr>
        </w:div>
      </w:divsChild>
    </w:div>
    <w:div w:id="322584149">
      <w:bodyDiv w:val="1"/>
      <w:marLeft w:val="0"/>
      <w:marRight w:val="0"/>
      <w:marTop w:val="0"/>
      <w:marBottom w:val="0"/>
      <w:divBdr>
        <w:top w:val="none" w:sz="0" w:space="0" w:color="auto"/>
        <w:left w:val="none" w:sz="0" w:space="0" w:color="auto"/>
        <w:bottom w:val="none" w:sz="0" w:space="0" w:color="auto"/>
        <w:right w:val="none" w:sz="0" w:space="0" w:color="auto"/>
      </w:divBdr>
      <w:divsChild>
        <w:div w:id="303855801">
          <w:marLeft w:val="0"/>
          <w:marRight w:val="0"/>
          <w:marTop w:val="0"/>
          <w:marBottom w:val="0"/>
          <w:divBdr>
            <w:top w:val="none" w:sz="0" w:space="0" w:color="auto"/>
            <w:left w:val="none" w:sz="0" w:space="0" w:color="auto"/>
            <w:bottom w:val="none" w:sz="0" w:space="0" w:color="auto"/>
            <w:right w:val="none" w:sz="0" w:space="0" w:color="auto"/>
          </w:divBdr>
        </w:div>
        <w:div w:id="918172486">
          <w:marLeft w:val="0"/>
          <w:marRight w:val="0"/>
          <w:marTop w:val="0"/>
          <w:marBottom w:val="0"/>
          <w:divBdr>
            <w:top w:val="none" w:sz="0" w:space="0" w:color="auto"/>
            <w:left w:val="none" w:sz="0" w:space="0" w:color="auto"/>
            <w:bottom w:val="none" w:sz="0" w:space="0" w:color="auto"/>
            <w:right w:val="none" w:sz="0" w:space="0" w:color="auto"/>
          </w:divBdr>
        </w:div>
        <w:div w:id="1396200157">
          <w:marLeft w:val="0"/>
          <w:marRight w:val="0"/>
          <w:marTop w:val="0"/>
          <w:marBottom w:val="0"/>
          <w:divBdr>
            <w:top w:val="none" w:sz="0" w:space="0" w:color="auto"/>
            <w:left w:val="none" w:sz="0" w:space="0" w:color="auto"/>
            <w:bottom w:val="none" w:sz="0" w:space="0" w:color="auto"/>
            <w:right w:val="none" w:sz="0" w:space="0" w:color="auto"/>
          </w:divBdr>
        </w:div>
        <w:div w:id="2011248509">
          <w:marLeft w:val="0"/>
          <w:marRight w:val="0"/>
          <w:marTop w:val="0"/>
          <w:marBottom w:val="0"/>
          <w:divBdr>
            <w:top w:val="none" w:sz="0" w:space="0" w:color="auto"/>
            <w:left w:val="none" w:sz="0" w:space="0" w:color="auto"/>
            <w:bottom w:val="none" w:sz="0" w:space="0" w:color="auto"/>
            <w:right w:val="none" w:sz="0" w:space="0" w:color="auto"/>
          </w:divBdr>
        </w:div>
        <w:div w:id="2097823985">
          <w:marLeft w:val="0"/>
          <w:marRight w:val="0"/>
          <w:marTop w:val="0"/>
          <w:marBottom w:val="0"/>
          <w:divBdr>
            <w:top w:val="none" w:sz="0" w:space="0" w:color="auto"/>
            <w:left w:val="none" w:sz="0" w:space="0" w:color="auto"/>
            <w:bottom w:val="none" w:sz="0" w:space="0" w:color="auto"/>
            <w:right w:val="none" w:sz="0" w:space="0" w:color="auto"/>
          </w:divBdr>
        </w:div>
      </w:divsChild>
    </w:div>
    <w:div w:id="323778748">
      <w:bodyDiv w:val="1"/>
      <w:marLeft w:val="0"/>
      <w:marRight w:val="0"/>
      <w:marTop w:val="0"/>
      <w:marBottom w:val="0"/>
      <w:divBdr>
        <w:top w:val="none" w:sz="0" w:space="0" w:color="auto"/>
        <w:left w:val="none" w:sz="0" w:space="0" w:color="auto"/>
        <w:bottom w:val="none" w:sz="0" w:space="0" w:color="auto"/>
        <w:right w:val="none" w:sz="0" w:space="0" w:color="auto"/>
      </w:divBdr>
      <w:divsChild>
        <w:div w:id="77145051">
          <w:marLeft w:val="0"/>
          <w:marRight w:val="0"/>
          <w:marTop w:val="0"/>
          <w:marBottom w:val="0"/>
          <w:divBdr>
            <w:top w:val="none" w:sz="0" w:space="0" w:color="auto"/>
            <w:left w:val="none" w:sz="0" w:space="0" w:color="auto"/>
            <w:bottom w:val="none" w:sz="0" w:space="0" w:color="auto"/>
            <w:right w:val="none" w:sz="0" w:space="0" w:color="auto"/>
          </w:divBdr>
        </w:div>
        <w:div w:id="276370906">
          <w:marLeft w:val="0"/>
          <w:marRight w:val="0"/>
          <w:marTop w:val="0"/>
          <w:marBottom w:val="0"/>
          <w:divBdr>
            <w:top w:val="none" w:sz="0" w:space="0" w:color="auto"/>
            <w:left w:val="none" w:sz="0" w:space="0" w:color="auto"/>
            <w:bottom w:val="none" w:sz="0" w:space="0" w:color="auto"/>
            <w:right w:val="none" w:sz="0" w:space="0" w:color="auto"/>
          </w:divBdr>
        </w:div>
        <w:div w:id="350037548">
          <w:marLeft w:val="0"/>
          <w:marRight w:val="0"/>
          <w:marTop w:val="0"/>
          <w:marBottom w:val="0"/>
          <w:divBdr>
            <w:top w:val="none" w:sz="0" w:space="0" w:color="auto"/>
            <w:left w:val="none" w:sz="0" w:space="0" w:color="auto"/>
            <w:bottom w:val="none" w:sz="0" w:space="0" w:color="auto"/>
            <w:right w:val="none" w:sz="0" w:space="0" w:color="auto"/>
          </w:divBdr>
        </w:div>
        <w:div w:id="591280820">
          <w:marLeft w:val="0"/>
          <w:marRight w:val="0"/>
          <w:marTop w:val="0"/>
          <w:marBottom w:val="0"/>
          <w:divBdr>
            <w:top w:val="none" w:sz="0" w:space="0" w:color="auto"/>
            <w:left w:val="none" w:sz="0" w:space="0" w:color="auto"/>
            <w:bottom w:val="none" w:sz="0" w:space="0" w:color="auto"/>
            <w:right w:val="none" w:sz="0" w:space="0" w:color="auto"/>
          </w:divBdr>
        </w:div>
        <w:div w:id="1033504919">
          <w:marLeft w:val="0"/>
          <w:marRight w:val="0"/>
          <w:marTop w:val="0"/>
          <w:marBottom w:val="0"/>
          <w:divBdr>
            <w:top w:val="none" w:sz="0" w:space="0" w:color="auto"/>
            <w:left w:val="none" w:sz="0" w:space="0" w:color="auto"/>
            <w:bottom w:val="none" w:sz="0" w:space="0" w:color="auto"/>
            <w:right w:val="none" w:sz="0" w:space="0" w:color="auto"/>
          </w:divBdr>
        </w:div>
        <w:div w:id="1276328063">
          <w:marLeft w:val="0"/>
          <w:marRight w:val="0"/>
          <w:marTop w:val="0"/>
          <w:marBottom w:val="0"/>
          <w:divBdr>
            <w:top w:val="none" w:sz="0" w:space="0" w:color="auto"/>
            <w:left w:val="none" w:sz="0" w:space="0" w:color="auto"/>
            <w:bottom w:val="none" w:sz="0" w:space="0" w:color="auto"/>
            <w:right w:val="none" w:sz="0" w:space="0" w:color="auto"/>
          </w:divBdr>
        </w:div>
        <w:div w:id="1411385844">
          <w:marLeft w:val="0"/>
          <w:marRight w:val="0"/>
          <w:marTop w:val="0"/>
          <w:marBottom w:val="0"/>
          <w:divBdr>
            <w:top w:val="none" w:sz="0" w:space="0" w:color="auto"/>
            <w:left w:val="none" w:sz="0" w:space="0" w:color="auto"/>
            <w:bottom w:val="none" w:sz="0" w:space="0" w:color="auto"/>
            <w:right w:val="none" w:sz="0" w:space="0" w:color="auto"/>
          </w:divBdr>
        </w:div>
        <w:div w:id="1631862264">
          <w:marLeft w:val="0"/>
          <w:marRight w:val="0"/>
          <w:marTop w:val="0"/>
          <w:marBottom w:val="0"/>
          <w:divBdr>
            <w:top w:val="none" w:sz="0" w:space="0" w:color="auto"/>
            <w:left w:val="none" w:sz="0" w:space="0" w:color="auto"/>
            <w:bottom w:val="none" w:sz="0" w:space="0" w:color="auto"/>
            <w:right w:val="none" w:sz="0" w:space="0" w:color="auto"/>
          </w:divBdr>
        </w:div>
        <w:div w:id="1945843484">
          <w:marLeft w:val="0"/>
          <w:marRight w:val="0"/>
          <w:marTop w:val="0"/>
          <w:marBottom w:val="0"/>
          <w:divBdr>
            <w:top w:val="none" w:sz="0" w:space="0" w:color="auto"/>
            <w:left w:val="none" w:sz="0" w:space="0" w:color="auto"/>
            <w:bottom w:val="none" w:sz="0" w:space="0" w:color="auto"/>
            <w:right w:val="none" w:sz="0" w:space="0" w:color="auto"/>
          </w:divBdr>
        </w:div>
        <w:div w:id="2120832914">
          <w:marLeft w:val="0"/>
          <w:marRight w:val="0"/>
          <w:marTop w:val="0"/>
          <w:marBottom w:val="0"/>
          <w:divBdr>
            <w:top w:val="none" w:sz="0" w:space="0" w:color="auto"/>
            <w:left w:val="none" w:sz="0" w:space="0" w:color="auto"/>
            <w:bottom w:val="none" w:sz="0" w:space="0" w:color="auto"/>
            <w:right w:val="none" w:sz="0" w:space="0" w:color="auto"/>
          </w:divBdr>
        </w:div>
      </w:divsChild>
    </w:div>
    <w:div w:id="329909019">
      <w:bodyDiv w:val="1"/>
      <w:marLeft w:val="0"/>
      <w:marRight w:val="0"/>
      <w:marTop w:val="0"/>
      <w:marBottom w:val="0"/>
      <w:divBdr>
        <w:top w:val="none" w:sz="0" w:space="0" w:color="auto"/>
        <w:left w:val="none" w:sz="0" w:space="0" w:color="auto"/>
        <w:bottom w:val="none" w:sz="0" w:space="0" w:color="auto"/>
        <w:right w:val="none" w:sz="0" w:space="0" w:color="auto"/>
      </w:divBdr>
      <w:divsChild>
        <w:div w:id="212891296">
          <w:marLeft w:val="0"/>
          <w:marRight w:val="0"/>
          <w:marTop w:val="0"/>
          <w:marBottom w:val="0"/>
          <w:divBdr>
            <w:top w:val="none" w:sz="0" w:space="0" w:color="auto"/>
            <w:left w:val="none" w:sz="0" w:space="0" w:color="auto"/>
            <w:bottom w:val="none" w:sz="0" w:space="0" w:color="auto"/>
            <w:right w:val="none" w:sz="0" w:space="0" w:color="auto"/>
          </w:divBdr>
        </w:div>
        <w:div w:id="369382146">
          <w:marLeft w:val="0"/>
          <w:marRight w:val="0"/>
          <w:marTop w:val="0"/>
          <w:marBottom w:val="0"/>
          <w:divBdr>
            <w:top w:val="none" w:sz="0" w:space="0" w:color="auto"/>
            <w:left w:val="none" w:sz="0" w:space="0" w:color="auto"/>
            <w:bottom w:val="none" w:sz="0" w:space="0" w:color="auto"/>
            <w:right w:val="none" w:sz="0" w:space="0" w:color="auto"/>
          </w:divBdr>
        </w:div>
        <w:div w:id="1056202375">
          <w:marLeft w:val="0"/>
          <w:marRight w:val="0"/>
          <w:marTop w:val="0"/>
          <w:marBottom w:val="0"/>
          <w:divBdr>
            <w:top w:val="none" w:sz="0" w:space="0" w:color="auto"/>
            <w:left w:val="none" w:sz="0" w:space="0" w:color="auto"/>
            <w:bottom w:val="none" w:sz="0" w:space="0" w:color="auto"/>
            <w:right w:val="none" w:sz="0" w:space="0" w:color="auto"/>
          </w:divBdr>
        </w:div>
        <w:div w:id="1099762523">
          <w:marLeft w:val="0"/>
          <w:marRight w:val="0"/>
          <w:marTop w:val="0"/>
          <w:marBottom w:val="0"/>
          <w:divBdr>
            <w:top w:val="none" w:sz="0" w:space="0" w:color="auto"/>
            <w:left w:val="none" w:sz="0" w:space="0" w:color="auto"/>
            <w:bottom w:val="none" w:sz="0" w:space="0" w:color="auto"/>
            <w:right w:val="none" w:sz="0" w:space="0" w:color="auto"/>
          </w:divBdr>
        </w:div>
        <w:div w:id="2028095601">
          <w:marLeft w:val="0"/>
          <w:marRight w:val="0"/>
          <w:marTop w:val="0"/>
          <w:marBottom w:val="0"/>
          <w:divBdr>
            <w:top w:val="none" w:sz="0" w:space="0" w:color="auto"/>
            <w:left w:val="none" w:sz="0" w:space="0" w:color="auto"/>
            <w:bottom w:val="none" w:sz="0" w:space="0" w:color="auto"/>
            <w:right w:val="none" w:sz="0" w:space="0" w:color="auto"/>
          </w:divBdr>
        </w:div>
      </w:divsChild>
    </w:div>
    <w:div w:id="333729719">
      <w:bodyDiv w:val="1"/>
      <w:marLeft w:val="0"/>
      <w:marRight w:val="0"/>
      <w:marTop w:val="0"/>
      <w:marBottom w:val="0"/>
      <w:divBdr>
        <w:top w:val="none" w:sz="0" w:space="0" w:color="auto"/>
        <w:left w:val="none" w:sz="0" w:space="0" w:color="auto"/>
        <w:bottom w:val="none" w:sz="0" w:space="0" w:color="auto"/>
        <w:right w:val="none" w:sz="0" w:space="0" w:color="auto"/>
      </w:divBdr>
      <w:divsChild>
        <w:div w:id="228537541">
          <w:marLeft w:val="0"/>
          <w:marRight w:val="0"/>
          <w:marTop w:val="0"/>
          <w:marBottom w:val="0"/>
          <w:divBdr>
            <w:top w:val="none" w:sz="0" w:space="0" w:color="auto"/>
            <w:left w:val="none" w:sz="0" w:space="0" w:color="auto"/>
            <w:bottom w:val="none" w:sz="0" w:space="0" w:color="auto"/>
            <w:right w:val="none" w:sz="0" w:space="0" w:color="auto"/>
          </w:divBdr>
        </w:div>
        <w:div w:id="232354709">
          <w:marLeft w:val="0"/>
          <w:marRight w:val="0"/>
          <w:marTop w:val="0"/>
          <w:marBottom w:val="0"/>
          <w:divBdr>
            <w:top w:val="none" w:sz="0" w:space="0" w:color="auto"/>
            <w:left w:val="none" w:sz="0" w:space="0" w:color="auto"/>
            <w:bottom w:val="none" w:sz="0" w:space="0" w:color="auto"/>
            <w:right w:val="none" w:sz="0" w:space="0" w:color="auto"/>
          </w:divBdr>
        </w:div>
        <w:div w:id="659508657">
          <w:marLeft w:val="0"/>
          <w:marRight w:val="0"/>
          <w:marTop w:val="0"/>
          <w:marBottom w:val="0"/>
          <w:divBdr>
            <w:top w:val="none" w:sz="0" w:space="0" w:color="auto"/>
            <w:left w:val="none" w:sz="0" w:space="0" w:color="auto"/>
            <w:bottom w:val="none" w:sz="0" w:space="0" w:color="auto"/>
            <w:right w:val="none" w:sz="0" w:space="0" w:color="auto"/>
          </w:divBdr>
        </w:div>
        <w:div w:id="708339858">
          <w:marLeft w:val="0"/>
          <w:marRight w:val="0"/>
          <w:marTop w:val="0"/>
          <w:marBottom w:val="0"/>
          <w:divBdr>
            <w:top w:val="none" w:sz="0" w:space="0" w:color="auto"/>
            <w:left w:val="none" w:sz="0" w:space="0" w:color="auto"/>
            <w:bottom w:val="none" w:sz="0" w:space="0" w:color="auto"/>
            <w:right w:val="none" w:sz="0" w:space="0" w:color="auto"/>
          </w:divBdr>
          <w:divsChild>
            <w:div w:id="258874480">
              <w:marLeft w:val="0"/>
              <w:marRight w:val="0"/>
              <w:marTop w:val="0"/>
              <w:marBottom w:val="0"/>
              <w:divBdr>
                <w:top w:val="none" w:sz="0" w:space="0" w:color="auto"/>
                <w:left w:val="none" w:sz="0" w:space="0" w:color="auto"/>
                <w:bottom w:val="none" w:sz="0" w:space="0" w:color="auto"/>
                <w:right w:val="none" w:sz="0" w:space="0" w:color="auto"/>
              </w:divBdr>
            </w:div>
            <w:div w:id="341783527">
              <w:marLeft w:val="0"/>
              <w:marRight w:val="0"/>
              <w:marTop w:val="0"/>
              <w:marBottom w:val="0"/>
              <w:divBdr>
                <w:top w:val="none" w:sz="0" w:space="0" w:color="auto"/>
                <w:left w:val="none" w:sz="0" w:space="0" w:color="auto"/>
                <w:bottom w:val="none" w:sz="0" w:space="0" w:color="auto"/>
                <w:right w:val="none" w:sz="0" w:space="0" w:color="auto"/>
              </w:divBdr>
            </w:div>
            <w:div w:id="984622804">
              <w:marLeft w:val="0"/>
              <w:marRight w:val="0"/>
              <w:marTop w:val="0"/>
              <w:marBottom w:val="0"/>
              <w:divBdr>
                <w:top w:val="none" w:sz="0" w:space="0" w:color="auto"/>
                <w:left w:val="none" w:sz="0" w:space="0" w:color="auto"/>
                <w:bottom w:val="none" w:sz="0" w:space="0" w:color="auto"/>
                <w:right w:val="none" w:sz="0" w:space="0" w:color="auto"/>
              </w:divBdr>
            </w:div>
            <w:div w:id="1317413157">
              <w:marLeft w:val="0"/>
              <w:marRight w:val="0"/>
              <w:marTop w:val="0"/>
              <w:marBottom w:val="0"/>
              <w:divBdr>
                <w:top w:val="none" w:sz="0" w:space="0" w:color="auto"/>
                <w:left w:val="none" w:sz="0" w:space="0" w:color="auto"/>
                <w:bottom w:val="none" w:sz="0" w:space="0" w:color="auto"/>
                <w:right w:val="none" w:sz="0" w:space="0" w:color="auto"/>
              </w:divBdr>
            </w:div>
            <w:div w:id="1330937476">
              <w:marLeft w:val="0"/>
              <w:marRight w:val="0"/>
              <w:marTop w:val="0"/>
              <w:marBottom w:val="0"/>
              <w:divBdr>
                <w:top w:val="none" w:sz="0" w:space="0" w:color="auto"/>
                <w:left w:val="none" w:sz="0" w:space="0" w:color="auto"/>
                <w:bottom w:val="none" w:sz="0" w:space="0" w:color="auto"/>
                <w:right w:val="none" w:sz="0" w:space="0" w:color="auto"/>
              </w:divBdr>
            </w:div>
          </w:divsChild>
        </w:div>
        <w:div w:id="1104225572">
          <w:marLeft w:val="0"/>
          <w:marRight w:val="0"/>
          <w:marTop w:val="0"/>
          <w:marBottom w:val="0"/>
          <w:divBdr>
            <w:top w:val="none" w:sz="0" w:space="0" w:color="auto"/>
            <w:left w:val="none" w:sz="0" w:space="0" w:color="auto"/>
            <w:bottom w:val="none" w:sz="0" w:space="0" w:color="auto"/>
            <w:right w:val="none" w:sz="0" w:space="0" w:color="auto"/>
          </w:divBdr>
        </w:div>
        <w:div w:id="1306622915">
          <w:marLeft w:val="0"/>
          <w:marRight w:val="0"/>
          <w:marTop w:val="0"/>
          <w:marBottom w:val="0"/>
          <w:divBdr>
            <w:top w:val="none" w:sz="0" w:space="0" w:color="auto"/>
            <w:left w:val="none" w:sz="0" w:space="0" w:color="auto"/>
            <w:bottom w:val="none" w:sz="0" w:space="0" w:color="auto"/>
            <w:right w:val="none" w:sz="0" w:space="0" w:color="auto"/>
          </w:divBdr>
        </w:div>
        <w:div w:id="1605116165">
          <w:marLeft w:val="0"/>
          <w:marRight w:val="0"/>
          <w:marTop w:val="0"/>
          <w:marBottom w:val="0"/>
          <w:divBdr>
            <w:top w:val="none" w:sz="0" w:space="0" w:color="auto"/>
            <w:left w:val="none" w:sz="0" w:space="0" w:color="auto"/>
            <w:bottom w:val="none" w:sz="0" w:space="0" w:color="auto"/>
            <w:right w:val="none" w:sz="0" w:space="0" w:color="auto"/>
          </w:divBdr>
        </w:div>
      </w:divsChild>
    </w:div>
    <w:div w:id="336621223">
      <w:bodyDiv w:val="1"/>
      <w:marLeft w:val="0"/>
      <w:marRight w:val="0"/>
      <w:marTop w:val="0"/>
      <w:marBottom w:val="0"/>
      <w:divBdr>
        <w:top w:val="none" w:sz="0" w:space="0" w:color="auto"/>
        <w:left w:val="none" w:sz="0" w:space="0" w:color="auto"/>
        <w:bottom w:val="none" w:sz="0" w:space="0" w:color="auto"/>
        <w:right w:val="none" w:sz="0" w:space="0" w:color="auto"/>
      </w:divBdr>
      <w:divsChild>
        <w:div w:id="749154670">
          <w:marLeft w:val="0"/>
          <w:marRight w:val="0"/>
          <w:marTop w:val="0"/>
          <w:marBottom w:val="0"/>
          <w:divBdr>
            <w:top w:val="none" w:sz="0" w:space="0" w:color="auto"/>
            <w:left w:val="none" w:sz="0" w:space="0" w:color="auto"/>
            <w:bottom w:val="none" w:sz="0" w:space="0" w:color="auto"/>
            <w:right w:val="none" w:sz="0" w:space="0" w:color="auto"/>
          </w:divBdr>
        </w:div>
        <w:div w:id="1128472511">
          <w:marLeft w:val="0"/>
          <w:marRight w:val="0"/>
          <w:marTop w:val="0"/>
          <w:marBottom w:val="0"/>
          <w:divBdr>
            <w:top w:val="none" w:sz="0" w:space="0" w:color="auto"/>
            <w:left w:val="none" w:sz="0" w:space="0" w:color="auto"/>
            <w:bottom w:val="none" w:sz="0" w:space="0" w:color="auto"/>
            <w:right w:val="none" w:sz="0" w:space="0" w:color="auto"/>
          </w:divBdr>
        </w:div>
        <w:div w:id="1371147040">
          <w:marLeft w:val="0"/>
          <w:marRight w:val="0"/>
          <w:marTop w:val="0"/>
          <w:marBottom w:val="0"/>
          <w:divBdr>
            <w:top w:val="none" w:sz="0" w:space="0" w:color="auto"/>
            <w:left w:val="none" w:sz="0" w:space="0" w:color="auto"/>
            <w:bottom w:val="none" w:sz="0" w:space="0" w:color="auto"/>
            <w:right w:val="none" w:sz="0" w:space="0" w:color="auto"/>
          </w:divBdr>
          <w:divsChild>
            <w:div w:id="132866687">
              <w:marLeft w:val="0"/>
              <w:marRight w:val="0"/>
              <w:marTop w:val="0"/>
              <w:marBottom w:val="0"/>
              <w:divBdr>
                <w:top w:val="none" w:sz="0" w:space="0" w:color="auto"/>
                <w:left w:val="none" w:sz="0" w:space="0" w:color="auto"/>
                <w:bottom w:val="none" w:sz="0" w:space="0" w:color="auto"/>
                <w:right w:val="none" w:sz="0" w:space="0" w:color="auto"/>
              </w:divBdr>
            </w:div>
            <w:div w:id="1215191022">
              <w:marLeft w:val="0"/>
              <w:marRight w:val="0"/>
              <w:marTop w:val="0"/>
              <w:marBottom w:val="0"/>
              <w:divBdr>
                <w:top w:val="none" w:sz="0" w:space="0" w:color="auto"/>
                <w:left w:val="none" w:sz="0" w:space="0" w:color="auto"/>
                <w:bottom w:val="none" w:sz="0" w:space="0" w:color="auto"/>
                <w:right w:val="none" w:sz="0" w:space="0" w:color="auto"/>
              </w:divBdr>
            </w:div>
            <w:div w:id="1369843370">
              <w:marLeft w:val="0"/>
              <w:marRight w:val="0"/>
              <w:marTop w:val="0"/>
              <w:marBottom w:val="0"/>
              <w:divBdr>
                <w:top w:val="none" w:sz="0" w:space="0" w:color="auto"/>
                <w:left w:val="none" w:sz="0" w:space="0" w:color="auto"/>
                <w:bottom w:val="none" w:sz="0" w:space="0" w:color="auto"/>
                <w:right w:val="none" w:sz="0" w:space="0" w:color="auto"/>
              </w:divBdr>
            </w:div>
            <w:div w:id="1417634044">
              <w:marLeft w:val="0"/>
              <w:marRight w:val="0"/>
              <w:marTop w:val="0"/>
              <w:marBottom w:val="0"/>
              <w:divBdr>
                <w:top w:val="none" w:sz="0" w:space="0" w:color="auto"/>
                <w:left w:val="none" w:sz="0" w:space="0" w:color="auto"/>
                <w:bottom w:val="none" w:sz="0" w:space="0" w:color="auto"/>
                <w:right w:val="none" w:sz="0" w:space="0" w:color="auto"/>
              </w:divBdr>
            </w:div>
            <w:div w:id="1944681547">
              <w:marLeft w:val="0"/>
              <w:marRight w:val="0"/>
              <w:marTop w:val="0"/>
              <w:marBottom w:val="0"/>
              <w:divBdr>
                <w:top w:val="none" w:sz="0" w:space="0" w:color="auto"/>
                <w:left w:val="none" w:sz="0" w:space="0" w:color="auto"/>
                <w:bottom w:val="none" w:sz="0" w:space="0" w:color="auto"/>
                <w:right w:val="none" w:sz="0" w:space="0" w:color="auto"/>
              </w:divBdr>
            </w:div>
          </w:divsChild>
        </w:div>
        <w:div w:id="1540043264">
          <w:marLeft w:val="0"/>
          <w:marRight w:val="0"/>
          <w:marTop w:val="0"/>
          <w:marBottom w:val="0"/>
          <w:divBdr>
            <w:top w:val="none" w:sz="0" w:space="0" w:color="auto"/>
            <w:left w:val="none" w:sz="0" w:space="0" w:color="auto"/>
            <w:bottom w:val="none" w:sz="0" w:space="0" w:color="auto"/>
            <w:right w:val="none" w:sz="0" w:space="0" w:color="auto"/>
          </w:divBdr>
        </w:div>
        <w:div w:id="1552644101">
          <w:marLeft w:val="0"/>
          <w:marRight w:val="0"/>
          <w:marTop w:val="0"/>
          <w:marBottom w:val="0"/>
          <w:divBdr>
            <w:top w:val="none" w:sz="0" w:space="0" w:color="auto"/>
            <w:left w:val="none" w:sz="0" w:space="0" w:color="auto"/>
            <w:bottom w:val="none" w:sz="0" w:space="0" w:color="auto"/>
            <w:right w:val="none" w:sz="0" w:space="0" w:color="auto"/>
          </w:divBdr>
          <w:divsChild>
            <w:div w:id="733969119">
              <w:marLeft w:val="0"/>
              <w:marRight w:val="0"/>
              <w:marTop w:val="0"/>
              <w:marBottom w:val="0"/>
              <w:divBdr>
                <w:top w:val="none" w:sz="0" w:space="0" w:color="auto"/>
                <w:left w:val="none" w:sz="0" w:space="0" w:color="auto"/>
                <w:bottom w:val="none" w:sz="0" w:space="0" w:color="auto"/>
                <w:right w:val="none" w:sz="0" w:space="0" w:color="auto"/>
              </w:divBdr>
            </w:div>
            <w:div w:id="1507745796">
              <w:marLeft w:val="0"/>
              <w:marRight w:val="0"/>
              <w:marTop w:val="0"/>
              <w:marBottom w:val="0"/>
              <w:divBdr>
                <w:top w:val="none" w:sz="0" w:space="0" w:color="auto"/>
                <w:left w:val="none" w:sz="0" w:space="0" w:color="auto"/>
                <w:bottom w:val="none" w:sz="0" w:space="0" w:color="auto"/>
                <w:right w:val="none" w:sz="0" w:space="0" w:color="auto"/>
              </w:divBdr>
            </w:div>
            <w:div w:id="2104841723">
              <w:marLeft w:val="0"/>
              <w:marRight w:val="0"/>
              <w:marTop w:val="0"/>
              <w:marBottom w:val="0"/>
              <w:divBdr>
                <w:top w:val="none" w:sz="0" w:space="0" w:color="auto"/>
                <w:left w:val="none" w:sz="0" w:space="0" w:color="auto"/>
                <w:bottom w:val="none" w:sz="0" w:space="0" w:color="auto"/>
                <w:right w:val="none" w:sz="0" w:space="0" w:color="auto"/>
              </w:divBdr>
            </w:div>
          </w:divsChild>
        </w:div>
        <w:div w:id="1734426396">
          <w:marLeft w:val="0"/>
          <w:marRight w:val="0"/>
          <w:marTop w:val="0"/>
          <w:marBottom w:val="0"/>
          <w:divBdr>
            <w:top w:val="none" w:sz="0" w:space="0" w:color="auto"/>
            <w:left w:val="none" w:sz="0" w:space="0" w:color="auto"/>
            <w:bottom w:val="none" w:sz="0" w:space="0" w:color="auto"/>
            <w:right w:val="none" w:sz="0" w:space="0" w:color="auto"/>
          </w:divBdr>
        </w:div>
      </w:divsChild>
    </w:div>
    <w:div w:id="373894086">
      <w:bodyDiv w:val="1"/>
      <w:marLeft w:val="0"/>
      <w:marRight w:val="0"/>
      <w:marTop w:val="0"/>
      <w:marBottom w:val="0"/>
      <w:divBdr>
        <w:top w:val="none" w:sz="0" w:space="0" w:color="auto"/>
        <w:left w:val="none" w:sz="0" w:space="0" w:color="auto"/>
        <w:bottom w:val="none" w:sz="0" w:space="0" w:color="auto"/>
        <w:right w:val="none" w:sz="0" w:space="0" w:color="auto"/>
      </w:divBdr>
      <w:divsChild>
        <w:div w:id="281812015">
          <w:marLeft w:val="0"/>
          <w:marRight w:val="0"/>
          <w:marTop w:val="0"/>
          <w:marBottom w:val="0"/>
          <w:divBdr>
            <w:top w:val="none" w:sz="0" w:space="0" w:color="auto"/>
            <w:left w:val="none" w:sz="0" w:space="0" w:color="auto"/>
            <w:bottom w:val="none" w:sz="0" w:space="0" w:color="auto"/>
            <w:right w:val="none" w:sz="0" w:space="0" w:color="auto"/>
          </w:divBdr>
        </w:div>
        <w:div w:id="765224833">
          <w:marLeft w:val="0"/>
          <w:marRight w:val="0"/>
          <w:marTop w:val="0"/>
          <w:marBottom w:val="0"/>
          <w:divBdr>
            <w:top w:val="none" w:sz="0" w:space="0" w:color="auto"/>
            <w:left w:val="none" w:sz="0" w:space="0" w:color="auto"/>
            <w:bottom w:val="none" w:sz="0" w:space="0" w:color="auto"/>
            <w:right w:val="none" w:sz="0" w:space="0" w:color="auto"/>
          </w:divBdr>
        </w:div>
        <w:div w:id="1094206328">
          <w:marLeft w:val="0"/>
          <w:marRight w:val="0"/>
          <w:marTop w:val="0"/>
          <w:marBottom w:val="0"/>
          <w:divBdr>
            <w:top w:val="none" w:sz="0" w:space="0" w:color="auto"/>
            <w:left w:val="none" w:sz="0" w:space="0" w:color="auto"/>
            <w:bottom w:val="none" w:sz="0" w:space="0" w:color="auto"/>
            <w:right w:val="none" w:sz="0" w:space="0" w:color="auto"/>
          </w:divBdr>
        </w:div>
        <w:div w:id="1459493964">
          <w:marLeft w:val="0"/>
          <w:marRight w:val="0"/>
          <w:marTop w:val="0"/>
          <w:marBottom w:val="0"/>
          <w:divBdr>
            <w:top w:val="none" w:sz="0" w:space="0" w:color="auto"/>
            <w:left w:val="none" w:sz="0" w:space="0" w:color="auto"/>
            <w:bottom w:val="none" w:sz="0" w:space="0" w:color="auto"/>
            <w:right w:val="none" w:sz="0" w:space="0" w:color="auto"/>
          </w:divBdr>
        </w:div>
        <w:div w:id="1895851183">
          <w:marLeft w:val="0"/>
          <w:marRight w:val="0"/>
          <w:marTop w:val="0"/>
          <w:marBottom w:val="0"/>
          <w:divBdr>
            <w:top w:val="none" w:sz="0" w:space="0" w:color="auto"/>
            <w:left w:val="none" w:sz="0" w:space="0" w:color="auto"/>
            <w:bottom w:val="none" w:sz="0" w:space="0" w:color="auto"/>
            <w:right w:val="none" w:sz="0" w:space="0" w:color="auto"/>
          </w:divBdr>
        </w:div>
      </w:divsChild>
    </w:div>
    <w:div w:id="376397687">
      <w:bodyDiv w:val="1"/>
      <w:marLeft w:val="0"/>
      <w:marRight w:val="0"/>
      <w:marTop w:val="0"/>
      <w:marBottom w:val="0"/>
      <w:divBdr>
        <w:top w:val="none" w:sz="0" w:space="0" w:color="auto"/>
        <w:left w:val="none" w:sz="0" w:space="0" w:color="auto"/>
        <w:bottom w:val="none" w:sz="0" w:space="0" w:color="auto"/>
        <w:right w:val="none" w:sz="0" w:space="0" w:color="auto"/>
      </w:divBdr>
      <w:divsChild>
        <w:div w:id="636837818">
          <w:marLeft w:val="0"/>
          <w:marRight w:val="0"/>
          <w:marTop w:val="0"/>
          <w:marBottom w:val="0"/>
          <w:divBdr>
            <w:top w:val="none" w:sz="0" w:space="0" w:color="auto"/>
            <w:left w:val="none" w:sz="0" w:space="0" w:color="auto"/>
            <w:bottom w:val="none" w:sz="0" w:space="0" w:color="auto"/>
            <w:right w:val="none" w:sz="0" w:space="0" w:color="auto"/>
          </w:divBdr>
        </w:div>
        <w:div w:id="1430613929">
          <w:marLeft w:val="0"/>
          <w:marRight w:val="0"/>
          <w:marTop w:val="0"/>
          <w:marBottom w:val="0"/>
          <w:divBdr>
            <w:top w:val="none" w:sz="0" w:space="0" w:color="auto"/>
            <w:left w:val="none" w:sz="0" w:space="0" w:color="auto"/>
            <w:bottom w:val="none" w:sz="0" w:space="0" w:color="auto"/>
            <w:right w:val="none" w:sz="0" w:space="0" w:color="auto"/>
          </w:divBdr>
        </w:div>
      </w:divsChild>
    </w:div>
    <w:div w:id="397097075">
      <w:bodyDiv w:val="1"/>
      <w:marLeft w:val="0"/>
      <w:marRight w:val="0"/>
      <w:marTop w:val="0"/>
      <w:marBottom w:val="0"/>
      <w:divBdr>
        <w:top w:val="none" w:sz="0" w:space="0" w:color="auto"/>
        <w:left w:val="none" w:sz="0" w:space="0" w:color="auto"/>
        <w:bottom w:val="none" w:sz="0" w:space="0" w:color="auto"/>
        <w:right w:val="none" w:sz="0" w:space="0" w:color="auto"/>
      </w:divBdr>
      <w:divsChild>
        <w:div w:id="89157297">
          <w:marLeft w:val="0"/>
          <w:marRight w:val="0"/>
          <w:marTop w:val="0"/>
          <w:marBottom w:val="0"/>
          <w:divBdr>
            <w:top w:val="none" w:sz="0" w:space="0" w:color="auto"/>
            <w:left w:val="none" w:sz="0" w:space="0" w:color="auto"/>
            <w:bottom w:val="none" w:sz="0" w:space="0" w:color="auto"/>
            <w:right w:val="none" w:sz="0" w:space="0" w:color="auto"/>
          </w:divBdr>
        </w:div>
        <w:div w:id="812065122">
          <w:marLeft w:val="0"/>
          <w:marRight w:val="0"/>
          <w:marTop w:val="0"/>
          <w:marBottom w:val="0"/>
          <w:divBdr>
            <w:top w:val="none" w:sz="0" w:space="0" w:color="auto"/>
            <w:left w:val="none" w:sz="0" w:space="0" w:color="auto"/>
            <w:bottom w:val="none" w:sz="0" w:space="0" w:color="auto"/>
            <w:right w:val="none" w:sz="0" w:space="0" w:color="auto"/>
          </w:divBdr>
        </w:div>
        <w:div w:id="851142434">
          <w:marLeft w:val="0"/>
          <w:marRight w:val="0"/>
          <w:marTop w:val="0"/>
          <w:marBottom w:val="0"/>
          <w:divBdr>
            <w:top w:val="none" w:sz="0" w:space="0" w:color="auto"/>
            <w:left w:val="none" w:sz="0" w:space="0" w:color="auto"/>
            <w:bottom w:val="none" w:sz="0" w:space="0" w:color="auto"/>
            <w:right w:val="none" w:sz="0" w:space="0" w:color="auto"/>
          </w:divBdr>
        </w:div>
        <w:div w:id="1156460048">
          <w:marLeft w:val="0"/>
          <w:marRight w:val="0"/>
          <w:marTop w:val="0"/>
          <w:marBottom w:val="0"/>
          <w:divBdr>
            <w:top w:val="none" w:sz="0" w:space="0" w:color="auto"/>
            <w:left w:val="none" w:sz="0" w:space="0" w:color="auto"/>
            <w:bottom w:val="none" w:sz="0" w:space="0" w:color="auto"/>
            <w:right w:val="none" w:sz="0" w:space="0" w:color="auto"/>
          </w:divBdr>
        </w:div>
        <w:div w:id="1510755005">
          <w:marLeft w:val="0"/>
          <w:marRight w:val="0"/>
          <w:marTop w:val="0"/>
          <w:marBottom w:val="0"/>
          <w:divBdr>
            <w:top w:val="none" w:sz="0" w:space="0" w:color="auto"/>
            <w:left w:val="none" w:sz="0" w:space="0" w:color="auto"/>
            <w:bottom w:val="none" w:sz="0" w:space="0" w:color="auto"/>
            <w:right w:val="none" w:sz="0" w:space="0" w:color="auto"/>
          </w:divBdr>
        </w:div>
        <w:div w:id="1540510568">
          <w:marLeft w:val="0"/>
          <w:marRight w:val="0"/>
          <w:marTop w:val="0"/>
          <w:marBottom w:val="0"/>
          <w:divBdr>
            <w:top w:val="none" w:sz="0" w:space="0" w:color="auto"/>
            <w:left w:val="none" w:sz="0" w:space="0" w:color="auto"/>
            <w:bottom w:val="none" w:sz="0" w:space="0" w:color="auto"/>
            <w:right w:val="none" w:sz="0" w:space="0" w:color="auto"/>
          </w:divBdr>
        </w:div>
        <w:div w:id="1581326048">
          <w:marLeft w:val="0"/>
          <w:marRight w:val="0"/>
          <w:marTop w:val="0"/>
          <w:marBottom w:val="0"/>
          <w:divBdr>
            <w:top w:val="none" w:sz="0" w:space="0" w:color="auto"/>
            <w:left w:val="none" w:sz="0" w:space="0" w:color="auto"/>
            <w:bottom w:val="none" w:sz="0" w:space="0" w:color="auto"/>
            <w:right w:val="none" w:sz="0" w:space="0" w:color="auto"/>
          </w:divBdr>
        </w:div>
        <w:div w:id="1690178243">
          <w:marLeft w:val="0"/>
          <w:marRight w:val="0"/>
          <w:marTop w:val="0"/>
          <w:marBottom w:val="0"/>
          <w:divBdr>
            <w:top w:val="none" w:sz="0" w:space="0" w:color="auto"/>
            <w:left w:val="none" w:sz="0" w:space="0" w:color="auto"/>
            <w:bottom w:val="none" w:sz="0" w:space="0" w:color="auto"/>
            <w:right w:val="none" w:sz="0" w:space="0" w:color="auto"/>
          </w:divBdr>
        </w:div>
        <w:div w:id="1704280955">
          <w:marLeft w:val="0"/>
          <w:marRight w:val="0"/>
          <w:marTop w:val="0"/>
          <w:marBottom w:val="0"/>
          <w:divBdr>
            <w:top w:val="none" w:sz="0" w:space="0" w:color="auto"/>
            <w:left w:val="none" w:sz="0" w:space="0" w:color="auto"/>
            <w:bottom w:val="none" w:sz="0" w:space="0" w:color="auto"/>
            <w:right w:val="none" w:sz="0" w:space="0" w:color="auto"/>
          </w:divBdr>
        </w:div>
      </w:divsChild>
    </w:div>
    <w:div w:id="401759899">
      <w:bodyDiv w:val="1"/>
      <w:marLeft w:val="0"/>
      <w:marRight w:val="0"/>
      <w:marTop w:val="0"/>
      <w:marBottom w:val="0"/>
      <w:divBdr>
        <w:top w:val="none" w:sz="0" w:space="0" w:color="auto"/>
        <w:left w:val="none" w:sz="0" w:space="0" w:color="auto"/>
        <w:bottom w:val="none" w:sz="0" w:space="0" w:color="auto"/>
        <w:right w:val="none" w:sz="0" w:space="0" w:color="auto"/>
      </w:divBdr>
      <w:divsChild>
        <w:div w:id="76901311">
          <w:marLeft w:val="0"/>
          <w:marRight w:val="0"/>
          <w:marTop w:val="0"/>
          <w:marBottom w:val="0"/>
          <w:divBdr>
            <w:top w:val="none" w:sz="0" w:space="0" w:color="auto"/>
            <w:left w:val="none" w:sz="0" w:space="0" w:color="auto"/>
            <w:bottom w:val="none" w:sz="0" w:space="0" w:color="auto"/>
            <w:right w:val="none" w:sz="0" w:space="0" w:color="auto"/>
          </w:divBdr>
        </w:div>
        <w:div w:id="178013418">
          <w:marLeft w:val="0"/>
          <w:marRight w:val="0"/>
          <w:marTop w:val="0"/>
          <w:marBottom w:val="0"/>
          <w:divBdr>
            <w:top w:val="none" w:sz="0" w:space="0" w:color="auto"/>
            <w:left w:val="none" w:sz="0" w:space="0" w:color="auto"/>
            <w:bottom w:val="none" w:sz="0" w:space="0" w:color="auto"/>
            <w:right w:val="none" w:sz="0" w:space="0" w:color="auto"/>
          </w:divBdr>
        </w:div>
        <w:div w:id="511847292">
          <w:marLeft w:val="0"/>
          <w:marRight w:val="0"/>
          <w:marTop w:val="0"/>
          <w:marBottom w:val="0"/>
          <w:divBdr>
            <w:top w:val="none" w:sz="0" w:space="0" w:color="auto"/>
            <w:left w:val="none" w:sz="0" w:space="0" w:color="auto"/>
            <w:bottom w:val="none" w:sz="0" w:space="0" w:color="auto"/>
            <w:right w:val="none" w:sz="0" w:space="0" w:color="auto"/>
          </w:divBdr>
        </w:div>
        <w:div w:id="516625103">
          <w:marLeft w:val="0"/>
          <w:marRight w:val="0"/>
          <w:marTop w:val="0"/>
          <w:marBottom w:val="0"/>
          <w:divBdr>
            <w:top w:val="none" w:sz="0" w:space="0" w:color="auto"/>
            <w:left w:val="none" w:sz="0" w:space="0" w:color="auto"/>
            <w:bottom w:val="none" w:sz="0" w:space="0" w:color="auto"/>
            <w:right w:val="none" w:sz="0" w:space="0" w:color="auto"/>
          </w:divBdr>
        </w:div>
        <w:div w:id="740059777">
          <w:marLeft w:val="0"/>
          <w:marRight w:val="0"/>
          <w:marTop w:val="0"/>
          <w:marBottom w:val="0"/>
          <w:divBdr>
            <w:top w:val="none" w:sz="0" w:space="0" w:color="auto"/>
            <w:left w:val="none" w:sz="0" w:space="0" w:color="auto"/>
            <w:bottom w:val="none" w:sz="0" w:space="0" w:color="auto"/>
            <w:right w:val="none" w:sz="0" w:space="0" w:color="auto"/>
          </w:divBdr>
        </w:div>
        <w:div w:id="820196459">
          <w:marLeft w:val="0"/>
          <w:marRight w:val="0"/>
          <w:marTop w:val="0"/>
          <w:marBottom w:val="0"/>
          <w:divBdr>
            <w:top w:val="none" w:sz="0" w:space="0" w:color="auto"/>
            <w:left w:val="none" w:sz="0" w:space="0" w:color="auto"/>
            <w:bottom w:val="none" w:sz="0" w:space="0" w:color="auto"/>
            <w:right w:val="none" w:sz="0" w:space="0" w:color="auto"/>
          </w:divBdr>
        </w:div>
        <w:div w:id="918441066">
          <w:marLeft w:val="0"/>
          <w:marRight w:val="0"/>
          <w:marTop w:val="0"/>
          <w:marBottom w:val="0"/>
          <w:divBdr>
            <w:top w:val="none" w:sz="0" w:space="0" w:color="auto"/>
            <w:left w:val="none" w:sz="0" w:space="0" w:color="auto"/>
            <w:bottom w:val="none" w:sz="0" w:space="0" w:color="auto"/>
            <w:right w:val="none" w:sz="0" w:space="0" w:color="auto"/>
          </w:divBdr>
        </w:div>
        <w:div w:id="1439252002">
          <w:marLeft w:val="0"/>
          <w:marRight w:val="0"/>
          <w:marTop w:val="0"/>
          <w:marBottom w:val="0"/>
          <w:divBdr>
            <w:top w:val="none" w:sz="0" w:space="0" w:color="auto"/>
            <w:left w:val="none" w:sz="0" w:space="0" w:color="auto"/>
            <w:bottom w:val="none" w:sz="0" w:space="0" w:color="auto"/>
            <w:right w:val="none" w:sz="0" w:space="0" w:color="auto"/>
          </w:divBdr>
        </w:div>
        <w:div w:id="1459491759">
          <w:marLeft w:val="0"/>
          <w:marRight w:val="0"/>
          <w:marTop w:val="0"/>
          <w:marBottom w:val="0"/>
          <w:divBdr>
            <w:top w:val="none" w:sz="0" w:space="0" w:color="auto"/>
            <w:left w:val="none" w:sz="0" w:space="0" w:color="auto"/>
            <w:bottom w:val="none" w:sz="0" w:space="0" w:color="auto"/>
            <w:right w:val="none" w:sz="0" w:space="0" w:color="auto"/>
          </w:divBdr>
        </w:div>
        <w:div w:id="1567034188">
          <w:marLeft w:val="0"/>
          <w:marRight w:val="0"/>
          <w:marTop w:val="0"/>
          <w:marBottom w:val="0"/>
          <w:divBdr>
            <w:top w:val="none" w:sz="0" w:space="0" w:color="auto"/>
            <w:left w:val="none" w:sz="0" w:space="0" w:color="auto"/>
            <w:bottom w:val="none" w:sz="0" w:space="0" w:color="auto"/>
            <w:right w:val="none" w:sz="0" w:space="0" w:color="auto"/>
          </w:divBdr>
        </w:div>
        <w:div w:id="1567450653">
          <w:marLeft w:val="0"/>
          <w:marRight w:val="0"/>
          <w:marTop w:val="0"/>
          <w:marBottom w:val="0"/>
          <w:divBdr>
            <w:top w:val="none" w:sz="0" w:space="0" w:color="auto"/>
            <w:left w:val="none" w:sz="0" w:space="0" w:color="auto"/>
            <w:bottom w:val="none" w:sz="0" w:space="0" w:color="auto"/>
            <w:right w:val="none" w:sz="0" w:space="0" w:color="auto"/>
          </w:divBdr>
        </w:div>
        <w:div w:id="2106729251">
          <w:marLeft w:val="0"/>
          <w:marRight w:val="0"/>
          <w:marTop w:val="0"/>
          <w:marBottom w:val="0"/>
          <w:divBdr>
            <w:top w:val="none" w:sz="0" w:space="0" w:color="auto"/>
            <w:left w:val="none" w:sz="0" w:space="0" w:color="auto"/>
            <w:bottom w:val="none" w:sz="0" w:space="0" w:color="auto"/>
            <w:right w:val="none" w:sz="0" w:space="0" w:color="auto"/>
          </w:divBdr>
          <w:divsChild>
            <w:div w:id="358629874">
              <w:marLeft w:val="0"/>
              <w:marRight w:val="0"/>
              <w:marTop w:val="0"/>
              <w:marBottom w:val="0"/>
              <w:divBdr>
                <w:top w:val="none" w:sz="0" w:space="0" w:color="auto"/>
                <w:left w:val="none" w:sz="0" w:space="0" w:color="auto"/>
                <w:bottom w:val="none" w:sz="0" w:space="0" w:color="auto"/>
                <w:right w:val="none" w:sz="0" w:space="0" w:color="auto"/>
              </w:divBdr>
            </w:div>
            <w:div w:id="1016268514">
              <w:marLeft w:val="0"/>
              <w:marRight w:val="0"/>
              <w:marTop w:val="0"/>
              <w:marBottom w:val="0"/>
              <w:divBdr>
                <w:top w:val="none" w:sz="0" w:space="0" w:color="auto"/>
                <w:left w:val="none" w:sz="0" w:space="0" w:color="auto"/>
                <w:bottom w:val="none" w:sz="0" w:space="0" w:color="auto"/>
                <w:right w:val="none" w:sz="0" w:space="0" w:color="auto"/>
              </w:divBdr>
            </w:div>
            <w:div w:id="1710228775">
              <w:marLeft w:val="0"/>
              <w:marRight w:val="0"/>
              <w:marTop w:val="0"/>
              <w:marBottom w:val="0"/>
              <w:divBdr>
                <w:top w:val="none" w:sz="0" w:space="0" w:color="auto"/>
                <w:left w:val="none" w:sz="0" w:space="0" w:color="auto"/>
                <w:bottom w:val="none" w:sz="0" w:space="0" w:color="auto"/>
                <w:right w:val="none" w:sz="0" w:space="0" w:color="auto"/>
              </w:divBdr>
            </w:div>
            <w:div w:id="2002192830">
              <w:marLeft w:val="0"/>
              <w:marRight w:val="0"/>
              <w:marTop w:val="0"/>
              <w:marBottom w:val="0"/>
              <w:divBdr>
                <w:top w:val="none" w:sz="0" w:space="0" w:color="auto"/>
                <w:left w:val="none" w:sz="0" w:space="0" w:color="auto"/>
                <w:bottom w:val="none" w:sz="0" w:space="0" w:color="auto"/>
                <w:right w:val="none" w:sz="0" w:space="0" w:color="auto"/>
              </w:divBdr>
            </w:div>
          </w:divsChild>
        </w:div>
        <w:div w:id="2117752827">
          <w:marLeft w:val="0"/>
          <w:marRight w:val="0"/>
          <w:marTop w:val="0"/>
          <w:marBottom w:val="0"/>
          <w:divBdr>
            <w:top w:val="none" w:sz="0" w:space="0" w:color="auto"/>
            <w:left w:val="none" w:sz="0" w:space="0" w:color="auto"/>
            <w:bottom w:val="none" w:sz="0" w:space="0" w:color="auto"/>
            <w:right w:val="none" w:sz="0" w:space="0" w:color="auto"/>
          </w:divBdr>
        </w:div>
      </w:divsChild>
    </w:div>
    <w:div w:id="405886684">
      <w:bodyDiv w:val="1"/>
      <w:marLeft w:val="0"/>
      <w:marRight w:val="0"/>
      <w:marTop w:val="0"/>
      <w:marBottom w:val="0"/>
      <w:divBdr>
        <w:top w:val="none" w:sz="0" w:space="0" w:color="auto"/>
        <w:left w:val="none" w:sz="0" w:space="0" w:color="auto"/>
        <w:bottom w:val="none" w:sz="0" w:space="0" w:color="auto"/>
        <w:right w:val="none" w:sz="0" w:space="0" w:color="auto"/>
      </w:divBdr>
      <w:divsChild>
        <w:div w:id="477670">
          <w:marLeft w:val="0"/>
          <w:marRight w:val="0"/>
          <w:marTop w:val="0"/>
          <w:marBottom w:val="0"/>
          <w:divBdr>
            <w:top w:val="none" w:sz="0" w:space="0" w:color="auto"/>
            <w:left w:val="none" w:sz="0" w:space="0" w:color="auto"/>
            <w:bottom w:val="none" w:sz="0" w:space="0" w:color="auto"/>
            <w:right w:val="none" w:sz="0" w:space="0" w:color="auto"/>
          </w:divBdr>
        </w:div>
        <w:div w:id="285700130">
          <w:marLeft w:val="0"/>
          <w:marRight w:val="0"/>
          <w:marTop w:val="0"/>
          <w:marBottom w:val="0"/>
          <w:divBdr>
            <w:top w:val="none" w:sz="0" w:space="0" w:color="auto"/>
            <w:left w:val="none" w:sz="0" w:space="0" w:color="auto"/>
            <w:bottom w:val="none" w:sz="0" w:space="0" w:color="auto"/>
            <w:right w:val="none" w:sz="0" w:space="0" w:color="auto"/>
          </w:divBdr>
        </w:div>
        <w:div w:id="681663115">
          <w:marLeft w:val="0"/>
          <w:marRight w:val="0"/>
          <w:marTop w:val="0"/>
          <w:marBottom w:val="0"/>
          <w:divBdr>
            <w:top w:val="none" w:sz="0" w:space="0" w:color="auto"/>
            <w:left w:val="none" w:sz="0" w:space="0" w:color="auto"/>
            <w:bottom w:val="none" w:sz="0" w:space="0" w:color="auto"/>
            <w:right w:val="none" w:sz="0" w:space="0" w:color="auto"/>
          </w:divBdr>
        </w:div>
        <w:div w:id="1105032724">
          <w:marLeft w:val="0"/>
          <w:marRight w:val="0"/>
          <w:marTop w:val="0"/>
          <w:marBottom w:val="0"/>
          <w:divBdr>
            <w:top w:val="none" w:sz="0" w:space="0" w:color="auto"/>
            <w:left w:val="none" w:sz="0" w:space="0" w:color="auto"/>
            <w:bottom w:val="none" w:sz="0" w:space="0" w:color="auto"/>
            <w:right w:val="none" w:sz="0" w:space="0" w:color="auto"/>
          </w:divBdr>
        </w:div>
        <w:div w:id="1750156493">
          <w:marLeft w:val="0"/>
          <w:marRight w:val="0"/>
          <w:marTop w:val="0"/>
          <w:marBottom w:val="0"/>
          <w:divBdr>
            <w:top w:val="none" w:sz="0" w:space="0" w:color="auto"/>
            <w:left w:val="none" w:sz="0" w:space="0" w:color="auto"/>
            <w:bottom w:val="none" w:sz="0" w:space="0" w:color="auto"/>
            <w:right w:val="none" w:sz="0" w:space="0" w:color="auto"/>
          </w:divBdr>
        </w:div>
        <w:div w:id="2008971350">
          <w:marLeft w:val="0"/>
          <w:marRight w:val="0"/>
          <w:marTop w:val="0"/>
          <w:marBottom w:val="0"/>
          <w:divBdr>
            <w:top w:val="none" w:sz="0" w:space="0" w:color="auto"/>
            <w:left w:val="none" w:sz="0" w:space="0" w:color="auto"/>
            <w:bottom w:val="none" w:sz="0" w:space="0" w:color="auto"/>
            <w:right w:val="none" w:sz="0" w:space="0" w:color="auto"/>
          </w:divBdr>
        </w:div>
        <w:div w:id="2037071611">
          <w:marLeft w:val="0"/>
          <w:marRight w:val="0"/>
          <w:marTop w:val="0"/>
          <w:marBottom w:val="0"/>
          <w:divBdr>
            <w:top w:val="none" w:sz="0" w:space="0" w:color="auto"/>
            <w:left w:val="none" w:sz="0" w:space="0" w:color="auto"/>
            <w:bottom w:val="none" w:sz="0" w:space="0" w:color="auto"/>
            <w:right w:val="none" w:sz="0" w:space="0" w:color="auto"/>
          </w:divBdr>
        </w:div>
      </w:divsChild>
    </w:div>
    <w:div w:id="446509963">
      <w:bodyDiv w:val="1"/>
      <w:marLeft w:val="0"/>
      <w:marRight w:val="0"/>
      <w:marTop w:val="0"/>
      <w:marBottom w:val="0"/>
      <w:divBdr>
        <w:top w:val="none" w:sz="0" w:space="0" w:color="auto"/>
        <w:left w:val="none" w:sz="0" w:space="0" w:color="auto"/>
        <w:bottom w:val="none" w:sz="0" w:space="0" w:color="auto"/>
        <w:right w:val="none" w:sz="0" w:space="0" w:color="auto"/>
      </w:divBdr>
      <w:divsChild>
        <w:div w:id="312372516">
          <w:marLeft w:val="0"/>
          <w:marRight w:val="0"/>
          <w:marTop w:val="0"/>
          <w:marBottom w:val="0"/>
          <w:divBdr>
            <w:top w:val="none" w:sz="0" w:space="0" w:color="auto"/>
            <w:left w:val="none" w:sz="0" w:space="0" w:color="auto"/>
            <w:bottom w:val="none" w:sz="0" w:space="0" w:color="auto"/>
            <w:right w:val="none" w:sz="0" w:space="0" w:color="auto"/>
          </w:divBdr>
          <w:divsChild>
            <w:div w:id="729809756">
              <w:marLeft w:val="0"/>
              <w:marRight w:val="0"/>
              <w:marTop w:val="0"/>
              <w:marBottom w:val="0"/>
              <w:divBdr>
                <w:top w:val="none" w:sz="0" w:space="0" w:color="auto"/>
                <w:left w:val="none" w:sz="0" w:space="0" w:color="auto"/>
                <w:bottom w:val="none" w:sz="0" w:space="0" w:color="auto"/>
                <w:right w:val="none" w:sz="0" w:space="0" w:color="auto"/>
              </w:divBdr>
            </w:div>
            <w:div w:id="1282037109">
              <w:marLeft w:val="0"/>
              <w:marRight w:val="0"/>
              <w:marTop w:val="0"/>
              <w:marBottom w:val="0"/>
              <w:divBdr>
                <w:top w:val="none" w:sz="0" w:space="0" w:color="auto"/>
                <w:left w:val="none" w:sz="0" w:space="0" w:color="auto"/>
                <w:bottom w:val="none" w:sz="0" w:space="0" w:color="auto"/>
                <w:right w:val="none" w:sz="0" w:space="0" w:color="auto"/>
              </w:divBdr>
            </w:div>
            <w:div w:id="1633974044">
              <w:marLeft w:val="0"/>
              <w:marRight w:val="0"/>
              <w:marTop w:val="0"/>
              <w:marBottom w:val="0"/>
              <w:divBdr>
                <w:top w:val="none" w:sz="0" w:space="0" w:color="auto"/>
                <w:left w:val="none" w:sz="0" w:space="0" w:color="auto"/>
                <w:bottom w:val="none" w:sz="0" w:space="0" w:color="auto"/>
                <w:right w:val="none" w:sz="0" w:space="0" w:color="auto"/>
              </w:divBdr>
            </w:div>
            <w:div w:id="1910655966">
              <w:marLeft w:val="0"/>
              <w:marRight w:val="0"/>
              <w:marTop w:val="0"/>
              <w:marBottom w:val="0"/>
              <w:divBdr>
                <w:top w:val="none" w:sz="0" w:space="0" w:color="auto"/>
                <w:left w:val="none" w:sz="0" w:space="0" w:color="auto"/>
                <w:bottom w:val="none" w:sz="0" w:space="0" w:color="auto"/>
                <w:right w:val="none" w:sz="0" w:space="0" w:color="auto"/>
              </w:divBdr>
            </w:div>
          </w:divsChild>
        </w:div>
        <w:div w:id="1049720792">
          <w:marLeft w:val="0"/>
          <w:marRight w:val="0"/>
          <w:marTop w:val="0"/>
          <w:marBottom w:val="0"/>
          <w:divBdr>
            <w:top w:val="none" w:sz="0" w:space="0" w:color="auto"/>
            <w:left w:val="none" w:sz="0" w:space="0" w:color="auto"/>
            <w:bottom w:val="none" w:sz="0" w:space="0" w:color="auto"/>
            <w:right w:val="none" w:sz="0" w:space="0" w:color="auto"/>
          </w:divBdr>
        </w:div>
        <w:div w:id="1255632751">
          <w:marLeft w:val="0"/>
          <w:marRight w:val="0"/>
          <w:marTop w:val="0"/>
          <w:marBottom w:val="0"/>
          <w:divBdr>
            <w:top w:val="none" w:sz="0" w:space="0" w:color="auto"/>
            <w:left w:val="none" w:sz="0" w:space="0" w:color="auto"/>
            <w:bottom w:val="none" w:sz="0" w:space="0" w:color="auto"/>
            <w:right w:val="none" w:sz="0" w:space="0" w:color="auto"/>
          </w:divBdr>
        </w:div>
        <w:div w:id="1985624735">
          <w:marLeft w:val="0"/>
          <w:marRight w:val="0"/>
          <w:marTop w:val="0"/>
          <w:marBottom w:val="0"/>
          <w:divBdr>
            <w:top w:val="none" w:sz="0" w:space="0" w:color="auto"/>
            <w:left w:val="none" w:sz="0" w:space="0" w:color="auto"/>
            <w:bottom w:val="none" w:sz="0" w:space="0" w:color="auto"/>
            <w:right w:val="none" w:sz="0" w:space="0" w:color="auto"/>
          </w:divBdr>
          <w:divsChild>
            <w:div w:id="250310633">
              <w:marLeft w:val="0"/>
              <w:marRight w:val="0"/>
              <w:marTop w:val="0"/>
              <w:marBottom w:val="0"/>
              <w:divBdr>
                <w:top w:val="none" w:sz="0" w:space="0" w:color="auto"/>
                <w:left w:val="none" w:sz="0" w:space="0" w:color="auto"/>
                <w:bottom w:val="none" w:sz="0" w:space="0" w:color="auto"/>
                <w:right w:val="none" w:sz="0" w:space="0" w:color="auto"/>
              </w:divBdr>
            </w:div>
            <w:div w:id="506286404">
              <w:marLeft w:val="0"/>
              <w:marRight w:val="0"/>
              <w:marTop w:val="0"/>
              <w:marBottom w:val="0"/>
              <w:divBdr>
                <w:top w:val="none" w:sz="0" w:space="0" w:color="auto"/>
                <w:left w:val="none" w:sz="0" w:space="0" w:color="auto"/>
                <w:bottom w:val="none" w:sz="0" w:space="0" w:color="auto"/>
                <w:right w:val="none" w:sz="0" w:space="0" w:color="auto"/>
              </w:divBdr>
            </w:div>
            <w:div w:id="534661800">
              <w:marLeft w:val="0"/>
              <w:marRight w:val="0"/>
              <w:marTop w:val="0"/>
              <w:marBottom w:val="0"/>
              <w:divBdr>
                <w:top w:val="none" w:sz="0" w:space="0" w:color="auto"/>
                <w:left w:val="none" w:sz="0" w:space="0" w:color="auto"/>
                <w:bottom w:val="none" w:sz="0" w:space="0" w:color="auto"/>
                <w:right w:val="none" w:sz="0" w:space="0" w:color="auto"/>
              </w:divBdr>
            </w:div>
            <w:div w:id="958756725">
              <w:marLeft w:val="0"/>
              <w:marRight w:val="0"/>
              <w:marTop w:val="0"/>
              <w:marBottom w:val="0"/>
              <w:divBdr>
                <w:top w:val="none" w:sz="0" w:space="0" w:color="auto"/>
                <w:left w:val="none" w:sz="0" w:space="0" w:color="auto"/>
                <w:bottom w:val="none" w:sz="0" w:space="0" w:color="auto"/>
                <w:right w:val="none" w:sz="0" w:space="0" w:color="auto"/>
              </w:divBdr>
            </w:div>
            <w:div w:id="19349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5329">
      <w:bodyDiv w:val="1"/>
      <w:marLeft w:val="0"/>
      <w:marRight w:val="0"/>
      <w:marTop w:val="0"/>
      <w:marBottom w:val="0"/>
      <w:divBdr>
        <w:top w:val="none" w:sz="0" w:space="0" w:color="auto"/>
        <w:left w:val="none" w:sz="0" w:space="0" w:color="auto"/>
        <w:bottom w:val="none" w:sz="0" w:space="0" w:color="auto"/>
        <w:right w:val="none" w:sz="0" w:space="0" w:color="auto"/>
      </w:divBdr>
      <w:divsChild>
        <w:div w:id="35281864">
          <w:marLeft w:val="0"/>
          <w:marRight w:val="0"/>
          <w:marTop w:val="0"/>
          <w:marBottom w:val="0"/>
          <w:divBdr>
            <w:top w:val="none" w:sz="0" w:space="0" w:color="auto"/>
            <w:left w:val="none" w:sz="0" w:space="0" w:color="auto"/>
            <w:bottom w:val="none" w:sz="0" w:space="0" w:color="auto"/>
            <w:right w:val="none" w:sz="0" w:space="0" w:color="auto"/>
          </w:divBdr>
        </w:div>
        <w:div w:id="748649596">
          <w:marLeft w:val="0"/>
          <w:marRight w:val="0"/>
          <w:marTop w:val="0"/>
          <w:marBottom w:val="0"/>
          <w:divBdr>
            <w:top w:val="none" w:sz="0" w:space="0" w:color="auto"/>
            <w:left w:val="none" w:sz="0" w:space="0" w:color="auto"/>
            <w:bottom w:val="none" w:sz="0" w:space="0" w:color="auto"/>
            <w:right w:val="none" w:sz="0" w:space="0" w:color="auto"/>
          </w:divBdr>
        </w:div>
        <w:div w:id="910769990">
          <w:marLeft w:val="0"/>
          <w:marRight w:val="0"/>
          <w:marTop w:val="0"/>
          <w:marBottom w:val="0"/>
          <w:divBdr>
            <w:top w:val="none" w:sz="0" w:space="0" w:color="auto"/>
            <w:left w:val="none" w:sz="0" w:space="0" w:color="auto"/>
            <w:bottom w:val="none" w:sz="0" w:space="0" w:color="auto"/>
            <w:right w:val="none" w:sz="0" w:space="0" w:color="auto"/>
          </w:divBdr>
        </w:div>
        <w:div w:id="1302003744">
          <w:marLeft w:val="0"/>
          <w:marRight w:val="0"/>
          <w:marTop w:val="0"/>
          <w:marBottom w:val="0"/>
          <w:divBdr>
            <w:top w:val="none" w:sz="0" w:space="0" w:color="auto"/>
            <w:left w:val="none" w:sz="0" w:space="0" w:color="auto"/>
            <w:bottom w:val="none" w:sz="0" w:space="0" w:color="auto"/>
            <w:right w:val="none" w:sz="0" w:space="0" w:color="auto"/>
          </w:divBdr>
        </w:div>
        <w:div w:id="1377119138">
          <w:marLeft w:val="0"/>
          <w:marRight w:val="0"/>
          <w:marTop w:val="0"/>
          <w:marBottom w:val="0"/>
          <w:divBdr>
            <w:top w:val="none" w:sz="0" w:space="0" w:color="auto"/>
            <w:left w:val="none" w:sz="0" w:space="0" w:color="auto"/>
            <w:bottom w:val="none" w:sz="0" w:space="0" w:color="auto"/>
            <w:right w:val="none" w:sz="0" w:space="0" w:color="auto"/>
          </w:divBdr>
        </w:div>
        <w:div w:id="1493981381">
          <w:marLeft w:val="0"/>
          <w:marRight w:val="0"/>
          <w:marTop w:val="0"/>
          <w:marBottom w:val="0"/>
          <w:divBdr>
            <w:top w:val="none" w:sz="0" w:space="0" w:color="auto"/>
            <w:left w:val="none" w:sz="0" w:space="0" w:color="auto"/>
            <w:bottom w:val="none" w:sz="0" w:space="0" w:color="auto"/>
            <w:right w:val="none" w:sz="0" w:space="0" w:color="auto"/>
          </w:divBdr>
        </w:div>
      </w:divsChild>
    </w:div>
    <w:div w:id="474372562">
      <w:bodyDiv w:val="1"/>
      <w:marLeft w:val="0"/>
      <w:marRight w:val="0"/>
      <w:marTop w:val="0"/>
      <w:marBottom w:val="0"/>
      <w:divBdr>
        <w:top w:val="none" w:sz="0" w:space="0" w:color="auto"/>
        <w:left w:val="none" w:sz="0" w:space="0" w:color="auto"/>
        <w:bottom w:val="none" w:sz="0" w:space="0" w:color="auto"/>
        <w:right w:val="none" w:sz="0" w:space="0" w:color="auto"/>
      </w:divBdr>
      <w:divsChild>
        <w:div w:id="113138150">
          <w:marLeft w:val="0"/>
          <w:marRight w:val="0"/>
          <w:marTop w:val="0"/>
          <w:marBottom w:val="0"/>
          <w:divBdr>
            <w:top w:val="none" w:sz="0" w:space="0" w:color="auto"/>
            <w:left w:val="none" w:sz="0" w:space="0" w:color="auto"/>
            <w:bottom w:val="none" w:sz="0" w:space="0" w:color="auto"/>
            <w:right w:val="none" w:sz="0" w:space="0" w:color="auto"/>
          </w:divBdr>
        </w:div>
        <w:div w:id="212158474">
          <w:marLeft w:val="0"/>
          <w:marRight w:val="0"/>
          <w:marTop w:val="0"/>
          <w:marBottom w:val="0"/>
          <w:divBdr>
            <w:top w:val="none" w:sz="0" w:space="0" w:color="auto"/>
            <w:left w:val="none" w:sz="0" w:space="0" w:color="auto"/>
            <w:bottom w:val="none" w:sz="0" w:space="0" w:color="auto"/>
            <w:right w:val="none" w:sz="0" w:space="0" w:color="auto"/>
          </w:divBdr>
        </w:div>
        <w:div w:id="537624279">
          <w:marLeft w:val="0"/>
          <w:marRight w:val="0"/>
          <w:marTop w:val="0"/>
          <w:marBottom w:val="0"/>
          <w:divBdr>
            <w:top w:val="none" w:sz="0" w:space="0" w:color="auto"/>
            <w:left w:val="none" w:sz="0" w:space="0" w:color="auto"/>
            <w:bottom w:val="none" w:sz="0" w:space="0" w:color="auto"/>
            <w:right w:val="none" w:sz="0" w:space="0" w:color="auto"/>
          </w:divBdr>
        </w:div>
        <w:div w:id="849106963">
          <w:marLeft w:val="0"/>
          <w:marRight w:val="0"/>
          <w:marTop w:val="0"/>
          <w:marBottom w:val="0"/>
          <w:divBdr>
            <w:top w:val="none" w:sz="0" w:space="0" w:color="auto"/>
            <w:left w:val="none" w:sz="0" w:space="0" w:color="auto"/>
            <w:bottom w:val="none" w:sz="0" w:space="0" w:color="auto"/>
            <w:right w:val="none" w:sz="0" w:space="0" w:color="auto"/>
          </w:divBdr>
        </w:div>
        <w:div w:id="1198784622">
          <w:marLeft w:val="0"/>
          <w:marRight w:val="0"/>
          <w:marTop w:val="0"/>
          <w:marBottom w:val="0"/>
          <w:divBdr>
            <w:top w:val="none" w:sz="0" w:space="0" w:color="auto"/>
            <w:left w:val="none" w:sz="0" w:space="0" w:color="auto"/>
            <w:bottom w:val="none" w:sz="0" w:space="0" w:color="auto"/>
            <w:right w:val="none" w:sz="0" w:space="0" w:color="auto"/>
          </w:divBdr>
        </w:div>
        <w:div w:id="1224170788">
          <w:marLeft w:val="0"/>
          <w:marRight w:val="0"/>
          <w:marTop w:val="0"/>
          <w:marBottom w:val="0"/>
          <w:divBdr>
            <w:top w:val="none" w:sz="0" w:space="0" w:color="auto"/>
            <w:left w:val="none" w:sz="0" w:space="0" w:color="auto"/>
            <w:bottom w:val="none" w:sz="0" w:space="0" w:color="auto"/>
            <w:right w:val="none" w:sz="0" w:space="0" w:color="auto"/>
          </w:divBdr>
        </w:div>
        <w:div w:id="1491216153">
          <w:marLeft w:val="0"/>
          <w:marRight w:val="0"/>
          <w:marTop w:val="0"/>
          <w:marBottom w:val="0"/>
          <w:divBdr>
            <w:top w:val="none" w:sz="0" w:space="0" w:color="auto"/>
            <w:left w:val="none" w:sz="0" w:space="0" w:color="auto"/>
            <w:bottom w:val="none" w:sz="0" w:space="0" w:color="auto"/>
            <w:right w:val="none" w:sz="0" w:space="0" w:color="auto"/>
          </w:divBdr>
        </w:div>
        <w:div w:id="1525632899">
          <w:marLeft w:val="0"/>
          <w:marRight w:val="0"/>
          <w:marTop w:val="0"/>
          <w:marBottom w:val="0"/>
          <w:divBdr>
            <w:top w:val="none" w:sz="0" w:space="0" w:color="auto"/>
            <w:left w:val="none" w:sz="0" w:space="0" w:color="auto"/>
            <w:bottom w:val="none" w:sz="0" w:space="0" w:color="auto"/>
            <w:right w:val="none" w:sz="0" w:space="0" w:color="auto"/>
          </w:divBdr>
        </w:div>
        <w:div w:id="1809778461">
          <w:marLeft w:val="0"/>
          <w:marRight w:val="0"/>
          <w:marTop w:val="0"/>
          <w:marBottom w:val="0"/>
          <w:divBdr>
            <w:top w:val="none" w:sz="0" w:space="0" w:color="auto"/>
            <w:left w:val="none" w:sz="0" w:space="0" w:color="auto"/>
            <w:bottom w:val="none" w:sz="0" w:space="0" w:color="auto"/>
            <w:right w:val="none" w:sz="0" w:space="0" w:color="auto"/>
          </w:divBdr>
        </w:div>
        <w:div w:id="1829245775">
          <w:marLeft w:val="0"/>
          <w:marRight w:val="0"/>
          <w:marTop w:val="0"/>
          <w:marBottom w:val="0"/>
          <w:divBdr>
            <w:top w:val="none" w:sz="0" w:space="0" w:color="auto"/>
            <w:left w:val="none" w:sz="0" w:space="0" w:color="auto"/>
            <w:bottom w:val="none" w:sz="0" w:space="0" w:color="auto"/>
            <w:right w:val="none" w:sz="0" w:space="0" w:color="auto"/>
          </w:divBdr>
        </w:div>
        <w:div w:id="1836189538">
          <w:marLeft w:val="0"/>
          <w:marRight w:val="0"/>
          <w:marTop w:val="0"/>
          <w:marBottom w:val="0"/>
          <w:divBdr>
            <w:top w:val="none" w:sz="0" w:space="0" w:color="auto"/>
            <w:left w:val="none" w:sz="0" w:space="0" w:color="auto"/>
            <w:bottom w:val="none" w:sz="0" w:space="0" w:color="auto"/>
            <w:right w:val="none" w:sz="0" w:space="0" w:color="auto"/>
          </w:divBdr>
        </w:div>
        <w:div w:id="1912304936">
          <w:marLeft w:val="0"/>
          <w:marRight w:val="0"/>
          <w:marTop w:val="0"/>
          <w:marBottom w:val="0"/>
          <w:divBdr>
            <w:top w:val="none" w:sz="0" w:space="0" w:color="auto"/>
            <w:left w:val="none" w:sz="0" w:space="0" w:color="auto"/>
            <w:bottom w:val="none" w:sz="0" w:space="0" w:color="auto"/>
            <w:right w:val="none" w:sz="0" w:space="0" w:color="auto"/>
          </w:divBdr>
        </w:div>
        <w:div w:id="1972905323">
          <w:marLeft w:val="0"/>
          <w:marRight w:val="0"/>
          <w:marTop w:val="0"/>
          <w:marBottom w:val="0"/>
          <w:divBdr>
            <w:top w:val="none" w:sz="0" w:space="0" w:color="auto"/>
            <w:left w:val="none" w:sz="0" w:space="0" w:color="auto"/>
            <w:bottom w:val="none" w:sz="0" w:space="0" w:color="auto"/>
            <w:right w:val="none" w:sz="0" w:space="0" w:color="auto"/>
          </w:divBdr>
        </w:div>
        <w:div w:id="1998144252">
          <w:marLeft w:val="0"/>
          <w:marRight w:val="0"/>
          <w:marTop w:val="0"/>
          <w:marBottom w:val="0"/>
          <w:divBdr>
            <w:top w:val="none" w:sz="0" w:space="0" w:color="auto"/>
            <w:left w:val="none" w:sz="0" w:space="0" w:color="auto"/>
            <w:bottom w:val="none" w:sz="0" w:space="0" w:color="auto"/>
            <w:right w:val="none" w:sz="0" w:space="0" w:color="auto"/>
          </w:divBdr>
        </w:div>
        <w:div w:id="2073893572">
          <w:marLeft w:val="0"/>
          <w:marRight w:val="0"/>
          <w:marTop w:val="0"/>
          <w:marBottom w:val="0"/>
          <w:divBdr>
            <w:top w:val="none" w:sz="0" w:space="0" w:color="auto"/>
            <w:left w:val="none" w:sz="0" w:space="0" w:color="auto"/>
            <w:bottom w:val="none" w:sz="0" w:space="0" w:color="auto"/>
            <w:right w:val="none" w:sz="0" w:space="0" w:color="auto"/>
          </w:divBdr>
        </w:div>
        <w:div w:id="2136561076">
          <w:marLeft w:val="0"/>
          <w:marRight w:val="0"/>
          <w:marTop w:val="0"/>
          <w:marBottom w:val="0"/>
          <w:divBdr>
            <w:top w:val="none" w:sz="0" w:space="0" w:color="auto"/>
            <w:left w:val="none" w:sz="0" w:space="0" w:color="auto"/>
            <w:bottom w:val="none" w:sz="0" w:space="0" w:color="auto"/>
            <w:right w:val="none" w:sz="0" w:space="0" w:color="auto"/>
          </w:divBdr>
        </w:div>
      </w:divsChild>
    </w:div>
    <w:div w:id="483544828">
      <w:bodyDiv w:val="1"/>
      <w:marLeft w:val="0"/>
      <w:marRight w:val="0"/>
      <w:marTop w:val="0"/>
      <w:marBottom w:val="0"/>
      <w:divBdr>
        <w:top w:val="none" w:sz="0" w:space="0" w:color="auto"/>
        <w:left w:val="none" w:sz="0" w:space="0" w:color="auto"/>
        <w:bottom w:val="none" w:sz="0" w:space="0" w:color="auto"/>
        <w:right w:val="none" w:sz="0" w:space="0" w:color="auto"/>
      </w:divBdr>
      <w:divsChild>
        <w:div w:id="18898606">
          <w:marLeft w:val="0"/>
          <w:marRight w:val="0"/>
          <w:marTop w:val="0"/>
          <w:marBottom w:val="0"/>
          <w:divBdr>
            <w:top w:val="none" w:sz="0" w:space="0" w:color="auto"/>
            <w:left w:val="none" w:sz="0" w:space="0" w:color="auto"/>
            <w:bottom w:val="none" w:sz="0" w:space="0" w:color="auto"/>
            <w:right w:val="none" w:sz="0" w:space="0" w:color="auto"/>
          </w:divBdr>
        </w:div>
        <w:div w:id="60688077">
          <w:marLeft w:val="0"/>
          <w:marRight w:val="0"/>
          <w:marTop w:val="0"/>
          <w:marBottom w:val="0"/>
          <w:divBdr>
            <w:top w:val="none" w:sz="0" w:space="0" w:color="auto"/>
            <w:left w:val="none" w:sz="0" w:space="0" w:color="auto"/>
            <w:bottom w:val="none" w:sz="0" w:space="0" w:color="auto"/>
            <w:right w:val="none" w:sz="0" w:space="0" w:color="auto"/>
          </w:divBdr>
        </w:div>
        <w:div w:id="375157193">
          <w:marLeft w:val="0"/>
          <w:marRight w:val="0"/>
          <w:marTop w:val="0"/>
          <w:marBottom w:val="0"/>
          <w:divBdr>
            <w:top w:val="none" w:sz="0" w:space="0" w:color="auto"/>
            <w:left w:val="none" w:sz="0" w:space="0" w:color="auto"/>
            <w:bottom w:val="none" w:sz="0" w:space="0" w:color="auto"/>
            <w:right w:val="none" w:sz="0" w:space="0" w:color="auto"/>
          </w:divBdr>
        </w:div>
        <w:div w:id="838932028">
          <w:marLeft w:val="0"/>
          <w:marRight w:val="0"/>
          <w:marTop w:val="0"/>
          <w:marBottom w:val="0"/>
          <w:divBdr>
            <w:top w:val="none" w:sz="0" w:space="0" w:color="auto"/>
            <w:left w:val="none" w:sz="0" w:space="0" w:color="auto"/>
            <w:bottom w:val="none" w:sz="0" w:space="0" w:color="auto"/>
            <w:right w:val="none" w:sz="0" w:space="0" w:color="auto"/>
          </w:divBdr>
        </w:div>
        <w:div w:id="932517672">
          <w:marLeft w:val="0"/>
          <w:marRight w:val="0"/>
          <w:marTop w:val="0"/>
          <w:marBottom w:val="0"/>
          <w:divBdr>
            <w:top w:val="none" w:sz="0" w:space="0" w:color="auto"/>
            <w:left w:val="none" w:sz="0" w:space="0" w:color="auto"/>
            <w:bottom w:val="none" w:sz="0" w:space="0" w:color="auto"/>
            <w:right w:val="none" w:sz="0" w:space="0" w:color="auto"/>
          </w:divBdr>
        </w:div>
        <w:div w:id="1143037082">
          <w:marLeft w:val="0"/>
          <w:marRight w:val="0"/>
          <w:marTop w:val="0"/>
          <w:marBottom w:val="0"/>
          <w:divBdr>
            <w:top w:val="none" w:sz="0" w:space="0" w:color="auto"/>
            <w:left w:val="none" w:sz="0" w:space="0" w:color="auto"/>
            <w:bottom w:val="none" w:sz="0" w:space="0" w:color="auto"/>
            <w:right w:val="none" w:sz="0" w:space="0" w:color="auto"/>
          </w:divBdr>
        </w:div>
        <w:div w:id="1300719232">
          <w:marLeft w:val="0"/>
          <w:marRight w:val="0"/>
          <w:marTop w:val="0"/>
          <w:marBottom w:val="0"/>
          <w:divBdr>
            <w:top w:val="none" w:sz="0" w:space="0" w:color="auto"/>
            <w:left w:val="none" w:sz="0" w:space="0" w:color="auto"/>
            <w:bottom w:val="none" w:sz="0" w:space="0" w:color="auto"/>
            <w:right w:val="none" w:sz="0" w:space="0" w:color="auto"/>
          </w:divBdr>
        </w:div>
        <w:div w:id="1378045947">
          <w:marLeft w:val="0"/>
          <w:marRight w:val="0"/>
          <w:marTop w:val="0"/>
          <w:marBottom w:val="0"/>
          <w:divBdr>
            <w:top w:val="none" w:sz="0" w:space="0" w:color="auto"/>
            <w:left w:val="none" w:sz="0" w:space="0" w:color="auto"/>
            <w:bottom w:val="none" w:sz="0" w:space="0" w:color="auto"/>
            <w:right w:val="none" w:sz="0" w:space="0" w:color="auto"/>
          </w:divBdr>
        </w:div>
        <w:div w:id="1446119748">
          <w:marLeft w:val="0"/>
          <w:marRight w:val="0"/>
          <w:marTop w:val="0"/>
          <w:marBottom w:val="0"/>
          <w:divBdr>
            <w:top w:val="none" w:sz="0" w:space="0" w:color="auto"/>
            <w:left w:val="none" w:sz="0" w:space="0" w:color="auto"/>
            <w:bottom w:val="none" w:sz="0" w:space="0" w:color="auto"/>
            <w:right w:val="none" w:sz="0" w:space="0" w:color="auto"/>
          </w:divBdr>
        </w:div>
        <w:div w:id="1596861503">
          <w:marLeft w:val="0"/>
          <w:marRight w:val="0"/>
          <w:marTop w:val="0"/>
          <w:marBottom w:val="0"/>
          <w:divBdr>
            <w:top w:val="none" w:sz="0" w:space="0" w:color="auto"/>
            <w:left w:val="none" w:sz="0" w:space="0" w:color="auto"/>
            <w:bottom w:val="none" w:sz="0" w:space="0" w:color="auto"/>
            <w:right w:val="none" w:sz="0" w:space="0" w:color="auto"/>
          </w:divBdr>
        </w:div>
        <w:div w:id="1691176199">
          <w:marLeft w:val="0"/>
          <w:marRight w:val="0"/>
          <w:marTop w:val="0"/>
          <w:marBottom w:val="0"/>
          <w:divBdr>
            <w:top w:val="none" w:sz="0" w:space="0" w:color="auto"/>
            <w:left w:val="none" w:sz="0" w:space="0" w:color="auto"/>
            <w:bottom w:val="none" w:sz="0" w:space="0" w:color="auto"/>
            <w:right w:val="none" w:sz="0" w:space="0" w:color="auto"/>
          </w:divBdr>
        </w:div>
        <w:div w:id="1923026216">
          <w:marLeft w:val="0"/>
          <w:marRight w:val="0"/>
          <w:marTop w:val="0"/>
          <w:marBottom w:val="0"/>
          <w:divBdr>
            <w:top w:val="none" w:sz="0" w:space="0" w:color="auto"/>
            <w:left w:val="none" w:sz="0" w:space="0" w:color="auto"/>
            <w:bottom w:val="none" w:sz="0" w:space="0" w:color="auto"/>
            <w:right w:val="none" w:sz="0" w:space="0" w:color="auto"/>
          </w:divBdr>
        </w:div>
        <w:div w:id="2024696435">
          <w:marLeft w:val="0"/>
          <w:marRight w:val="0"/>
          <w:marTop w:val="0"/>
          <w:marBottom w:val="0"/>
          <w:divBdr>
            <w:top w:val="none" w:sz="0" w:space="0" w:color="auto"/>
            <w:left w:val="none" w:sz="0" w:space="0" w:color="auto"/>
            <w:bottom w:val="none" w:sz="0" w:space="0" w:color="auto"/>
            <w:right w:val="none" w:sz="0" w:space="0" w:color="auto"/>
          </w:divBdr>
        </w:div>
        <w:div w:id="2137789847">
          <w:marLeft w:val="0"/>
          <w:marRight w:val="0"/>
          <w:marTop w:val="0"/>
          <w:marBottom w:val="0"/>
          <w:divBdr>
            <w:top w:val="none" w:sz="0" w:space="0" w:color="auto"/>
            <w:left w:val="none" w:sz="0" w:space="0" w:color="auto"/>
            <w:bottom w:val="none" w:sz="0" w:space="0" w:color="auto"/>
            <w:right w:val="none" w:sz="0" w:space="0" w:color="auto"/>
          </w:divBdr>
        </w:div>
      </w:divsChild>
    </w:div>
    <w:div w:id="502361879">
      <w:bodyDiv w:val="1"/>
      <w:marLeft w:val="0"/>
      <w:marRight w:val="0"/>
      <w:marTop w:val="0"/>
      <w:marBottom w:val="0"/>
      <w:divBdr>
        <w:top w:val="none" w:sz="0" w:space="0" w:color="auto"/>
        <w:left w:val="none" w:sz="0" w:space="0" w:color="auto"/>
        <w:bottom w:val="none" w:sz="0" w:space="0" w:color="auto"/>
        <w:right w:val="none" w:sz="0" w:space="0" w:color="auto"/>
      </w:divBdr>
      <w:divsChild>
        <w:div w:id="299384032">
          <w:marLeft w:val="0"/>
          <w:marRight w:val="0"/>
          <w:marTop w:val="0"/>
          <w:marBottom w:val="0"/>
          <w:divBdr>
            <w:top w:val="none" w:sz="0" w:space="0" w:color="auto"/>
            <w:left w:val="none" w:sz="0" w:space="0" w:color="auto"/>
            <w:bottom w:val="none" w:sz="0" w:space="0" w:color="auto"/>
            <w:right w:val="none" w:sz="0" w:space="0" w:color="auto"/>
          </w:divBdr>
        </w:div>
        <w:div w:id="712386457">
          <w:marLeft w:val="0"/>
          <w:marRight w:val="0"/>
          <w:marTop w:val="0"/>
          <w:marBottom w:val="0"/>
          <w:divBdr>
            <w:top w:val="none" w:sz="0" w:space="0" w:color="auto"/>
            <w:left w:val="none" w:sz="0" w:space="0" w:color="auto"/>
            <w:bottom w:val="none" w:sz="0" w:space="0" w:color="auto"/>
            <w:right w:val="none" w:sz="0" w:space="0" w:color="auto"/>
          </w:divBdr>
        </w:div>
        <w:div w:id="1194727339">
          <w:marLeft w:val="0"/>
          <w:marRight w:val="0"/>
          <w:marTop w:val="0"/>
          <w:marBottom w:val="0"/>
          <w:divBdr>
            <w:top w:val="none" w:sz="0" w:space="0" w:color="auto"/>
            <w:left w:val="none" w:sz="0" w:space="0" w:color="auto"/>
            <w:bottom w:val="none" w:sz="0" w:space="0" w:color="auto"/>
            <w:right w:val="none" w:sz="0" w:space="0" w:color="auto"/>
          </w:divBdr>
        </w:div>
        <w:div w:id="1304576703">
          <w:marLeft w:val="0"/>
          <w:marRight w:val="0"/>
          <w:marTop w:val="0"/>
          <w:marBottom w:val="0"/>
          <w:divBdr>
            <w:top w:val="none" w:sz="0" w:space="0" w:color="auto"/>
            <w:left w:val="none" w:sz="0" w:space="0" w:color="auto"/>
            <w:bottom w:val="none" w:sz="0" w:space="0" w:color="auto"/>
            <w:right w:val="none" w:sz="0" w:space="0" w:color="auto"/>
          </w:divBdr>
        </w:div>
        <w:div w:id="1785417972">
          <w:marLeft w:val="0"/>
          <w:marRight w:val="0"/>
          <w:marTop w:val="0"/>
          <w:marBottom w:val="0"/>
          <w:divBdr>
            <w:top w:val="none" w:sz="0" w:space="0" w:color="auto"/>
            <w:left w:val="none" w:sz="0" w:space="0" w:color="auto"/>
            <w:bottom w:val="none" w:sz="0" w:space="0" w:color="auto"/>
            <w:right w:val="none" w:sz="0" w:space="0" w:color="auto"/>
          </w:divBdr>
        </w:div>
      </w:divsChild>
    </w:div>
    <w:div w:id="562108127">
      <w:bodyDiv w:val="1"/>
      <w:marLeft w:val="0"/>
      <w:marRight w:val="0"/>
      <w:marTop w:val="0"/>
      <w:marBottom w:val="0"/>
      <w:divBdr>
        <w:top w:val="none" w:sz="0" w:space="0" w:color="auto"/>
        <w:left w:val="none" w:sz="0" w:space="0" w:color="auto"/>
        <w:bottom w:val="none" w:sz="0" w:space="0" w:color="auto"/>
        <w:right w:val="none" w:sz="0" w:space="0" w:color="auto"/>
      </w:divBdr>
      <w:divsChild>
        <w:div w:id="698165291">
          <w:marLeft w:val="0"/>
          <w:marRight w:val="0"/>
          <w:marTop w:val="0"/>
          <w:marBottom w:val="0"/>
          <w:divBdr>
            <w:top w:val="none" w:sz="0" w:space="0" w:color="auto"/>
            <w:left w:val="none" w:sz="0" w:space="0" w:color="auto"/>
            <w:bottom w:val="none" w:sz="0" w:space="0" w:color="auto"/>
            <w:right w:val="none" w:sz="0" w:space="0" w:color="auto"/>
          </w:divBdr>
          <w:divsChild>
            <w:div w:id="448354119">
              <w:marLeft w:val="0"/>
              <w:marRight w:val="0"/>
              <w:marTop w:val="0"/>
              <w:marBottom w:val="0"/>
              <w:divBdr>
                <w:top w:val="none" w:sz="0" w:space="0" w:color="auto"/>
                <w:left w:val="none" w:sz="0" w:space="0" w:color="auto"/>
                <w:bottom w:val="none" w:sz="0" w:space="0" w:color="auto"/>
                <w:right w:val="none" w:sz="0" w:space="0" w:color="auto"/>
              </w:divBdr>
            </w:div>
            <w:div w:id="633559434">
              <w:marLeft w:val="0"/>
              <w:marRight w:val="0"/>
              <w:marTop w:val="0"/>
              <w:marBottom w:val="0"/>
              <w:divBdr>
                <w:top w:val="none" w:sz="0" w:space="0" w:color="auto"/>
                <w:left w:val="none" w:sz="0" w:space="0" w:color="auto"/>
                <w:bottom w:val="none" w:sz="0" w:space="0" w:color="auto"/>
                <w:right w:val="none" w:sz="0" w:space="0" w:color="auto"/>
              </w:divBdr>
            </w:div>
            <w:div w:id="970674192">
              <w:marLeft w:val="0"/>
              <w:marRight w:val="0"/>
              <w:marTop w:val="0"/>
              <w:marBottom w:val="0"/>
              <w:divBdr>
                <w:top w:val="none" w:sz="0" w:space="0" w:color="auto"/>
                <w:left w:val="none" w:sz="0" w:space="0" w:color="auto"/>
                <w:bottom w:val="none" w:sz="0" w:space="0" w:color="auto"/>
                <w:right w:val="none" w:sz="0" w:space="0" w:color="auto"/>
              </w:divBdr>
            </w:div>
            <w:div w:id="1196238778">
              <w:marLeft w:val="0"/>
              <w:marRight w:val="0"/>
              <w:marTop w:val="0"/>
              <w:marBottom w:val="0"/>
              <w:divBdr>
                <w:top w:val="none" w:sz="0" w:space="0" w:color="auto"/>
                <w:left w:val="none" w:sz="0" w:space="0" w:color="auto"/>
                <w:bottom w:val="none" w:sz="0" w:space="0" w:color="auto"/>
                <w:right w:val="none" w:sz="0" w:space="0" w:color="auto"/>
              </w:divBdr>
            </w:div>
            <w:div w:id="1733116837">
              <w:marLeft w:val="0"/>
              <w:marRight w:val="0"/>
              <w:marTop w:val="0"/>
              <w:marBottom w:val="0"/>
              <w:divBdr>
                <w:top w:val="none" w:sz="0" w:space="0" w:color="auto"/>
                <w:left w:val="none" w:sz="0" w:space="0" w:color="auto"/>
                <w:bottom w:val="none" w:sz="0" w:space="0" w:color="auto"/>
                <w:right w:val="none" w:sz="0" w:space="0" w:color="auto"/>
              </w:divBdr>
            </w:div>
          </w:divsChild>
        </w:div>
        <w:div w:id="1318727407">
          <w:marLeft w:val="0"/>
          <w:marRight w:val="0"/>
          <w:marTop w:val="0"/>
          <w:marBottom w:val="0"/>
          <w:divBdr>
            <w:top w:val="none" w:sz="0" w:space="0" w:color="auto"/>
            <w:left w:val="none" w:sz="0" w:space="0" w:color="auto"/>
            <w:bottom w:val="none" w:sz="0" w:space="0" w:color="auto"/>
            <w:right w:val="none" w:sz="0" w:space="0" w:color="auto"/>
          </w:divBdr>
          <w:divsChild>
            <w:div w:id="10382902">
              <w:marLeft w:val="0"/>
              <w:marRight w:val="0"/>
              <w:marTop w:val="0"/>
              <w:marBottom w:val="0"/>
              <w:divBdr>
                <w:top w:val="none" w:sz="0" w:space="0" w:color="auto"/>
                <w:left w:val="none" w:sz="0" w:space="0" w:color="auto"/>
                <w:bottom w:val="none" w:sz="0" w:space="0" w:color="auto"/>
                <w:right w:val="none" w:sz="0" w:space="0" w:color="auto"/>
              </w:divBdr>
            </w:div>
            <w:div w:id="495805784">
              <w:marLeft w:val="0"/>
              <w:marRight w:val="0"/>
              <w:marTop w:val="0"/>
              <w:marBottom w:val="0"/>
              <w:divBdr>
                <w:top w:val="none" w:sz="0" w:space="0" w:color="auto"/>
                <w:left w:val="none" w:sz="0" w:space="0" w:color="auto"/>
                <w:bottom w:val="none" w:sz="0" w:space="0" w:color="auto"/>
                <w:right w:val="none" w:sz="0" w:space="0" w:color="auto"/>
              </w:divBdr>
            </w:div>
            <w:div w:id="709575737">
              <w:marLeft w:val="0"/>
              <w:marRight w:val="0"/>
              <w:marTop w:val="0"/>
              <w:marBottom w:val="0"/>
              <w:divBdr>
                <w:top w:val="none" w:sz="0" w:space="0" w:color="auto"/>
                <w:left w:val="none" w:sz="0" w:space="0" w:color="auto"/>
                <w:bottom w:val="none" w:sz="0" w:space="0" w:color="auto"/>
                <w:right w:val="none" w:sz="0" w:space="0" w:color="auto"/>
              </w:divBdr>
            </w:div>
            <w:div w:id="1094321461">
              <w:marLeft w:val="0"/>
              <w:marRight w:val="0"/>
              <w:marTop w:val="0"/>
              <w:marBottom w:val="0"/>
              <w:divBdr>
                <w:top w:val="none" w:sz="0" w:space="0" w:color="auto"/>
                <w:left w:val="none" w:sz="0" w:space="0" w:color="auto"/>
                <w:bottom w:val="none" w:sz="0" w:space="0" w:color="auto"/>
                <w:right w:val="none" w:sz="0" w:space="0" w:color="auto"/>
              </w:divBdr>
            </w:div>
            <w:div w:id="1132290539">
              <w:marLeft w:val="0"/>
              <w:marRight w:val="0"/>
              <w:marTop w:val="0"/>
              <w:marBottom w:val="0"/>
              <w:divBdr>
                <w:top w:val="none" w:sz="0" w:space="0" w:color="auto"/>
                <w:left w:val="none" w:sz="0" w:space="0" w:color="auto"/>
                <w:bottom w:val="none" w:sz="0" w:space="0" w:color="auto"/>
                <w:right w:val="none" w:sz="0" w:space="0" w:color="auto"/>
              </w:divBdr>
            </w:div>
            <w:div w:id="1548251870">
              <w:marLeft w:val="0"/>
              <w:marRight w:val="0"/>
              <w:marTop w:val="0"/>
              <w:marBottom w:val="0"/>
              <w:divBdr>
                <w:top w:val="none" w:sz="0" w:space="0" w:color="auto"/>
                <w:left w:val="none" w:sz="0" w:space="0" w:color="auto"/>
                <w:bottom w:val="none" w:sz="0" w:space="0" w:color="auto"/>
                <w:right w:val="none" w:sz="0" w:space="0" w:color="auto"/>
              </w:divBdr>
            </w:div>
            <w:div w:id="1591161781">
              <w:marLeft w:val="0"/>
              <w:marRight w:val="0"/>
              <w:marTop w:val="0"/>
              <w:marBottom w:val="0"/>
              <w:divBdr>
                <w:top w:val="none" w:sz="0" w:space="0" w:color="auto"/>
                <w:left w:val="none" w:sz="0" w:space="0" w:color="auto"/>
                <w:bottom w:val="none" w:sz="0" w:space="0" w:color="auto"/>
                <w:right w:val="none" w:sz="0" w:space="0" w:color="auto"/>
              </w:divBdr>
            </w:div>
            <w:div w:id="15962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3060">
      <w:bodyDiv w:val="1"/>
      <w:marLeft w:val="0"/>
      <w:marRight w:val="0"/>
      <w:marTop w:val="0"/>
      <w:marBottom w:val="0"/>
      <w:divBdr>
        <w:top w:val="none" w:sz="0" w:space="0" w:color="auto"/>
        <w:left w:val="none" w:sz="0" w:space="0" w:color="auto"/>
        <w:bottom w:val="none" w:sz="0" w:space="0" w:color="auto"/>
        <w:right w:val="none" w:sz="0" w:space="0" w:color="auto"/>
      </w:divBdr>
    </w:div>
    <w:div w:id="602685331">
      <w:bodyDiv w:val="1"/>
      <w:marLeft w:val="0"/>
      <w:marRight w:val="0"/>
      <w:marTop w:val="0"/>
      <w:marBottom w:val="0"/>
      <w:divBdr>
        <w:top w:val="none" w:sz="0" w:space="0" w:color="auto"/>
        <w:left w:val="none" w:sz="0" w:space="0" w:color="auto"/>
        <w:bottom w:val="none" w:sz="0" w:space="0" w:color="auto"/>
        <w:right w:val="none" w:sz="0" w:space="0" w:color="auto"/>
      </w:divBdr>
      <w:divsChild>
        <w:div w:id="224679870">
          <w:marLeft w:val="0"/>
          <w:marRight w:val="0"/>
          <w:marTop w:val="0"/>
          <w:marBottom w:val="0"/>
          <w:divBdr>
            <w:top w:val="none" w:sz="0" w:space="0" w:color="auto"/>
            <w:left w:val="none" w:sz="0" w:space="0" w:color="auto"/>
            <w:bottom w:val="none" w:sz="0" w:space="0" w:color="auto"/>
            <w:right w:val="none" w:sz="0" w:space="0" w:color="auto"/>
          </w:divBdr>
        </w:div>
        <w:div w:id="641423193">
          <w:marLeft w:val="0"/>
          <w:marRight w:val="0"/>
          <w:marTop w:val="0"/>
          <w:marBottom w:val="0"/>
          <w:divBdr>
            <w:top w:val="none" w:sz="0" w:space="0" w:color="auto"/>
            <w:left w:val="none" w:sz="0" w:space="0" w:color="auto"/>
            <w:bottom w:val="none" w:sz="0" w:space="0" w:color="auto"/>
            <w:right w:val="none" w:sz="0" w:space="0" w:color="auto"/>
          </w:divBdr>
        </w:div>
        <w:div w:id="773552842">
          <w:marLeft w:val="0"/>
          <w:marRight w:val="0"/>
          <w:marTop w:val="0"/>
          <w:marBottom w:val="0"/>
          <w:divBdr>
            <w:top w:val="none" w:sz="0" w:space="0" w:color="auto"/>
            <w:left w:val="none" w:sz="0" w:space="0" w:color="auto"/>
            <w:bottom w:val="none" w:sz="0" w:space="0" w:color="auto"/>
            <w:right w:val="none" w:sz="0" w:space="0" w:color="auto"/>
          </w:divBdr>
        </w:div>
        <w:div w:id="886725689">
          <w:marLeft w:val="0"/>
          <w:marRight w:val="0"/>
          <w:marTop w:val="0"/>
          <w:marBottom w:val="0"/>
          <w:divBdr>
            <w:top w:val="none" w:sz="0" w:space="0" w:color="auto"/>
            <w:left w:val="none" w:sz="0" w:space="0" w:color="auto"/>
            <w:bottom w:val="none" w:sz="0" w:space="0" w:color="auto"/>
            <w:right w:val="none" w:sz="0" w:space="0" w:color="auto"/>
          </w:divBdr>
        </w:div>
        <w:div w:id="1840853253">
          <w:marLeft w:val="0"/>
          <w:marRight w:val="0"/>
          <w:marTop w:val="0"/>
          <w:marBottom w:val="0"/>
          <w:divBdr>
            <w:top w:val="none" w:sz="0" w:space="0" w:color="auto"/>
            <w:left w:val="none" w:sz="0" w:space="0" w:color="auto"/>
            <w:bottom w:val="none" w:sz="0" w:space="0" w:color="auto"/>
            <w:right w:val="none" w:sz="0" w:space="0" w:color="auto"/>
          </w:divBdr>
        </w:div>
      </w:divsChild>
    </w:div>
    <w:div w:id="624196994">
      <w:bodyDiv w:val="1"/>
      <w:marLeft w:val="0"/>
      <w:marRight w:val="0"/>
      <w:marTop w:val="0"/>
      <w:marBottom w:val="0"/>
      <w:divBdr>
        <w:top w:val="none" w:sz="0" w:space="0" w:color="auto"/>
        <w:left w:val="none" w:sz="0" w:space="0" w:color="auto"/>
        <w:bottom w:val="none" w:sz="0" w:space="0" w:color="auto"/>
        <w:right w:val="none" w:sz="0" w:space="0" w:color="auto"/>
      </w:divBdr>
      <w:divsChild>
        <w:div w:id="77021488">
          <w:marLeft w:val="0"/>
          <w:marRight w:val="0"/>
          <w:marTop w:val="0"/>
          <w:marBottom w:val="0"/>
          <w:divBdr>
            <w:top w:val="none" w:sz="0" w:space="0" w:color="auto"/>
            <w:left w:val="none" w:sz="0" w:space="0" w:color="auto"/>
            <w:bottom w:val="none" w:sz="0" w:space="0" w:color="auto"/>
            <w:right w:val="none" w:sz="0" w:space="0" w:color="auto"/>
          </w:divBdr>
        </w:div>
        <w:div w:id="798259008">
          <w:marLeft w:val="0"/>
          <w:marRight w:val="0"/>
          <w:marTop w:val="0"/>
          <w:marBottom w:val="0"/>
          <w:divBdr>
            <w:top w:val="none" w:sz="0" w:space="0" w:color="auto"/>
            <w:left w:val="none" w:sz="0" w:space="0" w:color="auto"/>
            <w:bottom w:val="none" w:sz="0" w:space="0" w:color="auto"/>
            <w:right w:val="none" w:sz="0" w:space="0" w:color="auto"/>
          </w:divBdr>
        </w:div>
        <w:div w:id="1108623222">
          <w:marLeft w:val="0"/>
          <w:marRight w:val="0"/>
          <w:marTop w:val="0"/>
          <w:marBottom w:val="0"/>
          <w:divBdr>
            <w:top w:val="none" w:sz="0" w:space="0" w:color="auto"/>
            <w:left w:val="none" w:sz="0" w:space="0" w:color="auto"/>
            <w:bottom w:val="none" w:sz="0" w:space="0" w:color="auto"/>
            <w:right w:val="none" w:sz="0" w:space="0" w:color="auto"/>
          </w:divBdr>
        </w:div>
        <w:div w:id="1793133263">
          <w:marLeft w:val="0"/>
          <w:marRight w:val="0"/>
          <w:marTop w:val="0"/>
          <w:marBottom w:val="0"/>
          <w:divBdr>
            <w:top w:val="none" w:sz="0" w:space="0" w:color="auto"/>
            <w:left w:val="none" w:sz="0" w:space="0" w:color="auto"/>
            <w:bottom w:val="none" w:sz="0" w:space="0" w:color="auto"/>
            <w:right w:val="none" w:sz="0" w:space="0" w:color="auto"/>
          </w:divBdr>
          <w:divsChild>
            <w:div w:id="46924940">
              <w:marLeft w:val="0"/>
              <w:marRight w:val="0"/>
              <w:marTop w:val="0"/>
              <w:marBottom w:val="0"/>
              <w:divBdr>
                <w:top w:val="none" w:sz="0" w:space="0" w:color="auto"/>
                <w:left w:val="none" w:sz="0" w:space="0" w:color="auto"/>
                <w:bottom w:val="none" w:sz="0" w:space="0" w:color="auto"/>
                <w:right w:val="none" w:sz="0" w:space="0" w:color="auto"/>
              </w:divBdr>
            </w:div>
            <w:div w:id="658003350">
              <w:marLeft w:val="0"/>
              <w:marRight w:val="0"/>
              <w:marTop w:val="0"/>
              <w:marBottom w:val="0"/>
              <w:divBdr>
                <w:top w:val="none" w:sz="0" w:space="0" w:color="auto"/>
                <w:left w:val="none" w:sz="0" w:space="0" w:color="auto"/>
                <w:bottom w:val="none" w:sz="0" w:space="0" w:color="auto"/>
                <w:right w:val="none" w:sz="0" w:space="0" w:color="auto"/>
              </w:divBdr>
            </w:div>
            <w:div w:id="1567569316">
              <w:marLeft w:val="0"/>
              <w:marRight w:val="0"/>
              <w:marTop w:val="0"/>
              <w:marBottom w:val="0"/>
              <w:divBdr>
                <w:top w:val="none" w:sz="0" w:space="0" w:color="auto"/>
                <w:left w:val="none" w:sz="0" w:space="0" w:color="auto"/>
                <w:bottom w:val="none" w:sz="0" w:space="0" w:color="auto"/>
                <w:right w:val="none" w:sz="0" w:space="0" w:color="auto"/>
              </w:divBdr>
            </w:div>
            <w:div w:id="1801337192">
              <w:marLeft w:val="0"/>
              <w:marRight w:val="0"/>
              <w:marTop w:val="0"/>
              <w:marBottom w:val="0"/>
              <w:divBdr>
                <w:top w:val="none" w:sz="0" w:space="0" w:color="auto"/>
                <w:left w:val="none" w:sz="0" w:space="0" w:color="auto"/>
                <w:bottom w:val="none" w:sz="0" w:space="0" w:color="auto"/>
                <w:right w:val="none" w:sz="0" w:space="0" w:color="auto"/>
              </w:divBdr>
            </w:div>
            <w:div w:id="1922368213">
              <w:marLeft w:val="0"/>
              <w:marRight w:val="0"/>
              <w:marTop w:val="0"/>
              <w:marBottom w:val="0"/>
              <w:divBdr>
                <w:top w:val="none" w:sz="0" w:space="0" w:color="auto"/>
                <w:left w:val="none" w:sz="0" w:space="0" w:color="auto"/>
                <w:bottom w:val="none" w:sz="0" w:space="0" w:color="auto"/>
                <w:right w:val="none" w:sz="0" w:space="0" w:color="auto"/>
              </w:divBdr>
            </w:div>
          </w:divsChild>
        </w:div>
        <w:div w:id="1829438372">
          <w:marLeft w:val="0"/>
          <w:marRight w:val="0"/>
          <w:marTop w:val="0"/>
          <w:marBottom w:val="0"/>
          <w:divBdr>
            <w:top w:val="none" w:sz="0" w:space="0" w:color="auto"/>
            <w:left w:val="none" w:sz="0" w:space="0" w:color="auto"/>
            <w:bottom w:val="none" w:sz="0" w:space="0" w:color="auto"/>
            <w:right w:val="none" w:sz="0" w:space="0" w:color="auto"/>
          </w:divBdr>
        </w:div>
        <w:div w:id="1996839910">
          <w:marLeft w:val="0"/>
          <w:marRight w:val="0"/>
          <w:marTop w:val="0"/>
          <w:marBottom w:val="0"/>
          <w:divBdr>
            <w:top w:val="none" w:sz="0" w:space="0" w:color="auto"/>
            <w:left w:val="none" w:sz="0" w:space="0" w:color="auto"/>
            <w:bottom w:val="none" w:sz="0" w:space="0" w:color="auto"/>
            <w:right w:val="none" w:sz="0" w:space="0" w:color="auto"/>
          </w:divBdr>
        </w:div>
      </w:divsChild>
    </w:div>
    <w:div w:id="630551658">
      <w:bodyDiv w:val="1"/>
      <w:marLeft w:val="0"/>
      <w:marRight w:val="0"/>
      <w:marTop w:val="0"/>
      <w:marBottom w:val="0"/>
      <w:divBdr>
        <w:top w:val="none" w:sz="0" w:space="0" w:color="auto"/>
        <w:left w:val="none" w:sz="0" w:space="0" w:color="auto"/>
        <w:bottom w:val="none" w:sz="0" w:space="0" w:color="auto"/>
        <w:right w:val="none" w:sz="0" w:space="0" w:color="auto"/>
      </w:divBdr>
      <w:divsChild>
        <w:div w:id="175970071">
          <w:marLeft w:val="0"/>
          <w:marRight w:val="0"/>
          <w:marTop w:val="0"/>
          <w:marBottom w:val="0"/>
          <w:divBdr>
            <w:top w:val="none" w:sz="0" w:space="0" w:color="auto"/>
            <w:left w:val="none" w:sz="0" w:space="0" w:color="auto"/>
            <w:bottom w:val="none" w:sz="0" w:space="0" w:color="auto"/>
            <w:right w:val="none" w:sz="0" w:space="0" w:color="auto"/>
          </w:divBdr>
        </w:div>
        <w:div w:id="1468669049">
          <w:marLeft w:val="0"/>
          <w:marRight w:val="0"/>
          <w:marTop w:val="0"/>
          <w:marBottom w:val="0"/>
          <w:divBdr>
            <w:top w:val="none" w:sz="0" w:space="0" w:color="auto"/>
            <w:left w:val="none" w:sz="0" w:space="0" w:color="auto"/>
            <w:bottom w:val="none" w:sz="0" w:space="0" w:color="auto"/>
            <w:right w:val="none" w:sz="0" w:space="0" w:color="auto"/>
          </w:divBdr>
        </w:div>
        <w:div w:id="1487822514">
          <w:marLeft w:val="0"/>
          <w:marRight w:val="0"/>
          <w:marTop w:val="0"/>
          <w:marBottom w:val="0"/>
          <w:divBdr>
            <w:top w:val="none" w:sz="0" w:space="0" w:color="auto"/>
            <w:left w:val="none" w:sz="0" w:space="0" w:color="auto"/>
            <w:bottom w:val="none" w:sz="0" w:space="0" w:color="auto"/>
            <w:right w:val="none" w:sz="0" w:space="0" w:color="auto"/>
          </w:divBdr>
        </w:div>
        <w:div w:id="1554611947">
          <w:marLeft w:val="0"/>
          <w:marRight w:val="0"/>
          <w:marTop w:val="0"/>
          <w:marBottom w:val="0"/>
          <w:divBdr>
            <w:top w:val="none" w:sz="0" w:space="0" w:color="auto"/>
            <w:left w:val="none" w:sz="0" w:space="0" w:color="auto"/>
            <w:bottom w:val="none" w:sz="0" w:space="0" w:color="auto"/>
            <w:right w:val="none" w:sz="0" w:space="0" w:color="auto"/>
          </w:divBdr>
        </w:div>
        <w:div w:id="2143231872">
          <w:marLeft w:val="0"/>
          <w:marRight w:val="0"/>
          <w:marTop w:val="0"/>
          <w:marBottom w:val="0"/>
          <w:divBdr>
            <w:top w:val="none" w:sz="0" w:space="0" w:color="auto"/>
            <w:left w:val="none" w:sz="0" w:space="0" w:color="auto"/>
            <w:bottom w:val="none" w:sz="0" w:space="0" w:color="auto"/>
            <w:right w:val="none" w:sz="0" w:space="0" w:color="auto"/>
          </w:divBdr>
        </w:div>
      </w:divsChild>
    </w:div>
    <w:div w:id="679504574">
      <w:bodyDiv w:val="1"/>
      <w:marLeft w:val="0"/>
      <w:marRight w:val="0"/>
      <w:marTop w:val="0"/>
      <w:marBottom w:val="0"/>
      <w:divBdr>
        <w:top w:val="none" w:sz="0" w:space="0" w:color="auto"/>
        <w:left w:val="none" w:sz="0" w:space="0" w:color="auto"/>
        <w:bottom w:val="none" w:sz="0" w:space="0" w:color="auto"/>
        <w:right w:val="none" w:sz="0" w:space="0" w:color="auto"/>
      </w:divBdr>
      <w:divsChild>
        <w:div w:id="815225099">
          <w:marLeft w:val="0"/>
          <w:marRight w:val="0"/>
          <w:marTop w:val="0"/>
          <w:marBottom w:val="0"/>
          <w:divBdr>
            <w:top w:val="none" w:sz="0" w:space="0" w:color="auto"/>
            <w:left w:val="none" w:sz="0" w:space="0" w:color="auto"/>
            <w:bottom w:val="none" w:sz="0" w:space="0" w:color="auto"/>
            <w:right w:val="none" w:sz="0" w:space="0" w:color="auto"/>
          </w:divBdr>
        </w:div>
      </w:divsChild>
    </w:div>
    <w:div w:id="715350309">
      <w:bodyDiv w:val="1"/>
      <w:marLeft w:val="0"/>
      <w:marRight w:val="0"/>
      <w:marTop w:val="0"/>
      <w:marBottom w:val="0"/>
      <w:divBdr>
        <w:top w:val="none" w:sz="0" w:space="0" w:color="auto"/>
        <w:left w:val="none" w:sz="0" w:space="0" w:color="auto"/>
        <w:bottom w:val="none" w:sz="0" w:space="0" w:color="auto"/>
        <w:right w:val="none" w:sz="0" w:space="0" w:color="auto"/>
      </w:divBdr>
      <w:divsChild>
        <w:div w:id="241330583">
          <w:marLeft w:val="0"/>
          <w:marRight w:val="0"/>
          <w:marTop w:val="0"/>
          <w:marBottom w:val="0"/>
          <w:divBdr>
            <w:top w:val="none" w:sz="0" w:space="0" w:color="auto"/>
            <w:left w:val="none" w:sz="0" w:space="0" w:color="auto"/>
            <w:bottom w:val="none" w:sz="0" w:space="0" w:color="auto"/>
            <w:right w:val="none" w:sz="0" w:space="0" w:color="auto"/>
          </w:divBdr>
        </w:div>
        <w:div w:id="624695271">
          <w:marLeft w:val="0"/>
          <w:marRight w:val="0"/>
          <w:marTop w:val="0"/>
          <w:marBottom w:val="0"/>
          <w:divBdr>
            <w:top w:val="none" w:sz="0" w:space="0" w:color="auto"/>
            <w:left w:val="none" w:sz="0" w:space="0" w:color="auto"/>
            <w:bottom w:val="none" w:sz="0" w:space="0" w:color="auto"/>
            <w:right w:val="none" w:sz="0" w:space="0" w:color="auto"/>
          </w:divBdr>
        </w:div>
        <w:div w:id="1206681343">
          <w:marLeft w:val="0"/>
          <w:marRight w:val="0"/>
          <w:marTop w:val="0"/>
          <w:marBottom w:val="0"/>
          <w:divBdr>
            <w:top w:val="none" w:sz="0" w:space="0" w:color="auto"/>
            <w:left w:val="none" w:sz="0" w:space="0" w:color="auto"/>
            <w:bottom w:val="none" w:sz="0" w:space="0" w:color="auto"/>
            <w:right w:val="none" w:sz="0" w:space="0" w:color="auto"/>
          </w:divBdr>
        </w:div>
        <w:div w:id="1574124102">
          <w:marLeft w:val="0"/>
          <w:marRight w:val="0"/>
          <w:marTop w:val="0"/>
          <w:marBottom w:val="0"/>
          <w:divBdr>
            <w:top w:val="none" w:sz="0" w:space="0" w:color="auto"/>
            <w:left w:val="none" w:sz="0" w:space="0" w:color="auto"/>
            <w:bottom w:val="none" w:sz="0" w:space="0" w:color="auto"/>
            <w:right w:val="none" w:sz="0" w:space="0" w:color="auto"/>
          </w:divBdr>
          <w:divsChild>
            <w:div w:id="96026665">
              <w:marLeft w:val="0"/>
              <w:marRight w:val="0"/>
              <w:marTop w:val="0"/>
              <w:marBottom w:val="0"/>
              <w:divBdr>
                <w:top w:val="none" w:sz="0" w:space="0" w:color="auto"/>
                <w:left w:val="none" w:sz="0" w:space="0" w:color="auto"/>
                <w:bottom w:val="none" w:sz="0" w:space="0" w:color="auto"/>
                <w:right w:val="none" w:sz="0" w:space="0" w:color="auto"/>
              </w:divBdr>
            </w:div>
            <w:div w:id="311256390">
              <w:marLeft w:val="0"/>
              <w:marRight w:val="0"/>
              <w:marTop w:val="0"/>
              <w:marBottom w:val="0"/>
              <w:divBdr>
                <w:top w:val="none" w:sz="0" w:space="0" w:color="auto"/>
                <w:left w:val="none" w:sz="0" w:space="0" w:color="auto"/>
                <w:bottom w:val="none" w:sz="0" w:space="0" w:color="auto"/>
                <w:right w:val="none" w:sz="0" w:space="0" w:color="auto"/>
              </w:divBdr>
            </w:div>
            <w:div w:id="855660300">
              <w:marLeft w:val="0"/>
              <w:marRight w:val="0"/>
              <w:marTop w:val="0"/>
              <w:marBottom w:val="0"/>
              <w:divBdr>
                <w:top w:val="none" w:sz="0" w:space="0" w:color="auto"/>
                <w:left w:val="none" w:sz="0" w:space="0" w:color="auto"/>
                <w:bottom w:val="none" w:sz="0" w:space="0" w:color="auto"/>
                <w:right w:val="none" w:sz="0" w:space="0" w:color="auto"/>
              </w:divBdr>
            </w:div>
            <w:div w:id="1708143611">
              <w:marLeft w:val="0"/>
              <w:marRight w:val="0"/>
              <w:marTop w:val="0"/>
              <w:marBottom w:val="0"/>
              <w:divBdr>
                <w:top w:val="none" w:sz="0" w:space="0" w:color="auto"/>
                <w:left w:val="none" w:sz="0" w:space="0" w:color="auto"/>
                <w:bottom w:val="none" w:sz="0" w:space="0" w:color="auto"/>
                <w:right w:val="none" w:sz="0" w:space="0" w:color="auto"/>
              </w:divBdr>
            </w:div>
            <w:div w:id="1989359753">
              <w:marLeft w:val="0"/>
              <w:marRight w:val="0"/>
              <w:marTop w:val="0"/>
              <w:marBottom w:val="0"/>
              <w:divBdr>
                <w:top w:val="none" w:sz="0" w:space="0" w:color="auto"/>
                <w:left w:val="none" w:sz="0" w:space="0" w:color="auto"/>
                <w:bottom w:val="none" w:sz="0" w:space="0" w:color="auto"/>
                <w:right w:val="none" w:sz="0" w:space="0" w:color="auto"/>
              </w:divBdr>
            </w:div>
          </w:divsChild>
        </w:div>
        <w:div w:id="1727416080">
          <w:marLeft w:val="0"/>
          <w:marRight w:val="0"/>
          <w:marTop w:val="0"/>
          <w:marBottom w:val="0"/>
          <w:divBdr>
            <w:top w:val="none" w:sz="0" w:space="0" w:color="auto"/>
            <w:left w:val="none" w:sz="0" w:space="0" w:color="auto"/>
            <w:bottom w:val="none" w:sz="0" w:space="0" w:color="auto"/>
            <w:right w:val="none" w:sz="0" w:space="0" w:color="auto"/>
          </w:divBdr>
        </w:div>
        <w:div w:id="1953324495">
          <w:marLeft w:val="0"/>
          <w:marRight w:val="0"/>
          <w:marTop w:val="0"/>
          <w:marBottom w:val="0"/>
          <w:divBdr>
            <w:top w:val="none" w:sz="0" w:space="0" w:color="auto"/>
            <w:left w:val="none" w:sz="0" w:space="0" w:color="auto"/>
            <w:bottom w:val="none" w:sz="0" w:space="0" w:color="auto"/>
            <w:right w:val="none" w:sz="0" w:space="0" w:color="auto"/>
          </w:divBdr>
        </w:div>
        <w:div w:id="1984581380">
          <w:marLeft w:val="0"/>
          <w:marRight w:val="0"/>
          <w:marTop w:val="0"/>
          <w:marBottom w:val="0"/>
          <w:divBdr>
            <w:top w:val="none" w:sz="0" w:space="0" w:color="auto"/>
            <w:left w:val="none" w:sz="0" w:space="0" w:color="auto"/>
            <w:bottom w:val="none" w:sz="0" w:space="0" w:color="auto"/>
            <w:right w:val="none" w:sz="0" w:space="0" w:color="auto"/>
          </w:divBdr>
        </w:div>
        <w:div w:id="2021664023">
          <w:marLeft w:val="0"/>
          <w:marRight w:val="0"/>
          <w:marTop w:val="0"/>
          <w:marBottom w:val="0"/>
          <w:divBdr>
            <w:top w:val="none" w:sz="0" w:space="0" w:color="auto"/>
            <w:left w:val="none" w:sz="0" w:space="0" w:color="auto"/>
            <w:bottom w:val="none" w:sz="0" w:space="0" w:color="auto"/>
            <w:right w:val="none" w:sz="0" w:space="0" w:color="auto"/>
          </w:divBdr>
        </w:div>
      </w:divsChild>
    </w:div>
    <w:div w:id="748187704">
      <w:bodyDiv w:val="1"/>
      <w:marLeft w:val="0"/>
      <w:marRight w:val="0"/>
      <w:marTop w:val="0"/>
      <w:marBottom w:val="0"/>
      <w:divBdr>
        <w:top w:val="none" w:sz="0" w:space="0" w:color="auto"/>
        <w:left w:val="none" w:sz="0" w:space="0" w:color="auto"/>
        <w:bottom w:val="none" w:sz="0" w:space="0" w:color="auto"/>
        <w:right w:val="none" w:sz="0" w:space="0" w:color="auto"/>
      </w:divBdr>
      <w:divsChild>
        <w:div w:id="333992166">
          <w:marLeft w:val="0"/>
          <w:marRight w:val="0"/>
          <w:marTop w:val="0"/>
          <w:marBottom w:val="0"/>
          <w:divBdr>
            <w:top w:val="none" w:sz="0" w:space="0" w:color="auto"/>
            <w:left w:val="none" w:sz="0" w:space="0" w:color="auto"/>
            <w:bottom w:val="none" w:sz="0" w:space="0" w:color="auto"/>
            <w:right w:val="none" w:sz="0" w:space="0" w:color="auto"/>
          </w:divBdr>
        </w:div>
        <w:div w:id="733309085">
          <w:marLeft w:val="0"/>
          <w:marRight w:val="0"/>
          <w:marTop w:val="0"/>
          <w:marBottom w:val="0"/>
          <w:divBdr>
            <w:top w:val="none" w:sz="0" w:space="0" w:color="auto"/>
            <w:left w:val="none" w:sz="0" w:space="0" w:color="auto"/>
            <w:bottom w:val="none" w:sz="0" w:space="0" w:color="auto"/>
            <w:right w:val="none" w:sz="0" w:space="0" w:color="auto"/>
          </w:divBdr>
        </w:div>
        <w:div w:id="979768016">
          <w:marLeft w:val="0"/>
          <w:marRight w:val="0"/>
          <w:marTop w:val="0"/>
          <w:marBottom w:val="0"/>
          <w:divBdr>
            <w:top w:val="none" w:sz="0" w:space="0" w:color="auto"/>
            <w:left w:val="none" w:sz="0" w:space="0" w:color="auto"/>
            <w:bottom w:val="none" w:sz="0" w:space="0" w:color="auto"/>
            <w:right w:val="none" w:sz="0" w:space="0" w:color="auto"/>
          </w:divBdr>
        </w:div>
        <w:div w:id="1188593248">
          <w:marLeft w:val="0"/>
          <w:marRight w:val="0"/>
          <w:marTop w:val="0"/>
          <w:marBottom w:val="0"/>
          <w:divBdr>
            <w:top w:val="none" w:sz="0" w:space="0" w:color="auto"/>
            <w:left w:val="none" w:sz="0" w:space="0" w:color="auto"/>
            <w:bottom w:val="none" w:sz="0" w:space="0" w:color="auto"/>
            <w:right w:val="none" w:sz="0" w:space="0" w:color="auto"/>
          </w:divBdr>
        </w:div>
        <w:div w:id="1253512454">
          <w:marLeft w:val="0"/>
          <w:marRight w:val="0"/>
          <w:marTop w:val="0"/>
          <w:marBottom w:val="0"/>
          <w:divBdr>
            <w:top w:val="none" w:sz="0" w:space="0" w:color="auto"/>
            <w:left w:val="none" w:sz="0" w:space="0" w:color="auto"/>
            <w:bottom w:val="none" w:sz="0" w:space="0" w:color="auto"/>
            <w:right w:val="none" w:sz="0" w:space="0" w:color="auto"/>
          </w:divBdr>
        </w:div>
        <w:div w:id="1311447854">
          <w:marLeft w:val="0"/>
          <w:marRight w:val="0"/>
          <w:marTop w:val="0"/>
          <w:marBottom w:val="0"/>
          <w:divBdr>
            <w:top w:val="none" w:sz="0" w:space="0" w:color="auto"/>
            <w:left w:val="none" w:sz="0" w:space="0" w:color="auto"/>
            <w:bottom w:val="none" w:sz="0" w:space="0" w:color="auto"/>
            <w:right w:val="none" w:sz="0" w:space="0" w:color="auto"/>
          </w:divBdr>
        </w:div>
        <w:div w:id="1781410907">
          <w:marLeft w:val="0"/>
          <w:marRight w:val="0"/>
          <w:marTop w:val="0"/>
          <w:marBottom w:val="0"/>
          <w:divBdr>
            <w:top w:val="none" w:sz="0" w:space="0" w:color="auto"/>
            <w:left w:val="none" w:sz="0" w:space="0" w:color="auto"/>
            <w:bottom w:val="none" w:sz="0" w:space="0" w:color="auto"/>
            <w:right w:val="none" w:sz="0" w:space="0" w:color="auto"/>
          </w:divBdr>
        </w:div>
      </w:divsChild>
    </w:div>
    <w:div w:id="773012158">
      <w:bodyDiv w:val="1"/>
      <w:marLeft w:val="0"/>
      <w:marRight w:val="0"/>
      <w:marTop w:val="0"/>
      <w:marBottom w:val="0"/>
      <w:divBdr>
        <w:top w:val="none" w:sz="0" w:space="0" w:color="auto"/>
        <w:left w:val="none" w:sz="0" w:space="0" w:color="auto"/>
        <w:bottom w:val="none" w:sz="0" w:space="0" w:color="auto"/>
        <w:right w:val="none" w:sz="0" w:space="0" w:color="auto"/>
      </w:divBdr>
      <w:divsChild>
        <w:div w:id="108280256">
          <w:marLeft w:val="0"/>
          <w:marRight w:val="0"/>
          <w:marTop w:val="0"/>
          <w:marBottom w:val="0"/>
          <w:divBdr>
            <w:top w:val="none" w:sz="0" w:space="0" w:color="auto"/>
            <w:left w:val="none" w:sz="0" w:space="0" w:color="auto"/>
            <w:bottom w:val="none" w:sz="0" w:space="0" w:color="auto"/>
            <w:right w:val="none" w:sz="0" w:space="0" w:color="auto"/>
          </w:divBdr>
        </w:div>
        <w:div w:id="259023022">
          <w:marLeft w:val="0"/>
          <w:marRight w:val="0"/>
          <w:marTop w:val="0"/>
          <w:marBottom w:val="0"/>
          <w:divBdr>
            <w:top w:val="none" w:sz="0" w:space="0" w:color="auto"/>
            <w:left w:val="none" w:sz="0" w:space="0" w:color="auto"/>
            <w:bottom w:val="none" w:sz="0" w:space="0" w:color="auto"/>
            <w:right w:val="none" w:sz="0" w:space="0" w:color="auto"/>
          </w:divBdr>
        </w:div>
        <w:div w:id="317000009">
          <w:marLeft w:val="0"/>
          <w:marRight w:val="0"/>
          <w:marTop w:val="0"/>
          <w:marBottom w:val="0"/>
          <w:divBdr>
            <w:top w:val="none" w:sz="0" w:space="0" w:color="auto"/>
            <w:left w:val="none" w:sz="0" w:space="0" w:color="auto"/>
            <w:bottom w:val="none" w:sz="0" w:space="0" w:color="auto"/>
            <w:right w:val="none" w:sz="0" w:space="0" w:color="auto"/>
          </w:divBdr>
        </w:div>
        <w:div w:id="616329147">
          <w:marLeft w:val="0"/>
          <w:marRight w:val="0"/>
          <w:marTop w:val="0"/>
          <w:marBottom w:val="0"/>
          <w:divBdr>
            <w:top w:val="none" w:sz="0" w:space="0" w:color="auto"/>
            <w:left w:val="none" w:sz="0" w:space="0" w:color="auto"/>
            <w:bottom w:val="none" w:sz="0" w:space="0" w:color="auto"/>
            <w:right w:val="none" w:sz="0" w:space="0" w:color="auto"/>
          </w:divBdr>
        </w:div>
        <w:div w:id="1516461606">
          <w:marLeft w:val="0"/>
          <w:marRight w:val="0"/>
          <w:marTop w:val="0"/>
          <w:marBottom w:val="0"/>
          <w:divBdr>
            <w:top w:val="none" w:sz="0" w:space="0" w:color="auto"/>
            <w:left w:val="none" w:sz="0" w:space="0" w:color="auto"/>
            <w:bottom w:val="none" w:sz="0" w:space="0" w:color="auto"/>
            <w:right w:val="none" w:sz="0" w:space="0" w:color="auto"/>
          </w:divBdr>
        </w:div>
      </w:divsChild>
    </w:div>
    <w:div w:id="810366997">
      <w:bodyDiv w:val="1"/>
      <w:marLeft w:val="0"/>
      <w:marRight w:val="0"/>
      <w:marTop w:val="0"/>
      <w:marBottom w:val="0"/>
      <w:divBdr>
        <w:top w:val="none" w:sz="0" w:space="0" w:color="auto"/>
        <w:left w:val="none" w:sz="0" w:space="0" w:color="auto"/>
        <w:bottom w:val="none" w:sz="0" w:space="0" w:color="auto"/>
        <w:right w:val="none" w:sz="0" w:space="0" w:color="auto"/>
      </w:divBdr>
      <w:divsChild>
        <w:div w:id="357134">
          <w:marLeft w:val="0"/>
          <w:marRight w:val="0"/>
          <w:marTop w:val="0"/>
          <w:marBottom w:val="0"/>
          <w:divBdr>
            <w:top w:val="none" w:sz="0" w:space="0" w:color="auto"/>
            <w:left w:val="none" w:sz="0" w:space="0" w:color="auto"/>
            <w:bottom w:val="none" w:sz="0" w:space="0" w:color="auto"/>
            <w:right w:val="none" w:sz="0" w:space="0" w:color="auto"/>
          </w:divBdr>
        </w:div>
        <w:div w:id="121730331">
          <w:marLeft w:val="0"/>
          <w:marRight w:val="0"/>
          <w:marTop w:val="0"/>
          <w:marBottom w:val="0"/>
          <w:divBdr>
            <w:top w:val="none" w:sz="0" w:space="0" w:color="auto"/>
            <w:left w:val="none" w:sz="0" w:space="0" w:color="auto"/>
            <w:bottom w:val="none" w:sz="0" w:space="0" w:color="auto"/>
            <w:right w:val="none" w:sz="0" w:space="0" w:color="auto"/>
          </w:divBdr>
        </w:div>
        <w:div w:id="793715888">
          <w:marLeft w:val="0"/>
          <w:marRight w:val="0"/>
          <w:marTop w:val="0"/>
          <w:marBottom w:val="0"/>
          <w:divBdr>
            <w:top w:val="none" w:sz="0" w:space="0" w:color="auto"/>
            <w:left w:val="none" w:sz="0" w:space="0" w:color="auto"/>
            <w:bottom w:val="none" w:sz="0" w:space="0" w:color="auto"/>
            <w:right w:val="none" w:sz="0" w:space="0" w:color="auto"/>
          </w:divBdr>
        </w:div>
        <w:div w:id="1084884567">
          <w:marLeft w:val="0"/>
          <w:marRight w:val="0"/>
          <w:marTop w:val="0"/>
          <w:marBottom w:val="0"/>
          <w:divBdr>
            <w:top w:val="none" w:sz="0" w:space="0" w:color="auto"/>
            <w:left w:val="none" w:sz="0" w:space="0" w:color="auto"/>
            <w:bottom w:val="none" w:sz="0" w:space="0" w:color="auto"/>
            <w:right w:val="none" w:sz="0" w:space="0" w:color="auto"/>
          </w:divBdr>
        </w:div>
        <w:div w:id="2130276023">
          <w:marLeft w:val="0"/>
          <w:marRight w:val="0"/>
          <w:marTop w:val="0"/>
          <w:marBottom w:val="0"/>
          <w:divBdr>
            <w:top w:val="none" w:sz="0" w:space="0" w:color="auto"/>
            <w:left w:val="none" w:sz="0" w:space="0" w:color="auto"/>
            <w:bottom w:val="none" w:sz="0" w:space="0" w:color="auto"/>
            <w:right w:val="none" w:sz="0" w:space="0" w:color="auto"/>
          </w:divBdr>
        </w:div>
      </w:divsChild>
    </w:div>
    <w:div w:id="839004726">
      <w:bodyDiv w:val="1"/>
      <w:marLeft w:val="0"/>
      <w:marRight w:val="0"/>
      <w:marTop w:val="0"/>
      <w:marBottom w:val="0"/>
      <w:divBdr>
        <w:top w:val="none" w:sz="0" w:space="0" w:color="auto"/>
        <w:left w:val="none" w:sz="0" w:space="0" w:color="auto"/>
        <w:bottom w:val="none" w:sz="0" w:space="0" w:color="auto"/>
        <w:right w:val="none" w:sz="0" w:space="0" w:color="auto"/>
      </w:divBdr>
      <w:divsChild>
        <w:div w:id="548343958">
          <w:marLeft w:val="0"/>
          <w:marRight w:val="0"/>
          <w:marTop w:val="0"/>
          <w:marBottom w:val="0"/>
          <w:divBdr>
            <w:top w:val="none" w:sz="0" w:space="0" w:color="auto"/>
            <w:left w:val="none" w:sz="0" w:space="0" w:color="auto"/>
            <w:bottom w:val="none" w:sz="0" w:space="0" w:color="auto"/>
            <w:right w:val="none" w:sz="0" w:space="0" w:color="auto"/>
          </w:divBdr>
        </w:div>
        <w:div w:id="773668146">
          <w:marLeft w:val="0"/>
          <w:marRight w:val="0"/>
          <w:marTop w:val="0"/>
          <w:marBottom w:val="0"/>
          <w:divBdr>
            <w:top w:val="none" w:sz="0" w:space="0" w:color="auto"/>
            <w:left w:val="none" w:sz="0" w:space="0" w:color="auto"/>
            <w:bottom w:val="none" w:sz="0" w:space="0" w:color="auto"/>
            <w:right w:val="none" w:sz="0" w:space="0" w:color="auto"/>
          </w:divBdr>
        </w:div>
        <w:div w:id="854228985">
          <w:marLeft w:val="0"/>
          <w:marRight w:val="0"/>
          <w:marTop w:val="0"/>
          <w:marBottom w:val="0"/>
          <w:divBdr>
            <w:top w:val="none" w:sz="0" w:space="0" w:color="auto"/>
            <w:left w:val="none" w:sz="0" w:space="0" w:color="auto"/>
            <w:bottom w:val="none" w:sz="0" w:space="0" w:color="auto"/>
            <w:right w:val="none" w:sz="0" w:space="0" w:color="auto"/>
          </w:divBdr>
        </w:div>
        <w:div w:id="909533496">
          <w:marLeft w:val="0"/>
          <w:marRight w:val="0"/>
          <w:marTop w:val="0"/>
          <w:marBottom w:val="0"/>
          <w:divBdr>
            <w:top w:val="none" w:sz="0" w:space="0" w:color="auto"/>
            <w:left w:val="none" w:sz="0" w:space="0" w:color="auto"/>
            <w:bottom w:val="none" w:sz="0" w:space="0" w:color="auto"/>
            <w:right w:val="none" w:sz="0" w:space="0" w:color="auto"/>
          </w:divBdr>
        </w:div>
        <w:div w:id="964770310">
          <w:marLeft w:val="0"/>
          <w:marRight w:val="0"/>
          <w:marTop w:val="0"/>
          <w:marBottom w:val="0"/>
          <w:divBdr>
            <w:top w:val="none" w:sz="0" w:space="0" w:color="auto"/>
            <w:left w:val="none" w:sz="0" w:space="0" w:color="auto"/>
            <w:bottom w:val="none" w:sz="0" w:space="0" w:color="auto"/>
            <w:right w:val="none" w:sz="0" w:space="0" w:color="auto"/>
          </w:divBdr>
        </w:div>
        <w:div w:id="1286892880">
          <w:marLeft w:val="0"/>
          <w:marRight w:val="0"/>
          <w:marTop w:val="0"/>
          <w:marBottom w:val="0"/>
          <w:divBdr>
            <w:top w:val="none" w:sz="0" w:space="0" w:color="auto"/>
            <w:left w:val="none" w:sz="0" w:space="0" w:color="auto"/>
            <w:bottom w:val="none" w:sz="0" w:space="0" w:color="auto"/>
            <w:right w:val="none" w:sz="0" w:space="0" w:color="auto"/>
          </w:divBdr>
        </w:div>
        <w:div w:id="1479613516">
          <w:marLeft w:val="0"/>
          <w:marRight w:val="0"/>
          <w:marTop w:val="0"/>
          <w:marBottom w:val="0"/>
          <w:divBdr>
            <w:top w:val="none" w:sz="0" w:space="0" w:color="auto"/>
            <w:left w:val="none" w:sz="0" w:space="0" w:color="auto"/>
            <w:bottom w:val="none" w:sz="0" w:space="0" w:color="auto"/>
            <w:right w:val="none" w:sz="0" w:space="0" w:color="auto"/>
          </w:divBdr>
        </w:div>
      </w:divsChild>
    </w:div>
    <w:div w:id="839396065">
      <w:bodyDiv w:val="1"/>
      <w:marLeft w:val="0"/>
      <w:marRight w:val="0"/>
      <w:marTop w:val="0"/>
      <w:marBottom w:val="0"/>
      <w:divBdr>
        <w:top w:val="none" w:sz="0" w:space="0" w:color="auto"/>
        <w:left w:val="none" w:sz="0" w:space="0" w:color="auto"/>
        <w:bottom w:val="none" w:sz="0" w:space="0" w:color="auto"/>
        <w:right w:val="none" w:sz="0" w:space="0" w:color="auto"/>
      </w:divBdr>
      <w:divsChild>
        <w:div w:id="71658877">
          <w:marLeft w:val="0"/>
          <w:marRight w:val="0"/>
          <w:marTop w:val="0"/>
          <w:marBottom w:val="0"/>
          <w:divBdr>
            <w:top w:val="none" w:sz="0" w:space="0" w:color="auto"/>
            <w:left w:val="none" w:sz="0" w:space="0" w:color="auto"/>
            <w:bottom w:val="none" w:sz="0" w:space="0" w:color="auto"/>
            <w:right w:val="none" w:sz="0" w:space="0" w:color="auto"/>
          </w:divBdr>
        </w:div>
        <w:div w:id="223566315">
          <w:marLeft w:val="0"/>
          <w:marRight w:val="0"/>
          <w:marTop w:val="0"/>
          <w:marBottom w:val="0"/>
          <w:divBdr>
            <w:top w:val="none" w:sz="0" w:space="0" w:color="auto"/>
            <w:left w:val="none" w:sz="0" w:space="0" w:color="auto"/>
            <w:bottom w:val="none" w:sz="0" w:space="0" w:color="auto"/>
            <w:right w:val="none" w:sz="0" w:space="0" w:color="auto"/>
          </w:divBdr>
        </w:div>
        <w:div w:id="324431398">
          <w:marLeft w:val="0"/>
          <w:marRight w:val="0"/>
          <w:marTop w:val="0"/>
          <w:marBottom w:val="0"/>
          <w:divBdr>
            <w:top w:val="none" w:sz="0" w:space="0" w:color="auto"/>
            <w:left w:val="none" w:sz="0" w:space="0" w:color="auto"/>
            <w:bottom w:val="none" w:sz="0" w:space="0" w:color="auto"/>
            <w:right w:val="none" w:sz="0" w:space="0" w:color="auto"/>
          </w:divBdr>
        </w:div>
        <w:div w:id="1470241801">
          <w:marLeft w:val="0"/>
          <w:marRight w:val="0"/>
          <w:marTop w:val="0"/>
          <w:marBottom w:val="0"/>
          <w:divBdr>
            <w:top w:val="none" w:sz="0" w:space="0" w:color="auto"/>
            <w:left w:val="none" w:sz="0" w:space="0" w:color="auto"/>
            <w:bottom w:val="none" w:sz="0" w:space="0" w:color="auto"/>
            <w:right w:val="none" w:sz="0" w:space="0" w:color="auto"/>
          </w:divBdr>
        </w:div>
        <w:div w:id="2137260529">
          <w:marLeft w:val="0"/>
          <w:marRight w:val="0"/>
          <w:marTop w:val="0"/>
          <w:marBottom w:val="0"/>
          <w:divBdr>
            <w:top w:val="none" w:sz="0" w:space="0" w:color="auto"/>
            <w:left w:val="none" w:sz="0" w:space="0" w:color="auto"/>
            <w:bottom w:val="none" w:sz="0" w:space="0" w:color="auto"/>
            <w:right w:val="none" w:sz="0" w:space="0" w:color="auto"/>
          </w:divBdr>
        </w:div>
      </w:divsChild>
    </w:div>
    <w:div w:id="842162986">
      <w:bodyDiv w:val="1"/>
      <w:marLeft w:val="0"/>
      <w:marRight w:val="0"/>
      <w:marTop w:val="0"/>
      <w:marBottom w:val="0"/>
      <w:divBdr>
        <w:top w:val="none" w:sz="0" w:space="0" w:color="auto"/>
        <w:left w:val="none" w:sz="0" w:space="0" w:color="auto"/>
        <w:bottom w:val="none" w:sz="0" w:space="0" w:color="auto"/>
        <w:right w:val="none" w:sz="0" w:space="0" w:color="auto"/>
      </w:divBdr>
      <w:divsChild>
        <w:div w:id="1309165768">
          <w:marLeft w:val="0"/>
          <w:marRight w:val="0"/>
          <w:marTop w:val="0"/>
          <w:marBottom w:val="0"/>
          <w:divBdr>
            <w:top w:val="none" w:sz="0" w:space="0" w:color="auto"/>
            <w:left w:val="none" w:sz="0" w:space="0" w:color="auto"/>
            <w:bottom w:val="none" w:sz="0" w:space="0" w:color="auto"/>
            <w:right w:val="none" w:sz="0" w:space="0" w:color="auto"/>
          </w:divBdr>
        </w:div>
      </w:divsChild>
    </w:div>
    <w:div w:id="863858186">
      <w:bodyDiv w:val="1"/>
      <w:marLeft w:val="0"/>
      <w:marRight w:val="0"/>
      <w:marTop w:val="0"/>
      <w:marBottom w:val="0"/>
      <w:divBdr>
        <w:top w:val="none" w:sz="0" w:space="0" w:color="auto"/>
        <w:left w:val="none" w:sz="0" w:space="0" w:color="auto"/>
        <w:bottom w:val="none" w:sz="0" w:space="0" w:color="auto"/>
        <w:right w:val="none" w:sz="0" w:space="0" w:color="auto"/>
      </w:divBdr>
      <w:divsChild>
        <w:div w:id="283586154">
          <w:marLeft w:val="0"/>
          <w:marRight w:val="0"/>
          <w:marTop w:val="0"/>
          <w:marBottom w:val="0"/>
          <w:divBdr>
            <w:top w:val="none" w:sz="0" w:space="0" w:color="auto"/>
            <w:left w:val="none" w:sz="0" w:space="0" w:color="auto"/>
            <w:bottom w:val="none" w:sz="0" w:space="0" w:color="auto"/>
            <w:right w:val="none" w:sz="0" w:space="0" w:color="auto"/>
          </w:divBdr>
        </w:div>
        <w:div w:id="657996456">
          <w:marLeft w:val="0"/>
          <w:marRight w:val="0"/>
          <w:marTop w:val="0"/>
          <w:marBottom w:val="0"/>
          <w:divBdr>
            <w:top w:val="none" w:sz="0" w:space="0" w:color="auto"/>
            <w:left w:val="none" w:sz="0" w:space="0" w:color="auto"/>
            <w:bottom w:val="none" w:sz="0" w:space="0" w:color="auto"/>
            <w:right w:val="none" w:sz="0" w:space="0" w:color="auto"/>
          </w:divBdr>
        </w:div>
        <w:div w:id="822625051">
          <w:marLeft w:val="0"/>
          <w:marRight w:val="0"/>
          <w:marTop w:val="0"/>
          <w:marBottom w:val="0"/>
          <w:divBdr>
            <w:top w:val="none" w:sz="0" w:space="0" w:color="auto"/>
            <w:left w:val="none" w:sz="0" w:space="0" w:color="auto"/>
            <w:bottom w:val="none" w:sz="0" w:space="0" w:color="auto"/>
            <w:right w:val="none" w:sz="0" w:space="0" w:color="auto"/>
          </w:divBdr>
        </w:div>
        <w:div w:id="953943168">
          <w:marLeft w:val="0"/>
          <w:marRight w:val="0"/>
          <w:marTop w:val="0"/>
          <w:marBottom w:val="0"/>
          <w:divBdr>
            <w:top w:val="none" w:sz="0" w:space="0" w:color="auto"/>
            <w:left w:val="none" w:sz="0" w:space="0" w:color="auto"/>
            <w:bottom w:val="none" w:sz="0" w:space="0" w:color="auto"/>
            <w:right w:val="none" w:sz="0" w:space="0" w:color="auto"/>
          </w:divBdr>
        </w:div>
        <w:div w:id="1074745487">
          <w:marLeft w:val="0"/>
          <w:marRight w:val="0"/>
          <w:marTop w:val="0"/>
          <w:marBottom w:val="0"/>
          <w:divBdr>
            <w:top w:val="none" w:sz="0" w:space="0" w:color="auto"/>
            <w:left w:val="none" w:sz="0" w:space="0" w:color="auto"/>
            <w:bottom w:val="none" w:sz="0" w:space="0" w:color="auto"/>
            <w:right w:val="none" w:sz="0" w:space="0" w:color="auto"/>
          </w:divBdr>
        </w:div>
        <w:div w:id="1757969812">
          <w:marLeft w:val="0"/>
          <w:marRight w:val="0"/>
          <w:marTop w:val="0"/>
          <w:marBottom w:val="0"/>
          <w:divBdr>
            <w:top w:val="none" w:sz="0" w:space="0" w:color="auto"/>
            <w:left w:val="none" w:sz="0" w:space="0" w:color="auto"/>
            <w:bottom w:val="none" w:sz="0" w:space="0" w:color="auto"/>
            <w:right w:val="none" w:sz="0" w:space="0" w:color="auto"/>
          </w:divBdr>
        </w:div>
        <w:div w:id="1770352249">
          <w:marLeft w:val="0"/>
          <w:marRight w:val="0"/>
          <w:marTop w:val="0"/>
          <w:marBottom w:val="0"/>
          <w:divBdr>
            <w:top w:val="none" w:sz="0" w:space="0" w:color="auto"/>
            <w:left w:val="none" w:sz="0" w:space="0" w:color="auto"/>
            <w:bottom w:val="none" w:sz="0" w:space="0" w:color="auto"/>
            <w:right w:val="none" w:sz="0" w:space="0" w:color="auto"/>
          </w:divBdr>
        </w:div>
      </w:divsChild>
    </w:div>
    <w:div w:id="927274441">
      <w:bodyDiv w:val="1"/>
      <w:marLeft w:val="0"/>
      <w:marRight w:val="0"/>
      <w:marTop w:val="0"/>
      <w:marBottom w:val="0"/>
      <w:divBdr>
        <w:top w:val="none" w:sz="0" w:space="0" w:color="auto"/>
        <w:left w:val="none" w:sz="0" w:space="0" w:color="auto"/>
        <w:bottom w:val="none" w:sz="0" w:space="0" w:color="auto"/>
        <w:right w:val="none" w:sz="0" w:space="0" w:color="auto"/>
      </w:divBdr>
      <w:divsChild>
        <w:div w:id="213011509">
          <w:marLeft w:val="0"/>
          <w:marRight w:val="0"/>
          <w:marTop w:val="0"/>
          <w:marBottom w:val="0"/>
          <w:divBdr>
            <w:top w:val="none" w:sz="0" w:space="0" w:color="auto"/>
            <w:left w:val="none" w:sz="0" w:space="0" w:color="auto"/>
            <w:bottom w:val="none" w:sz="0" w:space="0" w:color="auto"/>
            <w:right w:val="none" w:sz="0" w:space="0" w:color="auto"/>
          </w:divBdr>
        </w:div>
        <w:div w:id="409229709">
          <w:marLeft w:val="0"/>
          <w:marRight w:val="0"/>
          <w:marTop w:val="0"/>
          <w:marBottom w:val="0"/>
          <w:divBdr>
            <w:top w:val="none" w:sz="0" w:space="0" w:color="auto"/>
            <w:left w:val="none" w:sz="0" w:space="0" w:color="auto"/>
            <w:bottom w:val="none" w:sz="0" w:space="0" w:color="auto"/>
            <w:right w:val="none" w:sz="0" w:space="0" w:color="auto"/>
          </w:divBdr>
        </w:div>
        <w:div w:id="446659586">
          <w:marLeft w:val="0"/>
          <w:marRight w:val="0"/>
          <w:marTop w:val="0"/>
          <w:marBottom w:val="0"/>
          <w:divBdr>
            <w:top w:val="none" w:sz="0" w:space="0" w:color="auto"/>
            <w:left w:val="none" w:sz="0" w:space="0" w:color="auto"/>
            <w:bottom w:val="none" w:sz="0" w:space="0" w:color="auto"/>
            <w:right w:val="none" w:sz="0" w:space="0" w:color="auto"/>
          </w:divBdr>
        </w:div>
        <w:div w:id="556940726">
          <w:marLeft w:val="0"/>
          <w:marRight w:val="0"/>
          <w:marTop w:val="0"/>
          <w:marBottom w:val="0"/>
          <w:divBdr>
            <w:top w:val="none" w:sz="0" w:space="0" w:color="auto"/>
            <w:left w:val="none" w:sz="0" w:space="0" w:color="auto"/>
            <w:bottom w:val="none" w:sz="0" w:space="0" w:color="auto"/>
            <w:right w:val="none" w:sz="0" w:space="0" w:color="auto"/>
          </w:divBdr>
        </w:div>
        <w:div w:id="576979733">
          <w:marLeft w:val="0"/>
          <w:marRight w:val="0"/>
          <w:marTop w:val="0"/>
          <w:marBottom w:val="0"/>
          <w:divBdr>
            <w:top w:val="none" w:sz="0" w:space="0" w:color="auto"/>
            <w:left w:val="none" w:sz="0" w:space="0" w:color="auto"/>
            <w:bottom w:val="none" w:sz="0" w:space="0" w:color="auto"/>
            <w:right w:val="none" w:sz="0" w:space="0" w:color="auto"/>
          </w:divBdr>
        </w:div>
        <w:div w:id="1373378929">
          <w:marLeft w:val="0"/>
          <w:marRight w:val="0"/>
          <w:marTop w:val="0"/>
          <w:marBottom w:val="0"/>
          <w:divBdr>
            <w:top w:val="none" w:sz="0" w:space="0" w:color="auto"/>
            <w:left w:val="none" w:sz="0" w:space="0" w:color="auto"/>
            <w:bottom w:val="none" w:sz="0" w:space="0" w:color="auto"/>
            <w:right w:val="none" w:sz="0" w:space="0" w:color="auto"/>
          </w:divBdr>
        </w:div>
        <w:div w:id="1940482497">
          <w:marLeft w:val="0"/>
          <w:marRight w:val="0"/>
          <w:marTop w:val="0"/>
          <w:marBottom w:val="0"/>
          <w:divBdr>
            <w:top w:val="none" w:sz="0" w:space="0" w:color="auto"/>
            <w:left w:val="none" w:sz="0" w:space="0" w:color="auto"/>
            <w:bottom w:val="none" w:sz="0" w:space="0" w:color="auto"/>
            <w:right w:val="none" w:sz="0" w:space="0" w:color="auto"/>
          </w:divBdr>
        </w:div>
      </w:divsChild>
    </w:div>
    <w:div w:id="955795374">
      <w:bodyDiv w:val="1"/>
      <w:marLeft w:val="0"/>
      <w:marRight w:val="0"/>
      <w:marTop w:val="0"/>
      <w:marBottom w:val="0"/>
      <w:divBdr>
        <w:top w:val="none" w:sz="0" w:space="0" w:color="auto"/>
        <w:left w:val="none" w:sz="0" w:space="0" w:color="auto"/>
        <w:bottom w:val="none" w:sz="0" w:space="0" w:color="auto"/>
        <w:right w:val="none" w:sz="0" w:space="0" w:color="auto"/>
      </w:divBdr>
      <w:divsChild>
        <w:div w:id="12196324">
          <w:marLeft w:val="0"/>
          <w:marRight w:val="0"/>
          <w:marTop w:val="0"/>
          <w:marBottom w:val="0"/>
          <w:divBdr>
            <w:top w:val="none" w:sz="0" w:space="0" w:color="auto"/>
            <w:left w:val="none" w:sz="0" w:space="0" w:color="auto"/>
            <w:bottom w:val="none" w:sz="0" w:space="0" w:color="auto"/>
            <w:right w:val="none" w:sz="0" w:space="0" w:color="auto"/>
          </w:divBdr>
        </w:div>
        <w:div w:id="184103939">
          <w:marLeft w:val="0"/>
          <w:marRight w:val="0"/>
          <w:marTop w:val="0"/>
          <w:marBottom w:val="0"/>
          <w:divBdr>
            <w:top w:val="none" w:sz="0" w:space="0" w:color="auto"/>
            <w:left w:val="none" w:sz="0" w:space="0" w:color="auto"/>
            <w:bottom w:val="none" w:sz="0" w:space="0" w:color="auto"/>
            <w:right w:val="none" w:sz="0" w:space="0" w:color="auto"/>
          </w:divBdr>
        </w:div>
        <w:div w:id="804275372">
          <w:marLeft w:val="0"/>
          <w:marRight w:val="0"/>
          <w:marTop w:val="0"/>
          <w:marBottom w:val="0"/>
          <w:divBdr>
            <w:top w:val="none" w:sz="0" w:space="0" w:color="auto"/>
            <w:left w:val="none" w:sz="0" w:space="0" w:color="auto"/>
            <w:bottom w:val="none" w:sz="0" w:space="0" w:color="auto"/>
            <w:right w:val="none" w:sz="0" w:space="0" w:color="auto"/>
          </w:divBdr>
        </w:div>
        <w:div w:id="1403068359">
          <w:marLeft w:val="0"/>
          <w:marRight w:val="0"/>
          <w:marTop w:val="0"/>
          <w:marBottom w:val="0"/>
          <w:divBdr>
            <w:top w:val="none" w:sz="0" w:space="0" w:color="auto"/>
            <w:left w:val="none" w:sz="0" w:space="0" w:color="auto"/>
            <w:bottom w:val="none" w:sz="0" w:space="0" w:color="auto"/>
            <w:right w:val="none" w:sz="0" w:space="0" w:color="auto"/>
          </w:divBdr>
        </w:div>
        <w:div w:id="1655522636">
          <w:marLeft w:val="0"/>
          <w:marRight w:val="0"/>
          <w:marTop w:val="0"/>
          <w:marBottom w:val="0"/>
          <w:divBdr>
            <w:top w:val="none" w:sz="0" w:space="0" w:color="auto"/>
            <w:left w:val="none" w:sz="0" w:space="0" w:color="auto"/>
            <w:bottom w:val="none" w:sz="0" w:space="0" w:color="auto"/>
            <w:right w:val="none" w:sz="0" w:space="0" w:color="auto"/>
          </w:divBdr>
        </w:div>
        <w:div w:id="1680962277">
          <w:marLeft w:val="0"/>
          <w:marRight w:val="0"/>
          <w:marTop w:val="0"/>
          <w:marBottom w:val="0"/>
          <w:divBdr>
            <w:top w:val="none" w:sz="0" w:space="0" w:color="auto"/>
            <w:left w:val="none" w:sz="0" w:space="0" w:color="auto"/>
            <w:bottom w:val="none" w:sz="0" w:space="0" w:color="auto"/>
            <w:right w:val="none" w:sz="0" w:space="0" w:color="auto"/>
          </w:divBdr>
        </w:div>
        <w:div w:id="2007398903">
          <w:marLeft w:val="0"/>
          <w:marRight w:val="0"/>
          <w:marTop w:val="0"/>
          <w:marBottom w:val="0"/>
          <w:divBdr>
            <w:top w:val="none" w:sz="0" w:space="0" w:color="auto"/>
            <w:left w:val="none" w:sz="0" w:space="0" w:color="auto"/>
            <w:bottom w:val="none" w:sz="0" w:space="0" w:color="auto"/>
            <w:right w:val="none" w:sz="0" w:space="0" w:color="auto"/>
          </w:divBdr>
        </w:div>
      </w:divsChild>
    </w:div>
    <w:div w:id="963653603">
      <w:bodyDiv w:val="1"/>
      <w:marLeft w:val="0"/>
      <w:marRight w:val="0"/>
      <w:marTop w:val="0"/>
      <w:marBottom w:val="0"/>
      <w:divBdr>
        <w:top w:val="none" w:sz="0" w:space="0" w:color="auto"/>
        <w:left w:val="none" w:sz="0" w:space="0" w:color="auto"/>
        <w:bottom w:val="none" w:sz="0" w:space="0" w:color="auto"/>
        <w:right w:val="none" w:sz="0" w:space="0" w:color="auto"/>
      </w:divBdr>
      <w:divsChild>
        <w:div w:id="139884260">
          <w:marLeft w:val="0"/>
          <w:marRight w:val="0"/>
          <w:marTop w:val="0"/>
          <w:marBottom w:val="0"/>
          <w:divBdr>
            <w:top w:val="none" w:sz="0" w:space="0" w:color="auto"/>
            <w:left w:val="none" w:sz="0" w:space="0" w:color="auto"/>
            <w:bottom w:val="none" w:sz="0" w:space="0" w:color="auto"/>
            <w:right w:val="none" w:sz="0" w:space="0" w:color="auto"/>
          </w:divBdr>
        </w:div>
        <w:div w:id="201862581">
          <w:marLeft w:val="0"/>
          <w:marRight w:val="0"/>
          <w:marTop w:val="0"/>
          <w:marBottom w:val="0"/>
          <w:divBdr>
            <w:top w:val="none" w:sz="0" w:space="0" w:color="auto"/>
            <w:left w:val="none" w:sz="0" w:space="0" w:color="auto"/>
            <w:bottom w:val="none" w:sz="0" w:space="0" w:color="auto"/>
            <w:right w:val="none" w:sz="0" w:space="0" w:color="auto"/>
          </w:divBdr>
        </w:div>
        <w:div w:id="448547686">
          <w:marLeft w:val="0"/>
          <w:marRight w:val="0"/>
          <w:marTop w:val="0"/>
          <w:marBottom w:val="0"/>
          <w:divBdr>
            <w:top w:val="none" w:sz="0" w:space="0" w:color="auto"/>
            <w:left w:val="none" w:sz="0" w:space="0" w:color="auto"/>
            <w:bottom w:val="none" w:sz="0" w:space="0" w:color="auto"/>
            <w:right w:val="none" w:sz="0" w:space="0" w:color="auto"/>
          </w:divBdr>
        </w:div>
        <w:div w:id="618224713">
          <w:marLeft w:val="0"/>
          <w:marRight w:val="0"/>
          <w:marTop w:val="0"/>
          <w:marBottom w:val="0"/>
          <w:divBdr>
            <w:top w:val="none" w:sz="0" w:space="0" w:color="auto"/>
            <w:left w:val="none" w:sz="0" w:space="0" w:color="auto"/>
            <w:bottom w:val="none" w:sz="0" w:space="0" w:color="auto"/>
            <w:right w:val="none" w:sz="0" w:space="0" w:color="auto"/>
          </w:divBdr>
        </w:div>
        <w:div w:id="675882005">
          <w:marLeft w:val="0"/>
          <w:marRight w:val="0"/>
          <w:marTop w:val="0"/>
          <w:marBottom w:val="0"/>
          <w:divBdr>
            <w:top w:val="none" w:sz="0" w:space="0" w:color="auto"/>
            <w:left w:val="none" w:sz="0" w:space="0" w:color="auto"/>
            <w:bottom w:val="none" w:sz="0" w:space="0" w:color="auto"/>
            <w:right w:val="none" w:sz="0" w:space="0" w:color="auto"/>
          </w:divBdr>
        </w:div>
        <w:div w:id="970134513">
          <w:marLeft w:val="0"/>
          <w:marRight w:val="0"/>
          <w:marTop w:val="0"/>
          <w:marBottom w:val="0"/>
          <w:divBdr>
            <w:top w:val="none" w:sz="0" w:space="0" w:color="auto"/>
            <w:left w:val="none" w:sz="0" w:space="0" w:color="auto"/>
            <w:bottom w:val="none" w:sz="0" w:space="0" w:color="auto"/>
            <w:right w:val="none" w:sz="0" w:space="0" w:color="auto"/>
          </w:divBdr>
        </w:div>
        <w:div w:id="997655123">
          <w:marLeft w:val="0"/>
          <w:marRight w:val="0"/>
          <w:marTop w:val="0"/>
          <w:marBottom w:val="0"/>
          <w:divBdr>
            <w:top w:val="none" w:sz="0" w:space="0" w:color="auto"/>
            <w:left w:val="none" w:sz="0" w:space="0" w:color="auto"/>
            <w:bottom w:val="none" w:sz="0" w:space="0" w:color="auto"/>
            <w:right w:val="none" w:sz="0" w:space="0" w:color="auto"/>
          </w:divBdr>
        </w:div>
        <w:div w:id="998196200">
          <w:marLeft w:val="0"/>
          <w:marRight w:val="0"/>
          <w:marTop w:val="0"/>
          <w:marBottom w:val="0"/>
          <w:divBdr>
            <w:top w:val="none" w:sz="0" w:space="0" w:color="auto"/>
            <w:left w:val="none" w:sz="0" w:space="0" w:color="auto"/>
            <w:bottom w:val="none" w:sz="0" w:space="0" w:color="auto"/>
            <w:right w:val="none" w:sz="0" w:space="0" w:color="auto"/>
          </w:divBdr>
        </w:div>
        <w:div w:id="1549489331">
          <w:marLeft w:val="0"/>
          <w:marRight w:val="0"/>
          <w:marTop w:val="0"/>
          <w:marBottom w:val="0"/>
          <w:divBdr>
            <w:top w:val="none" w:sz="0" w:space="0" w:color="auto"/>
            <w:left w:val="none" w:sz="0" w:space="0" w:color="auto"/>
            <w:bottom w:val="none" w:sz="0" w:space="0" w:color="auto"/>
            <w:right w:val="none" w:sz="0" w:space="0" w:color="auto"/>
          </w:divBdr>
        </w:div>
        <w:div w:id="1827553903">
          <w:marLeft w:val="0"/>
          <w:marRight w:val="0"/>
          <w:marTop w:val="0"/>
          <w:marBottom w:val="0"/>
          <w:divBdr>
            <w:top w:val="none" w:sz="0" w:space="0" w:color="auto"/>
            <w:left w:val="none" w:sz="0" w:space="0" w:color="auto"/>
            <w:bottom w:val="none" w:sz="0" w:space="0" w:color="auto"/>
            <w:right w:val="none" w:sz="0" w:space="0" w:color="auto"/>
          </w:divBdr>
        </w:div>
        <w:div w:id="1870490572">
          <w:marLeft w:val="0"/>
          <w:marRight w:val="0"/>
          <w:marTop w:val="0"/>
          <w:marBottom w:val="0"/>
          <w:divBdr>
            <w:top w:val="none" w:sz="0" w:space="0" w:color="auto"/>
            <w:left w:val="none" w:sz="0" w:space="0" w:color="auto"/>
            <w:bottom w:val="none" w:sz="0" w:space="0" w:color="auto"/>
            <w:right w:val="none" w:sz="0" w:space="0" w:color="auto"/>
          </w:divBdr>
        </w:div>
      </w:divsChild>
    </w:div>
    <w:div w:id="970286098">
      <w:bodyDiv w:val="1"/>
      <w:marLeft w:val="0"/>
      <w:marRight w:val="0"/>
      <w:marTop w:val="0"/>
      <w:marBottom w:val="0"/>
      <w:divBdr>
        <w:top w:val="none" w:sz="0" w:space="0" w:color="auto"/>
        <w:left w:val="none" w:sz="0" w:space="0" w:color="auto"/>
        <w:bottom w:val="none" w:sz="0" w:space="0" w:color="auto"/>
        <w:right w:val="none" w:sz="0" w:space="0" w:color="auto"/>
      </w:divBdr>
      <w:divsChild>
        <w:div w:id="122508298">
          <w:marLeft w:val="0"/>
          <w:marRight w:val="0"/>
          <w:marTop w:val="0"/>
          <w:marBottom w:val="0"/>
          <w:divBdr>
            <w:top w:val="none" w:sz="0" w:space="0" w:color="auto"/>
            <w:left w:val="none" w:sz="0" w:space="0" w:color="auto"/>
            <w:bottom w:val="none" w:sz="0" w:space="0" w:color="auto"/>
            <w:right w:val="none" w:sz="0" w:space="0" w:color="auto"/>
          </w:divBdr>
        </w:div>
        <w:div w:id="341710776">
          <w:marLeft w:val="0"/>
          <w:marRight w:val="0"/>
          <w:marTop w:val="0"/>
          <w:marBottom w:val="0"/>
          <w:divBdr>
            <w:top w:val="none" w:sz="0" w:space="0" w:color="auto"/>
            <w:left w:val="none" w:sz="0" w:space="0" w:color="auto"/>
            <w:bottom w:val="none" w:sz="0" w:space="0" w:color="auto"/>
            <w:right w:val="none" w:sz="0" w:space="0" w:color="auto"/>
          </w:divBdr>
        </w:div>
        <w:div w:id="510491361">
          <w:marLeft w:val="0"/>
          <w:marRight w:val="0"/>
          <w:marTop w:val="0"/>
          <w:marBottom w:val="0"/>
          <w:divBdr>
            <w:top w:val="none" w:sz="0" w:space="0" w:color="auto"/>
            <w:left w:val="none" w:sz="0" w:space="0" w:color="auto"/>
            <w:bottom w:val="none" w:sz="0" w:space="0" w:color="auto"/>
            <w:right w:val="none" w:sz="0" w:space="0" w:color="auto"/>
          </w:divBdr>
        </w:div>
        <w:div w:id="642546534">
          <w:marLeft w:val="0"/>
          <w:marRight w:val="0"/>
          <w:marTop w:val="0"/>
          <w:marBottom w:val="0"/>
          <w:divBdr>
            <w:top w:val="none" w:sz="0" w:space="0" w:color="auto"/>
            <w:left w:val="none" w:sz="0" w:space="0" w:color="auto"/>
            <w:bottom w:val="none" w:sz="0" w:space="0" w:color="auto"/>
            <w:right w:val="none" w:sz="0" w:space="0" w:color="auto"/>
          </w:divBdr>
        </w:div>
        <w:div w:id="973752622">
          <w:marLeft w:val="0"/>
          <w:marRight w:val="0"/>
          <w:marTop w:val="0"/>
          <w:marBottom w:val="0"/>
          <w:divBdr>
            <w:top w:val="none" w:sz="0" w:space="0" w:color="auto"/>
            <w:left w:val="none" w:sz="0" w:space="0" w:color="auto"/>
            <w:bottom w:val="none" w:sz="0" w:space="0" w:color="auto"/>
            <w:right w:val="none" w:sz="0" w:space="0" w:color="auto"/>
          </w:divBdr>
        </w:div>
      </w:divsChild>
    </w:div>
    <w:div w:id="983779123">
      <w:bodyDiv w:val="1"/>
      <w:marLeft w:val="0"/>
      <w:marRight w:val="0"/>
      <w:marTop w:val="0"/>
      <w:marBottom w:val="0"/>
      <w:divBdr>
        <w:top w:val="none" w:sz="0" w:space="0" w:color="auto"/>
        <w:left w:val="none" w:sz="0" w:space="0" w:color="auto"/>
        <w:bottom w:val="none" w:sz="0" w:space="0" w:color="auto"/>
        <w:right w:val="none" w:sz="0" w:space="0" w:color="auto"/>
      </w:divBdr>
      <w:divsChild>
        <w:div w:id="287857724">
          <w:marLeft w:val="0"/>
          <w:marRight w:val="0"/>
          <w:marTop w:val="0"/>
          <w:marBottom w:val="0"/>
          <w:divBdr>
            <w:top w:val="none" w:sz="0" w:space="0" w:color="auto"/>
            <w:left w:val="none" w:sz="0" w:space="0" w:color="auto"/>
            <w:bottom w:val="none" w:sz="0" w:space="0" w:color="auto"/>
            <w:right w:val="none" w:sz="0" w:space="0" w:color="auto"/>
          </w:divBdr>
        </w:div>
        <w:div w:id="340739041">
          <w:marLeft w:val="0"/>
          <w:marRight w:val="0"/>
          <w:marTop w:val="0"/>
          <w:marBottom w:val="0"/>
          <w:divBdr>
            <w:top w:val="none" w:sz="0" w:space="0" w:color="auto"/>
            <w:left w:val="none" w:sz="0" w:space="0" w:color="auto"/>
            <w:bottom w:val="none" w:sz="0" w:space="0" w:color="auto"/>
            <w:right w:val="none" w:sz="0" w:space="0" w:color="auto"/>
          </w:divBdr>
        </w:div>
        <w:div w:id="435830196">
          <w:marLeft w:val="0"/>
          <w:marRight w:val="0"/>
          <w:marTop w:val="0"/>
          <w:marBottom w:val="0"/>
          <w:divBdr>
            <w:top w:val="none" w:sz="0" w:space="0" w:color="auto"/>
            <w:left w:val="none" w:sz="0" w:space="0" w:color="auto"/>
            <w:bottom w:val="none" w:sz="0" w:space="0" w:color="auto"/>
            <w:right w:val="none" w:sz="0" w:space="0" w:color="auto"/>
          </w:divBdr>
        </w:div>
        <w:div w:id="585572497">
          <w:marLeft w:val="0"/>
          <w:marRight w:val="0"/>
          <w:marTop w:val="0"/>
          <w:marBottom w:val="0"/>
          <w:divBdr>
            <w:top w:val="none" w:sz="0" w:space="0" w:color="auto"/>
            <w:left w:val="none" w:sz="0" w:space="0" w:color="auto"/>
            <w:bottom w:val="none" w:sz="0" w:space="0" w:color="auto"/>
            <w:right w:val="none" w:sz="0" w:space="0" w:color="auto"/>
          </w:divBdr>
        </w:div>
        <w:div w:id="832186998">
          <w:marLeft w:val="0"/>
          <w:marRight w:val="0"/>
          <w:marTop w:val="0"/>
          <w:marBottom w:val="0"/>
          <w:divBdr>
            <w:top w:val="none" w:sz="0" w:space="0" w:color="auto"/>
            <w:left w:val="none" w:sz="0" w:space="0" w:color="auto"/>
            <w:bottom w:val="none" w:sz="0" w:space="0" w:color="auto"/>
            <w:right w:val="none" w:sz="0" w:space="0" w:color="auto"/>
          </w:divBdr>
        </w:div>
        <w:div w:id="1693919138">
          <w:marLeft w:val="0"/>
          <w:marRight w:val="0"/>
          <w:marTop w:val="0"/>
          <w:marBottom w:val="0"/>
          <w:divBdr>
            <w:top w:val="none" w:sz="0" w:space="0" w:color="auto"/>
            <w:left w:val="none" w:sz="0" w:space="0" w:color="auto"/>
            <w:bottom w:val="none" w:sz="0" w:space="0" w:color="auto"/>
            <w:right w:val="none" w:sz="0" w:space="0" w:color="auto"/>
          </w:divBdr>
        </w:div>
        <w:div w:id="1740639706">
          <w:marLeft w:val="0"/>
          <w:marRight w:val="0"/>
          <w:marTop w:val="0"/>
          <w:marBottom w:val="0"/>
          <w:divBdr>
            <w:top w:val="none" w:sz="0" w:space="0" w:color="auto"/>
            <w:left w:val="none" w:sz="0" w:space="0" w:color="auto"/>
            <w:bottom w:val="none" w:sz="0" w:space="0" w:color="auto"/>
            <w:right w:val="none" w:sz="0" w:space="0" w:color="auto"/>
          </w:divBdr>
        </w:div>
        <w:div w:id="2046055367">
          <w:marLeft w:val="0"/>
          <w:marRight w:val="0"/>
          <w:marTop w:val="0"/>
          <w:marBottom w:val="0"/>
          <w:divBdr>
            <w:top w:val="none" w:sz="0" w:space="0" w:color="auto"/>
            <w:left w:val="none" w:sz="0" w:space="0" w:color="auto"/>
            <w:bottom w:val="none" w:sz="0" w:space="0" w:color="auto"/>
            <w:right w:val="none" w:sz="0" w:space="0" w:color="auto"/>
          </w:divBdr>
        </w:div>
        <w:div w:id="2110660434">
          <w:marLeft w:val="0"/>
          <w:marRight w:val="0"/>
          <w:marTop w:val="0"/>
          <w:marBottom w:val="0"/>
          <w:divBdr>
            <w:top w:val="none" w:sz="0" w:space="0" w:color="auto"/>
            <w:left w:val="none" w:sz="0" w:space="0" w:color="auto"/>
            <w:bottom w:val="none" w:sz="0" w:space="0" w:color="auto"/>
            <w:right w:val="none" w:sz="0" w:space="0" w:color="auto"/>
          </w:divBdr>
        </w:div>
      </w:divsChild>
    </w:div>
    <w:div w:id="998459655">
      <w:bodyDiv w:val="1"/>
      <w:marLeft w:val="0"/>
      <w:marRight w:val="0"/>
      <w:marTop w:val="0"/>
      <w:marBottom w:val="0"/>
      <w:divBdr>
        <w:top w:val="none" w:sz="0" w:space="0" w:color="auto"/>
        <w:left w:val="none" w:sz="0" w:space="0" w:color="auto"/>
        <w:bottom w:val="none" w:sz="0" w:space="0" w:color="auto"/>
        <w:right w:val="none" w:sz="0" w:space="0" w:color="auto"/>
      </w:divBdr>
      <w:divsChild>
        <w:div w:id="273557766">
          <w:marLeft w:val="0"/>
          <w:marRight w:val="0"/>
          <w:marTop w:val="0"/>
          <w:marBottom w:val="0"/>
          <w:divBdr>
            <w:top w:val="none" w:sz="0" w:space="0" w:color="auto"/>
            <w:left w:val="none" w:sz="0" w:space="0" w:color="auto"/>
            <w:bottom w:val="none" w:sz="0" w:space="0" w:color="auto"/>
            <w:right w:val="none" w:sz="0" w:space="0" w:color="auto"/>
          </w:divBdr>
        </w:div>
        <w:div w:id="522018263">
          <w:marLeft w:val="0"/>
          <w:marRight w:val="0"/>
          <w:marTop w:val="0"/>
          <w:marBottom w:val="0"/>
          <w:divBdr>
            <w:top w:val="none" w:sz="0" w:space="0" w:color="auto"/>
            <w:left w:val="none" w:sz="0" w:space="0" w:color="auto"/>
            <w:bottom w:val="none" w:sz="0" w:space="0" w:color="auto"/>
            <w:right w:val="none" w:sz="0" w:space="0" w:color="auto"/>
          </w:divBdr>
        </w:div>
        <w:div w:id="758865016">
          <w:marLeft w:val="0"/>
          <w:marRight w:val="0"/>
          <w:marTop w:val="0"/>
          <w:marBottom w:val="0"/>
          <w:divBdr>
            <w:top w:val="none" w:sz="0" w:space="0" w:color="auto"/>
            <w:left w:val="none" w:sz="0" w:space="0" w:color="auto"/>
            <w:bottom w:val="none" w:sz="0" w:space="0" w:color="auto"/>
            <w:right w:val="none" w:sz="0" w:space="0" w:color="auto"/>
          </w:divBdr>
        </w:div>
        <w:div w:id="1854100931">
          <w:marLeft w:val="0"/>
          <w:marRight w:val="0"/>
          <w:marTop w:val="0"/>
          <w:marBottom w:val="0"/>
          <w:divBdr>
            <w:top w:val="none" w:sz="0" w:space="0" w:color="auto"/>
            <w:left w:val="none" w:sz="0" w:space="0" w:color="auto"/>
            <w:bottom w:val="none" w:sz="0" w:space="0" w:color="auto"/>
            <w:right w:val="none" w:sz="0" w:space="0" w:color="auto"/>
          </w:divBdr>
        </w:div>
        <w:div w:id="2045861278">
          <w:marLeft w:val="0"/>
          <w:marRight w:val="0"/>
          <w:marTop w:val="0"/>
          <w:marBottom w:val="0"/>
          <w:divBdr>
            <w:top w:val="none" w:sz="0" w:space="0" w:color="auto"/>
            <w:left w:val="none" w:sz="0" w:space="0" w:color="auto"/>
            <w:bottom w:val="none" w:sz="0" w:space="0" w:color="auto"/>
            <w:right w:val="none" w:sz="0" w:space="0" w:color="auto"/>
          </w:divBdr>
        </w:div>
      </w:divsChild>
    </w:div>
    <w:div w:id="1004213167">
      <w:bodyDiv w:val="1"/>
      <w:marLeft w:val="0"/>
      <w:marRight w:val="0"/>
      <w:marTop w:val="0"/>
      <w:marBottom w:val="0"/>
      <w:divBdr>
        <w:top w:val="none" w:sz="0" w:space="0" w:color="auto"/>
        <w:left w:val="none" w:sz="0" w:space="0" w:color="auto"/>
        <w:bottom w:val="none" w:sz="0" w:space="0" w:color="auto"/>
        <w:right w:val="none" w:sz="0" w:space="0" w:color="auto"/>
      </w:divBdr>
      <w:divsChild>
        <w:div w:id="365057736">
          <w:marLeft w:val="0"/>
          <w:marRight w:val="0"/>
          <w:marTop w:val="0"/>
          <w:marBottom w:val="0"/>
          <w:divBdr>
            <w:top w:val="none" w:sz="0" w:space="0" w:color="auto"/>
            <w:left w:val="none" w:sz="0" w:space="0" w:color="auto"/>
            <w:bottom w:val="none" w:sz="0" w:space="0" w:color="auto"/>
            <w:right w:val="none" w:sz="0" w:space="0" w:color="auto"/>
          </w:divBdr>
        </w:div>
        <w:div w:id="478351286">
          <w:marLeft w:val="0"/>
          <w:marRight w:val="0"/>
          <w:marTop w:val="0"/>
          <w:marBottom w:val="0"/>
          <w:divBdr>
            <w:top w:val="none" w:sz="0" w:space="0" w:color="auto"/>
            <w:left w:val="none" w:sz="0" w:space="0" w:color="auto"/>
            <w:bottom w:val="none" w:sz="0" w:space="0" w:color="auto"/>
            <w:right w:val="none" w:sz="0" w:space="0" w:color="auto"/>
          </w:divBdr>
        </w:div>
        <w:div w:id="622927045">
          <w:marLeft w:val="0"/>
          <w:marRight w:val="0"/>
          <w:marTop w:val="0"/>
          <w:marBottom w:val="0"/>
          <w:divBdr>
            <w:top w:val="none" w:sz="0" w:space="0" w:color="auto"/>
            <w:left w:val="none" w:sz="0" w:space="0" w:color="auto"/>
            <w:bottom w:val="none" w:sz="0" w:space="0" w:color="auto"/>
            <w:right w:val="none" w:sz="0" w:space="0" w:color="auto"/>
          </w:divBdr>
        </w:div>
        <w:div w:id="870842799">
          <w:marLeft w:val="0"/>
          <w:marRight w:val="0"/>
          <w:marTop w:val="0"/>
          <w:marBottom w:val="0"/>
          <w:divBdr>
            <w:top w:val="none" w:sz="0" w:space="0" w:color="auto"/>
            <w:left w:val="none" w:sz="0" w:space="0" w:color="auto"/>
            <w:bottom w:val="none" w:sz="0" w:space="0" w:color="auto"/>
            <w:right w:val="none" w:sz="0" w:space="0" w:color="auto"/>
          </w:divBdr>
        </w:div>
        <w:div w:id="1321811135">
          <w:marLeft w:val="0"/>
          <w:marRight w:val="0"/>
          <w:marTop w:val="0"/>
          <w:marBottom w:val="0"/>
          <w:divBdr>
            <w:top w:val="none" w:sz="0" w:space="0" w:color="auto"/>
            <w:left w:val="none" w:sz="0" w:space="0" w:color="auto"/>
            <w:bottom w:val="none" w:sz="0" w:space="0" w:color="auto"/>
            <w:right w:val="none" w:sz="0" w:space="0" w:color="auto"/>
          </w:divBdr>
        </w:div>
        <w:div w:id="1379084480">
          <w:marLeft w:val="0"/>
          <w:marRight w:val="0"/>
          <w:marTop w:val="0"/>
          <w:marBottom w:val="0"/>
          <w:divBdr>
            <w:top w:val="none" w:sz="0" w:space="0" w:color="auto"/>
            <w:left w:val="none" w:sz="0" w:space="0" w:color="auto"/>
            <w:bottom w:val="none" w:sz="0" w:space="0" w:color="auto"/>
            <w:right w:val="none" w:sz="0" w:space="0" w:color="auto"/>
          </w:divBdr>
        </w:div>
        <w:div w:id="1507281025">
          <w:marLeft w:val="0"/>
          <w:marRight w:val="0"/>
          <w:marTop w:val="0"/>
          <w:marBottom w:val="0"/>
          <w:divBdr>
            <w:top w:val="none" w:sz="0" w:space="0" w:color="auto"/>
            <w:left w:val="none" w:sz="0" w:space="0" w:color="auto"/>
            <w:bottom w:val="none" w:sz="0" w:space="0" w:color="auto"/>
            <w:right w:val="none" w:sz="0" w:space="0" w:color="auto"/>
          </w:divBdr>
        </w:div>
      </w:divsChild>
    </w:div>
    <w:div w:id="1033769882">
      <w:bodyDiv w:val="1"/>
      <w:marLeft w:val="0"/>
      <w:marRight w:val="0"/>
      <w:marTop w:val="0"/>
      <w:marBottom w:val="0"/>
      <w:divBdr>
        <w:top w:val="none" w:sz="0" w:space="0" w:color="auto"/>
        <w:left w:val="none" w:sz="0" w:space="0" w:color="auto"/>
        <w:bottom w:val="none" w:sz="0" w:space="0" w:color="auto"/>
        <w:right w:val="none" w:sz="0" w:space="0" w:color="auto"/>
      </w:divBdr>
      <w:divsChild>
        <w:div w:id="352220942">
          <w:marLeft w:val="0"/>
          <w:marRight w:val="0"/>
          <w:marTop w:val="0"/>
          <w:marBottom w:val="0"/>
          <w:divBdr>
            <w:top w:val="none" w:sz="0" w:space="0" w:color="auto"/>
            <w:left w:val="none" w:sz="0" w:space="0" w:color="auto"/>
            <w:bottom w:val="none" w:sz="0" w:space="0" w:color="auto"/>
            <w:right w:val="none" w:sz="0" w:space="0" w:color="auto"/>
          </w:divBdr>
        </w:div>
        <w:div w:id="368605191">
          <w:marLeft w:val="0"/>
          <w:marRight w:val="0"/>
          <w:marTop w:val="0"/>
          <w:marBottom w:val="0"/>
          <w:divBdr>
            <w:top w:val="none" w:sz="0" w:space="0" w:color="auto"/>
            <w:left w:val="none" w:sz="0" w:space="0" w:color="auto"/>
            <w:bottom w:val="none" w:sz="0" w:space="0" w:color="auto"/>
            <w:right w:val="none" w:sz="0" w:space="0" w:color="auto"/>
          </w:divBdr>
        </w:div>
        <w:div w:id="481194523">
          <w:marLeft w:val="0"/>
          <w:marRight w:val="0"/>
          <w:marTop w:val="0"/>
          <w:marBottom w:val="0"/>
          <w:divBdr>
            <w:top w:val="none" w:sz="0" w:space="0" w:color="auto"/>
            <w:left w:val="none" w:sz="0" w:space="0" w:color="auto"/>
            <w:bottom w:val="none" w:sz="0" w:space="0" w:color="auto"/>
            <w:right w:val="none" w:sz="0" w:space="0" w:color="auto"/>
          </w:divBdr>
        </w:div>
        <w:div w:id="797065881">
          <w:marLeft w:val="0"/>
          <w:marRight w:val="0"/>
          <w:marTop w:val="0"/>
          <w:marBottom w:val="0"/>
          <w:divBdr>
            <w:top w:val="none" w:sz="0" w:space="0" w:color="auto"/>
            <w:left w:val="none" w:sz="0" w:space="0" w:color="auto"/>
            <w:bottom w:val="none" w:sz="0" w:space="0" w:color="auto"/>
            <w:right w:val="none" w:sz="0" w:space="0" w:color="auto"/>
          </w:divBdr>
        </w:div>
        <w:div w:id="1634166903">
          <w:marLeft w:val="0"/>
          <w:marRight w:val="0"/>
          <w:marTop w:val="0"/>
          <w:marBottom w:val="0"/>
          <w:divBdr>
            <w:top w:val="none" w:sz="0" w:space="0" w:color="auto"/>
            <w:left w:val="none" w:sz="0" w:space="0" w:color="auto"/>
            <w:bottom w:val="none" w:sz="0" w:space="0" w:color="auto"/>
            <w:right w:val="none" w:sz="0" w:space="0" w:color="auto"/>
          </w:divBdr>
        </w:div>
        <w:div w:id="1888301437">
          <w:marLeft w:val="0"/>
          <w:marRight w:val="0"/>
          <w:marTop w:val="0"/>
          <w:marBottom w:val="0"/>
          <w:divBdr>
            <w:top w:val="none" w:sz="0" w:space="0" w:color="auto"/>
            <w:left w:val="none" w:sz="0" w:space="0" w:color="auto"/>
            <w:bottom w:val="none" w:sz="0" w:space="0" w:color="auto"/>
            <w:right w:val="none" w:sz="0" w:space="0" w:color="auto"/>
          </w:divBdr>
        </w:div>
      </w:divsChild>
    </w:div>
    <w:div w:id="1057365276">
      <w:bodyDiv w:val="1"/>
      <w:marLeft w:val="0"/>
      <w:marRight w:val="0"/>
      <w:marTop w:val="0"/>
      <w:marBottom w:val="0"/>
      <w:divBdr>
        <w:top w:val="none" w:sz="0" w:space="0" w:color="auto"/>
        <w:left w:val="none" w:sz="0" w:space="0" w:color="auto"/>
        <w:bottom w:val="none" w:sz="0" w:space="0" w:color="auto"/>
        <w:right w:val="none" w:sz="0" w:space="0" w:color="auto"/>
      </w:divBdr>
      <w:divsChild>
        <w:div w:id="123349080">
          <w:marLeft w:val="0"/>
          <w:marRight w:val="0"/>
          <w:marTop w:val="0"/>
          <w:marBottom w:val="0"/>
          <w:divBdr>
            <w:top w:val="none" w:sz="0" w:space="0" w:color="auto"/>
            <w:left w:val="none" w:sz="0" w:space="0" w:color="auto"/>
            <w:bottom w:val="none" w:sz="0" w:space="0" w:color="auto"/>
            <w:right w:val="none" w:sz="0" w:space="0" w:color="auto"/>
          </w:divBdr>
          <w:divsChild>
            <w:div w:id="320238709">
              <w:marLeft w:val="0"/>
              <w:marRight w:val="0"/>
              <w:marTop w:val="0"/>
              <w:marBottom w:val="0"/>
              <w:divBdr>
                <w:top w:val="none" w:sz="0" w:space="0" w:color="auto"/>
                <w:left w:val="none" w:sz="0" w:space="0" w:color="auto"/>
                <w:bottom w:val="none" w:sz="0" w:space="0" w:color="auto"/>
                <w:right w:val="none" w:sz="0" w:space="0" w:color="auto"/>
              </w:divBdr>
            </w:div>
            <w:div w:id="1094596357">
              <w:marLeft w:val="0"/>
              <w:marRight w:val="0"/>
              <w:marTop w:val="0"/>
              <w:marBottom w:val="0"/>
              <w:divBdr>
                <w:top w:val="none" w:sz="0" w:space="0" w:color="auto"/>
                <w:left w:val="none" w:sz="0" w:space="0" w:color="auto"/>
                <w:bottom w:val="none" w:sz="0" w:space="0" w:color="auto"/>
                <w:right w:val="none" w:sz="0" w:space="0" w:color="auto"/>
              </w:divBdr>
            </w:div>
            <w:div w:id="1344864600">
              <w:marLeft w:val="0"/>
              <w:marRight w:val="0"/>
              <w:marTop w:val="0"/>
              <w:marBottom w:val="0"/>
              <w:divBdr>
                <w:top w:val="none" w:sz="0" w:space="0" w:color="auto"/>
                <w:left w:val="none" w:sz="0" w:space="0" w:color="auto"/>
                <w:bottom w:val="none" w:sz="0" w:space="0" w:color="auto"/>
                <w:right w:val="none" w:sz="0" w:space="0" w:color="auto"/>
              </w:divBdr>
            </w:div>
            <w:div w:id="1458139536">
              <w:marLeft w:val="0"/>
              <w:marRight w:val="0"/>
              <w:marTop w:val="0"/>
              <w:marBottom w:val="0"/>
              <w:divBdr>
                <w:top w:val="none" w:sz="0" w:space="0" w:color="auto"/>
                <w:left w:val="none" w:sz="0" w:space="0" w:color="auto"/>
                <w:bottom w:val="none" w:sz="0" w:space="0" w:color="auto"/>
                <w:right w:val="none" w:sz="0" w:space="0" w:color="auto"/>
              </w:divBdr>
            </w:div>
          </w:divsChild>
        </w:div>
        <w:div w:id="179198138">
          <w:marLeft w:val="0"/>
          <w:marRight w:val="0"/>
          <w:marTop w:val="0"/>
          <w:marBottom w:val="0"/>
          <w:divBdr>
            <w:top w:val="none" w:sz="0" w:space="0" w:color="auto"/>
            <w:left w:val="none" w:sz="0" w:space="0" w:color="auto"/>
            <w:bottom w:val="none" w:sz="0" w:space="0" w:color="auto"/>
            <w:right w:val="none" w:sz="0" w:space="0" w:color="auto"/>
          </w:divBdr>
          <w:divsChild>
            <w:div w:id="182326610">
              <w:marLeft w:val="0"/>
              <w:marRight w:val="0"/>
              <w:marTop w:val="0"/>
              <w:marBottom w:val="0"/>
              <w:divBdr>
                <w:top w:val="none" w:sz="0" w:space="0" w:color="auto"/>
                <w:left w:val="none" w:sz="0" w:space="0" w:color="auto"/>
                <w:bottom w:val="none" w:sz="0" w:space="0" w:color="auto"/>
                <w:right w:val="none" w:sz="0" w:space="0" w:color="auto"/>
              </w:divBdr>
            </w:div>
            <w:div w:id="1469515676">
              <w:marLeft w:val="0"/>
              <w:marRight w:val="0"/>
              <w:marTop w:val="0"/>
              <w:marBottom w:val="0"/>
              <w:divBdr>
                <w:top w:val="none" w:sz="0" w:space="0" w:color="auto"/>
                <w:left w:val="none" w:sz="0" w:space="0" w:color="auto"/>
                <w:bottom w:val="none" w:sz="0" w:space="0" w:color="auto"/>
                <w:right w:val="none" w:sz="0" w:space="0" w:color="auto"/>
              </w:divBdr>
            </w:div>
            <w:div w:id="1532574965">
              <w:marLeft w:val="0"/>
              <w:marRight w:val="0"/>
              <w:marTop w:val="0"/>
              <w:marBottom w:val="0"/>
              <w:divBdr>
                <w:top w:val="none" w:sz="0" w:space="0" w:color="auto"/>
                <w:left w:val="none" w:sz="0" w:space="0" w:color="auto"/>
                <w:bottom w:val="none" w:sz="0" w:space="0" w:color="auto"/>
                <w:right w:val="none" w:sz="0" w:space="0" w:color="auto"/>
              </w:divBdr>
            </w:div>
            <w:div w:id="2133934473">
              <w:marLeft w:val="0"/>
              <w:marRight w:val="0"/>
              <w:marTop w:val="0"/>
              <w:marBottom w:val="0"/>
              <w:divBdr>
                <w:top w:val="none" w:sz="0" w:space="0" w:color="auto"/>
                <w:left w:val="none" w:sz="0" w:space="0" w:color="auto"/>
                <w:bottom w:val="none" w:sz="0" w:space="0" w:color="auto"/>
                <w:right w:val="none" w:sz="0" w:space="0" w:color="auto"/>
              </w:divBdr>
            </w:div>
          </w:divsChild>
        </w:div>
        <w:div w:id="197281212">
          <w:marLeft w:val="0"/>
          <w:marRight w:val="0"/>
          <w:marTop w:val="0"/>
          <w:marBottom w:val="0"/>
          <w:divBdr>
            <w:top w:val="none" w:sz="0" w:space="0" w:color="auto"/>
            <w:left w:val="none" w:sz="0" w:space="0" w:color="auto"/>
            <w:bottom w:val="none" w:sz="0" w:space="0" w:color="auto"/>
            <w:right w:val="none" w:sz="0" w:space="0" w:color="auto"/>
          </w:divBdr>
          <w:divsChild>
            <w:div w:id="209342813">
              <w:marLeft w:val="-75"/>
              <w:marRight w:val="0"/>
              <w:marTop w:val="30"/>
              <w:marBottom w:val="30"/>
              <w:divBdr>
                <w:top w:val="none" w:sz="0" w:space="0" w:color="auto"/>
                <w:left w:val="none" w:sz="0" w:space="0" w:color="auto"/>
                <w:bottom w:val="none" w:sz="0" w:space="0" w:color="auto"/>
                <w:right w:val="none" w:sz="0" w:space="0" w:color="auto"/>
              </w:divBdr>
              <w:divsChild>
                <w:div w:id="199515500">
                  <w:marLeft w:val="0"/>
                  <w:marRight w:val="0"/>
                  <w:marTop w:val="0"/>
                  <w:marBottom w:val="0"/>
                  <w:divBdr>
                    <w:top w:val="none" w:sz="0" w:space="0" w:color="auto"/>
                    <w:left w:val="none" w:sz="0" w:space="0" w:color="auto"/>
                    <w:bottom w:val="none" w:sz="0" w:space="0" w:color="auto"/>
                    <w:right w:val="none" w:sz="0" w:space="0" w:color="auto"/>
                  </w:divBdr>
                  <w:divsChild>
                    <w:div w:id="1300844743">
                      <w:marLeft w:val="0"/>
                      <w:marRight w:val="0"/>
                      <w:marTop w:val="0"/>
                      <w:marBottom w:val="0"/>
                      <w:divBdr>
                        <w:top w:val="none" w:sz="0" w:space="0" w:color="auto"/>
                        <w:left w:val="none" w:sz="0" w:space="0" w:color="auto"/>
                        <w:bottom w:val="none" w:sz="0" w:space="0" w:color="auto"/>
                        <w:right w:val="none" w:sz="0" w:space="0" w:color="auto"/>
                      </w:divBdr>
                    </w:div>
                  </w:divsChild>
                </w:div>
                <w:div w:id="1056398675">
                  <w:marLeft w:val="0"/>
                  <w:marRight w:val="0"/>
                  <w:marTop w:val="0"/>
                  <w:marBottom w:val="0"/>
                  <w:divBdr>
                    <w:top w:val="none" w:sz="0" w:space="0" w:color="auto"/>
                    <w:left w:val="none" w:sz="0" w:space="0" w:color="auto"/>
                    <w:bottom w:val="none" w:sz="0" w:space="0" w:color="auto"/>
                    <w:right w:val="none" w:sz="0" w:space="0" w:color="auto"/>
                  </w:divBdr>
                  <w:divsChild>
                    <w:div w:id="1598171414">
                      <w:marLeft w:val="0"/>
                      <w:marRight w:val="0"/>
                      <w:marTop w:val="0"/>
                      <w:marBottom w:val="0"/>
                      <w:divBdr>
                        <w:top w:val="none" w:sz="0" w:space="0" w:color="auto"/>
                        <w:left w:val="none" w:sz="0" w:space="0" w:color="auto"/>
                        <w:bottom w:val="none" w:sz="0" w:space="0" w:color="auto"/>
                        <w:right w:val="none" w:sz="0" w:space="0" w:color="auto"/>
                      </w:divBdr>
                    </w:div>
                  </w:divsChild>
                </w:div>
                <w:div w:id="1594391203">
                  <w:marLeft w:val="0"/>
                  <w:marRight w:val="0"/>
                  <w:marTop w:val="0"/>
                  <w:marBottom w:val="0"/>
                  <w:divBdr>
                    <w:top w:val="none" w:sz="0" w:space="0" w:color="auto"/>
                    <w:left w:val="none" w:sz="0" w:space="0" w:color="auto"/>
                    <w:bottom w:val="none" w:sz="0" w:space="0" w:color="auto"/>
                    <w:right w:val="none" w:sz="0" w:space="0" w:color="auto"/>
                  </w:divBdr>
                  <w:divsChild>
                    <w:div w:id="430665054">
                      <w:marLeft w:val="0"/>
                      <w:marRight w:val="0"/>
                      <w:marTop w:val="0"/>
                      <w:marBottom w:val="0"/>
                      <w:divBdr>
                        <w:top w:val="none" w:sz="0" w:space="0" w:color="auto"/>
                        <w:left w:val="none" w:sz="0" w:space="0" w:color="auto"/>
                        <w:bottom w:val="none" w:sz="0" w:space="0" w:color="auto"/>
                        <w:right w:val="none" w:sz="0" w:space="0" w:color="auto"/>
                      </w:divBdr>
                    </w:div>
                  </w:divsChild>
                </w:div>
                <w:div w:id="1674139225">
                  <w:marLeft w:val="0"/>
                  <w:marRight w:val="0"/>
                  <w:marTop w:val="0"/>
                  <w:marBottom w:val="0"/>
                  <w:divBdr>
                    <w:top w:val="none" w:sz="0" w:space="0" w:color="auto"/>
                    <w:left w:val="none" w:sz="0" w:space="0" w:color="auto"/>
                    <w:bottom w:val="none" w:sz="0" w:space="0" w:color="auto"/>
                    <w:right w:val="none" w:sz="0" w:space="0" w:color="auto"/>
                  </w:divBdr>
                  <w:divsChild>
                    <w:div w:id="840700558">
                      <w:marLeft w:val="0"/>
                      <w:marRight w:val="0"/>
                      <w:marTop w:val="0"/>
                      <w:marBottom w:val="0"/>
                      <w:divBdr>
                        <w:top w:val="none" w:sz="0" w:space="0" w:color="auto"/>
                        <w:left w:val="none" w:sz="0" w:space="0" w:color="auto"/>
                        <w:bottom w:val="none" w:sz="0" w:space="0" w:color="auto"/>
                        <w:right w:val="none" w:sz="0" w:space="0" w:color="auto"/>
                      </w:divBdr>
                    </w:div>
                  </w:divsChild>
                </w:div>
                <w:div w:id="1725790494">
                  <w:marLeft w:val="0"/>
                  <w:marRight w:val="0"/>
                  <w:marTop w:val="0"/>
                  <w:marBottom w:val="0"/>
                  <w:divBdr>
                    <w:top w:val="none" w:sz="0" w:space="0" w:color="auto"/>
                    <w:left w:val="none" w:sz="0" w:space="0" w:color="auto"/>
                    <w:bottom w:val="none" w:sz="0" w:space="0" w:color="auto"/>
                    <w:right w:val="none" w:sz="0" w:space="0" w:color="auto"/>
                  </w:divBdr>
                  <w:divsChild>
                    <w:div w:id="1843004078">
                      <w:marLeft w:val="0"/>
                      <w:marRight w:val="0"/>
                      <w:marTop w:val="0"/>
                      <w:marBottom w:val="0"/>
                      <w:divBdr>
                        <w:top w:val="none" w:sz="0" w:space="0" w:color="auto"/>
                        <w:left w:val="none" w:sz="0" w:space="0" w:color="auto"/>
                        <w:bottom w:val="none" w:sz="0" w:space="0" w:color="auto"/>
                        <w:right w:val="none" w:sz="0" w:space="0" w:color="auto"/>
                      </w:divBdr>
                    </w:div>
                  </w:divsChild>
                </w:div>
                <w:div w:id="2124811097">
                  <w:marLeft w:val="0"/>
                  <w:marRight w:val="0"/>
                  <w:marTop w:val="0"/>
                  <w:marBottom w:val="0"/>
                  <w:divBdr>
                    <w:top w:val="none" w:sz="0" w:space="0" w:color="auto"/>
                    <w:left w:val="none" w:sz="0" w:space="0" w:color="auto"/>
                    <w:bottom w:val="none" w:sz="0" w:space="0" w:color="auto"/>
                    <w:right w:val="none" w:sz="0" w:space="0" w:color="auto"/>
                  </w:divBdr>
                  <w:divsChild>
                    <w:div w:id="1062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4704">
          <w:marLeft w:val="0"/>
          <w:marRight w:val="0"/>
          <w:marTop w:val="0"/>
          <w:marBottom w:val="0"/>
          <w:divBdr>
            <w:top w:val="none" w:sz="0" w:space="0" w:color="auto"/>
            <w:left w:val="none" w:sz="0" w:space="0" w:color="auto"/>
            <w:bottom w:val="none" w:sz="0" w:space="0" w:color="auto"/>
            <w:right w:val="none" w:sz="0" w:space="0" w:color="auto"/>
          </w:divBdr>
        </w:div>
        <w:div w:id="484200685">
          <w:marLeft w:val="0"/>
          <w:marRight w:val="0"/>
          <w:marTop w:val="0"/>
          <w:marBottom w:val="0"/>
          <w:divBdr>
            <w:top w:val="none" w:sz="0" w:space="0" w:color="auto"/>
            <w:left w:val="none" w:sz="0" w:space="0" w:color="auto"/>
            <w:bottom w:val="none" w:sz="0" w:space="0" w:color="auto"/>
            <w:right w:val="none" w:sz="0" w:space="0" w:color="auto"/>
          </w:divBdr>
        </w:div>
        <w:div w:id="653799363">
          <w:marLeft w:val="0"/>
          <w:marRight w:val="0"/>
          <w:marTop w:val="0"/>
          <w:marBottom w:val="0"/>
          <w:divBdr>
            <w:top w:val="none" w:sz="0" w:space="0" w:color="auto"/>
            <w:left w:val="none" w:sz="0" w:space="0" w:color="auto"/>
            <w:bottom w:val="none" w:sz="0" w:space="0" w:color="auto"/>
            <w:right w:val="none" w:sz="0" w:space="0" w:color="auto"/>
          </w:divBdr>
        </w:div>
        <w:div w:id="857960865">
          <w:marLeft w:val="0"/>
          <w:marRight w:val="0"/>
          <w:marTop w:val="0"/>
          <w:marBottom w:val="0"/>
          <w:divBdr>
            <w:top w:val="none" w:sz="0" w:space="0" w:color="auto"/>
            <w:left w:val="none" w:sz="0" w:space="0" w:color="auto"/>
            <w:bottom w:val="none" w:sz="0" w:space="0" w:color="auto"/>
            <w:right w:val="none" w:sz="0" w:space="0" w:color="auto"/>
          </w:divBdr>
        </w:div>
        <w:div w:id="923877925">
          <w:marLeft w:val="0"/>
          <w:marRight w:val="0"/>
          <w:marTop w:val="0"/>
          <w:marBottom w:val="0"/>
          <w:divBdr>
            <w:top w:val="none" w:sz="0" w:space="0" w:color="auto"/>
            <w:left w:val="none" w:sz="0" w:space="0" w:color="auto"/>
            <w:bottom w:val="none" w:sz="0" w:space="0" w:color="auto"/>
            <w:right w:val="none" w:sz="0" w:space="0" w:color="auto"/>
          </w:divBdr>
        </w:div>
        <w:div w:id="1061291597">
          <w:marLeft w:val="0"/>
          <w:marRight w:val="0"/>
          <w:marTop w:val="0"/>
          <w:marBottom w:val="0"/>
          <w:divBdr>
            <w:top w:val="none" w:sz="0" w:space="0" w:color="auto"/>
            <w:left w:val="none" w:sz="0" w:space="0" w:color="auto"/>
            <w:bottom w:val="none" w:sz="0" w:space="0" w:color="auto"/>
            <w:right w:val="none" w:sz="0" w:space="0" w:color="auto"/>
          </w:divBdr>
        </w:div>
        <w:div w:id="1279146048">
          <w:marLeft w:val="0"/>
          <w:marRight w:val="0"/>
          <w:marTop w:val="0"/>
          <w:marBottom w:val="0"/>
          <w:divBdr>
            <w:top w:val="none" w:sz="0" w:space="0" w:color="auto"/>
            <w:left w:val="none" w:sz="0" w:space="0" w:color="auto"/>
            <w:bottom w:val="none" w:sz="0" w:space="0" w:color="auto"/>
            <w:right w:val="none" w:sz="0" w:space="0" w:color="auto"/>
          </w:divBdr>
        </w:div>
        <w:div w:id="1419524990">
          <w:marLeft w:val="0"/>
          <w:marRight w:val="0"/>
          <w:marTop w:val="0"/>
          <w:marBottom w:val="0"/>
          <w:divBdr>
            <w:top w:val="none" w:sz="0" w:space="0" w:color="auto"/>
            <w:left w:val="none" w:sz="0" w:space="0" w:color="auto"/>
            <w:bottom w:val="none" w:sz="0" w:space="0" w:color="auto"/>
            <w:right w:val="none" w:sz="0" w:space="0" w:color="auto"/>
          </w:divBdr>
        </w:div>
        <w:div w:id="1450320599">
          <w:marLeft w:val="0"/>
          <w:marRight w:val="0"/>
          <w:marTop w:val="0"/>
          <w:marBottom w:val="0"/>
          <w:divBdr>
            <w:top w:val="none" w:sz="0" w:space="0" w:color="auto"/>
            <w:left w:val="none" w:sz="0" w:space="0" w:color="auto"/>
            <w:bottom w:val="none" w:sz="0" w:space="0" w:color="auto"/>
            <w:right w:val="none" w:sz="0" w:space="0" w:color="auto"/>
          </w:divBdr>
        </w:div>
        <w:div w:id="1679186828">
          <w:marLeft w:val="0"/>
          <w:marRight w:val="0"/>
          <w:marTop w:val="0"/>
          <w:marBottom w:val="0"/>
          <w:divBdr>
            <w:top w:val="none" w:sz="0" w:space="0" w:color="auto"/>
            <w:left w:val="none" w:sz="0" w:space="0" w:color="auto"/>
            <w:bottom w:val="none" w:sz="0" w:space="0" w:color="auto"/>
            <w:right w:val="none" w:sz="0" w:space="0" w:color="auto"/>
          </w:divBdr>
        </w:div>
        <w:div w:id="1882865872">
          <w:marLeft w:val="0"/>
          <w:marRight w:val="0"/>
          <w:marTop w:val="0"/>
          <w:marBottom w:val="0"/>
          <w:divBdr>
            <w:top w:val="none" w:sz="0" w:space="0" w:color="auto"/>
            <w:left w:val="none" w:sz="0" w:space="0" w:color="auto"/>
            <w:bottom w:val="none" w:sz="0" w:space="0" w:color="auto"/>
            <w:right w:val="none" w:sz="0" w:space="0" w:color="auto"/>
          </w:divBdr>
        </w:div>
        <w:div w:id="2099329371">
          <w:marLeft w:val="0"/>
          <w:marRight w:val="0"/>
          <w:marTop w:val="0"/>
          <w:marBottom w:val="0"/>
          <w:divBdr>
            <w:top w:val="none" w:sz="0" w:space="0" w:color="auto"/>
            <w:left w:val="none" w:sz="0" w:space="0" w:color="auto"/>
            <w:bottom w:val="none" w:sz="0" w:space="0" w:color="auto"/>
            <w:right w:val="none" w:sz="0" w:space="0" w:color="auto"/>
          </w:divBdr>
        </w:div>
      </w:divsChild>
    </w:div>
    <w:div w:id="1103839667">
      <w:bodyDiv w:val="1"/>
      <w:marLeft w:val="0"/>
      <w:marRight w:val="0"/>
      <w:marTop w:val="0"/>
      <w:marBottom w:val="0"/>
      <w:divBdr>
        <w:top w:val="none" w:sz="0" w:space="0" w:color="auto"/>
        <w:left w:val="none" w:sz="0" w:space="0" w:color="auto"/>
        <w:bottom w:val="none" w:sz="0" w:space="0" w:color="auto"/>
        <w:right w:val="none" w:sz="0" w:space="0" w:color="auto"/>
      </w:divBdr>
      <w:divsChild>
        <w:div w:id="843782255">
          <w:marLeft w:val="0"/>
          <w:marRight w:val="0"/>
          <w:marTop w:val="0"/>
          <w:marBottom w:val="0"/>
          <w:divBdr>
            <w:top w:val="none" w:sz="0" w:space="0" w:color="auto"/>
            <w:left w:val="none" w:sz="0" w:space="0" w:color="auto"/>
            <w:bottom w:val="none" w:sz="0" w:space="0" w:color="auto"/>
            <w:right w:val="none" w:sz="0" w:space="0" w:color="auto"/>
          </w:divBdr>
          <w:divsChild>
            <w:div w:id="507184758">
              <w:marLeft w:val="0"/>
              <w:marRight w:val="0"/>
              <w:marTop w:val="0"/>
              <w:marBottom w:val="0"/>
              <w:divBdr>
                <w:top w:val="none" w:sz="0" w:space="0" w:color="auto"/>
                <w:left w:val="none" w:sz="0" w:space="0" w:color="auto"/>
                <w:bottom w:val="none" w:sz="0" w:space="0" w:color="auto"/>
                <w:right w:val="none" w:sz="0" w:space="0" w:color="auto"/>
              </w:divBdr>
            </w:div>
            <w:div w:id="1265579211">
              <w:marLeft w:val="0"/>
              <w:marRight w:val="0"/>
              <w:marTop w:val="0"/>
              <w:marBottom w:val="0"/>
              <w:divBdr>
                <w:top w:val="none" w:sz="0" w:space="0" w:color="auto"/>
                <w:left w:val="none" w:sz="0" w:space="0" w:color="auto"/>
                <w:bottom w:val="none" w:sz="0" w:space="0" w:color="auto"/>
                <w:right w:val="none" w:sz="0" w:space="0" w:color="auto"/>
              </w:divBdr>
            </w:div>
            <w:div w:id="1781561918">
              <w:marLeft w:val="0"/>
              <w:marRight w:val="0"/>
              <w:marTop w:val="0"/>
              <w:marBottom w:val="0"/>
              <w:divBdr>
                <w:top w:val="none" w:sz="0" w:space="0" w:color="auto"/>
                <w:left w:val="none" w:sz="0" w:space="0" w:color="auto"/>
                <w:bottom w:val="none" w:sz="0" w:space="0" w:color="auto"/>
                <w:right w:val="none" w:sz="0" w:space="0" w:color="auto"/>
              </w:divBdr>
            </w:div>
            <w:div w:id="2052875846">
              <w:marLeft w:val="0"/>
              <w:marRight w:val="0"/>
              <w:marTop w:val="0"/>
              <w:marBottom w:val="0"/>
              <w:divBdr>
                <w:top w:val="none" w:sz="0" w:space="0" w:color="auto"/>
                <w:left w:val="none" w:sz="0" w:space="0" w:color="auto"/>
                <w:bottom w:val="none" w:sz="0" w:space="0" w:color="auto"/>
                <w:right w:val="none" w:sz="0" w:space="0" w:color="auto"/>
              </w:divBdr>
            </w:div>
          </w:divsChild>
        </w:div>
        <w:div w:id="993920491">
          <w:marLeft w:val="0"/>
          <w:marRight w:val="0"/>
          <w:marTop w:val="0"/>
          <w:marBottom w:val="0"/>
          <w:divBdr>
            <w:top w:val="none" w:sz="0" w:space="0" w:color="auto"/>
            <w:left w:val="none" w:sz="0" w:space="0" w:color="auto"/>
            <w:bottom w:val="none" w:sz="0" w:space="0" w:color="auto"/>
            <w:right w:val="none" w:sz="0" w:space="0" w:color="auto"/>
          </w:divBdr>
        </w:div>
        <w:div w:id="1231380508">
          <w:marLeft w:val="0"/>
          <w:marRight w:val="0"/>
          <w:marTop w:val="0"/>
          <w:marBottom w:val="0"/>
          <w:divBdr>
            <w:top w:val="none" w:sz="0" w:space="0" w:color="auto"/>
            <w:left w:val="none" w:sz="0" w:space="0" w:color="auto"/>
            <w:bottom w:val="none" w:sz="0" w:space="0" w:color="auto"/>
            <w:right w:val="none" w:sz="0" w:space="0" w:color="auto"/>
          </w:divBdr>
          <w:divsChild>
            <w:div w:id="873345616">
              <w:marLeft w:val="0"/>
              <w:marRight w:val="0"/>
              <w:marTop w:val="0"/>
              <w:marBottom w:val="0"/>
              <w:divBdr>
                <w:top w:val="none" w:sz="0" w:space="0" w:color="auto"/>
                <w:left w:val="none" w:sz="0" w:space="0" w:color="auto"/>
                <w:bottom w:val="none" w:sz="0" w:space="0" w:color="auto"/>
                <w:right w:val="none" w:sz="0" w:space="0" w:color="auto"/>
              </w:divBdr>
            </w:div>
            <w:div w:id="876158712">
              <w:marLeft w:val="0"/>
              <w:marRight w:val="0"/>
              <w:marTop w:val="0"/>
              <w:marBottom w:val="0"/>
              <w:divBdr>
                <w:top w:val="none" w:sz="0" w:space="0" w:color="auto"/>
                <w:left w:val="none" w:sz="0" w:space="0" w:color="auto"/>
                <w:bottom w:val="none" w:sz="0" w:space="0" w:color="auto"/>
                <w:right w:val="none" w:sz="0" w:space="0" w:color="auto"/>
              </w:divBdr>
            </w:div>
            <w:div w:id="2041853430">
              <w:marLeft w:val="0"/>
              <w:marRight w:val="0"/>
              <w:marTop w:val="0"/>
              <w:marBottom w:val="0"/>
              <w:divBdr>
                <w:top w:val="none" w:sz="0" w:space="0" w:color="auto"/>
                <w:left w:val="none" w:sz="0" w:space="0" w:color="auto"/>
                <w:bottom w:val="none" w:sz="0" w:space="0" w:color="auto"/>
                <w:right w:val="none" w:sz="0" w:space="0" w:color="auto"/>
              </w:divBdr>
            </w:div>
          </w:divsChild>
        </w:div>
        <w:div w:id="1939361879">
          <w:marLeft w:val="0"/>
          <w:marRight w:val="0"/>
          <w:marTop w:val="0"/>
          <w:marBottom w:val="0"/>
          <w:divBdr>
            <w:top w:val="none" w:sz="0" w:space="0" w:color="auto"/>
            <w:left w:val="none" w:sz="0" w:space="0" w:color="auto"/>
            <w:bottom w:val="none" w:sz="0" w:space="0" w:color="auto"/>
            <w:right w:val="none" w:sz="0" w:space="0" w:color="auto"/>
          </w:divBdr>
        </w:div>
      </w:divsChild>
    </w:div>
    <w:div w:id="1213737273">
      <w:bodyDiv w:val="1"/>
      <w:marLeft w:val="0"/>
      <w:marRight w:val="0"/>
      <w:marTop w:val="0"/>
      <w:marBottom w:val="0"/>
      <w:divBdr>
        <w:top w:val="none" w:sz="0" w:space="0" w:color="auto"/>
        <w:left w:val="none" w:sz="0" w:space="0" w:color="auto"/>
        <w:bottom w:val="none" w:sz="0" w:space="0" w:color="auto"/>
        <w:right w:val="none" w:sz="0" w:space="0" w:color="auto"/>
      </w:divBdr>
      <w:divsChild>
        <w:div w:id="953245935">
          <w:marLeft w:val="0"/>
          <w:marRight w:val="0"/>
          <w:marTop w:val="0"/>
          <w:marBottom w:val="0"/>
          <w:divBdr>
            <w:top w:val="none" w:sz="0" w:space="0" w:color="auto"/>
            <w:left w:val="none" w:sz="0" w:space="0" w:color="auto"/>
            <w:bottom w:val="none" w:sz="0" w:space="0" w:color="auto"/>
            <w:right w:val="none" w:sz="0" w:space="0" w:color="auto"/>
          </w:divBdr>
        </w:div>
        <w:div w:id="2114668958">
          <w:marLeft w:val="0"/>
          <w:marRight w:val="0"/>
          <w:marTop w:val="0"/>
          <w:marBottom w:val="0"/>
          <w:divBdr>
            <w:top w:val="none" w:sz="0" w:space="0" w:color="auto"/>
            <w:left w:val="none" w:sz="0" w:space="0" w:color="auto"/>
            <w:bottom w:val="none" w:sz="0" w:space="0" w:color="auto"/>
            <w:right w:val="none" w:sz="0" w:space="0" w:color="auto"/>
          </w:divBdr>
        </w:div>
      </w:divsChild>
    </w:div>
    <w:div w:id="1221211255">
      <w:bodyDiv w:val="1"/>
      <w:marLeft w:val="0"/>
      <w:marRight w:val="0"/>
      <w:marTop w:val="0"/>
      <w:marBottom w:val="0"/>
      <w:divBdr>
        <w:top w:val="none" w:sz="0" w:space="0" w:color="auto"/>
        <w:left w:val="none" w:sz="0" w:space="0" w:color="auto"/>
        <w:bottom w:val="none" w:sz="0" w:space="0" w:color="auto"/>
        <w:right w:val="none" w:sz="0" w:space="0" w:color="auto"/>
      </w:divBdr>
      <w:divsChild>
        <w:div w:id="184826090">
          <w:marLeft w:val="0"/>
          <w:marRight w:val="0"/>
          <w:marTop w:val="0"/>
          <w:marBottom w:val="0"/>
          <w:divBdr>
            <w:top w:val="none" w:sz="0" w:space="0" w:color="auto"/>
            <w:left w:val="none" w:sz="0" w:space="0" w:color="auto"/>
            <w:bottom w:val="none" w:sz="0" w:space="0" w:color="auto"/>
            <w:right w:val="none" w:sz="0" w:space="0" w:color="auto"/>
          </w:divBdr>
        </w:div>
        <w:div w:id="364253304">
          <w:marLeft w:val="0"/>
          <w:marRight w:val="0"/>
          <w:marTop w:val="0"/>
          <w:marBottom w:val="0"/>
          <w:divBdr>
            <w:top w:val="none" w:sz="0" w:space="0" w:color="auto"/>
            <w:left w:val="none" w:sz="0" w:space="0" w:color="auto"/>
            <w:bottom w:val="none" w:sz="0" w:space="0" w:color="auto"/>
            <w:right w:val="none" w:sz="0" w:space="0" w:color="auto"/>
          </w:divBdr>
        </w:div>
        <w:div w:id="728848694">
          <w:marLeft w:val="0"/>
          <w:marRight w:val="0"/>
          <w:marTop w:val="0"/>
          <w:marBottom w:val="0"/>
          <w:divBdr>
            <w:top w:val="none" w:sz="0" w:space="0" w:color="auto"/>
            <w:left w:val="none" w:sz="0" w:space="0" w:color="auto"/>
            <w:bottom w:val="none" w:sz="0" w:space="0" w:color="auto"/>
            <w:right w:val="none" w:sz="0" w:space="0" w:color="auto"/>
          </w:divBdr>
        </w:div>
        <w:div w:id="803472891">
          <w:marLeft w:val="0"/>
          <w:marRight w:val="0"/>
          <w:marTop w:val="0"/>
          <w:marBottom w:val="0"/>
          <w:divBdr>
            <w:top w:val="none" w:sz="0" w:space="0" w:color="auto"/>
            <w:left w:val="none" w:sz="0" w:space="0" w:color="auto"/>
            <w:bottom w:val="none" w:sz="0" w:space="0" w:color="auto"/>
            <w:right w:val="none" w:sz="0" w:space="0" w:color="auto"/>
          </w:divBdr>
        </w:div>
        <w:div w:id="1330330869">
          <w:marLeft w:val="0"/>
          <w:marRight w:val="0"/>
          <w:marTop w:val="0"/>
          <w:marBottom w:val="0"/>
          <w:divBdr>
            <w:top w:val="none" w:sz="0" w:space="0" w:color="auto"/>
            <w:left w:val="none" w:sz="0" w:space="0" w:color="auto"/>
            <w:bottom w:val="none" w:sz="0" w:space="0" w:color="auto"/>
            <w:right w:val="none" w:sz="0" w:space="0" w:color="auto"/>
          </w:divBdr>
        </w:div>
        <w:div w:id="1798988929">
          <w:marLeft w:val="0"/>
          <w:marRight w:val="0"/>
          <w:marTop w:val="0"/>
          <w:marBottom w:val="0"/>
          <w:divBdr>
            <w:top w:val="none" w:sz="0" w:space="0" w:color="auto"/>
            <w:left w:val="none" w:sz="0" w:space="0" w:color="auto"/>
            <w:bottom w:val="none" w:sz="0" w:space="0" w:color="auto"/>
            <w:right w:val="none" w:sz="0" w:space="0" w:color="auto"/>
          </w:divBdr>
        </w:div>
        <w:div w:id="2051804175">
          <w:marLeft w:val="0"/>
          <w:marRight w:val="0"/>
          <w:marTop w:val="0"/>
          <w:marBottom w:val="0"/>
          <w:divBdr>
            <w:top w:val="none" w:sz="0" w:space="0" w:color="auto"/>
            <w:left w:val="none" w:sz="0" w:space="0" w:color="auto"/>
            <w:bottom w:val="none" w:sz="0" w:space="0" w:color="auto"/>
            <w:right w:val="none" w:sz="0" w:space="0" w:color="auto"/>
          </w:divBdr>
        </w:div>
      </w:divsChild>
    </w:div>
    <w:div w:id="1259287344">
      <w:bodyDiv w:val="1"/>
      <w:marLeft w:val="0"/>
      <w:marRight w:val="0"/>
      <w:marTop w:val="0"/>
      <w:marBottom w:val="0"/>
      <w:divBdr>
        <w:top w:val="none" w:sz="0" w:space="0" w:color="auto"/>
        <w:left w:val="none" w:sz="0" w:space="0" w:color="auto"/>
        <w:bottom w:val="none" w:sz="0" w:space="0" w:color="auto"/>
        <w:right w:val="none" w:sz="0" w:space="0" w:color="auto"/>
      </w:divBdr>
    </w:div>
    <w:div w:id="1260018446">
      <w:bodyDiv w:val="1"/>
      <w:marLeft w:val="0"/>
      <w:marRight w:val="0"/>
      <w:marTop w:val="0"/>
      <w:marBottom w:val="0"/>
      <w:divBdr>
        <w:top w:val="none" w:sz="0" w:space="0" w:color="auto"/>
        <w:left w:val="none" w:sz="0" w:space="0" w:color="auto"/>
        <w:bottom w:val="none" w:sz="0" w:space="0" w:color="auto"/>
        <w:right w:val="none" w:sz="0" w:space="0" w:color="auto"/>
      </w:divBdr>
      <w:divsChild>
        <w:div w:id="4789808">
          <w:marLeft w:val="0"/>
          <w:marRight w:val="0"/>
          <w:marTop w:val="0"/>
          <w:marBottom w:val="0"/>
          <w:divBdr>
            <w:top w:val="none" w:sz="0" w:space="0" w:color="auto"/>
            <w:left w:val="none" w:sz="0" w:space="0" w:color="auto"/>
            <w:bottom w:val="none" w:sz="0" w:space="0" w:color="auto"/>
            <w:right w:val="none" w:sz="0" w:space="0" w:color="auto"/>
          </w:divBdr>
        </w:div>
        <w:div w:id="289627591">
          <w:marLeft w:val="0"/>
          <w:marRight w:val="0"/>
          <w:marTop w:val="0"/>
          <w:marBottom w:val="0"/>
          <w:divBdr>
            <w:top w:val="none" w:sz="0" w:space="0" w:color="auto"/>
            <w:left w:val="none" w:sz="0" w:space="0" w:color="auto"/>
            <w:bottom w:val="none" w:sz="0" w:space="0" w:color="auto"/>
            <w:right w:val="none" w:sz="0" w:space="0" w:color="auto"/>
          </w:divBdr>
        </w:div>
        <w:div w:id="520165958">
          <w:marLeft w:val="0"/>
          <w:marRight w:val="0"/>
          <w:marTop w:val="0"/>
          <w:marBottom w:val="0"/>
          <w:divBdr>
            <w:top w:val="none" w:sz="0" w:space="0" w:color="auto"/>
            <w:left w:val="none" w:sz="0" w:space="0" w:color="auto"/>
            <w:bottom w:val="none" w:sz="0" w:space="0" w:color="auto"/>
            <w:right w:val="none" w:sz="0" w:space="0" w:color="auto"/>
          </w:divBdr>
        </w:div>
        <w:div w:id="1238708801">
          <w:marLeft w:val="0"/>
          <w:marRight w:val="0"/>
          <w:marTop w:val="0"/>
          <w:marBottom w:val="0"/>
          <w:divBdr>
            <w:top w:val="none" w:sz="0" w:space="0" w:color="auto"/>
            <w:left w:val="none" w:sz="0" w:space="0" w:color="auto"/>
            <w:bottom w:val="none" w:sz="0" w:space="0" w:color="auto"/>
            <w:right w:val="none" w:sz="0" w:space="0" w:color="auto"/>
          </w:divBdr>
        </w:div>
        <w:div w:id="1326976296">
          <w:marLeft w:val="0"/>
          <w:marRight w:val="0"/>
          <w:marTop w:val="0"/>
          <w:marBottom w:val="0"/>
          <w:divBdr>
            <w:top w:val="none" w:sz="0" w:space="0" w:color="auto"/>
            <w:left w:val="none" w:sz="0" w:space="0" w:color="auto"/>
            <w:bottom w:val="none" w:sz="0" w:space="0" w:color="auto"/>
            <w:right w:val="none" w:sz="0" w:space="0" w:color="auto"/>
          </w:divBdr>
        </w:div>
        <w:div w:id="1341154383">
          <w:marLeft w:val="0"/>
          <w:marRight w:val="0"/>
          <w:marTop w:val="0"/>
          <w:marBottom w:val="0"/>
          <w:divBdr>
            <w:top w:val="none" w:sz="0" w:space="0" w:color="auto"/>
            <w:left w:val="none" w:sz="0" w:space="0" w:color="auto"/>
            <w:bottom w:val="none" w:sz="0" w:space="0" w:color="auto"/>
            <w:right w:val="none" w:sz="0" w:space="0" w:color="auto"/>
          </w:divBdr>
        </w:div>
        <w:div w:id="1960139105">
          <w:marLeft w:val="0"/>
          <w:marRight w:val="0"/>
          <w:marTop w:val="0"/>
          <w:marBottom w:val="0"/>
          <w:divBdr>
            <w:top w:val="none" w:sz="0" w:space="0" w:color="auto"/>
            <w:left w:val="none" w:sz="0" w:space="0" w:color="auto"/>
            <w:bottom w:val="none" w:sz="0" w:space="0" w:color="auto"/>
            <w:right w:val="none" w:sz="0" w:space="0" w:color="auto"/>
          </w:divBdr>
        </w:div>
      </w:divsChild>
    </w:div>
    <w:div w:id="1296133839">
      <w:bodyDiv w:val="1"/>
      <w:marLeft w:val="0"/>
      <w:marRight w:val="0"/>
      <w:marTop w:val="0"/>
      <w:marBottom w:val="0"/>
      <w:divBdr>
        <w:top w:val="none" w:sz="0" w:space="0" w:color="auto"/>
        <w:left w:val="none" w:sz="0" w:space="0" w:color="auto"/>
        <w:bottom w:val="none" w:sz="0" w:space="0" w:color="auto"/>
        <w:right w:val="none" w:sz="0" w:space="0" w:color="auto"/>
      </w:divBdr>
      <w:divsChild>
        <w:div w:id="215163891">
          <w:marLeft w:val="0"/>
          <w:marRight w:val="0"/>
          <w:marTop w:val="0"/>
          <w:marBottom w:val="0"/>
          <w:divBdr>
            <w:top w:val="none" w:sz="0" w:space="0" w:color="auto"/>
            <w:left w:val="none" w:sz="0" w:space="0" w:color="auto"/>
            <w:bottom w:val="none" w:sz="0" w:space="0" w:color="auto"/>
            <w:right w:val="none" w:sz="0" w:space="0" w:color="auto"/>
          </w:divBdr>
        </w:div>
        <w:div w:id="273096057">
          <w:marLeft w:val="0"/>
          <w:marRight w:val="0"/>
          <w:marTop w:val="0"/>
          <w:marBottom w:val="0"/>
          <w:divBdr>
            <w:top w:val="none" w:sz="0" w:space="0" w:color="auto"/>
            <w:left w:val="none" w:sz="0" w:space="0" w:color="auto"/>
            <w:bottom w:val="none" w:sz="0" w:space="0" w:color="auto"/>
            <w:right w:val="none" w:sz="0" w:space="0" w:color="auto"/>
          </w:divBdr>
        </w:div>
        <w:div w:id="282856909">
          <w:marLeft w:val="0"/>
          <w:marRight w:val="0"/>
          <w:marTop w:val="0"/>
          <w:marBottom w:val="0"/>
          <w:divBdr>
            <w:top w:val="none" w:sz="0" w:space="0" w:color="auto"/>
            <w:left w:val="none" w:sz="0" w:space="0" w:color="auto"/>
            <w:bottom w:val="none" w:sz="0" w:space="0" w:color="auto"/>
            <w:right w:val="none" w:sz="0" w:space="0" w:color="auto"/>
          </w:divBdr>
        </w:div>
        <w:div w:id="676618787">
          <w:marLeft w:val="0"/>
          <w:marRight w:val="0"/>
          <w:marTop w:val="0"/>
          <w:marBottom w:val="0"/>
          <w:divBdr>
            <w:top w:val="none" w:sz="0" w:space="0" w:color="auto"/>
            <w:left w:val="none" w:sz="0" w:space="0" w:color="auto"/>
            <w:bottom w:val="none" w:sz="0" w:space="0" w:color="auto"/>
            <w:right w:val="none" w:sz="0" w:space="0" w:color="auto"/>
          </w:divBdr>
        </w:div>
        <w:div w:id="682635053">
          <w:marLeft w:val="0"/>
          <w:marRight w:val="0"/>
          <w:marTop w:val="0"/>
          <w:marBottom w:val="0"/>
          <w:divBdr>
            <w:top w:val="none" w:sz="0" w:space="0" w:color="auto"/>
            <w:left w:val="none" w:sz="0" w:space="0" w:color="auto"/>
            <w:bottom w:val="none" w:sz="0" w:space="0" w:color="auto"/>
            <w:right w:val="none" w:sz="0" w:space="0" w:color="auto"/>
          </w:divBdr>
        </w:div>
        <w:div w:id="948123116">
          <w:marLeft w:val="0"/>
          <w:marRight w:val="0"/>
          <w:marTop w:val="0"/>
          <w:marBottom w:val="0"/>
          <w:divBdr>
            <w:top w:val="none" w:sz="0" w:space="0" w:color="auto"/>
            <w:left w:val="none" w:sz="0" w:space="0" w:color="auto"/>
            <w:bottom w:val="none" w:sz="0" w:space="0" w:color="auto"/>
            <w:right w:val="none" w:sz="0" w:space="0" w:color="auto"/>
          </w:divBdr>
        </w:div>
        <w:div w:id="1462725875">
          <w:marLeft w:val="0"/>
          <w:marRight w:val="0"/>
          <w:marTop w:val="0"/>
          <w:marBottom w:val="0"/>
          <w:divBdr>
            <w:top w:val="none" w:sz="0" w:space="0" w:color="auto"/>
            <w:left w:val="none" w:sz="0" w:space="0" w:color="auto"/>
            <w:bottom w:val="none" w:sz="0" w:space="0" w:color="auto"/>
            <w:right w:val="none" w:sz="0" w:space="0" w:color="auto"/>
          </w:divBdr>
        </w:div>
        <w:div w:id="1935245057">
          <w:marLeft w:val="0"/>
          <w:marRight w:val="0"/>
          <w:marTop w:val="0"/>
          <w:marBottom w:val="0"/>
          <w:divBdr>
            <w:top w:val="none" w:sz="0" w:space="0" w:color="auto"/>
            <w:left w:val="none" w:sz="0" w:space="0" w:color="auto"/>
            <w:bottom w:val="none" w:sz="0" w:space="0" w:color="auto"/>
            <w:right w:val="none" w:sz="0" w:space="0" w:color="auto"/>
          </w:divBdr>
        </w:div>
      </w:divsChild>
    </w:div>
    <w:div w:id="1303849997">
      <w:bodyDiv w:val="1"/>
      <w:marLeft w:val="0"/>
      <w:marRight w:val="0"/>
      <w:marTop w:val="0"/>
      <w:marBottom w:val="0"/>
      <w:divBdr>
        <w:top w:val="none" w:sz="0" w:space="0" w:color="auto"/>
        <w:left w:val="none" w:sz="0" w:space="0" w:color="auto"/>
        <w:bottom w:val="none" w:sz="0" w:space="0" w:color="auto"/>
        <w:right w:val="none" w:sz="0" w:space="0" w:color="auto"/>
      </w:divBdr>
      <w:divsChild>
        <w:div w:id="486822156">
          <w:marLeft w:val="0"/>
          <w:marRight w:val="0"/>
          <w:marTop w:val="0"/>
          <w:marBottom w:val="0"/>
          <w:divBdr>
            <w:top w:val="none" w:sz="0" w:space="0" w:color="auto"/>
            <w:left w:val="none" w:sz="0" w:space="0" w:color="auto"/>
            <w:bottom w:val="none" w:sz="0" w:space="0" w:color="auto"/>
            <w:right w:val="none" w:sz="0" w:space="0" w:color="auto"/>
          </w:divBdr>
        </w:div>
        <w:div w:id="671295020">
          <w:marLeft w:val="0"/>
          <w:marRight w:val="0"/>
          <w:marTop w:val="0"/>
          <w:marBottom w:val="0"/>
          <w:divBdr>
            <w:top w:val="none" w:sz="0" w:space="0" w:color="auto"/>
            <w:left w:val="none" w:sz="0" w:space="0" w:color="auto"/>
            <w:bottom w:val="none" w:sz="0" w:space="0" w:color="auto"/>
            <w:right w:val="none" w:sz="0" w:space="0" w:color="auto"/>
          </w:divBdr>
        </w:div>
        <w:div w:id="1424298171">
          <w:marLeft w:val="0"/>
          <w:marRight w:val="0"/>
          <w:marTop w:val="0"/>
          <w:marBottom w:val="0"/>
          <w:divBdr>
            <w:top w:val="none" w:sz="0" w:space="0" w:color="auto"/>
            <w:left w:val="none" w:sz="0" w:space="0" w:color="auto"/>
            <w:bottom w:val="none" w:sz="0" w:space="0" w:color="auto"/>
            <w:right w:val="none" w:sz="0" w:space="0" w:color="auto"/>
          </w:divBdr>
        </w:div>
        <w:div w:id="1488278551">
          <w:marLeft w:val="0"/>
          <w:marRight w:val="0"/>
          <w:marTop w:val="0"/>
          <w:marBottom w:val="0"/>
          <w:divBdr>
            <w:top w:val="none" w:sz="0" w:space="0" w:color="auto"/>
            <w:left w:val="none" w:sz="0" w:space="0" w:color="auto"/>
            <w:bottom w:val="none" w:sz="0" w:space="0" w:color="auto"/>
            <w:right w:val="none" w:sz="0" w:space="0" w:color="auto"/>
          </w:divBdr>
        </w:div>
        <w:div w:id="1789659366">
          <w:marLeft w:val="0"/>
          <w:marRight w:val="0"/>
          <w:marTop w:val="0"/>
          <w:marBottom w:val="0"/>
          <w:divBdr>
            <w:top w:val="none" w:sz="0" w:space="0" w:color="auto"/>
            <w:left w:val="none" w:sz="0" w:space="0" w:color="auto"/>
            <w:bottom w:val="none" w:sz="0" w:space="0" w:color="auto"/>
            <w:right w:val="none" w:sz="0" w:space="0" w:color="auto"/>
          </w:divBdr>
        </w:div>
        <w:div w:id="1813478753">
          <w:marLeft w:val="0"/>
          <w:marRight w:val="0"/>
          <w:marTop w:val="0"/>
          <w:marBottom w:val="0"/>
          <w:divBdr>
            <w:top w:val="none" w:sz="0" w:space="0" w:color="auto"/>
            <w:left w:val="none" w:sz="0" w:space="0" w:color="auto"/>
            <w:bottom w:val="none" w:sz="0" w:space="0" w:color="auto"/>
            <w:right w:val="none" w:sz="0" w:space="0" w:color="auto"/>
          </w:divBdr>
        </w:div>
        <w:div w:id="2073383644">
          <w:marLeft w:val="0"/>
          <w:marRight w:val="0"/>
          <w:marTop w:val="0"/>
          <w:marBottom w:val="0"/>
          <w:divBdr>
            <w:top w:val="none" w:sz="0" w:space="0" w:color="auto"/>
            <w:left w:val="none" w:sz="0" w:space="0" w:color="auto"/>
            <w:bottom w:val="none" w:sz="0" w:space="0" w:color="auto"/>
            <w:right w:val="none" w:sz="0" w:space="0" w:color="auto"/>
          </w:divBdr>
        </w:div>
      </w:divsChild>
    </w:div>
    <w:div w:id="1324505987">
      <w:bodyDiv w:val="1"/>
      <w:marLeft w:val="0"/>
      <w:marRight w:val="0"/>
      <w:marTop w:val="0"/>
      <w:marBottom w:val="0"/>
      <w:divBdr>
        <w:top w:val="none" w:sz="0" w:space="0" w:color="auto"/>
        <w:left w:val="none" w:sz="0" w:space="0" w:color="auto"/>
        <w:bottom w:val="none" w:sz="0" w:space="0" w:color="auto"/>
        <w:right w:val="none" w:sz="0" w:space="0" w:color="auto"/>
      </w:divBdr>
      <w:divsChild>
        <w:div w:id="289476556">
          <w:marLeft w:val="0"/>
          <w:marRight w:val="0"/>
          <w:marTop w:val="0"/>
          <w:marBottom w:val="0"/>
          <w:divBdr>
            <w:top w:val="none" w:sz="0" w:space="0" w:color="auto"/>
            <w:left w:val="none" w:sz="0" w:space="0" w:color="auto"/>
            <w:bottom w:val="none" w:sz="0" w:space="0" w:color="auto"/>
            <w:right w:val="none" w:sz="0" w:space="0" w:color="auto"/>
          </w:divBdr>
          <w:divsChild>
            <w:div w:id="1000960908">
              <w:marLeft w:val="0"/>
              <w:marRight w:val="0"/>
              <w:marTop w:val="0"/>
              <w:marBottom w:val="0"/>
              <w:divBdr>
                <w:top w:val="none" w:sz="0" w:space="0" w:color="auto"/>
                <w:left w:val="none" w:sz="0" w:space="0" w:color="auto"/>
                <w:bottom w:val="none" w:sz="0" w:space="0" w:color="auto"/>
                <w:right w:val="none" w:sz="0" w:space="0" w:color="auto"/>
              </w:divBdr>
            </w:div>
            <w:div w:id="1286810791">
              <w:marLeft w:val="0"/>
              <w:marRight w:val="0"/>
              <w:marTop w:val="0"/>
              <w:marBottom w:val="0"/>
              <w:divBdr>
                <w:top w:val="none" w:sz="0" w:space="0" w:color="auto"/>
                <w:left w:val="none" w:sz="0" w:space="0" w:color="auto"/>
                <w:bottom w:val="none" w:sz="0" w:space="0" w:color="auto"/>
                <w:right w:val="none" w:sz="0" w:space="0" w:color="auto"/>
              </w:divBdr>
            </w:div>
            <w:div w:id="1720664417">
              <w:marLeft w:val="0"/>
              <w:marRight w:val="0"/>
              <w:marTop w:val="0"/>
              <w:marBottom w:val="0"/>
              <w:divBdr>
                <w:top w:val="none" w:sz="0" w:space="0" w:color="auto"/>
                <w:left w:val="none" w:sz="0" w:space="0" w:color="auto"/>
                <w:bottom w:val="none" w:sz="0" w:space="0" w:color="auto"/>
                <w:right w:val="none" w:sz="0" w:space="0" w:color="auto"/>
              </w:divBdr>
            </w:div>
            <w:div w:id="1922638049">
              <w:marLeft w:val="0"/>
              <w:marRight w:val="0"/>
              <w:marTop w:val="0"/>
              <w:marBottom w:val="0"/>
              <w:divBdr>
                <w:top w:val="none" w:sz="0" w:space="0" w:color="auto"/>
                <w:left w:val="none" w:sz="0" w:space="0" w:color="auto"/>
                <w:bottom w:val="none" w:sz="0" w:space="0" w:color="auto"/>
                <w:right w:val="none" w:sz="0" w:space="0" w:color="auto"/>
              </w:divBdr>
            </w:div>
          </w:divsChild>
        </w:div>
        <w:div w:id="416051737">
          <w:marLeft w:val="0"/>
          <w:marRight w:val="0"/>
          <w:marTop w:val="0"/>
          <w:marBottom w:val="0"/>
          <w:divBdr>
            <w:top w:val="none" w:sz="0" w:space="0" w:color="auto"/>
            <w:left w:val="none" w:sz="0" w:space="0" w:color="auto"/>
            <w:bottom w:val="none" w:sz="0" w:space="0" w:color="auto"/>
            <w:right w:val="none" w:sz="0" w:space="0" w:color="auto"/>
          </w:divBdr>
        </w:div>
        <w:div w:id="452601236">
          <w:marLeft w:val="0"/>
          <w:marRight w:val="0"/>
          <w:marTop w:val="0"/>
          <w:marBottom w:val="0"/>
          <w:divBdr>
            <w:top w:val="none" w:sz="0" w:space="0" w:color="auto"/>
            <w:left w:val="none" w:sz="0" w:space="0" w:color="auto"/>
            <w:bottom w:val="none" w:sz="0" w:space="0" w:color="auto"/>
            <w:right w:val="none" w:sz="0" w:space="0" w:color="auto"/>
          </w:divBdr>
        </w:div>
        <w:div w:id="1742171004">
          <w:marLeft w:val="0"/>
          <w:marRight w:val="0"/>
          <w:marTop w:val="0"/>
          <w:marBottom w:val="0"/>
          <w:divBdr>
            <w:top w:val="none" w:sz="0" w:space="0" w:color="auto"/>
            <w:left w:val="none" w:sz="0" w:space="0" w:color="auto"/>
            <w:bottom w:val="none" w:sz="0" w:space="0" w:color="auto"/>
            <w:right w:val="none" w:sz="0" w:space="0" w:color="auto"/>
          </w:divBdr>
        </w:div>
      </w:divsChild>
    </w:div>
    <w:div w:id="1336807500">
      <w:bodyDiv w:val="1"/>
      <w:marLeft w:val="0"/>
      <w:marRight w:val="0"/>
      <w:marTop w:val="0"/>
      <w:marBottom w:val="0"/>
      <w:divBdr>
        <w:top w:val="none" w:sz="0" w:space="0" w:color="auto"/>
        <w:left w:val="none" w:sz="0" w:space="0" w:color="auto"/>
        <w:bottom w:val="none" w:sz="0" w:space="0" w:color="auto"/>
        <w:right w:val="none" w:sz="0" w:space="0" w:color="auto"/>
      </w:divBdr>
      <w:divsChild>
        <w:div w:id="201408219">
          <w:marLeft w:val="0"/>
          <w:marRight w:val="0"/>
          <w:marTop w:val="0"/>
          <w:marBottom w:val="0"/>
          <w:divBdr>
            <w:top w:val="none" w:sz="0" w:space="0" w:color="auto"/>
            <w:left w:val="none" w:sz="0" w:space="0" w:color="auto"/>
            <w:bottom w:val="none" w:sz="0" w:space="0" w:color="auto"/>
            <w:right w:val="none" w:sz="0" w:space="0" w:color="auto"/>
          </w:divBdr>
        </w:div>
        <w:div w:id="232547552">
          <w:marLeft w:val="0"/>
          <w:marRight w:val="0"/>
          <w:marTop w:val="0"/>
          <w:marBottom w:val="0"/>
          <w:divBdr>
            <w:top w:val="none" w:sz="0" w:space="0" w:color="auto"/>
            <w:left w:val="none" w:sz="0" w:space="0" w:color="auto"/>
            <w:bottom w:val="none" w:sz="0" w:space="0" w:color="auto"/>
            <w:right w:val="none" w:sz="0" w:space="0" w:color="auto"/>
          </w:divBdr>
        </w:div>
        <w:div w:id="868491425">
          <w:marLeft w:val="0"/>
          <w:marRight w:val="0"/>
          <w:marTop w:val="0"/>
          <w:marBottom w:val="0"/>
          <w:divBdr>
            <w:top w:val="none" w:sz="0" w:space="0" w:color="auto"/>
            <w:left w:val="none" w:sz="0" w:space="0" w:color="auto"/>
            <w:bottom w:val="none" w:sz="0" w:space="0" w:color="auto"/>
            <w:right w:val="none" w:sz="0" w:space="0" w:color="auto"/>
          </w:divBdr>
        </w:div>
        <w:div w:id="873005145">
          <w:marLeft w:val="0"/>
          <w:marRight w:val="0"/>
          <w:marTop w:val="0"/>
          <w:marBottom w:val="0"/>
          <w:divBdr>
            <w:top w:val="none" w:sz="0" w:space="0" w:color="auto"/>
            <w:left w:val="none" w:sz="0" w:space="0" w:color="auto"/>
            <w:bottom w:val="none" w:sz="0" w:space="0" w:color="auto"/>
            <w:right w:val="none" w:sz="0" w:space="0" w:color="auto"/>
          </w:divBdr>
        </w:div>
        <w:div w:id="919216949">
          <w:marLeft w:val="0"/>
          <w:marRight w:val="0"/>
          <w:marTop w:val="0"/>
          <w:marBottom w:val="0"/>
          <w:divBdr>
            <w:top w:val="none" w:sz="0" w:space="0" w:color="auto"/>
            <w:left w:val="none" w:sz="0" w:space="0" w:color="auto"/>
            <w:bottom w:val="none" w:sz="0" w:space="0" w:color="auto"/>
            <w:right w:val="none" w:sz="0" w:space="0" w:color="auto"/>
          </w:divBdr>
        </w:div>
        <w:div w:id="995571749">
          <w:marLeft w:val="0"/>
          <w:marRight w:val="0"/>
          <w:marTop w:val="0"/>
          <w:marBottom w:val="0"/>
          <w:divBdr>
            <w:top w:val="none" w:sz="0" w:space="0" w:color="auto"/>
            <w:left w:val="none" w:sz="0" w:space="0" w:color="auto"/>
            <w:bottom w:val="none" w:sz="0" w:space="0" w:color="auto"/>
            <w:right w:val="none" w:sz="0" w:space="0" w:color="auto"/>
          </w:divBdr>
        </w:div>
        <w:div w:id="1522010788">
          <w:marLeft w:val="0"/>
          <w:marRight w:val="0"/>
          <w:marTop w:val="0"/>
          <w:marBottom w:val="0"/>
          <w:divBdr>
            <w:top w:val="none" w:sz="0" w:space="0" w:color="auto"/>
            <w:left w:val="none" w:sz="0" w:space="0" w:color="auto"/>
            <w:bottom w:val="none" w:sz="0" w:space="0" w:color="auto"/>
            <w:right w:val="none" w:sz="0" w:space="0" w:color="auto"/>
          </w:divBdr>
        </w:div>
        <w:div w:id="1603537592">
          <w:marLeft w:val="0"/>
          <w:marRight w:val="0"/>
          <w:marTop w:val="0"/>
          <w:marBottom w:val="0"/>
          <w:divBdr>
            <w:top w:val="none" w:sz="0" w:space="0" w:color="auto"/>
            <w:left w:val="none" w:sz="0" w:space="0" w:color="auto"/>
            <w:bottom w:val="none" w:sz="0" w:space="0" w:color="auto"/>
            <w:right w:val="none" w:sz="0" w:space="0" w:color="auto"/>
          </w:divBdr>
        </w:div>
        <w:div w:id="1605727555">
          <w:marLeft w:val="0"/>
          <w:marRight w:val="0"/>
          <w:marTop w:val="0"/>
          <w:marBottom w:val="0"/>
          <w:divBdr>
            <w:top w:val="none" w:sz="0" w:space="0" w:color="auto"/>
            <w:left w:val="none" w:sz="0" w:space="0" w:color="auto"/>
            <w:bottom w:val="none" w:sz="0" w:space="0" w:color="auto"/>
            <w:right w:val="none" w:sz="0" w:space="0" w:color="auto"/>
          </w:divBdr>
        </w:div>
        <w:div w:id="1658656361">
          <w:marLeft w:val="0"/>
          <w:marRight w:val="0"/>
          <w:marTop w:val="0"/>
          <w:marBottom w:val="0"/>
          <w:divBdr>
            <w:top w:val="none" w:sz="0" w:space="0" w:color="auto"/>
            <w:left w:val="none" w:sz="0" w:space="0" w:color="auto"/>
            <w:bottom w:val="none" w:sz="0" w:space="0" w:color="auto"/>
            <w:right w:val="none" w:sz="0" w:space="0" w:color="auto"/>
          </w:divBdr>
        </w:div>
        <w:div w:id="1662006058">
          <w:marLeft w:val="0"/>
          <w:marRight w:val="0"/>
          <w:marTop w:val="0"/>
          <w:marBottom w:val="0"/>
          <w:divBdr>
            <w:top w:val="none" w:sz="0" w:space="0" w:color="auto"/>
            <w:left w:val="none" w:sz="0" w:space="0" w:color="auto"/>
            <w:bottom w:val="none" w:sz="0" w:space="0" w:color="auto"/>
            <w:right w:val="none" w:sz="0" w:space="0" w:color="auto"/>
          </w:divBdr>
        </w:div>
        <w:div w:id="1847594819">
          <w:marLeft w:val="0"/>
          <w:marRight w:val="0"/>
          <w:marTop w:val="0"/>
          <w:marBottom w:val="0"/>
          <w:divBdr>
            <w:top w:val="none" w:sz="0" w:space="0" w:color="auto"/>
            <w:left w:val="none" w:sz="0" w:space="0" w:color="auto"/>
            <w:bottom w:val="none" w:sz="0" w:space="0" w:color="auto"/>
            <w:right w:val="none" w:sz="0" w:space="0" w:color="auto"/>
          </w:divBdr>
        </w:div>
        <w:div w:id="2012567347">
          <w:marLeft w:val="0"/>
          <w:marRight w:val="0"/>
          <w:marTop w:val="0"/>
          <w:marBottom w:val="0"/>
          <w:divBdr>
            <w:top w:val="none" w:sz="0" w:space="0" w:color="auto"/>
            <w:left w:val="none" w:sz="0" w:space="0" w:color="auto"/>
            <w:bottom w:val="none" w:sz="0" w:space="0" w:color="auto"/>
            <w:right w:val="none" w:sz="0" w:space="0" w:color="auto"/>
          </w:divBdr>
        </w:div>
        <w:div w:id="2131362487">
          <w:marLeft w:val="0"/>
          <w:marRight w:val="0"/>
          <w:marTop w:val="0"/>
          <w:marBottom w:val="0"/>
          <w:divBdr>
            <w:top w:val="none" w:sz="0" w:space="0" w:color="auto"/>
            <w:left w:val="none" w:sz="0" w:space="0" w:color="auto"/>
            <w:bottom w:val="none" w:sz="0" w:space="0" w:color="auto"/>
            <w:right w:val="none" w:sz="0" w:space="0" w:color="auto"/>
          </w:divBdr>
          <w:divsChild>
            <w:div w:id="115878431">
              <w:marLeft w:val="-75"/>
              <w:marRight w:val="0"/>
              <w:marTop w:val="30"/>
              <w:marBottom w:val="30"/>
              <w:divBdr>
                <w:top w:val="none" w:sz="0" w:space="0" w:color="auto"/>
                <w:left w:val="none" w:sz="0" w:space="0" w:color="auto"/>
                <w:bottom w:val="none" w:sz="0" w:space="0" w:color="auto"/>
                <w:right w:val="none" w:sz="0" w:space="0" w:color="auto"/>
              </w:divBdr>
              <w:divsChild>
                <w:div w:id="181550576">
                  <w:marLeft w:val="0"/>
                  <w:marRight w:val="0"/>
                  <w:marTop w:val="0"/>
                  <w:marBottom w:val="0"/>
                  <w:divBdr>
                    <w:top w:val="none" w:sz="0" w:space="0" w:color="auto"/>
                    <w:left w:val="none" w:sz="0" w:space="0" w:color="auto"/>
                    <w:bottom w:val="none" w:sz="0" w:space="0" w:color="auto"/>
                    <w:right w:val="none" w:sz="0" w:space="0" w:color="auto"/>
                  </w:divBdr>
                  <w:divsChild>
                    <w:div w:id="369383853">
                      <w:marLeft w:val="0"/>
                      <w:marRight w:val="0"/>
                      <w:marTop w:val="0"/>
                      <w:marBottom w:val="0"/>
                      <w:divBdr>
                        <w:top w:val="none" w:sz="0" w:space="0" w:color="auto"/>
                        <w:left w:val="none" w:sz="0" w:space="0" w:color="auto"/>
                        <w:bottom w:val="none" w:sz="0" w:space="0" w:color="auto"/>
                        <w:right w:val="none" w:sz="0" w:space="0" w:color="auto"/>
                      </w:divBdr>
                    </w:div>
                    <w:div w:id="1916668155">
                      <w:marLeft w:val="0"/>
                      <w:marRight w:val="0"/>
                      <w:marTop w:val="0"/>
                      <w:marBottom w:val="0"/>
                      <w:divBdr>
                        <w:top w:val="none" w:sz="0" w:space="0" w:color="auto"/>
                        <w:left w:val="none" w:sz="0" w:space="0" w:color="auto"/>
                        <w:bottom w:val="none" w:sz="0" w:space="0" w:color="auto"/>
                        <w:right w:val="none" w:sz="0" w:space="0" w:color="auto"/>
                      </w:divBdr>
                    </w:div>
                  </w:divsChild>
                </w:div>
                <w:div w:id="389422039">
                  <w:marLeft w:val="0"/>
                  <w:marRight w:val="0"/>
                  <w:marTop w:val="0"/>
                  <w:marBottom w:val="0"/>
                  <w:divBdr>
                    <w:top w:val="none" w:sz="0" w:space="0" w:color="auto"/>
                    <w:left w:val="none" w:sz="0" w:space="0" w:color="auto"/>
                    <w:bottom w:val="none" w:sz="0" w:space="0" w:color="auto"/>
                    <w:right w:val="none" w:sz="0" w:space="0" w:color="auto"/>
                  </w:divBdr>
                  <w:divsChild>
                    <w:div w:id="1078985235">
                      <w:marLeft w:val="0"/>
                      <w:marRight w:val="0"/>
                      <w:marTop w:val="0"/>
                      <w:marBottom w:val="0"/>
                      <w:divBdr>
                        <w:top w:val="none" w:sz="0" w:space="0" w:color="auto"/>
                        <w:left w:val="none" w:sz="0" w:space="0" w:color="auto"/>
                        <w:bottom w:val="none" w:sz="0" w:space="0" w:color="auto"/>
                        <w:right w:val="none" w:sz="0" w:space="0" w:color="auto"/>
                      </w:divBdr>
                    </w:div>
                  </w:divsChild>
                </w:div>
                <w:div w:id="1009216163">
                  <w:marLeft w:val="0"/>
                  <w:marRight w:val="0"/>
                  <w:marTop w:val="0"/>
                  <w:marBottom w:val="0"/>
                  <w:divBdr>
                    <w:top w:val="none" w:sz="0" w:space="0" w:color="auto"/>
                    <w:left w:val="none" w:sz="0" w:space="0" w:color="auto"/>
                    <w:bottom w:val="none" w:sz="0" w:space="0" w:color="auto"/>
                    <w:right w:val="none" w:sz="0" w:space="0" w:color="auto"/>
                  </w:divBdr>
                  <w:divsChild>
                    <w:div w:id="271396852">
                      <w:marLeft w:val="0"/>
                      <w:marRight w:val="0"/>
                      <w:marTop w:val="0"/>
                      <w:marBottom w:val="0"/>
                      <w:divBdr>
                        <w:top w:val="none" w:sz="0" w:space="0" w:color="auto"/>
                        <w:left w:val="none" w:sz="0" w:space="0" w:color="auto"/>
                        <w:bottom w:val="none" w:sz="0" w:space="0" w:color="auto"/>
                        <w:right w:val="none" w:sz="0" w:space="0" w:color="auto"/>
                      </w:divBdr>
                    </w:div>
                    <w:div w:id="952517494">
                      <w:marLeft w:val="0"/>
                      <w:marRight w:val="0"/>
                      <w:marTop w:val="0"/>
                      <w:marBottom w:val="0"/>
                      <w:divBdr>
                        <w:top w:val="none" w:sz="0" w:space="0" w:color="auto"/>
                        <w:left w:val="none" w:sz="0" w:space="0" w:color="auto"/>
                        <w:bottom w:val="none" w:sz="0" w:space="0" w:color="auto"/>
                        <w:right w:val="none" w:sz="0" w:space="0" w:color="auto"/>
                      </w:divBdr>
                    </w:div>
                  </w:divsChild>
                </w:div>
                <w:div w:id="1803890013">
                  <w:marLeft w:val="0"/>
                  <w:marRight w:val="0"/>
                  <w:marTop w:val="0"/>
                  <w:marBottom w:val="0"/>
                  <w:divBdr>
                    <w:top w:val="none" w:sz="0" w:space="0" w:color="auto"/>
                    <w:left w:val="none" w:sz="0" w:space="0" w:color="auto"/>
                    <w:bottom w:val="none" w:sz="0" w:space="0" w:color="auto"/>
                    <w:right w:val="none" w:sz="0" w:space="0" w:color="auto"/>
                  </w:divBdr>
                  <w:divsChild>
                    <w:div w:id="711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5200">
      <w:bodyDiv w:val="1"/>
      <w:marLeft w:val="0"/>
      <w:marRight w:val="0"/>
      <w:marTop w:val="0"/>
      <w:marBottom w:val="0"/>
      <w:divBdr>
        <w:top w:val="none" w:sz="0" w:space="0" w:color="auto"/>
        <w:left w:val="none" w:sz="0" w:space="0" w:color="auto"/>
        <w:bottom w:val="none" w:sz="0" w:space="0" w:color="auto"/>
        <w:right w:val="none" w:sz="0" w:space="0" w:color="auto"/>
      </w:divBdr>
      <w:divsChild>
        <w:div w:id="1926065892">
          <w:marLeft w:val="0"/>
          <w:marRight w:val="0"/>
          <w:marTop w:val="0"/>
          <w:marBottom w:val="0"/>
          <w:divBdr>
            <w:top w:val="none" w:sz="0" w:space="0" w:color="auto"/>
            <w:left w:val="none" w:sz="0" w:space="0" w:color="auto"/>
            <w:bottom w:val="none" w:sz="0" w:space="0" w:color="auto"/>
            <w:right w:val="none" w:sz="0" w:space="0" w:color="auto"/>
          </w:divBdr>
        </w:div>
        <w:div w:id="1439569672">
          <w:marLeft w:val="0"/>
          <w:marRight w:val="0"/>
          <w:marTop w:val="0"/>
          <w:marBottom w:val="0"/>
          <w:divBdr>
            <w:top w:val="none" w:sz="0" w:space="0" w:color="auto"/>
            <w:left w:val="none" w:sz="0" w:space="0" w:color="auto"/>
            <w:bottom w:val="none" w:sz="0" w:space="0" w:color="auto"/>
            <w:right w:val="none" w:sz="0" w:space="0" w:color="auto"/>
          </w:divBdr>
        </w:div>
        <w:div w:id="189228557">
          <w:marLeft w:val="0"/>
          <w:marRight w:val="0"/>
          <w:marTop w:val="0"/>
          <w:marBottom w:val="0"/>
          <w:divBdr>
            <w:top w:val="none" w:sz="0" w:space="0" w:color="auto"/>
            <w:left w:val="none" w:sz="0" w:space="0" w:color="auto"/>
            <w:bottom w:val="none" w:sz="0" w:space="0" w:color="auto"/>
            <w:right w:val="none" w:sz="0" w:space="0" w:color="auto"/>
          </w:divBdr>
        </w:div>
        <w:div w:id="975179477">
          <w:marLeft w:val="0"/>
          <w:marRight w:val="0"/>
          <w:marTop w:val="0"/>
          <w:marBottom w:val="0"/>
          <w:divBdr>
            <w:top w:val="none" w:sz="0" w:space="0" w:color="auto"/>
            <w:left w:val="none" w:sz="0" w:space="0" w:color="auto"/>
            <w:bottom w:val="none" w:sz="0" w:space="0" w:color="auto"/>
            <w:right w:val="none" w:sz="0" w:space="0" w:color="auto"/>
          </w:divBdr>
        </w:div>
        <w:div w:id="2146508957">
          <w:marLeft w:val="0"/>
          <w:marRight w:val="0"/>
          <w:marTop w:val="0"/>
          <w:marBottom w:val="0"/>
          <w:divBdr>
            <w:top w:val="none" w:sz="0" w:space="0" w:color="auto"/>
            <w:left w:val="none" w:sz="0" w:space="0" w:color="auto"/>
            <w:bottom w:val="none" w:sz="0" w:space="0" w:color="auto"/>
            <w:right w:val="none" w:sz="0" w:space="0" w:color="auto"/>
          </w:divBdr>
        </w:div>
        <w:div w:id="829980301">
          <w:marLeft w:val="0"/>
          <w:marRight w:val="0"/>
          <w:marTop w:val="0"/>
          <w:marBottom w:val="0"/>
          <w:divBdr>
            <w:top w:val="none" w:sz="0" w:space="0" w:color="auto"/>
            <w:left w:val="none" w:sz="0" w:space="0" w:color="auto"/>
            <w:bottom w:val="none" w:sz="0" w:space="0" w:color="auto"/>
            <w:right w:val="none" w:sz="0" w:space="0" w:color="auto"/>
          </w:divBdr>
        </w:div>
        <w:div w:id="544148575">
          <w:marLeft w:val="0"/>
          <w:marRight w:val="0"/>
          <w:marTop w:val="0"/>
          <w:marBottom w:val="0"/>
          <w:divBdr>
            <w:top w:val="none" w:sz="0" w:space="0" w:color="auto"/>
            <w:left w:val="none" w:sz="0" w:space="0" w:color="auto"/>
            <w:bottom w:val="none" w:sz="0" w:space="0" w:color="auto"/>
            <w:right w:val="none" w:sz="0" w:space="0" w:color="auto"/>
          </w:divBdr>
        </w:div>
        <w:div w:id="1851672977">
          <w:marLeft w:val="0"/>
          <w:marRight w:val="0"/>
          <w:marTop w:val="0"/>
          <w:marBottom w:val="0"/>
          <w:divBdr>
            <w:top w:val="none" w:sz="0" w:space="0" w:color="auto"/>
            <w:left w:val="none" w:sz="0" w:space="0" w:color="auto"/>
            <w:bottom w:val="none" w:sz="0" w:space="0" w:color="auto"/>
            <w:right w:val="none" w:sz="0" w:space="0" w:color="auto"/>
          </w:divBdr>
          <w:divsChild>
            <w:div w:id="761413163">
              <w:marLeft w:val="0"/>
              <w:marRight w:val="0"/>
              <w:marTop w:val="0"/>
              <w:marBottom w:val="0"/>
              <w:divBdr>
                <w:top w:val="none" w:sz="0" w:space="0" w:color="auto"/>
                <w:left w:val="none" w:sz="0" w:space="0" w:color="auto"/>
                <w:bottom w:val="none" w:sz="0" w:space="0" w:color="auto"/>
                <w:right w:val="none" w:sz="0" w:space="0" w:color="auto"/>
              </w:divBdr>
            </w:div>
            <w:div w:id="1966694276">
              <w:marLeft w:val="0"/>
              <w:marRight w:val="0"/>
              <w:marTop w:val="0"/>
              <w:marBottom w:val="0"/>
              <w:divBdr>
                <w:top w:val="none" w:sz="0" w:space="0" w:color="auto"/>
                <w:left w:val="none" w:sz="0" w:space="0" w:color="auto"/>
                <w:bottom w:val="none" w:sz="0" w:space="0" w:color="auto"/>
                <w:right w:val="none" w:sz="0" w:space="0" w:color="auto"/>
              </w:divBdr>
            </w:div>
            <w:div w:id="1803115391">
              <w:marLeft w:val="0"/>
              <w:marRight w:val="0"/>
              <w:marTop w:val="0"/>
              <w:marBottom w:val="0"/>
              <w:divBdr>
                <w:top w:val="none" w:sz="0" w:space="0" w:color="auto"/>
                <w:left w:val="none" w:sz="0" w:space="0" w:color="auto"/>
                <w:bottom w:val="none" w:sz="0" w:space="0" w:color="auto"/>
                <w:right w:val="none" w:sz="0" w:space="0" w:color="auto"/>
              </w:divBdr>
            </w:div>
            <w:div w:id="753890862">
              <w:marLeft w:val="0"/>
              <w:marRight w:val="0"/>
              <w:marTop w:val="0"/>
              <w:marBottom w:val="0"/>
              <w:divBdr>
                <w:top w:val="none" w:sz="0" w:space="0" w:color="auto"/>
                <w:left w:val="none" w:sz="0" w:space="0" w:color="auto"/>
                <w:bottom w:val="none" w:sz="0" w:space="0" w:color="auto"/>
                <w:right w:val="none" w:sz="0" w:space="0" w:color="auto"/>
              </w:divBdr>
            </w:div>
          </w:divsChild>
        </w:div>
        <w:div w:id="1271667524">
          <w:marLeft w:val="0"/>
          <w:marRight w:val="0"/>
          <w:marTop w:val="0"/>
          <w:marBottom w:val="0"/>
          <w:divBdr>
            <w:top w:val="none" w:sz="0" w:space="0" w:color="auto"/>
            <w:left w:val="none" w:sz="0" w:space="0" w:color="auto"/>
            <w:bottom w:val="none" w:sz="0" w:space="0" w:color="auto"/>
            <w:right w:val="none" w:sz="0" w:space="0" w:color="auto"/>
          </w:divBdr>
        </w:div>
        <w:div w:id="447352585">
          <w:marLeft w:val="0"/>
          <w:marRight w:val="0"/>
          <w:marTop w:val="0"/>
          <w:marBottom w:val="0"/>
          <w:divBdr>
            <w:top w:val="none" w:sz="0" w:space="0" w:color="auto"/>
            <w:left w:val="none" w:sz="0" w:space="0" w:color="auto"/>
            <w:bottom w:val="none" w:sz="0" w:space="0" w:color="auto"/>
            <w:right w:val="none" w:sz="0" w:space="0" w:color="auto"/>
          </w:divBdr>
        </w:div>
      </w:divsChild>
    </w:div>
    <w:div w:id="1374692855">
      <w:bodyDiv w:val="1"/>
      <w:marLeft w:val="0"/>
      <w:marRight w:val="0"/>
      <w:marTop w:val="0"/>
      <w:marBottom w:val="0"/>
      <w:divBdr>
        <w:top w:val="none" w:sz="0" w:space="0" w:color="auto"/>
        <w:left w:val="none" w:sz="0" w:space="0" w:color="auto"/>
        <w:bottom w:val="none" w:sz="0" w:space="0" w:color="auto"/>
        <w:right w:val="none" w:sz="0" w:space="0" w:color="auto"/>
      </w:divBdr>
    </w:div>
    <w:div w:id="1387796873">
      <w:bodyDiv w:val="1"/>
      <w:marLeft w:val="0"/>
      <w:marRight w:val="0"/>
      <w:marTop w:val="0"/>
      <w:marBottom w:val="0"/>
      <w:divBdr>
        <w:top w:val="none" w:sz="0" w:space="0" w:color="auto"/>
        <w:left w:val="none" w:sz="0" w:space="0" w:color="auto"/>
        <w:bottom w:val="none" w:sz="0" w:space="0" w:color="auto"/>
        <w:right w:val="none" w:sz="0" w:space="0" w:color="auto"/>
      </w:divBdr>
      <w:divsChild>
        <w:div w:id="255526244">
          <w:marLeft w:val="0"/>
          <w:marRight w:val="0"/>
          <w:marTop w:val="0"/>
          <w:marBottom w:val="0"/>
          <w:divBdr>
            <w:top w:val="none" w:sz="0" w:space="0" w:color="auto"/>
            <w:left w:val="none" w:sz="0" w:space="0" w:color="auto"/>
            <w:bottom w:val="none" w:sz="0" w:space="0" w:color="auto"/>
            <w:right w:val="none" w:sz="0" w:space="0" w:color="auto"/>
          </w:divBdr>
        </w:div>
        <w:div w:id="319771835">
          <w:marLeft w:val="0"/>
          <w:marRight w:val="0"/>
          <w:marTop w:val="0"/>
          <w:marBottom w:val="0"/>
          <w:divBdr>
            <w:top w:val="none" w:sz="0" w:space="0" w:color="auto"/>
            <w:left w:val="none" w:sz="0" w:space="0" w:color="auto"/>
            <w:bottom w:val="none" w:sz="0" w:space="0" w:color="auto"/>
            <w:right w:val="none" w:sz="0" w:space="0" w:color="auto"/>
          </w:divBdr>
        </w:div>
        <w:div w:id="528567350">
          <w:marLeft w:val="0"/>
          <w:marRight w:val="0"/>
          <w:marTop w:val="0"/>
          <w:marBottom w:val="0"/>
          <w:divBdr>
            <w:top w:val="none" w:sz="0" w:space="0" w:color="auto"/>
            <w:left w:val="none" w:sz="0" w:space="0" w:color="auto"/>
            <w:bottom w:val="none" w:sz="0" w:space="0" w:color="auto"/>
            <w:right w:val="none" w:sz="0" w:space="0" w:color="auto"/>
          </w:divBdr>
        </w:div>
        <w:div w:id="676730120">
          <w:marLeft w:val="0"/>
          <w:marRight w:val="0"/>
          <w:marTop w:val="0"/>
          <w:marBottom w:val="0"/>
          <w:divBdr>
            <w:top w:val="none" w:sz="0" w:space="0" w:color="auto"/>
            <w:left w:val="none" w:sz="0" w:space="0" w:color="auto"/>
            <w:bottom w:val="none" w:sz="0" w:space="0" w:color="auto"/>
            <w:right w:val="none" w:sz="0" w:space="0" w:color="auto"/>
          </w:divBdr>
        </w:div>
        <w:div w:id="986515163">
          <w:marLeft w:val="0"/>
          <w:marRight w:val="0"/>
          <w:marTop w:val="0"/>
          <w:marBottom w:val="0"/>
          <w:divBdr>
            <w:top w:val="none" w:sz="0" w:space="0" w:color="auto"/>
            <w:left w:val="none" w:sz="0" w:space="0" w:color="auto"/>
            <w:bottom w:val="none" w:sz="0" w:space="0" w:color="auto"/>
            <w:right w:val="none" w:sz="0" w:space="0" w:color="auto"/>
          </w:divBdr>
        </w:div>
        <w:div w:id="1349454653">
          <w:marLeft w:val="0"/>
          <w:marRight w:val="0"/>
          <w:marTop w:val="0"/>
          <w:marBottom w:val="0"/>
          <w:divBdr>
            <w:top w:val="none" w:sz="0" w:space="0" w:color="auto"/>
            <w:left w:val="none" w:sz="0" w:space="0" w:color="auto"/>
            <w:bottom w:val="none" w:sz="0" w:space="0" w:color="auto"/>
            <w:right w:val="none" w:sz="0" w:space="0" w:color="auto"/>
          </w:divBdr>
        </w:div>
        <w:div w:id="1401948025">
          <w:marLeft w:val="0"/>
          <w:marRight w:val="0"/>
          <w:marTop w:val="0"/>
          <w:marBottom w:val="0"/>
          <w:divBdr>
            <w:top w:val="none" w:sz="0" w:space="0" w:color="auto"/>
            <w:left w:val="none" w:sz="0" w:space="0" w:color="auto"/>
            <w:bottom w:val="none" w:sz="0" w:space="0" w:color="auto"/>
            <w:right w:val="none" w:sz="0" w:space="0" w:color="auto"/>
          </w:divBdr>
        </w:div>
        <w:div w:id="1591354694">
          <w:marLeft w:val="0"/>
          <w:marRight w:val="0"/>
          <w:marTop w:val="0"/>
          <w:marBottom w:val="0"/>
          <w:divBdr>
            <w:top w:val="none" w:sz="0" w:space="0" w:color="auto"/>
            <w:left w:val="none" w:sz="0" w:space="0" w:color="auto"/>
            <w:bottom w:val="none" w:sz="0" w:space="0" w:color="auto"/>
            <w:right w:val="none" w:sz="0" w:space="0" w:color="auto"/>
          </w:divBdr>
        </w:div>
        <w:div w:id="1876654541">
          <w:marLeft w:val="0"/>
          <w:marRight w:val="0"/>
          <w:marTop w:val="0"/>
          <w:marBottom w:val="0"/>
          <w:divBdr>
            <w:top w:val="none" w:sz="0" w:space="0" w:color="auto"/>
            <w:left w:val="none" w:sz="0" w:space="0" w:color="auto"/>
            <w:bottom w:val="none" w:sz="0" w:space="0" w:color="auto"/>
            <w:right w:val="none" w:sz="0" w:space="0" w:color="auto"/>
          </w:divBdr>
        </w:div>
      </w:divsChild>
    </w:div>
    <w:div w:id="1433280157">
      <w:bodyDiv w:val="1"/>
      <w:marLeft w:val="0"/>
      <w:marRight w:val="0"/>
      <w:marTop w:val="0"/>
      <w:marBottom w:val="0"/>
      <w:divBdr>
        <w:top w:val="none" w:sz="0" w:space="0" w:color="auto"/>
        <w:left w:val="none" w:sz="0" w:space="0" w:color="auto"/>
        <w:bottom w:val="none" w:sz="0" w:space="0" w:color="auto"/>
        <w:right w:val="none" w:sz="0" w:space="0" w:color="auto"/>
      </w:divBdr>
      <w:divsChild>
        <w:div w:id="45692222">
          <w:marLeft w:val="0"/>
          <w:marRight w:val="0"/>
          <w:marTop w:val="0"/>
          <w:marBottom w:val="0"/>
          <w:divBdr>
            <w:top w:val="none" w:sz="0" w:space="0" w:color="auto"/>
            <w:left w:val="none" w:sz="0" w:space="0" w:color="auto"/>
            <w:bottom w:val="none" w:sz="0" w:space="0" w:color="auto"/>
            <w:right w:val="none" w:sz="0" w:space="0" w:color="auto"/>
          </w:divBdr>
        </w:div>
        <w:div w:id="280957964">
          <w:marLeft w:val="0"/>
          <w:marRight w:val="0"/>
          <w:marTop w:val="0"/>
          <w:marBottom w:val="0"/>
          <w:divBdr>
            <w:top w:val="none" w:sz="0" w:space="0" w:color="auto"/>
            <w:left w:val="none" w:sz="0" w:space="0" w:color="auto"/>
            <w:bottom w:val="none" w:sz="0" w:space="0" w:color="auto"/>
            <w:right w:val="none" w:sz="0" w:space="0" w:color="auto"/>
          </w:divBdr>
        </w:div>
        <w:div w:id="291176861">
          <w:marLeft w:val="0"/>
          <w:marRight w:val="0"/>
          <w:marTop w:val="0"/>
          <w:marBottom w:val="0"/>
          <w:divBdr>
            <w:top w:val="none" w:sz="0" w:space="0" w:color="auto"/>
            <w:left w:val="none" w:sz="0" w:space="0" w:color="auto"/>
            <w:bottom w:val="none" w:sz="0" w:space="0" w:color="auto"/>
            <w:right w:val="none" w:sz="0" w:space="0" w:color="auto"/>
          </w:divBdr>
        </w:div>
        <w:div w:id="577446901">
          <w:marLeft w:val="0"/>
          <w:marRight w:val="0"/>
          <w:marTop w:val="0"/>
          <w:marBottom w:val="0"/>
          <w:divBdr>
            <w:top w:val="none" w:sz="0" w:space="0" w:color="auto"/>
            <w:left w:val="none" w:sz="0" w:space="0" w:color="auto"/>
            <w:bottom w:val="none" w:sz="0" w:space="0" w:color="auto"/>
            <w:right w:val="none" w:sz="0" w:space="0" w:color="auto"/>
          </w:divBdr>
        </w:div>
        <w:div w:id="1205557438">
          <w:marLeft w:val="0"/>
          <w:marRight w:val="0"/>
          <w:marTop w:val="0"/>
          <w:marBottom w:val="0"/>
          <w:divBdr>
            <w:top w:val="none" w:sz="0" w:space="0" w:color="auto"/>
            <w:left w:val="none" w:sz="0" w:space="0" w:color="auto"/>
            <w:bottom w:val="none" w:sz="0" w:space="0" w:color="auto"/>
            <w:right w:val="none" w:sz="0" w:space="0" w:color="auto"/>
          </w:divBdr>
        </w:div>
        <w:div w:id="1289625647">
          <w:marLeft w:val="0"/>
          <w:marRight w:val="0"/>
          <w:marTop w:val="0"/>
          <w:marBottom w:val="0"/>
          <w:divBdr>
            <w:top w:val="none" w:sz="0" w:space="0" w:color="auto"/>
            <w:left w:val="none" w:sz="0" w:space="0" w:color="auto"/>
            <w:bottom w:val="none" w:sz="0" w:space="0" w:color="auto"/>
            <w:right w:val="none" w:sz="0" w:space="0" w:color="auto"/>
          </w:divBdr>
        </w:div>
        <w:div w:id="1722905223">
          <w:marLeft w:val="0"/>
          <w:marRight w:val="0"/>
          <w:marTop w:val="0"/>
          <w:marBottom w:val="0"/>
          <w:divBdr>
            <w:top w:val="none" w:sz="0" w:space="0" w:color="auto"/>
            <w:left w:val="none" w:sz="0" w:space="0" w:color="auto"/>
            <w:bottom w:val="none" w:sz="0" w:space="0" w:color="auto"/>
            <w:right w:val="none" w:sz="0" w:space="0" w:color="auto"/>
          </w:divBdr>
        </w:div>
      </w:divsChild>
    </w:div>
    <w:div w:id="1439108355">
      <w:bodyDiv w:val="1"/>
      <w:marLeft w:val="0"/>
      <w:marRight w:val="0"/>
      <w:marTop w:val="0"/>
      <w:marBottom w:val="0"/>
      <w:divBdr>
        <w:top w:val="none" w:sz="0" w:space="0" w:color="auto"/>
        <w:left w:val="none" w:sz="0" w:space="0" w:color="auto"/>
        <w:bottom w:val="none" w:sz="0" w:space="0" w:color="auto"/>
        <w:right w:val="none" w:sz="0" w:space="0" w:color="auto"/>
      </w:divBdr>
      <w:divsChild>
        <w:div w:id="244658060">
          <w:marLeft w:val="0"/>
          <w:marRight w:val="0"/>
          <w:marTop w:val="0"/>
          <w:marBottom w:val="0"/>
          <w:divBdr>
            <w:top w:val="none" w:sz="0" w:space="0" w:color="auto"/>
            <w:left w:val="none" w:sz="0" w:space="0" w:color="auto"/>
            <w:bottom w:val="none" w:sz="0" w:space="0" w:color="auto"/>
            <w:right w:val="none" w:sz="0" w:space="0" w:color="auto"/>
          </w:divBdr>
        </w:div>
        <w:div w:id="359169350">
          <w:marLeft w:val="0"/>
          <w:marRight w:val="0"/>
          <w:marTop w:val="0"/>
          <w:marBottom w:val="0"/>
          <w:divBdr>
            <w:top w:val="none" w:sz="0" w:space="0" w:color="auto"/>
            <w:left w:val="none" w:sz="0" w:space="0" w:color="auto"/>
            <w:bottom w:val="none" w:sz="0" w:space="0" w:color="auto"/>
            <w:right w:val="none" w:sz="0" w:space="0" w:color="auto"/>
          </w:divBdr>
        </w:div>
        <w:div w:id="505362353">
          <w:marLeft w:val="0"/>
          <w:marRight w:val="0"/>
          <w:marTop w:val="0"/>
          <w:marBottom w:val="0"/>
          <w:divBdr>
            <w:top w:val="none" w:sz="0" w:space="0" w:color="auto"/>
            <w:left w:val="none" w:sz="0" w:space="0" w:color="auto"/>
            <w:bottom w:val="none" w:sz="0" w:space="0" w:color="auto"/>
            <w:right w:val="none" w:sz="0" w:space="0" w:color="auto"/>
          </w:divBdr>
        </w:div>
        <w:div w:id="575435083">
          <w:marLeft w:val="0"/>
          <w:marRight w:val="0"/>
          <w:marTop w:val="0"/>
          <w:marBottom w:val="0"/>
          <w:divBdr>
            <w:top w:val="none" w:sz="0" w:space="0" w:color="auto"/>
            <w:left w:val="none" w:sz="0" w:space="0" w:color="auto"/>
            <w:bottom w:val="none" w:sz="0" w:space="0" w:color="auto"/>
            <w:right w:val="none" w:sz="0" w:space="0" w:color="auto"/>
          </w:divBdr>
        </w:div>
        <w:div w:id="680274877">
          <w:marLeft w:val="0"/>
          <w:marRight w:val="0"/>
          <w:marTop w:val="0"/>
          <w:marBottom w:val="0"/>
          <w:divBdr>
            <w:top w:val="none" w:sz="0" w:space="0" w:color="auto"/>
            <w:left w:val="none" w:sz="0" w:space="0" w:color="auto"/>
            <w:bottom w:val="none" w:sz="0" w:space="0" w:color="auto"/>
            <w:right w:val="none" w:sz="0" w:space="0" w:color="auto"/>
          </w:divBdr>
        </w:div>
        <w:div w:id="725450590">
          <w:marLeft w:val="0"/>
          <w:marRight w:val="0"/>
          <w:marTop w:val="0"/>
          <w:marBottom w:val="0"/>
          <w:divBdr>
            <w:top w:val="none" w:sz="0" w:space="0" w:color="auto"/>
            <w:left w:val="none" w:sz="0" w:space="0" w:color="auto"/>
            <w:bottom w:val="none" w:sz="0" w:space="0" w:color="auto"/>
            <w:right w:val="none" w:sz="0" w:space="0" w:color="auto"/>
          </w:divBdr>
        </w:div>
        <w:div w:id="872571242">
          <w:marLeft w:val="0"/>
          <w:marRight w:val="0"/>
          <w:marTop w:val="0"/>
          <w:marBottom w:val="0"/>
          <w:divBdr>
            <w:top w:val="none" w:sz="0" w:space="0" w:color="auto"/>
            <w:left w:val="none" w:sz="0" w:space="0" w:color="auto"/>
            <w:bottom w:val="none" w:sz="0" w:space="0" w:color="auto"/>
            <w:right w:val="none" w:sz="0" w:space="0" w:color="auto"/>
          </w:divBdr>
          <w:divsChild>
            <w:div w:id="252670780">
              <w:marLeft w:val="0"/>
              <w:marRight w:val="0"/>
              <w:marTop w:val="0"/>
              <w:marBottom w:val="0"/>
              <w:divBdr>
                <w:top w:val="none" w:sz="0" w:space="0" w:color="auto"/>
                <w:left w:val="none" w:sz="0" w:space="0" w:color="auto"/>
                <w:bottom w:val="none" w:sz="0" w:space="0" w:color="auto"/>
                <w:right w:val="none" w:sz="0" w:space="0" w:color="auto"/>
              </w:divBdr>
            </w:div>
            <w:div w:id="802891124">
              <w:marLeft w:val="0"/>
              <w:marRight w:val="0"/>
              <w:marTop w:val="0"/>
              <w:marBottom w:val="0"/>
              <w:divBdr>
                <w:top w:val="none" w:sz="0" w:space="0" w:color="auto"/>
                <w:left w:val="none" w:sz="0" w:space="0" w:color="auto"/>
                <w:bottom w:val="none" w:sz="0" w:space="0" w:color="auto"/>
                <w:right w:val="none" w:sz="0" w:space="0" w:color="auto"/>
              </w:divBdr>
            </w:div>
            <w:div w:id="1080369062">
              <w:marLeft w:val="0"/>
              <w:marRight w:val="0"/>
              <w:marTop w:val="0"/>
              <w:marBottom w:val="0"/>
              <w:divBdr>
                <w:top w:val="none" w:sz="0" w:space="0" w:color="auto"/>
                <w:left w:val="none" w:sz="0" w:space="0" w:color="auto"/>
                <w:bottom w:val="none" w:sz="0" w:space="0" w:color="auto"/>
                <w:right w:val="none" w:sz="0" w:space="0" w:color="auto"/>
              </w:divBdr>
            </w:div>
            <w:div w:id="1625884657">
              <w:marLeft w:val="0"/>
              <w:marRight w:val="0"/>
              <w:marTop w:val="0"/>
              <w:marBottom w:val="0"/>
              <w:divBdr>
                <w:top w:val="none" w:sz="0" w:space="0" w:color="auto"/>
                <w:left w:val="none" w:sz="0" w:space="0" w:color="auto"/>
                <w:bottom w:val="none" w:sz="0" w:space="0" w:color="auto"/>
                <w:right w:val="none" w:sz="0" w:space="0" w:color="auto"/>
              </w:divBdr>
            </w:div>
            <w:div w:id="2069378043">
              <w:marLeft w:val="0"/>
              <w:marRight w:val="0"/>
              <w:marTop w:val="0"/>
              <w:marBottom w:val="0"/>
              <w:divBdr>
                <w:top w:val="none" w:sz="0" w:space="0" w:color="auto"/>
                <w:left w:val="none" w:sz="0" w:space="0" w:color="auto"/>
                <w:bottom w:val="none" w:sz="0" w:space="0" w:color="auto"/>
                <w:right w:val="none" w:sz="0" w:space="0" w:color="auto"/>
              </w:divBdr>
            </w:div>
          </w:divsChild>
        </w:div>
        <w:div w:id="1025908600">
          <w:marLeft w:val="0"/>
          <w:marRight w:val="0"/>
          <w:marTop w:val="0"/>
          <w:marBottom w:val="0"/>
          <w:divBdr>
            <w:top w:val="none" w:sz="0" w:space="0" w:color="auto"/>
            <w:left w:val="none" w:sz="0" w:space="0" w:color="auto"/>
            <w:bottom w:val="none" w:sz="0" w:space="0" w:color="auto"/>
            <w:right w:val="none" w:sz="0" w:space="0" w:color="auto"/>
          </w:divBdr>
        </w:div>
        <w:div w:id="1465660200">
          <w:marLeft w:val="0"/>
          <w:marRight w:val="0"/>
          <w:marTop w:val="0"/>
          <w:marBottom w:val="0"/>
          <w:divBdr>
            <w:top w:val="none" w:sz="0" w:space="0" w:color="auto"/>
            <w:left w:val="none" w:sz="0" w:space="0" w:color="auto"/>
            <w:bottom w:val="none" w:sz="0" w:space="0" w:color="auto"/>
            <w:right w:val="none" w:sz="0" w:space="0" w:color="auto"/>
          </w:divBdr>
        </w:div>
        <w:div w:id="1493645931">
          <w:marLeft w:val="0"/>
          <w:marRight w:val="0"/>
          <w:marTop w:val="0"/>
          <w:marBottom w:val="0"/>
          <w:divBdr>
            <w:top w:val="none" w:sz="0" w:space="0" w:color="auto"/>
            <w:left w:val="none" w:sz="0" w:space="0" w:color="auto"/>
            <w:bottom w:val="none" w:sz="0" w:space="0" w:color="auto"/>
            <w:right w:val="none" w:sz="0" w:space="0" w:color="auto"/>
          </w:divBdr>
          <w:divsChild>
            <w:div w:id="521238115">
              <w:marLeft w:val="0"/>
              <w:marRight w:val="0"/>
              <w:marTop w:val="0"/>
              <w:marBottom w:val="0"/>
              <w:divBdr>
                <w:top w:val="none" w:sz="0" w:space="0" w:color="auto"/>
                <w:left w:val="none" w:sz="0" w:space="0" w:color="auto"/>
                <w:bottom w:val="none" w:sz="0" w:space="0" w:color="auto"/>
                <w:right w:val="none" w:sz="0" w:space="0" w:color="auto"/>
              </w:divBdr>
            </w:div>
            <w:div w:id="806820869">
              <w:marLeft w:val="0"/>
              <w:marRight w:val="0"/>
              <w:marTop w:val="0"/>
              <w:marBottom w:val="0"/>
              <w:divBdr>
                <w:top w:val="none" w:sz="0" w:space="0" w:color="auto"/>
                <w:left w:val="none" w:sz="0" w:space="0" w:color="auto"/>
                <w:bottom w:val="none" w:sz="0" w:space="0" w:color="auto"/>
                <w:right w:val="none" w:sz="0" w:space="0" w:color="auto"/>
              </w:divBdr>
            </w:div>
            <w:div w:id="1223640788">
              <w:marLeft w:val="0"/>
              <w:marRight w:val="0"/>
              <w:marTop w:val="0"/>
              <w:marBottom w:val="0"/>
              <w:divBdr>
                <w:top w:val="none" w:sz="0" w:space="0" w:color="auto"/>
                <w:left w:val="none" w:sz="0" w:space="0" w:color="auto"/>
                <w:bottom w:val="none" w:sz="0" w:space="0" w:color="auto"/>
                <w:right w:val="none" w:sz="0" w:space="0" w:color="auto"/>
              </w:divBdr>
            </w:div>
            <w:div w:id="1483233891">
              <w:marLeft w:val="0"/>
              <w:marRight w:val="0"/>
              <w:marTop w:val="0"/>
              <w:marBottom w:val="0"/>
              <w:divBdr>
                <w:top w:val="none" w:sz="0" w:space="0" w:color="auto"/>
                <w:left w:val="none" w:sz="0" w:space="0" w:color="auto"/>
                <w:bottom w:val="none" w:sz="0" w:space="0" w:color="auto"/>
                <w:right w:val="none" w:sz="0" w:space="0" w:color="auto"/>
              </w:divBdr>
            </w:div>
            <w:div w:id="2072338087">
              <w:marLeft w:val="0"/>
              <w:marRight w:val="0"/>
              <w:marTop w:val="0"/>
              <w:marBottom w:val="0"/>
              <w:divBdr>
                <w:top w:val="none" w:sz="0" w:space="0" w:color="auto"/>
                <w:left w:val="none" w:sz="0" w:space="0" w:color="auto"/>
                <w:bottom w:val="none" w:sz="0" w:space="0" w:color="auto"/>
                <w:right w:val="none" w:sz="0" w:space="0" w:color="auto"/>
              </w:divBdr>
            </w:div>
          </w:divsChild>
        </w:div>
        <w:div w:id="1966277762">
          <w:marLeft w:val="0"/>
          <w:marRight w:val="0"/>
          <w:marTop w:val="0"/>
          <w:marBottom w:val="0"/>
          <w:divBdr>
            <w:top w:val="none" w:sz="0" w:space="0" w:color="auto"/>
            <w:left w:val="none" w:sz="0" w:space="0" w:color="auto"/>
            <w:bottom w:val="none" w:sz="0" w:space="0" w:color="auto"/>
            <w:right w:val="none" w:sz="0" w:space="0" w:color="auto"/>
          </w:divBdr>
        </w:div>
        <w:div w:id="2098017805">
          <w:marLeft w:val="0"/>
          <w:marRight w:val="0"/>
          <w:marTop w:val="0"/>
          <w:marBottom w:val="0"/>
          <w:divBdr>
            <w:top w:val="none" w:sz="0" w:space="0" w:color="auto"/>
            <w:left w:val="none" w:sz="0" w:space="0" w:color="auto"/>
            <w:bottom w:val="none" w:sz="0" w:space="0" w:color="auto"/>
            <w:right w:val="none" w:sz="0" w:space="0" w:color="auto"/>
          </w:divBdr>
        </w:div>
      </w:divsChild>
    </w:div>
    <w:div w:id="1449853306">
      <w:bodyDiv w:val="1"/>
      <w:marLeft w:val="0"/>
      <w:marRight w:val="0"/>
      <w:marTop w:val="0"/>
      <w:marBottom w:val="0"/>
      <w:divBdr>
        <w:top w:val="none" w:sz="0" w:space="0" w:color="auto"/>
        <w:left w:val="none" w:sz="0" w:space="0" w:color="auto"/>
        <w:bottom w:val="none" w:sz="0" w:space="0" w:color="auto"/>
        <w:right w:val="none" w:sz="0" w:space="0" w:color="auto"/>
      </w:divBdr>
      <w:divsChild>
        <w:div w:id="32779688">
          <w:marLeft w:val="0"/>
          <w:marRight w:val="0"/>
          <w:marTop w:val="0"/>
          <w:marBottom w:val="0"/>
          <w:divBdr>
            <w:top w:val="none" w:sz="0" w:space="0" w:color="auto"/>
            <w:left w:val="none" w:sz="0" w:space="0" w:color="auto"/>
            <w:bottom w:val="none" w:sz="0" w:space="0" w:color="auto"/>
            <w:right w:val="none" w:sz="0" w:space="0" w:color="auto"/>
          </w:divBdr>
        </w:div>
        <w:div w:id="463428343">
          <w:marLeft w:val="0"/>
          <w:marRight w:val="0"/>
          <w:marTop w:val="0"/>
          <w:marBottom w:val="0"/>
          <w:divBdr>
            <w:top w:val="none" w:sz="0" w:space="0" w:color="auto"/>
            <w:left w:val="none" w:sz="0" w:space="0" w:color="auto"/>
            <w:bottom w:val="none" w:sz="0" w:space="0" w:color="auto"/>
            <w:right w:val="none" w:sz="0" w:space="0" w:color="auto"/>
          </w:divBdr>
        </w:div>
        <w:div w:id="467288210">
          <w:marLeft w:val="0"/>
          <w:marRight w:val="0"/>
          <w:marTop w:val="0"/>
          <w:marBottom w:val="0"/>
          <w:divBdr>
            <w:top w:val="none" w:sz="0" w:space="0" w:color="auto"/>
            <w:left w:val="none" w:sz="0" w:space="0" w:color="auto"/>
            <w:bottom w:val="none" w:sz="0" w:space="0" w:color="auto"/>
            <w:right w:val="none" w:sz="0" w:space="0" w:color="auto"/>
          </w:divBdr>
        </w:div>
        <w:div w:id="509569318">
          <w:marLeft w:val="0"/>
          <w:marRight w:val="0"/>
          <w:marTop w:val="0"/>
          <w:marBottom w:val="0"/>
          <w:divBdr>
            <w:top w:val="none" w:sz="0" w:space="0" w:color="auto"/>
            <w:left w:val="none" w:sz="0" w:space="0" w:color="auto"/>
            <w:bottom w:val="none" w:sz="0" w:space="0" w:color="auto"/>
            <w:right w:val="none" w:sz="0" w:space="0" w:color="auto"/>
          </w:divBdr>
        </w:div>
        <w:div w:id="1240629194">
          <w:marLeft w:val="0"/>
          <w:marRight w:val="0"/>
          <w:marTop w:val="0"/>
          <w:marBottom w:val="0"/>
          <w:divBdr>
            <w:top w:val="none" w:sz="0" w:space="0" w:color="auto"/>
            <w:left w:val="none" w:sz="0" w:space="0" w:color="auto"/>
            <w:bottom w:val="none" w:sz="0" w:space="0" w:color="auto"/>
            <w:right w:val="none" w:sz="0" w:space="0" w:color="auto"/>
          </w:divBdr>
        </w:div>
        <w:div w:id="1396320465">
          <w:marLeft w:val="0"/>
          <w:marRight w:val="0"/>
          <w:marTop w:val="0"/>
          <w:marBottom w:val="0"/>
          <w:divBdr>
            <w:top w:val="none" w:sz="0" w:space="0" w:color="auto"/>
            <w:left w:val="none" w:sz="0" w:space="0" w:color="auto"/>
            <w:bottom w:val="none" w:sz="0" w:space="0" w:color="auto"/>
            <w:right w:val="none" w:sz="0" w:space="0" w:color="auto"/>
          </w:divBdr>
        </w:div>
        <w:div w:id="1543590409">
          <w:marLeft w:val="0"/>
          <w:marRight w:val="0"/>
          <w:marTop w:val="0"/>
          <w:marBottom w:val="0"/>
          <w:divBdr>
            <w:top w:val="none" w:sz="0" w:space="0" w:color="auto"/>
            <w:left w:val="none" w:sz="0" w:space="0" w:color="auto"/>
            <w:bottom w:val="none" w:sz="0" w:space="0" w:color="auto"/>
            <w:right w:val="none" w:sz="0" w:space="0" w:color="auto"/>
          </w:divBdr>
        </w:div>
        <w:div w:id="2087215748">
          <w:marLeft w:val="0"/>
          <w:marRight w:val="0"/>
          <w:marTop w:val="0"/>
          <w:marBottom w:val="0"/>
          <w:divBdr>
            <w:top w:val="none" w:sz="0" w:space="0" w:color="auto"/>
            <w:left w:val="none" w:sz="0" w:space="0" w:color="auto"/>
            <w:bottom w:val="none" w:sz="0" w:space="0" w:color="auto"/>
            <w:right w:val="none" w:sz="0" w:space="0" w:color="auto"/>
          </w:divBdr>
        </w:div>
      </w:divsChild>
    </w:div>
    <w:div w:id="1467967577">
      <w:bodyDiv w:val="1"/>
      <w:marLeft w:val="0"/>
      <w:marRight w:val="0"/>
      <w:marTop w:val="0"/>
      <w:marBottom w:val="0"/>
      <w:divBdr>
        <w:top w:val="none" w:sz="0" w:space="0" w:color="auto"/>
        <w:left w:val="none" w:sz="0" w:space="0" w:color="auto"/>
        <w:bottom w:val="none" w:sz="0" w:space="0" w:color="auto"/>
        <w:right w:val="none" w:sz="0" w:space="0" w:color="auto"/>
      </w:divBdr>
      <w:divsChild>
        <w:div w:id="110438552">
          <w:marLeft w:val="0"/>
          <w:marRight w:val="0"/>
          <w:marTop w:val="0"/>
          <w:marBottom w:val="0"/>
          <w:divBdr>
            <w:top w:val="none" w:sz="0" w:space="0" w:color="auto"/>
            <w:left w:val="none" w:sz="0" w:space="0" w:color="auto"/>
            <w:bottom w:val="none" w:sz="0" w:space="0" w:color="auto"/>
            <w:right w:val="none" w:sz="0" w:space="0" w:color="auto"/>
          </w:divBdr>
        </w:div>
        <w:div w:id="800147655">
          <w:marLeft w:val="0"/>
          <w:marRight w:val="0"/>
          <w:marTop w:val="0"/>
          <w:marBottom w:val="0"/>
          <w:divBdr>
            <w:top w:val="none" w:sz="0" w:space="0" w:color="auto"/>
            <w:left w:val="none" w:sz="0" w:space="0" w:color="auto"/>
            <w:bottom w:val="none" w:sz="0" w:space="0" w:color="auto"/>
            <w:right w:val="none" w:sz="0" w:space="0" w:color="auto"/>
          </w:divBdr>
        </w:div>
        <w:div w:id="1088190046">
          <w:marLeft w:val="0"/>
          <w:marRight w:val="0"/>
          <w:marTop w:val="0"/>
          <w:marBottom w:val="0"/>
          <w:divBdr>
            <w:top w:val="none" w:sz="0" w:space="0" w:color="auto"/>
            <w:left w:val="none" w:sz="0" w:space="0" w:color="auto"/>
            <w:bottom w:val="none" w:sz="0" w:space="0" w:color="auto"/>
            <w:right w:val="none" w:sz="0" w:space="0" w:color="auto"/>
          </w:divBdr>
        </w:div>
        <w:div w:id="1157841716">
          <w:marLeft w:val="0"/>
          <w:marRight w:val="0"/>
          <w:marTop w:val="0"/>
          <w:marBottom w:val="0"/>
          <w:divBdr>
            <w:top w:val="none" w:sz="0" w:space="0" w:color="auto"/>
            <w:left w:val="none" w:sz="0" w:space="0" w:color="auto"/>
            <w:bottom w:val="none" w:sz="0" w:space="0" w:color="auto"/>
            <w:right w:val="none" w:sz="0" w:space="0" w:color="auto"/>
          </w:divBdr>
        </w:div>
        <w:div w:id="2078090745">
          <w:marLeft w:val="0"/>
          <w:marRight w:val="0"/>
          <w:marTop w:val="0"/>
          <w:marBottom w:val="0"/>
          <w:divBdr>
            <w:top w:val="none" w:sz="0" w:space="0" w:color="auto"/>
            <w:left w:val="none" w:sz="0" w:space="0" w:color="auto"/>
            <w:bottom w:val="none" w:sz="0" w:space="0" w:color="auto"/>
            <w:right w:val="none" w:sz="0" w:space="0" w:color="auto"/>
          </w:divBdr>
        </w:div>
      </w:divsChild>
    </w:div>
    <w:div w:id="1487280356">
      <w:bodyDiv w:val="1"/>
      <w:marLeft w:val="0"/>
      <w:marRight w:val="0"/>
      <w:marTop w:val="0"/>
      <w:marBottom w:val="0"/>
      <w:divBdr>
        <w:top w:val="none" w:sz="0" w:space="0" w:color="auto"/>
        <w:left w:val="none" w:sz="0" w:space="0" w:color="auto"/>
        <w:bottom w:val="none" w:sz="0" w:space="0" w:color="auto"/>
        <w:right w:val="none" w:sz="0" w:space="0" w:color="auto"/>
      </w:divBdr>
      <w:divsChild>
        <w:div w:id="1754012823">
          <w:marLeft w:val="0"/>
          <w:marRight w:val="0"/>
          <w:marTop w:val="0"/>
          <w:marBottom w:val="0"/>
          <w:divBdr>
            <w:top w:val="none" w:sz="0" w:space="0" w:color="auto"/>
            <w:left w:val="none" w:sz="0" w:space="0" w:color="auto"/>
            <w:bottom w:val="none" w:sz="0" w:space="0" w:color="auto"/>
            <w:right w:val="none" w:sz="0" w:space="0" w:color="auto"/>
          </w:divBdr>
        </w:div>
      </w:divsChild>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sChild>
        <w:div w:id="255944994">
          <w:marLeft w:val="0"/>
          <w:marRight w:val="0"/>
          <w:marTop w:val="0"/>
          <w:marBottom w:val="0"/>
          <w:divBdr>
            <w:top w:val="none" w:sz="0" w:space="0" w:color="auto"/>
            <w:left w:val="none" w:sz="0" w:space="0" w:color="auto"/>
            <w:bottom w:val="none" w:sz="0" w:space="0" w:color="auto"/>
            <w:right w:val="none" w:sz="0" w:space="0" w:color="auto"/>
          </w:divBdr>
        </w:div>
        <w:div w:id="358700921">
          <w:marLeft w:val="0"/>
          <w:marRight w:val="0"/>
          <w:marTop w:val="0"/>
          <w:marBottom w:val="0"/>
          <w:divBdr>
            <w:top w:val="none" w:sz="0" w:space="0" w:color="auto"/>
            <w:left w:val="none" w:sz="0" w:space="0" w:color="auto"/>
            <w:bottom w:val="none" w:sz="0" w:space="0" w:color="auto"/>
            <w:right w:val="none" w:sz="0" w:space="0" w:color="auto"/>
          </w:divBdr>
        </w:div>
        <w:div w:id="648022476">
          <w:marLeft w:val="0"/>
          <w:marRight w:val="0"/>
          <w:marTop w:val="0"/>
          <w:marBottom w:val="0"/>
          <w:divBdr>
            <w:top w:val="none" w:sz="0" w:space="0" w:color="auto"/>
            <w:left w:val="none" w:sz="0" w:space="0" w:color="auto"/>
            <w:bottom w:val="none" w:sz="0" w:space="0" w:color="auto"/>
            <w:right w:val="none" w:sz="0" w:space="0" w:color="auto"/>
          </w:divBdr>
        </w:div>
        <w:div w:id="900602717">
          <w:marLeft w:val="0"/>
          <w:marRight w:val="0"/>
          <w:marTop w:val="0"/>
          <w:marBottom w:val="0"/>
          <w:divBdr>
            <w:top w:val="none" w:sz="0" w:space="0" w:color="auto"/>
            <w:left w:val="none" w:sz="0" w:space="0" w:color="auto"/>
            <w:bottom w:val="none" w:sz="0" w:space="0" w:color="auto"/>
            <w:right w:val="none" w:sz="0" w:space="0" w:color="auto"/>
          </w:divBdr>
        </w:div>
        <w:div w:id="1049915264">
          <w:marLeft w:val="0"/>
          <w:marRight w:val="0"/>
          <w:marTop w:val="0"/>
          <w:marBottom w:val="0"/>
          <w:divBdr>
            <w:top w:val="none" w:sz="0" w:space="0" w:color="auto"/>
            <w:left w:val="none" w:sz="0" w:space="0" w:color="auto"/>
            <w:bottom w:val="none" w:sz="0" w:space="0" w:color="auto"/>
            <w:right w:val="none" w:sz="0" w:space="0" w:color="auto"/>
          </w:divBdr>
        </w:div>
        <w:div w:id="1437749588">
          <w:marLeft w:val="0"/>
          <w:marRight w:val="0"/>
          <w:marTop w:val="0"/>
          <w:marBottom w:val="0"/>
          <w:divBdr>
            <w:top w:val="none" w:sz="0" w:space="0" w:color="auto"/>
            <w:left w:val="none" w:sz="0" w:space="0" w:color="auto"/>
            <w:bottom w:val="none" w:sz="0" w:space="0" w:color="auto"/>
            <w:right w:val="none" w:sz="0" w:space="0" w:color="auto"/>
          </w:divBdr>
        </w:div>
        <w:div w:id="1481573689">
          <w:marLeft w:val="0"/>
          <w:marRight w:val="0"/>
          <w:marTop w:val="0"/>
          <w:marBottom w:val="0"/>
          <w:divBdr>
            <w:top w:val="none" w:sz="0" w:space="0" w:color="auto"/>
            <w:left w:val="none" w:sz="0" w:space="0" w:color="auto"/>
            <w:bottom w:val="none" w:sz="0" w:space="0" w:color="auto"/>
            <w:right w:val="none" w:sz="0" w:space="0" w:color="auto"/>
          </w:divBdr>
        </w:div>
        <w:div w:id="1534532309">
          <w:marLeft w:val="0"/>
          <w:marRight w:val="0"/>
          <w:marTop w:val="0"/>
          <w:marBottom w:val="0"/>
          <w:divBdr>
            <w:top w:val="none" w:sz="0" w:space="0" w:color="auto"/>
            <w:left w:val="none" w:sz="0" w:space="0" w:color="auto"/>
            <w:bottom w:val="none" w:sz="0" w:space="0" w:color="auto"/>
            <w:right w:val="none" w:sz="0" w:space="0" w:color="auto"/>
          </w:divBdr>
        </w:div>
        <w:div w:id="1579636968">
          <w:marLeft w:val="0"/>
          <w:marRight w:val="0"/>
          <w:marTop w:val="0"/>
          <w:marBottom w:val="0"/>
          <w:divBdr>
            <w:top w:val="none" w:sz="0" w:space="0" w:color="auto"/>
            <w:left w:val="none" w:sz="0" w:space="0" w:color="auto"/>
            <w:bottom w:val="none" w:sz="0" w:space="0" w:color="auto"/>
            <w:right w:val="none" w:sz="0" w:space="0" w:color="auto"/>
          </w:divBdr>
        </w:div>
        <w:div w:id="1914897198">
          <w:marLeft w:val="0"/>
          <w:marRight w:val="0"/>
          <w:marTop w:val="0"/>
          <w:marBottom w:val="0"/>
          <w:divBdr>
            <w:top w:val="none" w:sz="0" w:space="0" w:color="auto"/>
            <w:left w:val="none" w:sz="0" w:space="0" w:color="auto"/>
            <w:bottom w:val="none" w:sz="0" w:space="0" w:color="auto"/>
            <w:right w:val="none" w:sz="0" w:space="0" w:color="auto"/>
          </w:divBdr>
        </w:div>
        <w:div w:id="2040399096">
          <w:marLeft w:val="0"/>
          <w:marRight w:val="0"/>
          <w:marTop w:val="0"/>
          <w:marBottom w:val="0"/>
          <w:divBdr>
            <w:top w:val="none" w:sz="0" w:space="0" w:color="auto"/>
            <w:left w:val="none" w:sz="0" w:space="0" w:color="auto"/>
            <w:bottom w:val="none" w:sz="0" w:space="0" w:color="auto"/>
            <w:right w:val="none" w:sz="0" w:space="0" w:color="auto"/>
          </w:divBdr>
        </w:div>
      </w:divsChild>
    </w:div>
    <w:div w:id="1495493030">
      <w:bodyDiv w:val="1"/>
      <w:marLeft w:val="0"/>
      <w:marRight w:val="0"/>
      <w:marTop w:val="0"/>
      <w:marBottom w:val="0"/>
      <w:divBdr>
        <w:top w:val="none" w:sz="0" w:space="0" w:color="auto"/>
        <w:left w:val="none" w:sz="0" w:space="0" w:color="auto"/>
        <w:bottom w:val="none" w:sz="0" w:space="0" w:color="auto"/>
        <w:right w:val="none" w:sz="0" w:space="0" w:color="auto"/>
      </w:divBdr>
      <w:divsChild>
        <w:div w:id="74940059">
          <w:marLeft w:val="0"/>
          <w:marRight w:val="0"/>
          <w:marTop w:val="0"/>
          <w:marBottom w:val="0"/>
          <w:divBdr>
            <w:top w:val="none" w:sz="0" w:space="0" w:color="auto"/>
            <w:left w:val="none" w:sz="0" w:space="0" w:color="auto"/>
            <w:bottom w:val="none" w:sz="0" w:space="0" w:color="auto"/>
            <w:right w:val="none" w:sz="0" w:space="0" w:color="auto"/>
          </w:divBdr>
        </w:div>
        <w:div w:id="860243608">
          <w:marLeft w:val="0"/>
          <w:marRight w:val="0"/>
          <w:marTop w:val="0"/>
          <w:marBottom w:val="0"/>
          <w:divBdr>
            <w:top w:val="none" w:sz="0" w:space="0" w:color="auto"/>
            <w:left w:val="none" w:sz="0" w:space="0" w:color="auto"/>
            <w:bottom w:val="none" w:sz="0" w:space="0" w:color="auto"/>
            <w:right w:val="none" w:sz="0" w:space="0" w:color="auto"/>
          </w:divBdr>
        </w:div>
        <w:div w:id="930822426">
          <w:marLeft w:val="0"/>
          <w:marRight w:val="0"/>
          <w:marTop w:val="0"/>
          <w:marBottom w:val="0"/>
          <w:divBdr>
            <w:top w:val="none" w:sz="0" w:space="0" w:color="auto"/>
            <w:left w:val="none" w:sz="0" w:space="0" w:color="auto"/>
            <w:bottom w:val="none" w:sz="0" w:space="0" w:color="auto"/>
            <w:right w:val="none" w:sz="0" w:space="0" w:color="auto"/>
          </w:divBdr>
        </w:div>
        <w:div w:id="1065832050">
          <w:marLeft w:val="0"/>
          <w:marRight w:val="0"/>
          <w:marTop w:val="0"/>
          <w:marBottom w:val="0"/>
          <w:divBdr>
            <w:top w:val="none" w:sz="0" w:space="0" w:color="auto"/>
            <w:left w:val="none" w:sz="0" w:space="0" w:color="auto"/>
            <w:bottom w:val="none" w:sz="0" w:space="0" w:color="auto"/>
            <w:right w:val="none" w:sz="0" w:space="0" w:color="auto"/>
          </w:divBdr>
        </w:div>
        <w:div w:id="1069614486">
          <w:marLeft w:val="0"/>
          <w:marRight w:val="0"/>
          <w:marTop w:val="0"/>
          <w:marBottom w:val="0"/>
          <w:divBdr>
            <w:top w:val="none" w:sz="0" w:space="0" w:color="auto"/>
            <w:left w:val="none" w:sz="0" w:space="0" w:color="auto"/>
            <w:bottom w:val="none" w:sz="0" w:space="0" w:color="auto"/>
            <w:right w:val="none" w:sz="0" w:space="0" w:color="auto"/>
          </w:divBdr>
        </w:div>
        <w:div w:id="1112818604">
          <w:marLeft w:val="0"/>
          <w:marRight w:val="0"/>
          <w:marTop w:val="0"/>
          <w:marBottom w:val="0"/>
          <w:divBdr>
            <w:top w:val="none" w:sz="0" w:space="0" w:color="auto"/>
            <w:left w:val="none" w:sz="0" w:space="0" w:color="auto"/>
            <w:bottom w:val="none" w:sz="0" w:space="0" w:color="auto"/>
            <w:right w:val="none" w:sz="0" w:space="0" w:color="auto"/>
          </w:divBdr>
        </w:div>
        <w:div w:id="1154494971">
          <w:marLeft w:val="0"/>
          <w:marRight w:val="0"/>
          <w:marTop w:val="0"/>
          <w:marBottom w:val="0"/>
          <w:divBdr>
            <w:top w:val="none" w:sz="0" w:space="0" w:color="auto"/>
            <w:left w:val="none" w:sz="0" w:space="0" w:color="auto"/>
            <w:bottom w:val="none" w:sz="0" w:space="0" w:color="auto"/>
            <w:right w:val="none" w:sz="0" w:space="0" w:color="auto"/>
          </w:divBdr>
        </w:div>
        <w:div w:id="1245646955">
          <w:marLeft w:val="0"/>
          <w:marRight w:val="0"/>
          <w:marTop w:val="0"/>
          <w:marBottom w:val="0"/>
          <w:divBdr>
            <w:top w:val="none" w:sz="0" w:space="0" w:color="auto"/>
            <w:left w:val="none" w:sz="0" w:space="0" w:color="auto"/>
            <w:bottom w:val="none" w:sz="0" w:space="0" w:color="auto"/>
            <w:right w:val="none" w:sz="0" w:space="0" w:color="auto"/>
          </w:divBdr>
        </w:div>
        <w:div w:id="1380789086">
          <w:marLeft w:val="0"/>
          <w:marRight w:val="0"/>
          <w:marTop w:val="0"/>
          <w:marBottom w:val="0"/>
          <w:divBdr>
            <w:top w:val="none" w:sz="0" w:space="0" w:color="auto"/>
            <w:left w:val="none" w:sz="0" w:space="0" w:color="auto"/>
            <w:bottom w:val="none" w:sz="0" w:space="0" w:color="auto"/>
            <w:right w:val="none" w:sz="0" w:space="0" w:color="auto"/>
          </w:divBdr>
        </w:div>
        <w:div w:id="1492208658">
          <w:marLeft w:val="0"/>
          <w:marRight w:val="0"/>
          <w:marTop w:val="0"/>
          <w:marBottom w:val="0"/>
          <w:divBdr>
            <w:top w:val="none" w:sz="0" w:space="0" w:color="auto"/>
            <w:left w:val="none" w:sz="0" w:space="0" w:color="auto"/>
            <w:bottom w:val="none" w:sz="0" w:space="0" w:color="auto"/>
            <w:right w:val="none" w:sz="0" w:space="0" w:color="auto"/>
          </w:divBdr>
        </w:div>
        <w:div w:id="1579511837">
          <w:marLeft w:val="0"/>
          <w:marRight w:val="0"/>
          <w:marTop w:val="0"/>
          <w:marBottom w:val="0"/>
          <w:divBdr>
            <w:top w:val="none" w:sz="0" w:space="0" w:color="auto"/>
            <w:left w:val="none" w:sz="0" w:space="0" w:color="auto"/>
            <w:bottom w:val="none" w:sz="0" w:space="0" w:color="auto"/>
            <w:right w:val="none" w:sz="0" w:space="0" w:color="auto"/>
          </w:divBdr>
        </w:div>
        <w:div w:id="1877159570">
          <w:marLeft w:val="0"/>
          <w:marRight w:val="0"/>
          <w:marTop w:val="0"/>
          <w:marBottom w:val="0"/>
          <w:divBdr>
            <w:top w:val="none" w:sz="0" w:space="0" w:color="auto"/>
            <w:left w:val="none" w:sz="0" w:space="0" w:color="auto"/>
            <w:bottom w:val="none" w:sz="0" w:space="0" w:color="auto"/>
            <w:right w:val="none" w:sz="0" w:space="0" w:color="auto"/>
          </w:divBdr>
        </w:div>
        <w:div w:id="2081058866">
          <w:marLeft w:val="0"/>
          <w:marRight w:val="0"/>
          <w:marTop w:val="0"/>
          <w:marBottom w:val="0"/>
          <w:divBdr>
            <w:top w:val="none" w:sz="0" w:space="0" w:color="auto"/>
            <w:left w:val="none" w:sz="0" w:space="0" w:color="auto"/>
            <w:bottom w:val="none" w:sz="0" w:space="0" w:color="auto"/>
            <w:right w:val="none" w:sz="0" w:space="0" w:color="auto"/>
          </w:divBdr>
        </w:div>
      </w:divsChild>
    </w:div>
    <w:div w:id="1546333366">
      <w:bodyDiv w:val="1"/>
      <w:marLeft w:val="0"/>
      <w:marRight w:val="0"/>
      <w:marTop w:val="0"/>
      <w:marBottom w:val="0"/>
      <w:divBdr>
        <w:top w:val="none" w:sz="0" w:space="0" w:color="auto"/>
        <w:left w:val="none" w:sz="0" w:space="0" w:color="auto"/>
        <w:bottom w:val="none" w:sz="0" w:space="0" w:color="auto"/>
        <w:right w:val="none" w:sz="0" w:space="0" w:color="auto"/>
      </w:divBdr>
      <w:divsChild>
        <w:div w:id="59255906">
          <w:marLeft w:val="0"/>
          <w:marRight w:val="0"/>
          <w:marTop w:val="0"/>
          <w:marBottom w:val="0"/>
          <w:divBdr>
            <w:top w:val="none" w:sz="0" w:space="0" w:color="auto"/>
            <w:left w:val="none" w:sz="0" w:space="0" w:color="auto"/>
            <w:bottom w:val="none" w:sz="0" w:space="0" w:color="auto"/>
            <w:right w:val="none" w:sz="0" w:space="0" w:color="auto"/>
          </w:divBdr>
        </w:div>
        <w:div w:id="80563313">
          <w:marLeft w:val="0"/>
          <w:marRight w:val="0"/>
          <w:marTop w:val="0"/>
          <w:marBottom w:val="0"/>
          <w:divBdr>
            <w:top w:val="none" w:sz="0" w:space="0" w:color="auto"/>
            <w:left w:val="none" w:sz="0" w:space="0" w:color="auto"/>
            <w:bottom w:val="none" w:sz="0" w:space="0" w:color="auto"/>
            <w:right w:val="none" w:sz="0" w:space="0" w:color="auto"/>
          </w:divBdr>
        </w:div>
        <w:div w:id="482624309">
          <w:marLeft w:val="0"/>
          <w:marRight w:val="0"/>
          <w:marTop w:val="0"/>
          <w:marBottom w:val="0"/>
          <w:divBdr>
            <w:top w:val="none" w:sz="0" w:space="0" w:color="auto"/>
            <w:left w:val="none" w:sz="0" w:space="0" w:color="auto"/>
            <w:bottom w:val="none" w:sz="0" w:space="0" w:color="auto"/>
            <w:right w:val="none" w:sz="0" w:space="0" w:color="auto"/>
          </w:divBdr>
        </w:div>
        <w:div w:id="663701691">
          <w:marLeft w:val="0"/>
          <w:marRight w:val="0"/>
          <w:marTop w:val="0"/>
          <w:marBottom w:val="0"/>
          <w:divBdr>
            <w:top w:val="none" w:sz="0" w:space="0" w:color="auto"/>
            <w:left w:val="none" w:sz="0" w:space="0" w:color="auto"/>
            <w:bottom w:val="none" w:sz="0" w:space="0" w:color="auto"/>
            <w:right w:val="none" w:sz="0" w:space="0" w:color="auto"/>
          </w:divBdr>
        </w:div>
        <w:div w:id="964965099">
          <w:marLeft w:val="0"/>
          <w:marRight w:val="0"/>
          <w:marTop w:val="0"/>
          <w:marBottom w:val="0"/>
          <w:divBdr>
            <w:top w:val="none" w:sz="0" w:space="0" w:color="auto"/>
            <w:left w:val="none" w:sz="0" w:space="0" w:color="auto"/>
            <w:bottom w:val="none" w:sz="0" w:space="0" w:color="auto"/>
            <w:right w:val="none" w:sz="0" w:space="0" w:color="auto"/>
          </w:divBdr>
        </w:div>
        <w:div w:id="1344212505">
          <w:marLeft w:val="0"/>
          <w:marRight w:val="0"/>
          <w:marTop w:val="0"/>
          <w:marBottom w:val="0"/>
          <w:divBdr>
            <w:top w:val="none" w:sz="0" w:space="0" w:color="auto"/>
            <w:left w:val="none" w:sz="0" w:space="0" w:color="auto"/>
            <w:bottom w:val="none" w:sz="0" w:space="0" w:color="auto"/>
            <w:right w:val="none" w:sz="0" w:space="0" w:color="auto"/>
          </w:divBdr>
        </w:div>
        <w:div w:id="1653094718">
          <w:marLeft w:val="0"/>
          <w:marRight w:val="0"/>
          <w:marTop w:val="0"/>
          <w:marBottom w:val="0"/>
          <w:divBdr>
            <w:top w:val="none" w:sz="0" w:space="0" w:color="auto"/>
            <w:left w:val="none" w:sz="0" w:space="0" w:color="auto"/>
            <w:bottom w:val="none" w:sz="0" w:space="0" w:color="auto"/>
            <w:right w:val="none" w:sz="0" w:space="0" w:color="auto"/>
          </w:divBdr>
        </w:div>
      </w:divsChild>
    </w:div>
    <w:div w:id="1560676528">
      <w:bodyDiv w:val="1"/>
      <w:marLeft w:val="0"/>
      <w:marRight w:val="0"/>
      <w:marTop w:val="0"/>
      <w:marBottom w:val="0"/>
      <w:divBdr>
        <w:top w:val="none" w:sz="0" w:space="0" w:color="auto"/>
        <w:left w:val="none" w:sz="0" w:space="0" w:color="auto"/>
        <w:bottom w:val="none" w:sz="0" w:space="0" w:color="auto"/>
        <w:right w:val="none" w:sz="0" w:space="0" w:color="auto"/>
      </w:divBdr>
      <w:divsChild>
        <w:div w:id="1135635557">
          <w:marLeft w:val="0"/>
          <w:marRight w:val="0"/>
          <w:marTop w:val="0"/>
          <w:marBottom w:val="0"/>
          <w:divBdr>
            <w:top w:val="none" w:sz="0" w:space="0" w:color="auto"/>
            <w:left w:val="none" w:sz="0" w:space="0" w:color="auto"/>
            <w:bottom w:val="none" w:sz="0" w:space="0" w:color="auto"/>
            <w:right w:val="none" w:sz="0" w:space="0" w:color="auto"/>
          </w:divBdr>
        </w:div>
        <w:div w:id="1738090915">
          <w:marLeft w:val="0"/>
          <w:marRight w:val="0"/>
          <w:marTop w:val="0"/>
          <w:marBottom w:val="0"/>
          <w:divBdr>
            <w:top w:val="none" w:sz="0" w:space="0" w:color="auto"/>
            <w:left w:val="none" w:sz="0" w:space="0" w:color="auto"/>
            <w:bottom w:val="none" w:sz="0" w:space="0" w:color="auto"/>
            <w:right w:val="none" w:sz="0" w:space="0" w:color="auto"/>
          </w:divBdr>
        </w:div>
        <w:div w:id="1947230258">
          <w:marLeft w:val="0"/>
          <w:marRight w:val="0"/>
          <w:marTop w:val="0"/>
          <w:marBottom w:val="0"/>
          <w:divBdr>
            <w:top w:val="none" w:sz="0" w:space="0" w:color="auto"/>
            <w:left w:val="none" w:sz="0" w:space="0" w:color="auto"/>
            <w:bottom w:val="none" w:sz="0" w:space="0" w:color="auto"/>
            <w:right w:val="none" w:sz="0" w:space="0" w:color="auto"/>
          </w:divBdr>
        </w:div>
        <w:div w:id="1948465088">
          <w:marLeft w:val="0"/>
          <w:marRight w:val="0"/>
          <w:marTop w:val="0"/>
          <w:marBottom w:val="0"/>
          <w:divBdr>
            <w:top w:val="none" w:sz="0" w:space="0" w:color="auto"/>
            <w:left w:val="none" w:sz="0" w:space="0" w:color="auto"/>
            <w:bottom w:val="none" w:sz="0" w:space="0" w:color="auto"/>
            <w:right w:val="none" w:sz="0" w:space="0" w:color="auto"/>
          </w:divBdr>
        </w:div>
        <w:div w:id="2008899289">
          <w:marLeft w:val="0"/>
          <w:marRight w:val="0"/>
          <w:marTop w:val="0"/>
          <w:marBottom w:val="0"/>
          <w:divBdr>
            <w:top w:val="none" w:sz="0" w:space="0" w:color="auto"/>
            <w:left w:val="none" w:sz="0" w:space="0" w:color="auto"/>
            <w:bottom w:val="none" w:sz="0" w:space="0" w:color="auto"/>
            <w:right w:val="none" w:sz="0" w:space="0" w:color="auto"/>
          </w:divBdr>
        </w:div>
      </w:divsChild>
    </w:div>
    <w:div w:id="1594585179">
      <w:bodyDiv w:val="1"/>
      <w:marLeft w:val="0"/>
      <w:marRight w:val="0"/>
      <w:marTop w:val="0"/>
      <w:marBottom w:val="0"/>
      <w:divBdr>
        <w:top w:val="none" w:sz="0" w:space="0" w:color="auto"/>
        <w:left w:val="none" w:sz="0" w:space="0" w:color="auto"/>
        <w:bottom w:val="none" w:sz="0" w:space="0" w:color="auto"/>
        <w:right w:val="none" w:sz="0" w:space="0" w:color="auto"/>
      </w:divBdr>
      <w:divsChild>
        <w:div w:id="425351063">
          <w:marLeft w:val="0"/>
          <w:marRight w:val="0"/>
          <w:marTop w:val="0"/>
          <w:marBottom w:val="0"/>
          <w:divBdr>
            <w:top w:val="none" w:sz="0" w:space="0" w:color="auto"/>
            <w:left w:val="none" w:sz="0" w:space="0" w:color="auto"/>
            <w:bottom w:val="none" w:sz="0" w:space="0" w:color="auto"/>
            <w:right w:val="none" w:sz="0" w:space="0" w:color="auto"/>
          </w:divBdr>
        </w:div>
        <w:div w:id="495076892">
          <w:marLeft w:val="0"/>
          <w:marRight w:val="0"/>
          <w:marTop w:val="0"/>
          <w:marBottom w:val="0"/>
          <w:divBdr>
            <w:top w:val="none" w:sz="0" w:space="0" w:color="auto"/>
            <w:left w:val="none" w:sz="0" w:space="0" w:color="auto"/>
            <w:bottom w:val="none" w:sz="0" w:space="0" w:color="auto"/>
            <w:right w:val="none" w:sz="0" w:space="0" w:color="auto"/>
          </w:divBdr>
        </w:div>
        <w:div w:id="1282035561">
          <w:marLeft w:val="0"/>
          <w:marRight w:val="0"/>
          <w:marTop w:val="0"/>
          <w:marBottom w:val="0"/>
          <w:divBdr>
            <w:top w:val="none" w:sz="0" w:space="0" w:color="auto"/>
            <w:left w:val="none" w:sz="0" w:space="0" w:color="auto"/>
            <w:bottom w:val="none" w:sz="0" w:space="0" w:color="auto"/>
            <w:right w:val="none" w:sz="0" w:space="0" w:color="auto"/>
          </w:divBdr>
        </w:div>
        <w:div w:id="1344241025">
          <w:marLeft w:val="0"/>
          <w:marRight w:val="0"/>
          <w:marTop w:val="0"/>
          <w:marBottom w:val="0"/>
          <w:divBdr>
            <w:top w:val="none" w:sz="0" w:space="0" w:color="auto"/>
            <w:left w:val="none" w:sz="0" w:space="0" w:color="auto"/>
            <w:bottom w:val="none" w:sz="0" w:space="0" w:color="auto"/>
            <w:right w:val="none" w:sz="0" w:space="0" w:color="auto"/>
          </w:divBdr>
        </w:div>
      </w:divsChild>
    </w:div>
    <w:div w:id="1597402966">
      <w:bodyDiv w:val="1"/>
      <w:marLeft w:val="0"/>
      <w:marRight w:val="0"/>
      <w:marTop w:val="0"/>
      <w:marBottom w:val="0"/>
      <w:divBdr>
        <w:top w:val="none" w:sz="0" w:space="0" w:color="auto"/>
        <w:left w:val="none" w:sz="0" w:space="0" w:color="auto"/>
        <w:bottom w:val="none" w:sz="0" w:space="0" w:color="auto"/>
        <w:right w:val="none" w:sz="0" w:space="0" w:color="auto"/>
      </w:divBdr>
      <w:divsChild>
        <w:div w:id="257907260">
          <w:marLeft w:val="0"/>
          <w:marRight w:val="0"/>
          <w:marTop w:val="0"/>
          <w:marBottom w:val="0"/>
          <w:divBdr>
            <w:top w:val="none" w:sz="0" w:space="0" w:color="auto"/>
            <w:left w:val="none" w:sz="0" w:space="0" w:color="auto"/>
            <w:bottom w:val="none" w:sz="0" w:space="0" w:color="auto"/>
            <w:right w:val="none" w:sz="0" w:space="0" w:color="auto"/>
          </w:divBdr>
        </w:div>
        <w:div w:id="323826886">
          <w:marLeft w:val="0"/>
          <w:marRight w:val="0"/>
          <w:marTop w:val="0"/>
          <w:marBottom w:val="0"/>
          <w:divBdr>
            <w:top w:val="none" w:sz="0" w:space="0" w:color="auto"/>
            <w:left w:val="none" w:sz="0" w:space="0" w:color="auto"/>
            <w:bottom w:val="none" w:sz="0" w:space="0" w:color="auto"/>
            <w:right w:val="none" w:sz="0" w:space="0" w:color="auto"/>
          </w:divBdr>
        </w:div>
        <w:div w:id="511800282">
          <w:marLeft w:val="0"/>
          <w:marRight w:val="0"/>
          <w:marTop w:val="0"/>
          <w:marBottom w:val="0"/>
          <w:divBdr>
            <w:top w:val="none" w:sz="0" w:space="0" w:color="auto"/>
            <w:left w:val="none" w:sz="0" w:space="0" w:color="auto"/>
            <w:bottom w:val="none" w:sz="0" w:space="0" w:color="auto"/>
            <w:right w:val="none" w:sz="0" w:space="0" w:color="auto"/>
          </w:divBdr>
          <w:divsChild>
            <w:div w:id="214633193">
              <w:marLeft w:val="0"/>
              <w:marRight w:val="0"/>
              <w:marTop w:val="0"/>
              <w:marBottom w:val="0"/>
              <w:divBdr>
                <w:top w:val="none" w:sz="0" w:space="0" w:color="auto"/>
                <w:left w:val="none" w:sz="0" w:space="0" w:color="auto"/>
                <w:bottom w:val="none" w:sz="0" w:space="0" w:color="auto"/>
                <w:right w:val="none" w:sz="0" w:space="0" w:color="auto"/>
              </w:divBdr>
            </w:div>
            <w:div w:id="471482948">
              <w:marLeft w:val="0"/>
              <w:marRight w:val="0"/>
              <w:marTop w:val="0"/>
              <w:marBottom w:val="0"/>
              <w:divBdr>
                <w:top w:val="none" w:sz="0" w:space="0" w:color="auto"/>
                <w:left w:val="none" w:sz="0" w:space="0" w:color="auto"/>
                <w:bottom w:val="none" w:sz="0" w:space="0" w:color="auto"/>
                <w:right w:val="none" w:sz="0" w:space="0" w:color="auto"/>
              </w:divBdr>
            </w:div>
            <w:div w:id="972056021">
              <w:marLeft w:val="0"/>
              <w:marRight w:val="0"/>
              <w:marTop w:val="0"/>
              <w:marBottom w:val="0"/>
              <w:divBdr>
                <w:top w:val="none" w:sz="0" w:space="0" w:color="auto"/>
                <w:left w:val="none" w:sz="0" w:space="0" w:color="auto"/>
                <w:bottom w:val="none" w:sz="0" w:space="0" w:color="auto"/>
                <w:right w:val="none" w:sz="0" w:space="0" w:color="auto"/>
              </w:divBdr>
            </w:div>
            <w:div w:id="1008600047">
              <w:marLeft w:val="0"/>
              <w:marRight w:val="0"/>
              <w:marTop w:val="0"/>
              <w:marBottom w:val="0"/>
              <w:divBdr>
                <w:top w:val="none" w:sz="0" w:space="0" w:color="auto"/>
                <w:left w:val="none" w:sz="0" w:space="0" w:color="auto"/>
                <w:bottom w:val="none" w:sz="0" w:space="0" w:color="auto"/>
                <w:right w:val="none" w:sz="0" w:space="0" w:color="auto"/>
              </w:divBdr>
            </w:div>
            <w:div w:id="1416172389">
              <w:marLeft w:val="0"/>
              <w:marRight w:val="0"/>
              <w:marTop w:val="0"/>
              <w:marBottom w:val="0"/>
              <w:divBdr>
                <w:top w:val="none" w:sz="0" w:space="0" w:color="auto"/>
                <w:left w:val="none" w:sz="0" w:space="0" w:color="auto"/>
                <w:bottom w:val="none" w:sz="0" w:space="0" w:color="auto"/>
                <w:right w:val="none" w:sz="0" w:space="0" w:color="auto"/>
              </w:divBdr>
            </w:div>
          </w:divsChild>
        </w:div>
        <w:div w:id="632100448">
          <w:marLeft w:val="0"/>
          <w:marRight w:val="0"/>
          <w:marTop w:val="0"/>
          <w:marBottom w:val="0"/>
          <w:divBdr>
            <w:top w:val="none" w:sz="0" w:space="0" w:color="auto"/>
            <w:left w:val="none" w:sz="0" w:space="0" w:color="auto"/>
            <w:bottom w:val="none" w:sz="0" w:space="0" w:color="auto"/>
            <w:right w:val="none" w:sz="0" w:space="0" w:color="auto"/>
          </w:divBdr>
        </w:div>
        <w:div w:id="1637182695">
          <w:marLeft w:val="0"/>
          <w:marRight w:val="0"/>
          <w:marTop w:val="0"/>
          <w:marBottom w:val="0"/>
          <w:divBdr>
            <w:top w:val="none" w:sz="0" w:space="0" w:color="auto"/>
            <w:left w:val="none" w:sz="0" w:space="0" w:color="auto"/>
            <w:bottom w:val="none" w:sz="0" w:space="0" w:color="auto"/>
            <w:right w:val="none" w:sz="0" w:space="0" w:color="auto"/>
          </w:divBdr>
        </w:div>
        <w:div w:id="1835760655">
          <w:marLeft w:val="0"/>
          <w:marRight w:val="0"/>
          <w:marTop w:val="0"/>
          <w:marBottom w:val="0"/>
          <w:divBdr>
            <w:top w:val="none" w:sz="0" w:space="0" w:color="auto"/>
            <w:left w:val="none" w:sz="0" w:space="0" w:color="auto"/>
            <w:bottom w:val="none" w:sz="0" w:space="0" w:color="auto"/>
            <w:right w:val="none" w:sz="0" w:space="0" w:color="auto"/>
          </w:divBdr>
        </w:div>
        <w:div w:id="2035954485">
          <w:marLeft w:val="0"/>
          <w:marRight w:val="0"/>
          <w:marTop w:val="0"/>
          <w:marBottom w:val="0"/>
          <w:divBdr>
            <w:top w:val="none" w:sz="0" w:space="0" w:color="auto"/>
            <w:left w:val="none" w:sz="0" w:space="0" w:color="auto"/>
            <w:bottom w:val="none" w:sz="0" w:space="0" w:color="auto"/>
            <w:right w:val="none" w:sz="0" w:space="0" w:color="auto"/>
          </w:divBdr>
        </w:div>
      </w:divsChild>
    </w:div>
    <w:div w:id="1614512047">
      <w:bodyDiv w:val="1"/>
      <w:marLeft w:val="0"/>
      <w:marRight w:val="0"/>
      <w:marTop w:val="0"/>
      <w:marBottom w:val="0"/>
      <w:divBdr>
        <w:top w:val="none" w:sz="0" w:space="0" w:color="auto"/>
        <w:left w:val="none" w:sz="0" w:space="0" w:color="auto"/>
        <w:bottom w:val="none" w:sz="0" w:space="0" w:color="auto"/>
        <w:right w:val="none" w:sz="0" w:space="0" w:color="auto"/>
      </w:divBdr>
      <w:divsChild>
        <w:div w:id="172575344">
          <w:marLeft w:val="0"/>
          <w:marRight w:val="0"/>
          <w:marTop w:val="0"/>
          <w:marBottom w:val="0"/>
          <w:divBdr>
            <w:top w:val="none" w:sz="0" w:space="0" w:color="auto"/>
            <w:left w:val="none" w:sz="0" w:space="0" w:color="auto"/>
            <w:bottom w:val="none" w:sz="0" w:space="0" w:color="auto"/>
            <w:right w:val="none" w:sz="0" w:space="0" w:color="auto"/>
          </w:divBdr>
        </w:div>
        <w:div w:id="195777603">
          <w:marLeft w:val="0"/>
          <w:marRight w:val="0"/>
          <w:marTop w:val="0"/>
          <w:marBottom w:val="0"/>
          <w:divBdr>
            <w:top w:val="none" w:sz="0" w:space="0" w:color="auto"/>
            <w:left w:val="none" w:sz="0" w:space="0" w:color="auto"/>
            <w:bottom w:val="none" w:sz="0" w:space="0" w:color="auto"/>
            <w:right w:val="none" w:sz="0" w:space="0" w:color="auto"/>
          </w:divBdr>
        </w:div>
        <w:div w:id="681903907">
          <w:marLeft w:val="0"/>
          <w:marRight w:val="0"/>
          <w:marTop w:val="0"/>
          <w:marBottom w:val="0"/>
          <w:divBdr>
            <w:top w:val="none" w:sz="0" w:space="0" w:color="auto"/>
            <w:left w:val="none" w:sz="0" w:space="0" w:color="auto"/>
            <w:bottom w:val="none" w:sz="0" w:space="0" w:color="auto"/>
            <w:right w:val="none" w:sz="0" w:space="0" w:color="auto"/>
          </w:divBdr>
        </w:div>
        <w:div w:id="1168639146">
          <w:marLeft w:val="0"/>
          <w:marRight w:val="0"/>
          <w:marTop w:val="0"/>
          <w:marBottom w:val="0"/>
          <w:divBdr>
            <w:top w:val="none" w:sz="0" w:space="0" w:color="auto"/>
            <w:left w:val="none" w:sz="0" w:space="0" w:color="auto"/>
            <w:bottom w:val="none" w:sz="0" w:space="0" w:color="auto"/>
            <w:right w:val="none" w:sz="0" w:space="0" w:color="auto"/>
          </w:divBdr>
        </w:div>
        <w:div w:id="1391075107">
          <w:marLeft w:val="0"/>
          <w:marRight w:val="0"/>
          <w:marTop w:val="0"/>
          <w:marBottom w:val="0"/>
          <w:divBdr>
            <w:top w:val="none" w:sz="0" w:space="0" w:color="auto"/>
            <w:left w:val="none" w:sz="0" w:space="0" w:color="auto"/>
            <w:bottom w:val="none" w:sz="0" w:space="0" w:color="auto"/>
            <w:right w:val="none" w:sz="0" w:space="0" w:color="auto"/>
          </w:divBdr>
        </w:div>
        <w:div w:id="1433090459">
          <w:marLeft w:val="0"/>
          <w:marRight w:val="0"/>
          <w:marTop w:val="0"/>
          <w:marBottom w:val="0"/>
          <w:divBdr>
            <w:top w:val="none" w:sz="0" w:space="0" w:color="auto"/>
            <w:left w:val="none" w:sz="0" w:space="0" w:color="auto"/>
            <w:bottom w:val="none" w:sz="0" w:space="0" w:color="auto"/>
            <w:right w:val="none" w:sz="0" w:space="0" w:color="auto"/>
          </w:divBdr>
        </w:div>
        <w:div w:id="2068648940">
          <w:marLeft w:val="0"/>
          <w:marRight w:val="0"/>
          <w:marTop w:val="0"/>
          <w:marBottom w:val="0"/>
          <w:divBdr>
            <w:top w:val="none" w:sz="0" w:space="0" w:color="auto"/>
            <w:left w:val="none" w:sz="0" w:space="0" w:color="auto"/>
            <w:bottom w:val="none" w:sz="0" w:space="0" w:color="auto"/>
            <w:right w:val="none" w:sz="0" w:space="0" w:color="auto"/>
          </w:divBdr>
        </w:div>
      </w:divsChild>
    </w:div>
    <w:div w:id="1689218002">
      <w:bodyDiv w:val="1"/>
      <w:marLeft w:val="0"/>
      <w:marRight w:val="0"/>
      <w:marTop w:val="0"/>
      <w:marBottom w:val="0"/>
      <w:divBdr>
        <w:top w:val="none" w:sz="0" w:space="0" w:color="auto"/>
        <w:left w:val="none" w:sz="0" w:space="0" w:color="auto"/>
        <w:bottom w:val="none" w:sz="0" w:space="0" w:color="auto"/>
        <w:right w:val="none" w:sz="0" w:space="0" w:color="auto"/>
      </w:divBdr>
      <w:divsChild>
        <w:div w:id="62486479">
          <w:marLeft w:val="0"/>
          <w:marRight w:val="0"/>
          <w:marTop w:val="0"/>
          <w:marBottom w:val="0"/>
          <w:divBdr>
            <w:top w:val="none" w:sz="0" w:space="0" w:color="auto"/>
            <w:left w:val="none" w:sz="0" w:space="0" w:color="auto"/>
            <w:bottom w:val="none" w:sz="0" w:space="0" w:color="auto"/>
            <w:right w:val="none" w:sz="0" w:space="0" w:color="auto"/>
          </w:divBdr>
        </w:div>
        <w:div w:id="90199870">
          <w:marLeft w:val="0"/>
          <w:marRight w:val="0"/>
          <w:marTop w:val="0"/>
          <w:marBottom w:val="0"/>
          <w:divBdr>
            <w:top w:val="none" w:sz="0" w:space="0" w:color="auto"/>
            <w:left w:val="none" w:sz="0" w:space="0" w:color="auto"/>
            <w:bottom w:val="none" w:sz="0" w:space="0" w:color="auto"/>
            <w:right w:val="none" w:sz="0" w:space="0" w:color="auto"/>
          </w:divBdr>
        </w:div>
        <w:div w:id="313263229">
          <w:marLeft w:val="0"/>
          <w:marRight w:val="0"/>
          <w:marTop w:val="0"/>
          <w:marBottom w:val="0"/>
          <w:divBdr>
            <w:top w:val="none" w:sz="0" w:space="0" w:color="auto"/>
            <w:left w:val="none" w:sz="0" w:space="0" w:color="auto"/>
            <w:bottom w:val="none" w:sz="0" w:space="0" w:color="auto"/>
            <w:right w:val="none" w:sz="0" w:space="0" w:color="auto"/>
          </w:divBdr>
        </w:div>
        <w:div w:id="754864703">
          <w:marLeft w:val="0"/>
          <w:marRight w:val="0"/>
          <w:marTop w:val="0"/>
          <w:marBottom w:val="0"/>
          <w:divBdr>
            <w:top w:val="none" w:sz="0" w:space="0" w:color="auto"/>
            <w:left w:val="none" w:sz="0" w:space="0" w:color="auto"/>
            <w:bottom w:val="none" w:sz="0" w:space="0" w:color="auto"/>
            <w:right w:val="none" w:sz="0" w:space="0" w:color="auto"/>
          </w:divBdr>
        </w:div>
        <w:div w:id="781924786">
          <w:marLeft w:val="0"/>
          <w:marRight w:val="0"/>
          <w:marTop w:val="0"/>
          <w:marBottom w:val="0"/>
          <w:divBdr>
            <w:top w:val="none" w:sz="0" w:space="0" w:color="auto"/>
            <w:left w:val="none" w:sz="0" w:space="0" w:color="auto"/>
            <w:bottom w:val="none" w:sz="0" w:space="0" w:color="auto"/>
            <w:right w:val="none" w:sz="0" w:space="0" w:color="auto"/>
          </w:divBdr>
        </w:div>
        <w:div w:id="792987768">
          <w:marLeft w:val="0"/>
          <w:marRight w:val="0"/>
          <w:marTop w:val="0"/>
          <w:marBottom w:val="0"/>
          <w:divBdr>
            <w:top w:val="none" w:sz="0" w:space="0" w:color="auto"/>
            <w:left w:val="none" w:sz="0" w:space="0" w:color="auto"/>
            <w:bottom w:val="none" w:sz="0" w:space="0" w:color="auto"/>
            <w:right w:val="none" w:sz="0" w:space="0" w:color="auto"/>
          </w:divBdr>
        </w:div>
        <w:div w:id="1184897772">
          <w:marLeft w:val="0"/>
          <w:marRight w:val="0"/>
          <w:marTop w:val="0"/>
          <w:marBottom w:val="0"/>
          <w:divBdr>
            <w:top w:val="none" w:sz="0" w:space="0" w:color="auto"/>
            <w:left w:val="none" w:sz="0" w:space="0" w:color="auto"/>
            <w:bottom w:val="none" w:sz="0" w:space="0" w:color="auto"/>
            <w:right w:val="none" w:sz="0" w:space="0" w:color="auto"/>
          </w:divBdr>
        </w:div>
        <w:div w:id="1436247083">
          <w:marLeft w:val="0"/>
          <w:marRight w:val="0"/>
          <w:marTop w:val="0"/>
          <w:marBottom w:val="0"/>
          <w:divBdr>
            <w:top w:val="none" w:sz="0" w:space="0" w:color="auto"/>
            <w:left w:val="none" w:sz="0" w:space="0" w:color="auto"/>
            <w:bottom w:val="none" w:sz="0" w:space="0" w:color="auto"/>
            <w:right w:val="none" w:sz="0" w:space="0" w:color="auto"/>
          </w:divBdr>
        </w:div>
        <w:div w:id="1544366068">
          <w:marLeft w:val="0"/>
          <w:marRight w:val="0"/>
          <w:marTop w:val="0"/>
          <w:marBottom w:val="0"/>
          <w:divBdr>
            <w:top w:val="none" w:sz="0" w:space="0" w:color="auto"/>
            <w:left w:val="none" w:sz="0" w:space="0" w:color="auto"/>
            <w:bottom w:val="none" w:sz="0" w:space="0" w:color="auto"/>
            <w:right w:val="none" w:sz="0" w:space="0" w:color="auto"/>
          </w:divBdr>
        </w:div>
        <w:div w:id="1551922941">
          <w:marLeft w:val="0"/>
          <w:marRight w:val="0"/>
          <w:marTop w:val="0"/>
          <w:marBottom w:val="0"/>
          <w:divBdr>
            <w:top w:val="none" w:sz="0" w:space="0" w:color="auto"/>
            <w:left w:val="none" w:sz="0" w:space="0" w:color="auto"/>
            <w:bottom w:val="none" w:sz="0" w:space="0" w:color="auto"/>
            <w:right w:val="none" w:sz="0" w:space="0" w:color="auto"/>
          </w:divBdr>
        </w:div>
        <w:div w:id="1688559177">
          <w:marLeft w:val="0"/>
          <w:marRight w:val="0"/>
          <w:marTop w:val="0"/>
          <w:marBottom w:val="0"/>
          <w:divBdr>
            <w:top w:val="none" w:sz="0" w:space="0" w:color="auto"/>
            <w:left w:val="none" w:sz="0" w:space="0" w:color="auto"/>
            <w:bottom w:val="none" w:sz="0" w:space="0" w:color="auto"/>
            <w:right w:val="none" w:sz="0" w:space="0" w:color="auto"/>
          </w:divBdr>
        </w:div>
        <w:div w:id="1729300509">
          <w:marLeft w:val="0"/>
          <w:marRight w:val="0"/>
          <w:marTop w:val="0"/>
          <w:marBottom w:val="0"/>
          <w:divBdr>
            <w:top w:val="none" w:sz="0" w:space="0" w:color="auto"/>
            <w:left w:val="none" w:sz="0" w:space="0" w:color="auto"/>
            <w:bottom w:val="none" w:sz="0" w:space="0" w:color="auto"/>
            <w:right w:val="none" w:sz="0" w:space="0" w:color="auto"/>
          </w:divBdr>
        </w:div>
        <w:div w:id="1815367888">
          <w:marLeft w:val="0"/>
          <w:marRight w:val="0"/>
          <w:marTop w:val="0"/>
          <w:marBottom w:val="0"/>
          <w:divBdr>
            <w:top w:val="none" w:sz="0" w:space="0" w:color="auto"/>
            <w:left w:val="none" w:sz="0" w:space="0" w:color="auto"/>
            <w:bottom w:val="none" w:sz="0" w:space="0" w:color="auto"/>
            <w:right w:val="none" w:sz="0" w:space="0" w:color="auto"/>
          </w:divBdr>
        </w:div>
        <w:div w:id="1912620735">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sChild>
    </w:div>
    <w:div w:id="1696687072">
      <w:bodyDiv w:val="1"/>
      <w:marLeft w:val="0"/>
      <w:marRight w:val="0"/>
      <w:marTop w:val="0"/>
      <w:marBottom w:val="0"/>
      <w:divBdr>
        <w:top w:val="none" w:sz="0" w:space="0" w:color="auto"/>
        <w:left w:val="none" w:sz="0" w:space="0" w:color="auto"/>
        <w:bottom w:val="none" w:sz="0" w:space="0" w:color="auto"/>
        <w:right w:val="none" w:sz="0" w:space="0" w:color="auto"/>
      </w:divBdr>
      <w:divsChild>
        <w:div w:id="29772492">
          <w:marLeft w:val="0"/>
          <w:marRight w:val="0"/>
          <w:marTop w:val="0"/>
          <w:marBottom w:val="0"/>
          <w:divBdr>
            <w:top w:val="none" w:sz="0" w:space="0" w:color="auto"/>
            <w:left w:val="none" w:sz="0" w:space="0" w:color="auto"/>
            <w:bottom w:val="none" w:sz="0" w:space="0" w:color="auto"/>
            <w:right w:val="none" w:sz="0" w:space="0" w:color="auto"/>
          </w:divBdr>
        </w:div>
        <w:div w:id="384139089">
          <w:marLeft w:val="0"/>
          <w:marRight w:val="0"/>
          <w:marTop w:val="0"/>
          <w:marBottom w:val="0"/>
          <w:divBdr>
            <w:top w:val="none" w:sz="0" w:space="0" w:color="auto"/>
            <w:left w:val="none" w:sz="0" w:space="0" w:color="auto"/>
            <w:bottom w:val="none" w:sz="0" w:space="0" w:color="auto"/>
            <w:right w:val="none" w:sz="0" w:space="0" w:color="auto"/>
          </w:divBdr>
        </w:div>
        <w:div w:id="476726998">
          <w:marLeft w:val="0"/>
          <w:marRight w:val="0"/>
          <w:marTop w:val="0"/>
          <w:marBottom w:val="0"/>
          <w:divBdr>
            <w:top w:val="none" w:sz="0" w:space="0" w:color="auto"/>
            <w:left w:val="none" w:sz="0" w:space="0" w:color="auto"/>
            <w:bottom w:val="none" w:sz="0" w:space="0" w:color="auto"/>
            <w:right w:val="none" w:sz="0" w:space="0" w:color="auto"/>
          </w:divBdr>
        </w:div>
        <w:div w:id="659232215">
          <w:marLeft w:val="0"/>
          <w:marRight w:val="0"/>
          <w:marTop w:val="0"/>
          <w:marBottom w:val="0"/>
          <w:divBdr>
            <w:top w:val="none" w:sz="0" w:space="0" w:color="auto"/>
            <w:left w:val="none" w:sz="0" w:space="0" w:color="auto"/>
            <w:bottom w:val="none" w:sz="0" w:space="0" w:color="auto"/>
            <w:right w:val="none" w:sz="0" w:space="0" w:color="auto"/>
          </w:divBdr>
        </w:div>
        <w:div w:id="683282946">
          <w:marLeft w:val="0"/>
          <w:marRight w:val="0"/>
          <w:marTop w:val="0"/>
          <w:marBottom w:val="0"/>
          <w:divBdr>
            <w:top w:val="none" w:sz="0" w:space="0" w:color="auto"/>
            <w:left w:val="none" w:sz="0" w:space="0" w:color="auto"/>
            <w:bottom w:val="none" w:sz="0" w:space="0" w:color="auto"/>
            <w:right w:val="none" w:sz="0" w:space="0" w:color="auto"/>
          </w:divBdr>
        </w:div>
        <w:div w:id="983657315">
          <w:marLeft w:val="0"/>
          <w:marRight w:val="0"/>
          <w:marTop w:val="0"/>
          <w:marBottom w:val="0"/>
          <w:divBdr>
            <w:top w:val="none" w:sz="0" w:space="0" w:color="auto"/>
            <w:left w:val="none" w:sz="0" w:space="0" w:color="auto"/>
            <w:bottom w:val="none" w:sz="0" w:space="0" w:color="auto"/>
            <w:right w:val="none" w:sz="0" w:space="0" w:color="auto"/>
          </w:divBdr>
        </w:div>
        <w:div w:id="1297445475">
          <w:marLeft w:val="0"/>
          <w:marRight w:val="0"/>
          <w:marTop w:val="0"/>
          <w:marBottom w:val="0"/>
          <w:divBdr>
            <w:top w:val="none" w:sz="0" w:space="0" w:color="auto"/>
            <w:left w:val="none" w:sz="0" w:space="0" w:color="auto"/>
            <w:bottom w:val="none" w:sz="0" w:space="0" w:color="auto"/>
            <w:right w:val="none" w:sz="0" w:space="0" w:color="auto"/>
          </w:divBdr>
        </w:div>
        <w:div w:id="1356225787">
          <w:marLeft w:val="0"/>
          <w:marRight w:val="0"/>
          <w:marTop w:val="0"/>
          <w:marBottom w:val="0"/>
          <w:divBdr>
            <w:top w:val="none" w:sz="0" w:space="0" w:color="auto"/>
            <w:left w:val="none" w:sz="0" w:space="0" w:color="auto"/>
            <w:bottom w:val="none" w:sz="0" w:space="0" w:color="auto"/>
            <w:right w:val="none" w:sz="0" w:space="0" w:color="auto"/>
          </w:divBdr>
        </w:div>
        <w:div w:id="1376390937">
          <w:marLeft w:val="0"/>
          <w:marRight w:val="0"/>
          <w:marTop w:val="0"/>
          <w:marBottom w:val="0"/>
          <w:divBdr>
            <w:top w:val="none" w:sz="0" w:space="0" w:color="auto"/>
            <w:left w:val="none" w:sz="0" w:space="0" w:color="auto"/>
            <w:bottom w:val="none" w:sz="0" w:space="0" w:color="auto"/>
            <w:right w:val="none" w:sz="0" w:space="0" w:color="auto"/>
          </w:divBdr>
        </w:div>
        <w:div w:id="1498231905">
          <w:marLeft w:val="0"/>
          <w:marRight w:val="0"/>
          <w:marTop w:val="0"/>
          <w:marBottom w:val="0"/>
          <w:divBdr>
            <w:top w:val="none" w:sz="0" w:space="0" w:color="auto"/>
            <w:left w:val="none" w:sz="0" w:space="0" w:color="auto"/>
            <w:bottom w:val="none" w:sz="0" w:space="0" w:color="auto"/>
            <w:right w:val="none" w:sz="0" w:space="0" w:color="auto"/>
          </w:divBdr>
        </w:div>
        <w:div w:id="1505171173">
          <w:marLeft w:val="0"/>
          <w:marRight w:val="0"/>
          <w:marTop w:val="0"/>
          <w:marBottom w:val="0"/>
          <w:divBdr>
            <w:top w:val="none" w:sz="0" w:space="0" w:color="auto"/>
            <w:left w:val="none" w:sz="0" w:space="0" w:color="auto"/>
            <w:bottom w:val="none" w:sz="0" w:space="0" w:color="auto"/>
            <w:right w:val="none" w:sz="0" w:space="0" w:color="auto"/>
          </w:divBdr>
        </w:div>
        <w:div w:id="1600525756">
          <w:marLeft w:val="0"/>
          <w:marRight w:val="0"/>
          <w:marTop w:val="0"/>
          <w:marBottom w:val="0"/>
          <w:divBdr>
            <w:top w:val="none" w:sz="0" w:space="0" w:color="auto"/>
            <w:left w:val="none" w:sz="0" w:space="0" w:color="auto"/>
            <w:bottom w:val="none" w:sz="0" w:space="0" w:color="auto"/>
            <w:right w:val="none" w:sz="0" w:space="0" w:color="auto"/>
          </w:divBdr>
        </w:div>
        <w:div w:id="1898466915">
          <w:marLeft w:val="0"/>
          <w:marRight w:val="0"/>
          <w:marTop w:val="0"/>
          <w:marBottom w:val="0"/>
          <w:divBdr>
            <w:top w:val="none" w:sz="0" w:space="0" w:color="auto"/>
            <w:left w:val="none" w:sz="0" w:space="0" w:color="auto"/>
            <w:bottom w:val="none" w:sz="0" w:space="0" w:color="auto"/>
            <w:right w:val="none" w:sz="0" w:space="0" w:color="auto"/>
          </w:divBdr>
        </w:div>
        <w:div w:id="2031836436">
          <w:marLeft w:val="0"/>
          <w:marRight w:val="0"/>
          <w:marTop w:val="0"/>
          <w:marBottom w:val="0"/>
          <w:divBdr>
            <w:top w:val="none" w:sz="0" w:space="0" w:color="auto"/>
            <w:left w:val="none" w:sz="0" w:space="0" w:color="auto"/>
            <w:bottom w:val="none" w:sz="0" w:space="0" w:color="auto"/>
            <w:right w:val="none" w:sz="0" w:space="0" w:color="auto"/>
          </w:divBdr>
        </w:div>
        <w:div w:id="2052224156">
          <w:marLeft w:val="0"/>
          <w:marRight w:val="0"/>
          <w:marTop w:val="0"/>
          <w:marBottom w:val="0"/>
          <w:divBdr>
            <w:top w:val="none" w:sz="0" w:space="0" w:color="auto"/>
            <w:left w:val="none" w:sz="0" w:space="0" w:color="auto"/>
            <w:bottom w:val="none" w:sz="0" w:space="0" w:color="auto"/>
            <w:right w:val="none" w:sz="0" w:space="0" w:color="auto"/>
          </w:divBdr>
        </w:div>
      </w:divsChild>
    </w:div>
    <w:div w:id="1700741207">
      <w:bodyDiv w:val="1"/>
      <w:marLeft w:val="0"/>
      <w:marRight w:val="0"/>
      <w:marTop w:val="0"/>
      <w:marBottom w:val="0"/>
      <w:divBdr>
        <w:top w:val="none" w:sz="0" w:space="0" w:color="auto"/>
        <w:left w:val="none" w:sz="0" w:space="0" w:color="auto"/>
        <w:bottom w:val="none" w:sz="0" w:space="0" w:color="auto"/>
        <w:right w:val="none" w:sz="0" w:space="0" w:color="auto"/>
      </w:divBdr>
      <w:divsChild>
        <w:div w:id="5517894">
          <w:marLeft w:val="0"/>
          <w:marRight w:val="0"/>
          <w:marTop w:val="0"/>
          <w:marBottom w:val="0"/>
          <w:divBdr>
            <w:top w:val="none" w:sz="0" w:space="0" w:color="auto"/>
            <w:left w:val="none" w:sz="0" w:space="0" w:color="auto"/>
            <w:bottom w:val="none" w:sz="0" w:space="0" w:color="auto"/>
            <w:right w:val="none" w:sz="0" w:space="0" w:color="auto"/>
          </w:divBdr>
        </w:div>
        <w:div w:id="14231028">
          <w:marLeft w:val="0"/>
          <w:marRight w:val="0"/>
          <w:marTop w:val="0"/>
          <w:marBottom w:val="0"/>
          <w:divBdr>
            <w:top w:val="none" w:sz="0" w:space="0" w:color="auto"/>
            <w:left w:val="none" w:sz="0" w:space="0" w:color="auto"/>
            <w:bottom w:val="none" w:sz="0" w:space="0" w:color="auto"/>
            <w:right w:val="none" w:sz="0" w:space="0" w:color="auto"/>
          </w:divBdr>
        </w:div>
        <w:div w:id="20519733">
          <w:marLeft w:val="0"/>
          <w:marRight w:val="0"/>
          <w:marTop w:val="0"/>
          <w:marBottom w:val="0"/>
          <w:divBdr>
            <w:top w:val="none" w:sz="0" w:space="0" w:color="auto"/>
            <w:left w:val="none" w:sz="0" w:space="0" w:color="auto"/>
            <w:bottom w:val="none" w:sz="0" w:space="0" w:color="auto"/>
            <w:right w:val="none" w:sz="0" w:space="0" w:color="auto"/>
          </w:divBdr>
        </w:div>
        <w:div w:id="360517392">
          <w:marLeft w:val="0"/>
          <w:marRight w:val="0"/>
          <w:marTop w:val="0"/>
          <w:marBottom w:val="0"/>
          <w:divBdr>
            <w:top w:val="none" w:sz="0" w:space="0" w:color="auto"/>
            <w:left w:val="none" w:sz="0" w:space="0" w:color="auto"/>
            <w:bottom w:val="none" w:sz="0" w:space="0" w:color="auto"/>
            <w:right w:val="none" w:sz="0" w:space="0" w:color="auto"/>
          </w:divBdr>
        </w:div>
        <w:div w:id="466237710">
          <w:marLeft w:val="0"/>
          <w:marRight w:val="0"/>
          <w:marTop w:val="0"/>
          <w:marBottom w:val="0"/>
          <w:divBdr>
            <w:top w:val="none" w:sz="0" w:space="0" w:color="auto"/>
            <w:left w:val="none" w:sz="0" w:space="0" w:color="auto"/>
            <w:bottom w:val="none" w:sz="0" w:space="0" w:color="auto"/>
            <w:right w:val="none" w:sz="0" w:space="0" w:color="auto"/>
          </w:divBdr>
          <w:divsChild>
            <w:div w:id="627778470">
              <w:marLeft w:val="-75"/>
              <w:marRight w:val="0"/>
              <w:marTop w:val="30"/>
              <w:marBottom w:val="30"/>
              <w:divBdr>
                <w:top w:val="none" w:sz="0" w:space="0" w:color="auto"/>
                <w:left w:val="none" w:sz="0" w:space="0" w:color="auto"/>
                <w:bottom w:val="none" w:sz="0" w:space="0" w:color="auto"/>
                <w:right w:val="none" w:sz="0" w:space="0" w:color="auto"/>
              </w:divBdr>
              <w:divsChild>
                <w:div w:id="766386684">
                  <w:marLeft w:val="0"/>
                  <w:marRight w:val="0"/>
                  <w:marTop w:val="0"/>
                  <w:marBottom w:val="0"/>
                  <w:divBdr>
                    <w:top w:val="none" w:sz="0" w:space="0" w:color="auto"/>
                    <w:left w:val="none" w:sz="0" w:space="0" w:color="auto"/>
                    <w:bottom w:val="none" w:sz="0" w:space="0" w:color="auto"/>
                    <w:right w:val="none" w:sz="0" w:space="0" w:color="auto"/>
                  </w:divBdr>
                  <w:divsChild>
                    <w:div w:id="1301034786">
                      <w:marLeft w:val="0"/>
                      <w:marRight w:val="0"/>
                      <w:marTop w:val="0"/>
                      <w:marBottom w:val="0"/>
                      <w:divBdr>
                        <w:top w:val="none" w:sz="0" w:space="0" w:color="auto"/>
                        <w:left w:val="none" w:sz="0" w:space="0" w:color="auto"/>
                        <w:bottom w:val="none" w:sz="0" w:space="0" w:color="auto"/>
                        <w:right w:val="none" w:sz="0" w:space="0" w:color="auto"/>
                      </w:divBdr>
                    </w:div>
                  </w:divsChild>
                </w:div>
                <w:div w:id="1139611599">
                  <w:marLeft w:val="0"/>
                  <w:marRight w:val="0"/>
                  <w:marTop w:val="0"/>
                  <w:marBottom w:val="0"/>
                  <w:divBdr>
                    <w:top w:val="none" w:sz="0" w:space="0" w:color="auto"/>
                    <w:left w:val="none" w:sz="0" w:space="0" w:color="auto"/>
                    <w:bottom w:val="none" w:sz="0" w:space="0" w:color="auto"/>
                    <w:right w:val="none" w:sz="0" w:space="0" w:color="auto"/>
                  </w:divBdr>
                  <w:divsChild>
                    <w:div w:id="333991333">
                      <w:marLeft w:val="0"/>
                      <w:marRight w:val="0"/>
                      <w:marTop w:val="0"/>
                      <w:marBottom w:val="0"/>
                      <w:divBdr>
                        <w:top w:val="none" w:sz="0" w:space="0" w:color="auto"/>
                        <w:left w:val="none" w:sz="0" w:space="0" w:color="auto"/>
                        <w:bottom w:val="none" w:sz="0" w:space="0" w:color="auto"/>
                        <w:right w:val="none" w:sz="0" w:space="0" w:color="auto"/>
                      </w:divBdr>
                    </w:div>
                    <w:div w:id="1195464751">
                      <w:marLeft w:val="0"/>
                      <w:marRight w:val="0"/>
                      <w:marTop w:val="0"/>
                      <w:marBottom w:val="0"/>
                      <w:divBdr>
                        <w:top w:val="none" w:sz="0" w:space="0" w:color="auto"/>
                        <w:left w:val="none" w:sz="0" w:space="0" w:color="auto"/>
                        <w:bottom w:val="none" w:sz="0" w:space="0" w:color="auto"/>
                        <w:right w:val="none" w:sz="0" w:space="0" w:color="auto"/>
                      </w:divBdr>
                    </w:div>
                  </w:divsChild>
                </w:div>
                <w:div w:id="1315717681">
                  <w:marLeft w:val="0"/>
                  <w:marRight w:val="0"/>
                  <w:marTop w:val="0"/>
                  <w:marBottom w:val="0"/>
                  <w:divBdr>
                    <w:top w:val="none" w:sz="0" w:space="0" w:color="auto"/>
                    <w:left w:val="none" w:sz="0" w:space="0" w:color="auto"/>
                    <w:bottom w:val="none" w:sz="0" w:space="0" w:color="auto"/>
                    <w:right w:val="none" w:sz="0" w:space="0" w:color="auto"/>
                  </w:divBdr>
                  <w:divsChild>
                    <w:div w:id="618993214">
                      <w:marLeft w:val="0"/>
                      <w:marRight w:val="0"/>
                      <w:marTop w:val="0"/>
                      <w:marBottom w:val="0"/>
                      <w:divBdr>
                        <w:top w:val="none" w:sz="0" w:space="0" w:color="auto"/>
                        <w:left w:val="none" w:sz="0" w:space="0" w:color="auto"/>
                        <w:bottom w:val="none" w:sz="0" w:space="0" w:color="auto"/>
                        <w:right w:val="none" w:sz="0" w:space="0" w:color="auto"/>
                      </w:divBdr>
                    </w:div>
                    <w:div w:id="2060278157">
                      <w:marLeft w:val="0"/>
                      <w:marRight w:val="0"/>
                      <w:marTop w:val="0"/>
                      <w:marBottom w:val="0"/>
                      <w:divBdr>
                        <w:top w:val="none" w:sz="0" w:space="0" w:color="auto"/>
                        <w:left w:val="none" w:sz="0" w:space="0" w:color="auto"/>
                        <w:bottom w:val="none" w:sz="0" w:space="0" w:color="auto"/>
                        <w:right w:val="none" w:sz="0" w:space="0" w:color="auto"/>
                      </w:divBdr>
                    </w:div>
                  </w:divsChild>
                </w:div>
                <w:div w:id="1554611349">
                  <w:marLeft w:val="0"/>
                  <w:marRight w:val="0"/>
                  <w:marTop w:val="0"/>
                  <w:marBottom w:val="0"/>
                  <w:divBdr>
                    <w:top w:val="none" w:sz="0" w:space="0" w:color="auto"/>
                    <w:left w:val="none" w:sz="0" w:space="0" w:color="auto"/>
                    <w:bottom w:val="none" w:sz="0" w:space="0" w:color="auto"/>
                    <w:right w:val="none" w:sz="0" w:space="0" w:color="auto"/>
                  </w:divBdr>
                  <w:divsChild>
                    <w:div w:id="1570075411">
                      <w:marLeft w:val="0"/>
                      <w:marRight w:val="0"/>
                      <w:marTop w:val="0"/>
                      <w:marBottom w:val="0"/>
                      <w:divBdr>
                        <w:top w:val="none" w:sz="0" w:space="0" w:color="auto"/>
                        <w:left w:val="none" w:sz="0" w:space="0" w:color="auto"/>
                        <w:bottom w:val="none" w:sz="0" w:space="0" w:color="auto"/>
                        <w:right w:val="none" w:sz="0" w:space="0" w:color="auto"/>
                      </w:divBdr>
                    </w:div>
                  </w:divsChild>
                </w:div>
                <w:div w:id="1697611154">
                  <w:marLeft w:val="0"/>
                  <w:marRight w:val="0"/>
                  <w:marTop w:val="0"/>
                  <w:marBottom w:val="0"/>
                  <w:divBdr>
                    <w:top w:val="none" w:sz="0" w:space="0" w:color="auto"/>
                    <w:left w:val="none" w:sz="0" w:space="0" w:color="auto"/>
                    <w:bottom w:val="none" w:sz="0" w:space="0" w:color="auto"/>
                    <w:right w:val="none" w:sz="0" w:space="0" w:color="auto"/>
                  </w:divBdr>
                  <w:divsChild>
                    <w:div w:id="1623343461">
                      <w:marLeft w:val="0"/>
                      <w:marRight w:val="0"/>
                      <w:marTop w:val="0"/>
                      <w:marBottom w:val="0"/>
                      <w:divBdr>
                        <w:top w:val="none" w:sz="0" w:space="0" w:color="auto"/>
                        <w:left w:val="none" w:sz="0" w:space="0" w:color="auto"/>
                        <w:bottom w:val="none" w:sz="0" w:space="0" w:color="auto"/>
                        <w:right w:val="none" w:sz="0" w:space="0" w:color="auto"/>
                      </w:divBdr>
                    </w:div>
                  </w:divsChild>
                </w:div>
                <w:div w:id="1878085502">
                  <w:marLeft w:val="0"/>
                  <w:marRight w:val="0"/>
                  <w:marTop w:val="0"/>
                  <w:marBottom w:val="0"/>
                  <w:divBdr>
                    <w:top w:val="none" w:sz="0" w:space="0" w:color="auto"/>
                    <w:left w:val="none" w:sz="0" w:space="0" w:color="auto"/>
                    <w:bottom w:val="none" w:sz="0" w:space="0" w:color="auto"/>
                    <w:right w:val="none" w:sz="0" w:space="0" w:color="auto"/>
                  </w:divBdr>
                  <w:divsChild>
                    <w:div w:id="56638488">
                      <w:marLeft w:val="0"/>
                      <w:marRight w:val="0"/>
                      <w:marTop w:val="0"/>
                      <w:marBottom w:val="0"/>
                      <w:divBdr>
                        <w:top w:val="none" w:sz="0" w:space="0" w:color="auto"/>
                        <w:left w:val="none" w:sz="0" w:space="0" w:color="auto"/>
                        <w:bottom w:val="none" w:sz="0" w:space="0" w:color="auto"/>
                        <w:right w:val="none" w:sz="0" w:space="0" w:color="auto"/>
                      </w:divBdr>
                    </w:div>
                  </w:divsChild>
                </w:div>
                <w:div w:id="1971788441">
                  <w:marLeft w:val="0"/>
                  <w:marRight w:val="0"/>
                  <w:marTop w:val="0"/>
                  <w:marBottom w:val="0"/>
                  <w:divBdr>
                    <w:top w:val="none" w:sz="0" w:space="0" w:color="auto"/>
                    <w:left w:val="none" w:sz="0" w:space="0" w:color="auto"/>
                    <w:bottom w:val="none" w:sz="0" w:space="0" w:color="auto"/>
                    <w:right w:val="none" w:sz="0" w:space="0" w:color="auto"/>
                  </w:divBdr>
                  <w:divsChild>
                    <w:div w:id="1723366265">
                      <w:marLeft w:val="0"/>
                      <w:marRight w:val="0"/>
                      <w:marTop w:val="0"/>
                      <w:marBottom w:val="0"/>
                      <w:divBdr>
                        <w:top w:val="none" w:sz="0" w:space="0" w:color="auto"/>
                        <w:left w:val="none" w:sz="0" w:space="0" w:color="auto"/>
                        <w:bottom w:val="none" w:sz="0" w:space="0" w:color="auto"/>
                        <w:right w:val="none" w:sz="0" w:space="0" w:color="auto"/>
                      </w:divBdr>
                    </w:div>
                  </w:divsChild>
                </w:div>
                <w:div w:id="2007049901">
                  <w:marLeft w:val="0"/>
                  <w:marRight w:val="0"/>
                  <w:marTop w:val="0"/>
                  <w:marBottom w:val="0"/>
                  <w:divBdr>
                    <w:top w:val="none" w:sz="0" w:space="0" w:color="auto"/>
                    <w:left w:val="none" w:sz="0" w:space="0" w:color="auto"/>
                    <w:bottom w:val="none" w:sz="0" w:space="0" w:color="auto"/>
                    <w:right w:val="none" w:sz="0" w:space="0" w:color="auto"/>
                  </w:divBdr>
                  <w:divsChild>
                    <w:div w:id="17266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42">
          <w:marLeft w:val="0"/>
          <w:marRight w:val="0"/>
          <w:marTop w:val="0"/>
          <w:marBottom w:val="0"/>
          <w:divBdr>
            <w:top w:val="none" w:sz="0" w:space="0" w:color="auto"/>
            <w:left w:val="none" w:sz="0" w:space="0" w:color="auto"/>
            <w:bottom w:val="none" w:sz="0" w:space="0" w:color="auto"/>
            <w:right w:val="none" w:sz="0" w:space="0" w:color="auto"/>
          </w:divBdr>
        </w:div>
        <w:div w:id="1001350581">
          <w:marLeft w:val="0"/>
          <w:marRight w:val="0"/>
          <w:marTop w:val="0"/>
          <w:marBottom w:val="0"/>
          <w:divBdr>
            <w:top w:val="none" w:sz="0" w:space="0" w:color="auto"/>
            <w:left w:val="none" w:sz="0" w:space="0" w:color="auto"/>
            <w:bottom w:val="none" w:sz="0" w:space="0" w:color="auto"/>
            <w:right w:val="none" w:sz="0" w:space="0" w:color="auto"/>
          </w:divBdr>
        </w:div>
        <w:div w:id="1236041032">
          <w:marLeft w:val="0"/>
          <w:marRight w:val="0"/>
          <w:marTop w:val="0"/>
          <w:marBottom w:val="0"/>
          <w:divBdr>
            <w:top w:val="none" w:sz="0" w:space="0" w:color="auto"/>
            <w:left w:val="none" w:sz="0" w:space="0" w:color="auto"/>
            <w:bottom w:val="none" w:sz="0" w:space="0" w:color="auto"/>
            <w:right w:val="none" w:sz="0" w:space="0" w:color="auto"/>
          </w:divBdr>
        </w:div>
        <w:div w:id="1261068820">
          <w:marLeft w:val="0"/>
          <w:marRight w:val="0"/>
          <w:marTop w:val="0"/>
          <w:marBottom w:val="0"/>
          <w:divBdr>
            <w:top w:val="none" w:sz="0" w:space="0" w:color="auto"/>
            <w:left w:val="none" w:sz="0" w:space="0" w:color="auto"/>
            <w:bottom w:val="none" w:sz="0" w:space="0" w:color="auto"/>
            <w:right w:val="none" w:sz="0" w:space="0" w:color="auto"/>
          </w:divBdr>
        </w:div>
        <w:div w:id="1481188867">
          <w:marLeft w:val="0"/>
          <w:marRight w:val="0"/>
          <w:marTop w:val="0"/>
          <w:marBottom w:val="0"/>
          <w:divBdr>
            <w:top w:val="none" w:sz="0" w:space="0" w:color="auto"/>
            <w:left w:val="none" w:sz="0" w:space="0" w:color="auto"/>
            <w:bottom w:val="none" w:sz="0" w:space="0" w:color="auto"/>
            <w:right w:val="none" w:sz="0" w:space="0" w:color="auto"/>
          </w:divBdr>
        </w:div>
        <w:div w:id="1513493571">
          <w:marLeft w:val="0"/>
          <w:marRight w:val="0"/>
          <w:marTop w:val="0"/>
          <w:marBottom w:val="0"/>
          <w:divBdr>
            <w:top w:val="none" w:sz="0" w:space="0" w:color="auto"/>
            <w:left w:val="none" w:sz="0" w:space="0" w:color="auto"/>
            <w:bottom w:val="none" w:sz="0" w:space="0" w:color="auto"/>
            <w:right w:val="none" w:sz="0" w:space="0" w:color="auto"/>
          </w:divBdr>
        </w:div>
        <w:div w:id="1524512214">
          <w:marLeft w:val="0"/>
          <w:marRight w:val="0"/>
          <w:marTop w:val="0"/>
          <w:marBottom w:val="0"/>
          <w:divBdr>
            <w:top w:val="none" w:sz="0" w:space="0" w:color="auto"/>
            <w:left w:val="none" w:sz="0" w:space="0" w:color="auto"/>
            <w:bottom w:val="none" w:sz="0" w:space="0" w:color="auto"/>
            <w:right w:val="none" w:sz="0" w:space="0" w:color="auto"/>
          </w:divBdr>
          <w:divsChild>
            <w:div w:id="186140886">
              <w:marLeft w:val="0"/>
              <w:marRight w:val="0"/>
              <w:marTop w:val="0"/>
              <w:marBottom w:val="0"/>
              <w:divBdr>
                <w:top w:val="none" w:sz="0" w:space="0" w:color="auto"/>
                <w:left w:val="none" w:sz="0" w:space="0" w:color="auto"/>
                <w:bottom w:val="none" w:sz="0" w:space="0" w:color="auto"/>
                <w:right w:val="none" w:sz="0" w:space="0" w:color="auto"/>
              </w:divBdr>
            </w:div>
            <w:div w:id="668100824">
              <w:marLeft w:val="0"/>
              <w:marRight w:val="0"/>
              <w:marTop w:val="0"/>
              <w:marBottom w:val="0"/>
              <w:divBdr>
                <w:top w:val="none" w:sz="0" w:space="0" w:color="auto"/>
                <w:left w:val="none" w:sz="0" w:space="0" w:color="auto"/>
                <w:bottom w:val="none" w:sz="0" w:space="0" w:color="auto"/>
                <w:right w:val="none" w:sz="0" w:space="0" w:color="auto"/>
              </w:divBdr>
            </w:div>
            <w:div w:id="1271090890">
              <w:marLeft w:val="0"/>
              <w:marRight w:val="0"/>
              <w:marTop w:val="0"/>
              <w:marBottom w:val="0"/>
              <w:divBdr>
                <w:top w:val="none" w:sz="0" w:space="0" w:color="auto"/>
                <w:left w:val="none" w:sz="0" w:space="0" w:color="auto"/>
                <w:bottom w:val="none" w:sz="0" w:space="0" w:color="auto"/>
                <w:right w:val="none" w:sz="0" w:space="0" w:color="auto"/>
              </w:divBdr>
            </w:div>
            <w:div w:id="1436439987">
              <w:marLeft w:val="0"/>
              <w:marRight w:val="0"/>
              <w:marTop w:val="0"/>
              <w:marBottom w:val="0"/>
              <w:divBdr>
                <w:top w:val="none" w:sz="0" w:space="0" w:color="auto"/>
                <w:left w:val="none" w:sz="0" w:space="0" w:color="auto"/>
                <w:bottom w:val="none" w:sz="0" w:space="0" w:color="auto"/>
                <w:right w:val="none" w:sz="0" w:space="0" w:color="auto"/>
              </w:divBdr>
            </w:div>
          </w:divsChild>
        </w:div>
        <w:div w:id="1767067884">
          <w:marLeft w:val="0"/>
          <w:marRight w:val="0"/>
          <w:marTop w:val="0"/>
          <w:marBottom w:val="0"/>
          <w:divBdr>
            <w:top w:val="none" w:sz="0" w:space="0" w:color="auto"/>
            <w:left w:val="none" w:sz="0" w:space="0" w:color="auto"/>
            <w:bottom w:val="none" w:sz="0" w:space="0" w:color="auto"/>
            <w:right w:val="none" w:sz="0" w:space="0" w:color="auto"/>
          </w:divBdr>
        </w:div>
        <w:div w:id="1936476566">
          <w:marLeft w:val="0"/>
          <w:marRight w:val="0"/>
          <w:marTop w:val="0"/>
          <w:marBottom w:val="0"/>
          <w:divBdr>
            <w:top w:val="none" w:sz="0" w:space="0" w:color="auto"/>
            <w:left w:val="none" w:sz="0" w:space="0" w:color="auto"/>
            <w:bottom w:val="none" w:sz="0" w:space="0" w:color="auto"/>
            <w:right w:val="none" w:sz="0" w:space="0" w:color="auto"/>
          </w:divBdr>
        </w:div>
      </w:divsChild>
    </w:div>
    <w:div w:id="1741707414">
      <w:bodyDiv w:val="1"/>
      <w:marLeft w:val="0"/>
      <w:marRight w:val="0"/>
      <w:marTop w:val="0"/>
      <w:marBottom w:val="0"/>
      <w:divBdr>
        <w:top w:val="none" w:sz="0" w:space="0" w:color="auto"/>
        <w:left w:val="none" w:sz="0" w:space="0" w:color="auto"/>
        <w:bottom w:val="none" w:sz="0" w:space="0" w:color="auto"/>
        <w:right w:val="none" w:sz="0" w:space="0" w:color="auto"/>
      </w:divBdr>
      <w:divsChild>
        <w:div w:id="323708199">
          <w:marLeft w:val="0"/>
          <w:marRight w:val="0"/>
          <w:marTop w:val="0"/>
          <w:marBottom w:val="0"/>
          <w:divBdr>
            <w:top w:val="none" w:sz="0" w:space="0" w:color="auto"/>
            <w:left w:val="none" w:sz="0" w:space="0" w:color="auto"/>
            <w:bottom w:val="none" w:sz="0" w:space="0" w:color="auto"/>
            <w:right w:val="none" w:sz="0" w:space="0" w:color="auto"/>
          </w:divBdr>
        </w:div>
        <w:div w:id="408621649">
          <w:marLeft w:val="0"/>
          <w:marRight w:val="0"/>
          <w:marTop w:val="0"/>
          <w:marBottom w:val="0"/>
          <w:divBdr>
            <w:top w:val="none" w:sz="0" w:space="0" w:color="auto"/>
            <w:left w:val="none" w:sz="0" w:space="0" w:color="auto"/>
            <w:bottom w:val="none" w:sz="0" w:space="0" w:color="auto"/>
            <w:right w:val="none" w:sz="0" w:space="0" w:color="auto"/>
          </w:divBdr>
        </w:div>
        <w:div w:id="1061173213">
          <w:marLeft w:val="0"/>
          <w:marRight w:val="0"/>
          <w:marTop w:val="0"/>
          <w:marBottom w:val="0"/>
          <w:divBdr>
            <w:top w:val="none" w:sz="0" w:space="0" w:color="auto"/>
            <w:left w:val="none" w:sz="0" w:space="0" w:color="auto"/>
            <w:bottom w:val="none" w:sz="0" w:space="0" w:color="auto"/>
            <w:right w:val="none" w:sz="0" w:space="0" w:color="auto"/>
          </w:divBdr>
        </w:div>
        <w:div w:id="1148476810">
          <w:marLeft w:val="0"/>
          <w:marRight w:val="0"/>
          <w:marTop w:val="0"/>
          <w:marBottom w:val="0"/>
          <w:divBdr>
            <w:top w:val="none" w:sz="0" w:space="0" w:color="auto"/>
            <w:left w:val="none" w:sz="0" w:space="0" w:color="auto"/>
            <w:bottom w:val="none" w:sz="0" w:space="0" w:color="auto"/>
            <w:right w:val="none" w:sz="0" w:space="0" w:color="auto"/>
          </w:divBdr>
        </w:div>
        <w:div w:id="1229540253">
          <w:marLeft w:val="0"/>
          <w:marRight w:val="0"/>
          <w:marTop w:val="0"/>
          <w:marBottom w:val="0"/>
          <w:divBdr>
            <w:top w:val="none" w:sz="0" w:space="0" w:color="auto"/>
            <w:left w:val="none" w:sz="0" w:space="0" w:color="auto"/>
            <w:bottom w:val="none" w:sz="0" w:space="0" w:color="auto"/>
            <w:right w:val="none" w:sz="0" w:space="0" w:color="auto"/>
          </w:divBdr>
        </w:div>
      </w:divsChild>
    </w:div>
    <w:div w:id="1744336297">
      <w:bodyDiv w:val="1"/>
      <w:marLeft w:val="0"/>
      <w:marRight w:val="0"/>
      <w:marTop w:val="0"/>
      <w:marBottom w:val="0"/>
      <w:divBdr>
        <w:top w:val="none" w:sz="0" w:space="0" w:color="auto"/>
        <w:left w:val="none" w:sz="0" w:space="0" w:color="auto"/>
        <w:bottom w:val="none" w:sz="0" w:space="0" w:color="auto"/>
        <w:right w:val="none" w:sz="0" w:space="0" w:color="auto"/>
      </w:divBdr>
      <w:divsChild>
        <w:div w:id="45035179">
          <w:marLeft w:val="0"/>
          <w:marRight w:val="0"/>
          <w:marTop w:val="0"/>
          <w:marBottom w:val="0"/>
          <w:divBdr>
            <w:top w:val="none" w:sz="0" w:space="0" w:color="auto"/>
            <w:left w:val="none" w:sz="0" w:space="0" w:color="auto"/>
            <w:bottom w:val="none" w:sz="0" w:space="0" w:color="auto"/>
            <w:right w:val="none" w:sz="0" w:space="0" w:color="auto"/>
          </w:divBdr>
        </w:div>
        <w:div w:id="872884590">
          <w:marLeft w:val="0"/>
          <w:marRight w:val="0"/>
          <w:marTop w:val="0"/>
          <w:marBottom w:val="0"/>
          <w:divBdr>
            <w:top w:val="none" w:sz="0" w:space="0" w:color="auto"/>
            <w:left w:val="none" w:sz="0" w:space="0" w:color="auto"/>
            <w:bottom w:val="none" w:sz="0" w:space="0" w:color="auto"/>
            <w:right w:val="none" w:sz="0" w:space="0" w:color="auto"/>
          </w:divBdr>
        </w:div>
        <w:div w:id="939875312">
          <w:marLeft w:val="0"/>
          <w:marRight w:val="0"/>
          <w:marTop w:val="0"/>
          <w:marBottom w:val="0"/>
          <w:divBdr>
            <w:top w:val="none" w:sz="0" w:space="0" w:color="auto"/>
            <w:left w:val="none" w:sz="0" w:space="0" w:color="auto"/>
            <w:bottom w:val="none" w:sz="0" w:space="0" w:color="auto"/>
            <w:right w:val="none" w:sz="0" w:space="0" w:color="auto"/>
          </w:divBdr>
        </w:div>
        <w:div w:id="943801353">
          <w:marLeft w:val="0"/>
          <w:marRight w:val="0"/>
          <w:marTop w:val="0"/>
          <w:marBottom w:val="0"/>
          <w:divBdr>
            <w:top w:val="none" w:sz="0" w:space="0" w:color="auto"/>
            <w:left w:val="none" w:sz="0" w:space="0" w:color="auto"/>
            <w:bottom w:val="none" w:sz="0" w:space="0" w:color="auto"/>
            <w:right w:val="none" w:sz="0" w:space="0" w:color="auto"/>
          </w:divBdr>
        </w:div>
        <w:div w:id="1172834650">
          <w:marLeft w:val="0"/>
          <w:marRight w:val="0"/>
          <w:marTop w:val="0"/>
          <w:marBottom w:val="0"/>
          <w:divBdr>
            <w:top w:val="none" w:sz="0" w:space="0" w:color="auto"/>
            <w:left w:val="none" w:sz="0" w:space="0" w:color="auto"/>
            <w:bottom w:val="none" w:sz="0" w:space="0" w:color="auto"/>
            <w:right w:val="none" w:sz="0" w:space="0" w:color="auto"/>
          </w:divBdr>
        </w:div>
        <w:div w:id="1203514933">
          <w:marLeft w:val="0"/>
          <w:marRight w:val="0"/>
          <w:marTop w:val="0"/>
          <w:marBottom w:val="0"/>
          <w:divBdr>
            <w:top w:val="none" w:sz="0" w:space="0" w:color="auto"/>
            <w:left w:val="none" w:sz="0" w:space="0" w:color="auto"/>
            <w:bottom w:val="none" w:sz="0" w:space="0" w:color="auto"/>
            <w:right w:val="none" w:sz="0" w:space="0" w:color="auto"/>
          </w:divBdr>
        </w:div>
        <w:div w:id="1391609804">
          <w:marLeft w:val="0"/>
          <w:marRight w:val="0"/>
          <w:marTop w:val="0"/>
          <w:marBottom w:val="0"/>
          <w:divBdr>
            <w:top w:val="none" w:sz="0" w:space="0" w:color="auto"/>
            <w:left w:val="none" w:sz="0" w:space="0" w:color="auto"/>
            <w:bottom w:val="none" w:sz="0" w:space="0" w:color="auto"/>
            <w:right w:val="none" w:sz="0" w:space="0" w:color="auto"/>
          </w:divBdr>
        </w:div>
        <w:div w:id="1581064931">
          <w:marLeft w:val="0"/>
          <w:marRight w:val="0"/>
          <w:marTop w:val="0"/>
          <w:marBottom w:val="0"/>
          <w:divBdr>
            <w:top w:val="none" w:sz="0" w:space="0" w:color="auto"/>
            <w:left w:val="none" w:sz="0" w:space="0" w:color="auto"/>
            <w:bottom w:val="none" w:sz="0" w:space="0" w:color="auto"/>
            <w:right w:val="none" w:sz="0" w:space="0" w:color="auto"/>
          </w:divBdr>
        </w:div>
        <w:div w:id="1747875548">
          <w:marLeft w:val="0"/>
          <w:marRight w:val="0"/>
          <w:marTop w:val="0"/>
          <w:marBottom w:val="0"/>
          <w:divBdr>
            <w:top w:val="none" w:sz="0" w:space="0" w:color="auto"/>
            <w:left w:val="none" w:sz="0" w:space="0" w:color="auto"/>
            <w:bottom w:val="none" w:sz="0" w:space="0" w:color="auto"/>
            <w:right w:val="none" w:sz="0" w:space="0" w:color="auto"/>
          </w:divBdr>
        </w:div>
        <w:div w:id="2095009842">
          <w:marLeft w:val="0"/>
          <w:marRight w:val="0"/>
          <w:marTop w:val="0"/>
          <w:marBottom w:val="0"/>
          <w:divBdr>
            <w:top w:val="none" w:sz="0" w:space="0" w:color="auto"/>
            <w:left w:val="none" w:sz="0" w:space="0" w:color="auto"/>
            <w:bottom w:val="none" w:sz="0" w:space="0" w:color="auto"/>
            <w:right w:val="none" w:sz="0" w:space="0" w:color="auto"/>
          </w:divBdr>
        </w:div>
        <w:div w:id="2134784333">
          <w:marLeft w:val="0"/>
          <w:marRight w:val="0"/>
          <w:marTop w:val="0"/>
          <w:marBottom w:val="0"/>
          <w:divBdr>
            <w:top w:val="none" w:sz="0" w:space="0" w:color="auto"/>
            <w:left w:val="none" w:sz="0" w:space="0" w:color="auto"/>
            <w:bottom w:val="none" w:sz="0" w:space="0" w:color="auto"/>
            <w:right w:val="none" w:sz="0" w:space="0" w:color="auto"/>
          </w:divBdr>
        </w:div>
      </w:divsChild>
    </w:div>
    <w:div w:id="1766270838">
      <w:bodyDiv w:val="1"/>
      <w:marLeft w:val="0"/>
      <w:marRight w:val="0"/>
      <w:marTop w:val="0"/>
      <w:marBottom w:val="0"/>
      <w:divBdr>
        <w:top w:val="none" w:sz="0" w:space="0" w:color="auto"/>
        <w:left w:val="none" w:sz="0" w:space="0" w:color="auto"/>
        <w:bottom w:val="none" w:sz="0" w:space="0" w:color="auto"/>
        <w:right w:val="none" w:sz="0" w:space="0" w:color="auto"/>
      </w:divBdr>
      <w:divsChild>
        <w:div w:id="63138973">
          <w:marLeft w:val="0"/>
          <w:marRight w:val="0"/>
          <w:marTop w:val="0"/>
          <w:marBottom w:val="0"/>
          <w:divBdr>
            <w:top w:val="none" w:sz="0" w:space="0" w:color="auto"/>
            <w:left w:val="none" w:sz="0" w:space="0" w:color="auto"/>
            <w:bottom w:val="none" w:sz="0" w:space="0" w:color="auto"/>
            <w:right w:val="none" w:sz="0" w:space="0" w:color="auto"/>
          </w:divBdr>
        </w:div>
        <w:div w:id="433939026">
          <w:marLeft w:val="0"/>
          <w:marRight w:val="0"/>
          <w:marTop w:val="0"/>
          <w:marBottom w:val="0"/>
          <w:divBdr>
            <w:top w:val="none" w:sz="0" w:space="0" w:color="auto"/>
            <w:left w:val="none" w:sz="0" w:space="0" w:color="auto"/>
            <w:bottom w:val="none" w:sz="0" w:space="0" w:color="auto"/>
            <w:right w:val="none" w:sz="0" w:space="0" w:color="auto"/>
          </w:divBdr>
        </w:div>
        <w:div w:id="475533737">
          <w:marLeft w:val="0"/>
          <w:marRight w:val="0"/>
          <w:marTop w:val="0"/>
          <w:marBottom w:val="0"/>
          <w:divBdr>
            <w:top w:val="none" w:sz="0" w:space="0" w:color="auto"/>
            <w:left w:val="none" w:sz="0" w:space="0" w:color="auto"/>
            <w:bottom w:val="none" w:sz="0" w:space="0" w:color="auto"/>
            <w:right w:val="none" w:sz="0" w:space="0" w:color="auto"/>
          </w:divBdr>
        </w:div>
        <w:div w:id="1095588900">
          <w:marLeft w:val="0"/>
          <w:marRight w:val="0"/>
          <w:marTop w:val="0"/>
          <w:marBottom w:val="0"/>
          <w:divBdr>
            <w:top w:val="none" w:sz="0" w:space="0" w:color="auto"/>
            <w:left w:val="none" w:sz="0" w:space="0" w:color="auto"/>
            <w:bottom w:val="none" w:sz="0" w:space="0" w:color="auto"/>
            <w:right w:val="none" w:sz="0" w:space="0" w:color="auto"/>
          </w:divBdr>
        </w:div>
        <w:div w:id="1336028812">
          <w:marLeft w:val="0"/>
          <w:marRight w:val="0"/>
          <w:marTop w:val="0"/>
          <w:marBottom w:val="0"/>
          <w:divBdr>
            <w:top w:val="none" w:sz="0" w:space="0" w:color="auto"/>
            <w:left w:val="none" w:sz="0" w:space="0" w:color="auto"/>
            <w:bottom w:val="none" w:sz="0" w:space="0" w:color="auto"/>
            <w:right w:val="none" w:sz="0" w:space="0" w:color="auto"/>
          </w:divBdr>
        </w:div>
        <w:div w:id="1828589253">
          <w:marLeft w:val="0"/>
          <w:marRight w:val="0"/>
          <w:marTop w:val="0"/>
          <w:marBottom w:val="0"/>
          <w:divBdr>
            <w:top w:val="none" w:sz="0" w:space="0" w:color="auto"/>
            <w:left w:val="none" w:sz="0" w:space="0" w:color="auto"/>
            <w:bottom w:val="none" w:sz="0" w:space="0" w:color="auto"/>
            <w:right w:val="none" w:sz="0" w:space="0" w:color="auto"/>
          </w:divBdr>
        </w:div>
        <w:div w:id="2122721275">
          <w:marLeft w:val="0"/>
          <w:marRight w:val="0"/>
          <w:marTop w:val="0"/>
          <w:marBottom w:val="0"/>
          <w:divBdr>
            <w:top w:val="none" w:sz="0" w:space="0" w:color="auto"/>
            <w:left w:val="none" w:sz="0" w:space="0" w:color="auto"/>
            <w:bottom w:val="none" w:sz="0" w:space="0" w:color="auto"/>
            <w:right w:val="none" w:sz="0" w:space="0" w:color="auto"/>
          </w:divBdr>
        </w:div>
      </w:divsChild>
    </w:div>
    <w:div w:id="1782450485">
      <w:bodyDiv w:val="1"/>
      <w:marLeft w:val="0"/>
      <w:marRight w:val="0"/>
      <w:marTop w:val="0"/>
      <w:marBottom w:val="0"/>
      <w:divBdr>
        <w:top w:val="none" w:sz="0" w:space="0" w:color="auto"/>
        <w:left w:val="none" w:sz="0" w:space="0" w:color="auto"/>
        <w:bottom w:val="none" w:sz="0" w:space="0" w:color="auto"/>
        <w:right w:val="none" w:sz="0" w:space="0" w:color="auto"/>
      </w:divBdr>
      <w:divsChild>
        <w:div w:id="23139318">
          <w:marLeft w:val="0"/>
          <w:marRight w:val="0"/>
          <w:marTop w:val="0"/>
          <w:marBottom w:val="0"/>
          <w:divBdr>
            <w:top w:val="none" w:sz="0" w:space="0" w:color="auto"/>
            <w:left w:val="none" w:sz="0" w:space="0" w:color="auto"/>
            <w:bottom w:val="none" w:sz="0" w:space="0" w:color="auto"/>
            <w:right w:val="none" w:sz="0" w:space="0" w:color="auto"/>
          </w:divBdr>
        </w:div>
        <w:div w:id="312949436">
          <w:marLeft w:val="0"/>
          <w:marRight w:val="0"/>
          <w:marTop w:val="0"/>
          <w:marBottom w:val="0"/>
          <w:divBdr>
            <w:top w:val="none" w:sz="0" w:space="0" w:color="auto"/>
            <w:left w:val="none" w:sz="0" w:space="0" w:color="auto"/>
            <w:bottom w:val="none" w:sz="0" w:space="0" w:color="auto"/>
            <w:right w:val="none" w:sz="0" w:space="0" w:color="auto"/>
          </w:divBdr>
          <w:divsChild>
            <w:div w:id="314066987">
              <w:marLeft w:val="0"/>
              <w:marRight w:val="0"/>
              <w:marTop w:val="0"/>
              <w:marBottom w:val="0"/>
              <w:divBdr>
                <w:top w:val="none" w:sz="0" w:space="0" w:color="auto"/>
                <w:left w:val="none" w:sz="0" w:space="0" w:color="auto"/>
                <w:bottom w:val="none" w:sz="0" w:space="0" w:color="auto"/>
                <w:right w:val="none" w:sz="0" w:space="0" w:color="auto"/>
              </w:divBdr>
            </w:div>
            <w:div w:id="737290343">
              <w:marLeft w:val="0"/>
              <w:marRight w:val="0"/>
              <w:marTop w:val="0"/>
              <w:marBottom w:val="0"/>
              <w:divBdr>
                <w:top w:val="none" w:sz="0" w:space="0" w:color="auto"/>
                <w:left w:val="none" w:sz="0" w:space="0" w:color="auto"/>
                <w:bottom w:val="none" w:sz="0" w:space="0" w:color="auto"/>
                <w:right w:val="none" w:sz="0" w:space="0" w:color="auto"/>
              </w:divBdr>
            </w:div>
            <w:div w:id="970817506">
              <w:marLeft w:val="0"/>
              <w:marRight w:val="0"/>
              <w:marTop w:val="0"/>
              <w:marBottom w:val="0"/>
              <w:divBdr>
                <w:top w:val="none" w:sz="0" w:space="0" w:color="auto"/>
                <w:left w:val="none" w:sz="0" w:space="0" w:color="auto"/>
                <w:bottom w:val="none" w:sz="0" w:space="0" w:color="auto"/>
                <w:right w:val="none" w:sz="0" w:space="0" w:color="auto"/>
              </w:divBdr>
            </w:div>
            <w:div w:id="1005790302">
              <w:marLeft w:val="0"/>
              <w:marRight w:val="0"/>
              <w:marTop w:val="0"/>
              <w:marBottom w:val="0"/>
              <w:divBdr>
                <w:top w:val="none" w:sz="0" w:space="0" w:color="auto"/>
                <w:left w:val="none" w:sz="0" w:space="0" w:color="auto"/>
                <w:bottom w:val="none" w:sz="0" w:space="0" w:color="auto"/>
                <w:right w:val="none" w:sz="0" w:space="0" w:color="auto"/>
              </w:divBdr>
            </w:div>
          </w:divsChild>
        </w:div>
        <w:div w:id="935215566">
          <w:marLeft w:val="0"/>
          <w:marRight w:val="0"/>
          <w:marTop w:val="0"/>
          <w:marBottom w:val="0"/>
          <w:divBdr>
            <w:top w:val="none" w:sz="0" w:space="0" w:color="auto"/>
            <w:left w:val="none" w:sz="0" w:space="0" w:color="auto"/>
            <w:bottom w:val="none" w:sz="0" w:space="0" w:color="auto"/>
            <w:right w:val="none" w:sz="0" w:space="0" w:color="auto"/>
          </w:divBdr>
        </w:div>
        <w:div w:id="968902974">
          <w:marLeft w:val="0"/>
          <w:marRight w:val="0"/>
          <w:marTop w:val="0"/>
          <w:marBottom w:val="0"/>
          <w:divBdr>
            <w:top w:val="none" w:sz="0" w:space="0" w:color="auto"/>
            <w:left w:val="none" w:sz="0" w:space="0" w:color="auto"/>
            <w:bottom w:val="none" w:sz="0" w:space="0" w:color="auto"/>
            <w:right w:val="none" w:sz="0" w:space="0" w:color="auto"/>
          </w:divBdr>
        </w:div>
        <w:div w:id="1234583414">
          <w:marLeft w:val="0"/>
          <w:marRight w:val="0"/>
          <w:marTop w:val="0"/>
          <w:marBottom w:val="0"/>
          <w:divBdr>
            <w:top w:val="none" w:sz="0" w:space="0" w:color="auto"/>
            <w:left w:val="none" w:sz="0" w:space="0" w:color="auto"/>
            <w:bottom w:val="none" w:sz="0" w:space="0" w:color="auto"/>
            <w:right w:val="none" w:sz="0" w:space="0" w:color="auto"/>
          </w:divBdr>
        </w:div>
        <w:div w:id="1450123879">
          <w:marLeft w:val="0"/>
          <w:marRight w:val="0"/>
          <w:marTop w:val="0"/>
          <w:marBottom w:val="0"/>
          <w:divBdr>
            <w:top w:val="none" w:sz="0" w:space="0" w:color="auto"/>
            <w:left w:val="none" w:sz="0" w:space="0" w:color="auto"/>
            <w:bottom w:val="none" w:sz="0" w:space="0" w:color="auto"/>
            <w:right w:val="none" w:sz="0" w:space="0" w:color="auto"/>
          </w:divBdr>
        </w:div>
        <w:div w:id="1779637980">
          <w:marLeft w:val="0"/>
          <w:marRight w:val="0"/>
          <w:marTop w:val="0"/>
          <w:marBottom w:val="0"/>
          <w:divBdr>
            <w:top w:val="none" w:sz="0" w:space="0" w:color="auto"/>
            <w:left w:val="none" w:sz="0" w:space="0" w:color="auto"/>
            <w:bottom w:val="none" w:sz="0" w:space="0" w:color="auto"/>
            <w:right w:val="none" w:sz="0" w:space="0" w:color="auto"/>
          </w:divBdr>
        </w:div>
        <w:div w:id="2128307499">
          <w:marLeft w:val="0"/>
          <w:marRight w:val="0"/>
          <w:marTop w:val="0"/>
          <w:marBottom w:val="0"/>
          <w:divBdr>
            <w:top w:val="none" w:sz="0" w:space="0" w:color="auto"/>
            <w:left w:val="none" w:sz="0" w:space="0" w:color="auto"/>
            <w:bottom w:val="none" w:sz="0" w:space="0" w:color="auto"/>
            <w:right w:val="none" w:sz="0" w:space="0" w:color="auto"/>
          </w:divBdr>
        </w:div>
      </w:divsChild>
    </w:div>
    <w:div w:id="1791048446">
      <w:bodyDiv w:val="1"/>
      <w:marLeft w:val="0"/>
      <w:marRight w:val="0"/>
      <w:marTop w:val="0"/>
      <w:marBottom w:val="0"/>
      <w:divBdr>
        <w:top w:val="none" w:sz="0" w:space="0" w:color="auto"/>
        <w:left w:val="none" w:sz="0" w:space="0" w:color="auto"/>
        <w:bottom w:val="none" w:sz="0" w:space="0" w:color="auto"/>
        <w:right w:val="none" w:sz="0" w:space="0" w:color="auto"/>
      </w:divBdr>
      <w:divsChild>
        <w:div w:id="123549205">
          <w:marLeft w:val="0"/>
          <w:marRight w:val="0"/>
          <w:marTop w:val="0"/>
          <w:marBottom w:val="0"/>
          <w:divBdr>
            <w:top w:val="none" w:sz="0" w:space="0" w:color="auto"/>
            <w:left w:val="none" w:sz="0" w:space="0" w:color="auto"/>
            <w:bottom w:val="none" w:sz="0" w:space="0" w:color="auto"/>
            <w:right w:val="none" w:sz="0" w:space="0" w:color="auto"/>
          </w:divBdr>
        </w:div>
        <w:div w:id="180553376">
          <w:marLeft w:val="0"/>
          <w:marRight w:val="0"/>
          <w:marTop w:val="0"/>
          <w:marBottom w:val="0"/>
          <w:divBdr>
            <w:top w:val="none" w:sz="0" w:space="0" w:color="auto"/>
            <w:left w:val="none" w:sz="0" w:space="0" w:color="auto"/>
            <w:bottom w:val="none" w:sz="0" w:space="0" w:color="auto"/>
            <w:right w:val="none" w:sz="0" w:space="0" w:color="auto"/>
          </w:divBdr>
        </w:div>
        <w:div w:id="271280111">
          <w:marLeft w:val="0"/>
          <w:marRight w:val="0"/>
          <w:marTop w:val="0"/>
          <w:marBottom w:val="0"/>
          <w:divBdr>
            <w:top w:val="none" w:sz="0" w:space="0" w:color="auto"/>
            <w:left w:val="none" w:sz="0" w:space="0" w:color="auto"/>
            <w:bottom w:val="none" w:sz="0" w:space="0" w:color="auto"/>
            <w:right w:val="none" w:sz="0" w:space="0" w:color="auto"/>
          </w:divBdr>
        </w:div>
        <w:div w:id="599262732">
          <w:marLeft w:val="0"/>
          <w:marRight w:val="0"/>
          <w:marTop w:val="0"/>
          <w:marBottom w:val="0"/>
          <w:divBdr>
            <w:top w:val="none" w:sz="0" w:space="0" w:color="auto"/>
            <w:left w:val="none" w:sz="0" w:space="0" w:color="auto"/>
            <w:bottom w:val="none" w:sz="0" w:space="0" w:color="auto"/>
            <w:right w:val="none" w:sz="0" w:space="0" w:color="auto"/>
          </w:divBdr>
        </w:div>
        <w:div w:id="783184797">
          <w:marLeft w:val="0"/>
          <w:marRight w:val="0"/>
          <w:marTop w:val="0"/>
          <w:marBottom w:val="0"/>
          <w:divBdr>
            <w:top w:val="none" w:sz="0" w:space="0" w:color="auto"/>
            <w:left w:val="none" w:sz="0" w:space="0" w:color="auto"/>
            <w:bottom w:val="none" w:sz="0" w:space="0" w:color="auto"/>
            <w:right w:val="none" w:sz="0" w:space="0" w:color="auto"/>
          </w:divBdr>
        </w:div>
        <w:div w:id="1390571599">
          <w:marLeft w:val="0"/>
          <w:marRight w:val="0"/>
          <w:marTop w:val="0"/>
          <w:marBottom w:val="0"/>
          <w:divBdr>
            <w:top w:val="none" w:sz="0" w:space="0" w:color="auto"/>
            <w:left w:val="none" w:sz="0" w:space="0" w:color="auto"/>
            <w:bottom w:val="none" w:sz="0" w:space="0" w:color="auto"/>
            <w:right w:val="none" w:sz="0" w:space="0" w:color="auto"/>
          </w:divBdr>
        </w:div>
        <w:div w:id="1983191562">
          <w:marLeft w:val="0"/>
          <w:marRight w:val="0"/>
          <w:marTop w:val="0"/>
          <w:marBottom w:val="0"/>
          <w:divBdr>
            <w:top w:val="none" w:sz="0" w:space="0" w:color="auto"/>
            <w:left w:val="none" w:sz="0" w:space="0" w:color="auto"/>
            <w:bottom w:val="none" w:sz="0" w:space="0" w:color="auto"/>
            <w:right w:val="none" w:sz="0" w:space="0" w:color="auto"/>
          </w:divBdr>
        </w:div>
      </w:divsChild>
    </w:div>
    <w:div w:id="1793742469">
      <w:bodyDiv w:val="1"/>
      <w:marLeft w:val="0"/>
      <w:marRight w:val="0"/>
      <w:marTop w:val="0"/>
      <w:marBottom w:val="0"/>
      <w:divBdr>
        <w:top w:val="none" w:sz="0" w:space="0" w:color="auto"/>
        <w:left w:val="none" w:sz="0" w:space="0" w:color="auto"/>
        <w:bottom w:val="none" w:sz="0" w:space="0" w:color="auto"/>
        <w:right w:val="none" w:sz="0" w:space="0" w:color="auto"/>
      </w:divBdr>
      <w:divsChild>
        <w:div w:id="851647122">
          <w:marLeft w:val="0"/>
          <w:marRight w:val="0"/>
          <w:marTop w:val="0"/>
          <w:marBottom w:val="0"/>
          <w:divBdr>
            <w:top w:val="none" w:sz="0" w:space="0" w:color="auto"/>
            <w:left w:val="none" w:sz="0" w:space="0" w:color="auto"/>
            <w:bottom w:val="none" w:sz="0" w:space="0" w:color="auto"/>
            <w:right w:val="none" w:sz="0" w:space="0" w:color="auto"/>
          </w:divBdr>
        </w:div>
        <w:div w:id="1220477754">
          <w:marLeft w:val="0"/>
          <w:marRight w:val="0"/>
          <w:marTop w:val="0"/>
          <w:marBottom w:val="0"/>
          <w:divBdr>
            <w:top w:val="none" w:sz="0" w:space="0" w:color="auto"/>
            <w:left w:val="none" w:sz="0" w:space="0" w:color="auto"/>
            <w:bottom w:val="none" w:sz="0" w:space="0" w:color="auto"/>
            <w:right w:val="none" w:sz="0" w:space="0" w:color="auto"/>
          </w:divBdr>
        </w:div>
        <w:div w:id="1339505764">
          <w:marLeft w:val="0"/>
          <w:marRight w:val="0"/>
          <w:marTop w:val="0"/>
          <w:marBottom w:val="0"/>
          <w:divBdr>
            <w:top w:val="none" w:sz="0" w:space="0" w:color="auto"/>
            <w:left w:val="none" w:sz="0" w:space="0" w:color="auto"/>
            <w:bottom w:val="none" w:sz="0" w:space="0" w:color="auto"/>
            <w:right w:val="none" w:sz="0" w:space="0" w:color="auto"/>
          </w:divBdr>
        </w:div>
        <w:div w:id="1618490397">
          <w:marLeft w:val="0"/>
          <w:marRight w:val="0"/>
          <w:marTop w:val="0"/>
          <w:marBottom w:val="0"/>
          <w:divBdr>
            <w:top w:val="none" w:sz="0" w:space="0" w:color="auto"/>
            <w:left w:val="none" w:sz="0" w:space="0" w:color="auto"/>
            <w:bottom w:val="none" w:sz="0" w:space="0" w:color="auto"/>
            <w:right w:val="none" w:sz="0" w:space="0" w:color="auto"/>
          </w:divBdr>
        </w:div>
        <w:div w:id="1969579551">
          <w:marLeft w:val="0"/>
          <w:marRight w:val="0"/>
          <w:marTop w:val="0"/>
          <w:marBottom w:val="0"/>
          <w:divBdr>
            <w:top w:val="none" w:sz="0" w:space="0" w:color="auto"/>
            <w:left w:val="none" w:sz="0" w:space="0" w:color="auto"/>
            <w:bottom w:val="none" w:sz="0" w:space="0" w:color="auto"/>
            <w:right w:val="none" w:sz="0" w:space="0" w:color="auto"/>
          </w:divBdr>
        </w:div>
      </w:divsChild>
    </w:div>
    <w:div w:id="1800417619">
      <w:bodyDiv w:val="1"/>
      <w:marLeft w:val="0"/>
      <w:marRight w:val="0"/>
      <w:marTop w:val="0"/>
      <w:marBottom w:val="0"/>
      <w:divBdr>
        <w:top w:val="none" w:sz="0" w:space="0" w:color="auto"/>
        <w:left w:val="none" w:sz="0" w:space="0" w:color="auto"/>
        <w:bottom w:val="none" w:sz="0" w:space="0" w:color="auto"/>
        <w:right w:val="none" w:sz="0" w:space="0" w:color="auto"/>
      </w:divBdr>
      <w:divsChild>
        <w:div w:id="555242388">
          <w:marLeft w:val="0"/>
          <w:marRight w:val="0"/>
          <w:marTop w:val="0"/>
          <w:marBottom w:val="0"/>
          <w:divBdr>
            <w:top w:val="none" w:sz="0" w:space="0" w:color="auto"/>
            <w:left w:val="none" w:sz="0" w:space="0" w:color="auto"/>
            <w:bottom w:val="none" w:sz="0" w:space="0" w:color="auto"/>
            <w:right w:val="none" w:sz="0" w:space="0" w:color="auto"/>
          </w:divBdr>
          <w:divsChild>
            <w:div w:id="106194797">
              <w:marLeft w:val="0"/>
              <w:marRight w:val="0"/>
              <w:marTop w:val="0"/>
              <w:marBottom w:val="0"/>
              <w:divBdr>
                <w:top w:val="none" w:sz="0" w:space="0" w:color="auto"/>
                <w:left w:val="none" w:sz="0" w:space="0" w:color="auto"/>
                <w:bottom w:val="none" w:sz="0" w:space="0" w:color="auto"/>
                <w:right w:val="none" w:sz="0" w:space="0" w:color="auto"/>
              </w:divBdr>
            </w:div>
            <w:div w:id="764837532">
              <w:marLeft w:val="0"/>
              <w:marRight w:val="0"/>
              <w:marTop w:val="0"/>
              <w:marBottom w:val="0"/>
              <w:divBdr>
                <w:top w:val="none" w:sz="0" w:space="0" w:color="auto"/>
                <w:left w:val="none" w:sz="0" w:space="0" w:color="auto"/>
                <w:bottom w:val="none" w:sz="0" w:space="0" w:color="auto"/>
                <w:right w:val="none" w:sz="0" w:space="0" w:color="auto"/>
              </w:divBdr>
            </w:div>
            <w:div w:id="1550261644">
              <w:marLeft w:val="0"/>
              <w:marRight w:val="0"/>
              <w:marTop w:val="0"/>
              <w:marBottom w:val="0"/>
              <w:divBdr>
                <w:top w:val="none" w:sz="0" w:space="0" w:color="auto"/>
                <w:left w:val="none" w:sz="0" w:space="0" w:color="auto"/>
                <w:bottom w:val="none" w:sz="0" w:space="0" w:color="auto"/>
                <w:right w:val="none" w:sz="0" w:space="0" w:color="auto"/>
              </w:divBdr>
            </w:div>
            <w:div w:id="1671251515">
              <w:marLeft w:val="0"/>
              <w:marRight w:val="0"/>
              <w:marTop w:val="0"/>
              <w:marBottom w:val="0"/>
              <w:divBdr>
                <w:top w:val="none" w:sz="0" w:space="0" w:color="auto"/>
                <w:left w:val="none" w:sz="0" w:space="0" w:color="auto"/>
                <w:bottom w:val="none" w:sz="0" w:space="0" w:color="auto"/>
                <w:right w:val="none" w:sz="0" w:space="0" w:color="auto"/>
              </w:divBdr>
            </w:div>
            <w:div w:id="1714235321">
              <w:marLeft w:val="0"/>
              <w:marRight w:val="0"/>
              <w:marTop w:val="0"/>
              <w:marBottom w:val="0"/>
              <w:divBdr>
                <w:top w:val="none" w:sz="0" w:space="0" w:color="auto"/>
                <w:left w:val="none" w:sz="0" w:space="0" w:color="auto"/>
                <w:bottom w:val="none" w:sz="0" w:space="0" w:color="auto"/>
                <w:right w:val="none" w:sz="0" w:space="0" w:color="auto"/>
              </w:divBdr>
            </w:div>
          </w:divsChild>
        </w:div>
        <w:div w:id="1255939637">
          <w:marLeft w:val="0"/>
          <w:marRight w:val="0"/>
          <w:marTop w:val="0"/>
          <w:marBottom w:val="0"/>
          <w:divBdr>
            <w:top w:val="none" w:sz="0" w:space="0" w:color="auto"/>
            <w:left w:val="none" w:sz="0" w:space="0" w:color="auto"/>
            <w:bottom w:val="none" w:sz="0" w:space="0" w:color="auto"/>
            <w:right w:val="none" w:sz="0" w:space="0" w:color="auto"/>
          </w:divBdr>
        </w:div>
        <w:div w:id="1610895681">
          <w:marLeft w:val="0"/>
          <w:marRight w:val="0"/>
          <w:marTop w:val="0"/>
          <w:marBottom w:val="0"/>
          <w:divBdr>
            <w:top w:val="none" w:sz="0" w:space="0" w:color="auto"/>
            <w:left w:val="none" w:sz="0" w:space="0" w:color="auto"/>
            <w:bottom w:val="none" w:sz="0" w:space="0" w:color="auto"/>
            <w:right w:val="none" w:sz="0" w:space="0" w:color="auto"/>
          </w:divBdr>
        </w:div>
        <w:div w:id="1934120675">
          <w:marLeft w:val="0"/>
          <w:marRight w:val="0"/>
          <w:marTop w:val="0"/>
          <w:marBottom w:val="0"/>
          <w:divBdr>
            <w:top w:val="none" w:sz="0" w:space="0" w:color="auto"/>
            <w:left w:val="none" w:sz="0" w:space="0" w:color="auto"/>
            <w:bottom w:val="none" w:sz="0" w:space="0" w:color="auto"/>
            <w:right w:val="none" w:sz="0" w:space="0" w:color="auto"/>
          </w:divBdr>
        </w:div>
      </w:divsChild>
    </w:div>
    <w:div w:id="1801147661">
      <w:bodyDiv w:val="1"/>
      <w:marLeft w:val="0"/>
      <w:marRight w:val="0"/>
      <w:marTop w:val="0"/>
      <w:marBottom w:val="0"/>
      <w:divBdr>
        <w:top w:val="none" w:sz="0" w:space="0" w:color="auto"/>
        <w:left w:val="none" w:sz="0" w:space="0" w:color="auto"/>
        <w:bottom w:val="none" w:sz="0" w:space="0" w:color="auto"/>
        <w:right w:val="none" w:sz="0" w:space="0" w:color="auto"/>
      </w:divBdr>
      <w:divsChild>
        <w:div w:id="223756865">
          <w:marLeft w:val="0"/>
          <w:marRight w:val="0"/>
          <w:marTop w:val="0"/>
          <w:marBottom w:val="0"/>
          <w:divBdr>
            <w:top w:val="none" w:sz="0" w:space="0" w:color="auto"/>
            <w:left w:val="none" w:sz="0" w:space="0" w:color="auto"/>
            <w:bottom w:val="none" w:sz="0" w:space="0" w:color="auto"/>
            <w:right w:val="none" w:sz="0" w:space="0" w:color="auto"/>
          </w:divBdr>
        </w:div>
        <w:div w:id="427820409">
          <w:marLeft w:val="0"/>
          <w:marRight w:val="0"/>
          <w:marTop w:val="0"/>
          <w:marBottom w:val="0"/>
          <w:divBdr>
            <w:top w:val="none" w:sz="0" w:space="0" w:color="auto"/>
            <w:left w:val="none" w:sz="0" w:space="0" w:color="auto"/>
            <w:bottom w:val="none" w:sz="0" w:space="0" w:color="auto"/>
            <w:right w:val="none" w:sz="0" w:space="0" w:color="auto"/>
          </w:divBdr>
        </w:div>
        <w:div w:id="1516455036">
          <w:marLeft w:val="0"/>
          <w:marRight w:val="0"/>
          <w:marTop w:val="0"/>
          <w:marBottom w:val="0"/>
          <w:divBdr>
            <w:top w:val="none" w:sz="0" w:space="0" w:color="auto"/>
            <w:left w:val="none" w:sz="0" w:space="0" w:color="auto"/>
            <w:bottom w:val="none" w:sz="0" w:space="0" w:color="auto"/>
            <w:right w:val="none" w:sz="0" w:space="0" w:color="auto"/>
          </w:divBdr>
        </w:div>
      </w:divsChild>
    </w:div>
    <w:div w:id="1822887442">
      <w:bodyDiv w:val="1"/>
      <w:marLeft w:val="0"/>
      <w:marRight w:val="0"/>
      <w:marTop w:val="0"/>
      <w:marBottom w:val="0"/>
      <w:divBdr>
        <w:top w:val="none" w:sz="0" w:space="0" w:color="auto"/>
        <w:left w:val="none" w:sz="0" w:space="0" w:color="auto"/>
        <w:bottom w:val="none" w:sz="0" w:space="0" w:color="auto"/>
        <w:right w:val="none" w:sz="0" w:space="0" w:color="auto"/>
      </w:divBdr>
      <w:divsChild>
        <w:div w:id="60249149">
          <w:marLeft w:val="0"/>
          <w:marRight w:val="0"/>
          <w:marTop w:val="0"/>
          <w:marBottom w:val="0"/>
          <w:divBdr>
            <w:top w:val="none" w:sz="0" w:space="0" w:color="auto"/>
            <w:left w:val="none" w:sz="0" w:space="0" w:color="auto"/>
            <w:bottom w:val="none" w:sz="0" w:space="0" w:color="auto"/>
            <w:right w:val="none" w:sz="0" w:space="0" w:color="auto"/>
          </w:divBdr>
        </w:div>
        <w:div w:id="218591407">
          <w:marLeft w:val="0"/>
          <w:marRight w:val="0"/>
          <w:marTop w:val="0"/>
          <w:marBottom w:val="0"/>
          <w:divBdr>
            <w:top w:val="none" w:sz="0" w:space="0" w:color="auto"/>
            <w:left w:val="none" w:sz="0" w:space="0" w:color="auto"/>
            <w:bottom w:val="none" w:sz="0" w:space="0" w:color="auto"/>
            <w:right w:val="none" w:sz="0" w:space="0" w:color="auto"/>
          </w:divBdr>
        </w:div>
        <w:div w:id="374700466">
          <w:marLeft w:val="0"/>
          <w:marRight w:val="0"/>
          <w:marTop w:val="0"/>
          <w:marBottom w:val="0"/>
          <w:divBdr>
            <w:top w:val="none" w:sz="0" w:space="0" w:color="auto"/>
            <w:left w:val="none" w:sz="0" w:space="0" w:color="auto"/>
            <w:bottom w:val="none" w:sz="0" w:space="0" w:color="auto"/>
            <w:right w:val="none" w:sz="0" w:space="0" w:color="auto"/>
          </w:divBdr>
        </w:div>
        <w:div w:id="838889133">
          <w:marLeft w:val="0"/>
          <w:marRight w:val="0"/>
          <w:marTop w:val="0"/>
          <w:marBottom w:val="0"/>
          <w:divBdr>
            <w:top w:val="none" w:sz="0" w:space="0" w:color="auto"/>
            <w:left w:val="none" w:sz="0" w:space="0" w:color="auto"/>
            <w:bottom w:val="none" w:sz="0" w:space="0" w:color="auto"/>
            <w:right w:val="none" w:sz="0" w:space="0" w:color="auto"/>
          </w:divBdr>
        </w:div>
        <w:div w:id="1331369868">
          <w:marLeft w:val="0"/>
          <w:marRight w:val="0"/>
          <w:marTop w:val="0"/>
          <w:marBottom w:val="0"/>
          <w:divBdr>
            <w:top w:val="none" w:sz="0" w:space="0" w:color="auto"/>
            <w:left w:val="none" w:sz="0" w:space="0" w:color="auto"/>
            <w:bottom w:val="none" w:sz="0" w:space="0" w:color="auto"/>
            <w:right w:val="none" w:sz="0" w:space="0" w:color="auto"/>
          </w:divBdr>
        </w:div>
        <w:div w:id="1438989316">
          <w:marLeft w:val="0"/>
          <w:marRight w:val="0"/>
          <w:marTop w:val="0"/>
          <w:marBottom w:val="0"/>
          <w:divBdr>
            <w:top w:val="none" w:sz="0" w:space="0" w:color="auto"/>
            <w:left w:val="none" w:sz="0" w:space="0" w:color="auto"/>
            <w:bottom w:val="none" w:sz="0" w:space="0" w:color="auto"/>
            <w:right w:val="none" w:sz="0" w:space="0" w:color="auto"/>
          </w:divBdr>
        </w:div>
        <w:div w:id="2128499505">
          <w:marLeft w:val="0"/>
          <w:marRight w:val="0"/>
          <w:marTop w:val="0"/>
          <w:marBottom w:val="0"/>
          <w:divBdr>
            <w:top w:val="none" w:sz="0" w:space="0" w:color="auto"/>
            <w:left w:val="none" w:sz="0" w:space="0" w:color="auto"/>
            <w:bottom w:val="none" w:sz="0" w:space="0" w:color="auto"/>
            <w:right w:val="none" w:sz="0" w:space="0" w:color="auto"/>
          </w:divBdr>
        </w:div>
      </w:divsChild>
    </w:div>
    <w:div w:id="1874464573">
      <w:bodyDiv w:val="1"/>
      <w:marLeft w:val="0"/>
      <w:marRight w:val="0"/>
      <w:marTop w:val="0"/>
      <w:marBottom w:val="0"/>
      <w:divBdr>
        <w:top w:val="none" w:sz="0" w:space="0" w:color="auto"/>
        <w:left w:val="none" w:sz="0" w:space="0" w:color="auto"/>
        <w:bottom w:val="none" w:sz="0" w:space="0" w:color="auto"/>
        <w:right w:val="none" w:sz="0" w:space="0" w:color="auto"/>
      </w:divBdr>
      <w:divsChild>
        <w:div w:id="1442263900">
          <w:marLeft w:val="0"/>
          <w:marRight w:val="0"/>
          <w:marTop w:val="0"/>
          <w:marBottom w:val="0"/>
          <w:divBdr>
            <w:top w:val="none" w:sz="0" w:space="0" w:color="auto"/>
            <w:left w:val="none" w:sz="0" w:space="0" w:color="auto"/>
            <w:bottom w:val="none" w:sz="0" w:space="0" w:color="auto"/>
            <w:right w:val="none" w:sz="0" w:space="0" w:color="auto"/>
          </w:divBdr>
          <w:divsChild>
            <w:div w:id="286158135">
              <w:marLeft w:val="0"/>
              <w:marRight w:val="0"/>
              <w:marTop w:val="0"/>
              <w:marBottom w:val="0"/>
              <w:divBdr>
                <w:top w:val="none" w:sz="0" w:space="0" w:color="auto"/>
                <w:left w:val="none" w:sz="0" w:space="0" w:color="auto"/>
                <w:bottom w:val="none" w:sz="0" w:space="0" w:color="auto"/>
                <w:right w:val="none" w:sz="0" w:space="0" w:color="auto"/>
              </w:divBdr>
            </w:div>
            <w:div w:id="1305433450">
              <w:marLeft w:val="0"/>
              <w:marRight w:val="0"/>
              <w:marTop w:val="0"/>
              <w:marBottom w:val="0"/>
              <w:divBdr>
                <w:top w:val="none" w:sz="0" w:space="0" w:color="auto"/>
                <w:left w:val="none" w:sz="0" w:space="0" w:color="auto"/>
                <w:bottom w:val="none" w:sz="0" w:space="0" w:color="auto"/>
                <w:right w:val="none" w:sz="0" w:space="0" w:color="auto"/>
              </w:divBdr>
            </w:div>
            <w:div w:id="1587421490">
              <w:marLeft w:val="0"/>
              <w:marRight w:val="0"/>
              <w:marTop w:val="0"/>
              <w:marBottom w:val="0"/>
              <w:divBdr>
                <w:top w:val="none" w:sz="0" w:space="0" w:color="auto"/>
                <w:left w:val="none" w:sz="0" w:space="0" w:color="auto"/>
                <w:bottom w:val="none" w:sz="0" w:space="0" w:color="auto"/>
                <w:right w:val="none" w:sz="0" w:space="0" w:color="auto"/>
              </w:divBdr>
            </w:div>
          </w:divsChild>
        </w:div>
        <w:div w:id="1656379367">
          <w:marLeft w:val="0"/>
          <w:marRight w:val="0"/>
          <w:marTop w:val="0"/>
          <w:marBottom w:val="0"/>
          <w:divBdr>
            <w:top w:val="none" w:sz="0" w:space="0" w:color="auto"/>
            <w:left w:val="none" w:sz="0" w:space="0" w:color="auto"/>
            <w:bottom w:val="none" w:sz="0" w:space="0" w:color="auto"/>
            <w:right w:val="none" w:sz="0" w:space="0" w:color="auto"/>
          </w:divBdr>
          <w:divsChild>
            <w:div w:id="102770592">
              <w:marLeft w:val="0"/>
              <w:marRight w:val="0"/>
              <w:marTop w:val="0"/>
              <w:marBottom w:val="0"/>
              <w:divBdr>
                <w:top w:val="none" w:sz="0" w:space="0" w:color="auto"/>
                <w:left w:val="none" w:sz="0" w:space="0" w:color="auto"/>
                <w:bottom w:val="none" w:sz="0" w:space="0" w:color="auto"/>
                <w:right w:val="none" w:sz="0" w:space="0" w:color="auto"/>
              </w:divBdr>
            </w:div>
            <w:div w:id="1630622385">
              <w:marLeft w:val="0"/>
              <w:marRight w:val="0"/>
              <w:marTop w:val="0"/>
              <w:marBottom w:val="0"/>
              <w:divBdr>
                <w:top w:val="none" w:sz="0" w:space="0" w:color="auto"/>
                <w:left w:val="none" w:sz="0" w:space="0" w:color="auto"/>
                <w:bottom w:val="none" w:sz="0" w:space="0" w:color="auto"/>
                <w:right w:val="none" w:sz="0" w:space="0" w:color="auto"/>
              </w:divBdr>
            </w:div>
            <w:div w:id="1714189213">
              <w:marLeft w:val="0"/>
              <w:marRight w:val="0"/>
              <w:marTop w:val="0"/>
              <w:marBottom w:val="0"/>
              <w:divBdr>
                <w:top w:val="none" w:sz="0" w:space="0" w:color="auto"/>
                <w:left w:val="none" w:sz="0" w:space="0" w:color="auto"/>
                <w:bottom w:val="none" w:sz="0" w:space="0" w:color="auto"/>
                <w:right w:val="none" w:sz="0" w:space="0" w:color="auto"/>
              </w:divBdr>
            </w:div>
            <w:div w:id="2006005732">
              <w:marLeft w:val="0"/>
              <w:marRight w:val="0"/>
              <w:marTop w:val="0"/>
              <w:marBottom w:val="0"/>
              <w:divBdr>
                <w:top w:val="none" w:sz="0" w:space="0" w:color="auto"/>
                <w:left w:val="none" w:sz="0" w:space="0" w:color="auto"/>
                <w:bottom w:val="none" w:sz="0" w:space="0" w:color="auto"/>
                <w:right w:val="none" w:sz="0" w:space="0" w:color="auto"/>
              </w:divBdr>
            </w:div>
            <w:div w:id="2128545845">
              <w:marLeft w:val="0"/>
              <w:marRight w:val="0"/>
              <w:marTop w:val="0"/>
              <w:marBottom w:val="0"/>
              <w:divBdr>
                <w:top w:val="none" w:sz="0" w:space="0" w:color="auto"/>
                <w:left w:val="none" w:sz="0" w:space="0" w:color="auto"/>
                <w:bottom w:val="none" w:sz="0" w:space="0" w:color="auto"/>
                <w:right w:val="none" w:sz="0" w:space="0" w:color="auto"/>
              </w:divBdr>
            </w:div>
          </w:divsChild>
        </w:div>
        <w:div w:id="1660421657">
          <w:marLeft w:val="0"/>
          <w:marRight w:val="0"/>
          <w:marTop w:val="0"/>
          <w:marBottom w:val="0"/>
          <w:divBdr>
            <w:top w:val="none" w:sz="0" w:space="0" w:color="auto"/>
            <w:left w:val="none" w:sz="0" w:space="0" w:color="auto"/>
            <w:bottom w:val="none" w:sz="0" w:space="0" w:color="auto"/>
            <w:right w:val="none" w:sz="0" w:space="0" w:color="auto"/>
          </w:divBdr>
          <w:divsChild>
            <w:div w:id="1213884480">
              <w:marLeft w:val="0"/>
              <w:marRight w:val="0"/>
              <w:marTop w:val="0"/>
              <w:marBottom w:val="0"/>
              <w:divBdr>
                <w:top w:val="none" w:sz="0" w:space="0" w:color="auto"/>
                <w:left w:val="none" w:sz="0" w:space="0" w:color="auto"/>
                <w:bottom w:val="none" w:sz="0" w:space="0" w:color="auto"/>
                <w:right w:val="none" w:sz="0" w:space="0" w:color="auto"/>
              </w:divBdr>
            </w:div>
            <w:div w:id="1816294493">
              <w:marLeft w:val="0"/>
              <w:marRight w:val="0"/>
              <w:marTop w:val="0"/>
              <w:marBottom w:val="0"/>
              <w:divBdr>
                <w:top w:val="none" w:sz="0" w:space="0" w:color="auto"/>
                <w:left w:val="none" w:sz="0" w:space="0" w:color="auto"/>
                <w:bottom w:val="none" w:sz="0" w:space="0" w:color="auto"/>
                <w:right w:val="none" w:sz="0" w:space="0" w:color="auto"/>
              </w:divBdr>
            </w:div>
            <w:div w:id="19484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0390">
      <w:bodyDiv w:val="1"/>
      <w:marLeft w:val="0"/>
      <w:marRight w:val="0"/>
      <w:marTop w:val="0"/>
      <w:marBottom w:val="0"/>
      <w:divBdr>
        <w:top w:val="none" w:sz="0" w:space="0" w:color="auto"/>
        <w:left w:val="none" w:sz="0" w:space="0" w:color="auto"/>
        <w:bottom w:val="none" w:sz="0" w:space="0" w:color="auto"/>
        <w:right w:val="none" w:sz="0" w:space="0" w:color="auto"/>
      </w:divBdr>
      <w:divsChild>
        <w:div w:id="809976268">
          <w:marLeft w:val="0"/>
          <w:marRight w:val="0"/>
          <w:marTop w:val="0"/>
          <w:marBottom w:val="0"/>
          <w:divBdr>
            <w:top w:val="none" w:sz="0" w:space="0" w:color="auto"/>
            <w:left w:val="none" w:sz="0" w:space="0" w:color="auto"/>
            <w:bottom w:val="none" w:sz="0" w:space="0" w:color="auto"/>
            <w:right w:val="none" w:sz="0" w:space="0" w:color="auto"/>
          </w:divBdr>
        </w:div>
        <w:div w:id="1358385486">
          <w:marLeft w:val="0"/>
          <w:marRight w:val="0"/>
          <w:marTop w:val="0"/>
          <w:marBottom w:val="0"/>
          <w:divBdr>
            <w:top w:val="none" w:sz="0" w:space="0" w:color="auto"/>
            <w:left w:val="none" w:sz="0" w:space="0" w:color="auto"/>
            <w:bottom w:val="none" w:sz="0" w:space="0" w:color="auto"/>
            <w:right w:val="none" w:sz="0" w:space="0" w:color="auto"/>
          </w:divBdr>
        </w:div>
        <w:div w:id="1487164182">
          <w:marLeft w:val="0"/>
          <w:marRight w:val="0"/>
          <w:marTop w:val="0"/>
          <w:marBottom w:val="0"/>
          <w:divBdr>
            <w:top w:val="none" w:sz="0" w:space="0" w:color="auto"/>
            <w:left w:val="none" w:sz="0" w:space="0" w:color="auto"/>
            <w:bottom w:val="none" w:sz="0" w:space="0" w:color="auto"/>
            <w:right w:val="none" w:sz="0" w:space="0" w:color="auto"/>
          </w:divBdr>
        </w:div>
        <w:div w:id="1958873872">
          <w:marLeft w:val="0"/>
          <w:marRight w:val="0"/>
          <w:marTop w:val="0"/>
          <w:marBottom w:val="0"/>
          <w:divBdr>
            <w:top w:val="none" w:sz="0" w:space="0" w:color="auto"/>
            <w:left w:val="none" w:sz="0" w:space="0" w:color="auto"/>
            <w:bottom w:val="none" w:sz="0" w:space="0" w:color="auto"/>
            <w:right w:val="none" w:sz="0" w:space="0" w:color="auto"/>
          </w:divBdr>
        </w:div>
      </w:divsChild>
    </w:div>
    <w:div w:id="1942489513">
      <w:bodyDiv w:val="1"/>
      <w:marLeft w:val="0"/>
      <w:marRight w:val="0"/>
      <w:marTop w:val="0"/>
      <w:marBottom w:val="0"/>
      <w:divBdr>
        <w:top w:val="none" w:sz="0" w:space="0" w:color="auto"/>
        <w:left w:val="none" w:sz="0" w:space="0" w:color="auto"/>
        <w:bottom w:val="none" w:sz="0" w:space="0" w:color="auto"/>
        <w:right w:val="none" w:sz="0" w:space="0" w:color="auto"/>
      </w:divBdr>
      <w:divsChild>
        <w:div w:id="87778115">
          <w:marLeft w:val="0"/>
          <w:marRight w:val="0"/>
          <w:marTop w:val="0"/>
          <w:marBottom w:val="0"/>
          <w:divBdr>
            <w:top w:val="none" w:sz="0" w:space="0" w:color="auto"/>
            <w:left w:val="none" w:sz="0" w:space="0" w:color="auto"/>
            <w:bottom w:val="none" w:sz="0" w:space="0" w:color="auto"/>
            <w:right w:val="none" w:sz="0" w:space="0" w:color="auto"/>
          </w:divBdr>
        </w:div>
        <w:div w:id="654647114">
          <w:marLeft w:val="0"/>
          <w:marRight w:val="0"/>
          <w:marTop w:val="0"/>
          <w:marBottom w:val="0"/>
          <w:divBdr>
            <w:top w:val="none" w:sz="0" w:space="0" w:color="auto"/>
            <w:left w:val="none" w:sz="0" w:space="0" w:color="auto"/>
            <w:bottom w:val="none" w:sz="0" w:space="0" w:color="auto"/>
            <w:right w:val="none" w:sz="0" w:space="0" w:color="auto"/>
          </w:divBdr>
        </w:div>
        <w:div w:id="667749830">
          <w:marLeft w:val="0"/>
          <w:marRight w:val="0"/>
          <w:marTop w:val="0"/>
          <w:marBottom w:val="0"/>
          <w:divBdr>
            <w:top w:val="none" w:sz="0" w:space="0" w:color="auto"/>
            <w:left w:val="none" w:sz="0" w:space="0" w:color="auto"/>
            <w:bottom w:val="none" w:sz="0" w:space="0" w:color="auto"/>
            <w:right w:val="none" w:sz="0" w:space="0" w:color="auto"/>
          </w:divBdr>
        </w:div>
        <w:div w:id="881286991">
          <w:marLeft w:val="0"/>
          <w:marRight w:val="0"/>
          <w:marTop w:val="0"/>
          <w:marBottom w:val="0"/>
          <w:divBdr>
            <w:top w:val="none" w:sz="0" w:space="0" w:color="auto"/>
            <w:left w:val="none" w:sz="0" w:space="0" w:color="auto"/>
            <w:bottom w:val="none" w:sz="0" w:space="0" w:color="auto"/>
            <w:right w:val="none" w:sz="0" w:space="0" w:color="auto"/>
          </w:divBdr>
        </w:div>
        <w:div w:id="2005009516">
          <w:marLeft w:val="0"/>
          <w:marRight w:val="0"/>
          <w:marTop w:val="0"/>
          <w:marBottom w:val="0"/>
          <w:divBdr>
            <w:top w:val="none" w:sz="0" w:space="0" w:color="auto"/>
            <w:left w:val="none" w:sz="0" w:space="0" w:color="auto"/>
            <w:bottom w:val="none" w:sz="0" w:space="0" w:color="auto"/>
            <w:right w:val="none" w:sz="0" w:space="0" w:color="auto"/>
          </w:divBdr>
        </w:div>
        <w:div w:id="2065256060">
          <w:marLeft w:val="0"/>
          <w:marRight w:val="0"/>
          <w:marTop w:val="0"/>
          <w:marBottom w:val="0"/>
          <w:divBdr>
            <w:top w:val="none" w:sz="0" w:space="0" w:color="auto"/>
            <w:left w:val="none" w:sz="0" w:space="0" w:color="auto"/>
            <w:bottom w:val="none" w:sz="0" w:space="0" w:color="auto"/>
            <w:right w:val="none" w:sz="0" w:space="0" w:color="auto"/>
          </w:divBdr>
        </w:div>
        <w:div w:id="2086954419">
          <w:marLeft w:val="0"/>
          <w:marRight w:val="0"/>
          <w:marTop w:val="0"/>
          <w:marBottom w:val="0"/>
          <w:divBdr>
            <w:top w:val="none" w:sz="0" w:space="0" w:color="auto"/>
            <w:left w:val="none" w:sz="0" w:space="0" w:color="auto"/>
            <w:bottom w:val="none" w:sz="0" w:space="0" w:color="auto"/>
            <w:right w:val="none" w:sz="0" w:space="0" w:color="auto"/>
          </w:divBdr>
        </w:div>
      </w:divsChild>
    </w:div>
    <w:div w:id="1982341000">
      <w:bodyDiv w:val="1"/>
      <w:marLeft w:val="0"/>
      <w:marRight w:val="0"/>
      <w:marTop w:val="0"/>
      <w:marBottom w:val="0"/>
      <w:divBdr>
        <w:top w:val="none" w:sz="0" w:space="0" w:color="auto"/>
        <w:left w:val="none" w:sz="0" w:space="0" w:color="auto"/>
        <w:bottom w:val="none" w:sz="0" w:space="0" w:color="auto"/>
        <w:right w:val="none" w:sz="0" w:space="0" w:color="auto"/>
      </w:divBdr>
      <w:divsChild>
        <w:div w:id="864370241">
          <w:marLeft w:val="0"/>
          <w:marRight w:val="0"/>
          <w:marTop w:val="0"/>
          <w:marBottom w:val="0"/>
          <w:divBdr>
            <w:top w:val="none" w:sz="0" w:space="0" w:color="auto"/>
            <w:left w:val="none" w:sz="0" w:space="0" w:color="auto"/>
            <w:bottom w:val="none" w:sz="0" w:space="0" w:color="auto"/>
            <w:right w:val="none" w:sz="0" w:space="0" w:color="auto"/>
          </w:divBdr>
        </w:div>
        <w:div w:id="1507744661">
          <w:marLeft w:val="0"/>
          <w:marRight w:val="0"/>
          <w:marTop w:val="0"/>
          <w:marBottom w:val="0"/>
          <w:divBdr>
            <w:top w:val="none" w:sz="0" w:space="0" w:color="auto"/>
            <w:left w:val="none" w:sz="0" w:space="0" w:color="auto"/>
            <w:bottom w:val="none" w:sz="0" w:space="0" w:color="auto"/>
            <w:right w:val="none" w:sz="0" w:space="0" w:color="auto"/>
          </w:divBdr>
        </w:div>
        <w:div w:id="1574049335">
          <w:marLeft w:val="0"/>
          <w:marRight w:val="0"/>
          <w:marTop w:val="0"/>
          <w:marBottom w:val="0"/>
          <w:divBdr>
            <w:top w:val="none" w:sz="0" w:space="0" w:color="auto"/>
            <w:left w:val="none" w:sz="0" w:space="0" w:color="auto"/>
            <w:bottom w:val="none" w:sz="0" w:space="0" w:color="auto"/>
            <w:right w:val="none" w:sz="0" w:space="0" w:color="auto"/>
          </w:divBdr>
        </w:div>
        <w:div w:id="1927613319">
          <w:marLeft w:val="0"/>
          <w:marRight w:val="0"/>
          <w:marTop w:val="0"/>
          <w:marBottom w:val="0"/>
          <w:divBdr>
            <w:top w:val="none" w:sz="0" w:space="0" w:color="auto"/>
            <w:left w:val="none" w:sz="0" w:space="0" w:color="auto"/>
            <w:bottom w:val="none" w:sz="0" w:space="0" w:color="auto"/>
            <w:right w:val="none" w:sz="0" w:space="0" w:color="auto"/>
          </w:divBdr>
        </w:div>
        <w:div w:id="2137331283">
          <w:marLeft w:val="0"/>
          <w:marRight w:val="0"/>
          <w:marTop w:val="0"/>
          <w:marBottom w:val="0"/>
          <w:divBdr>
            <w:top w:val="none" w:sz="0" w:space="0" w:color="auto"/>
            <w:left w:val="none" w:sz="0" w:space="0" w:color="auto"/>
            <w:bottom w:val="none" w:sz="0" w:space="0" w:color="auto"/>
            <w:right w:val="none" w:sz="0" w:space="0" w:color="auto"/>
          </w:divBdr>
        </w:div>
      </w:divsChild>
    </w:div>
    <w:div w:id="1984893848">
      <w:bodyDiv w:val="1"/>
      <w:marLeft w:val="0"/>
      <w:marRight w:val="0"/>
      <w:marTop w:val="0"/>
      <w:marBottom w:val="0"/>
      <w:divBdr>
        <w:top w:val="none" w:sz="0" w:space="0" w:color="auto"/>
        <w:left w:val="none" w:sz="0" w:space="0" w:color="auto"/>
        <w:bottom w:val="none" w:sz="0" w:space="0" w:color="auto"/>
        <w:right w:val="none" w:sz="0" w:space="0" w:color="auto"/>
      </w:divBdr>
      <w:divsChild>
        <w:div w:id="279995086">
          <w:marLeft w:val="0"/>
          <w:marRight w:val="0"/>
          <w:marTop w:val="0"/>
          <w:marBottom w:val="0"/>
          <w:divBdr>
            <w:top w:val="none" w:sz="0" w:space="0" w:color="auto"/>
            <w:left w:val="none" w:sz="0" w:space="0" w:color="auto"/>
            <w:bottom w:val="none" w:sz="0" w:space="0" w:color="auto"/>
            <w:right w:val="none" w:sz="0" w:space="0" w:color="auto"/>
          </w:divBdr>
        </w:div>
        <w:div w:id="348918698">
          <w:marLeft w:val="0"/>
          <w:marRight w:val="0"/>
          <w:marTop w:val="0"/>
          <w:marBottom w:val="0"/>
          <w:divBdr>
            <w:top w:val="none" w:sz="0" w:space="0" w:color="auto"/>
            <w:left w:val="none" w:sz="0" w:space="0" w:color="auto"/>
            <w:bottom w:val="none" w:sz="0" w:space="0" w:color="auto"/>
            <w:right w:val="none" w:sz="0" w:space="0" w:color="auto"/>
          </w:divBdr>
          <w:divsChild>
            <w:div w:id="68236674">
              <w:marLeft w:val="0"/>
              <w:marRight w:val="0"/>
              <w:marTop w:val="0"/>
              <w:marBottom w:val="0"/>
              <w:divBdr>
                <w:top w:val="none" w:sz="0" w:space="0" w:color="auto"/>
                <w:left w:val="none" w:sz="0" w:space="0" w:color="auto"/>
                <w:bottom w:val="none" w:sz="0" w:space="0" w:color="auto"/>
                <w:right w:val="none" w:sz="0" w:space="0" w:color="auto"/>
              </w:divBdr>
            </w:div>
            <w:div w:id="68892374">
              <w:marLeft w:val="0"/>
              <w:marRight w:val="0"/>
              <w:marTop w:val="0"/>
              <w:marBottom w:val="0"/>
              <w:divBdr>
                <w:top w:val="none" w:sz="0" w:space="0" w:color="auto"/>
                <w:left w:val="none" w:sz="0" w:space="0" w:color="auto"/>
                <w:bottom w:val="none" w:sz="0" w:space="0" w:color="auto"/>
                <w:right w:val="none" w:sz="0" w:space="0" w:color="auto"/>
              </w:divBdr>
            </w:div>
            <w:div w:id="644092157">
              <w:marLeft w:val="0"/>
              <w:marRight w:val="0"/>
              <w:marTop w:val="0"/>
              <w:marBottom w:val="0"/>
              <w:divBdr>
                <w:top w:val="none" w:sz="0" w:space="0" w:color="auto"/>
                <w:left w:val="none" w:sz="0" w:space="0" w:color="auto"/>
                <w:bottom w:val="none" w:sz="0" w:space="0" w:color="auto"/>
                <w:right w:val="none" w:sz="0" w:space="0" w:color="auto"/>
              </w:divBdr>
            </w:div>
            <w:div w:id="944506440">
              <w:marLeft w:val="0"/>
              <w:marRight w:val="0"/>
              <w:marTop w:val="0"/>
              <w:marBottom w:val="0"/>
              <w:divBdr>
                <w:top w:val="none" w:sz="0" w:space="0" w:color="auto"/>
                <w:left w:val="none" w:sz="0" w:space="0" w:color="auto"/>
                <w:bottom w:val="none" w:sz="0" w:space="0" w:color="auto"/>
                <w:right w:val="none" w:sz="0" w:space="0" w:color="auto"/>
              </w:divBdr>
            </w:div>
            <w:div w:id="1011758721">
              <w:marLeft w:val="0"/>
              <w:marRight w:val="0"/>
              <w:marTop w:val="0"/>
              <w:marBottom w:val="0"/>
              <w:divBdr>
                <w:top w:val="none" w:sz="0" w:space="0" w:color="auto"/>
                <w:left w:val="none" w:sz="0" w:space="0" w:color="auto"/>
                <w:bottom w:val="none" w:sz="0" w:space="0" w:color="auto"/>
                <w:right w:val="none" w:sz="0" w:space="0" w:color="auto"/>
              </w:divBdr>
            </w:div>
            <w:div w:id="1416395124">
              <w:marLeft w:val="0"/>
              <w:marRight w:val="0"/>
              <w:marTop w:val="0"/>
              <w:marBottom w:val="0"/>
              <w:divBdr>
                <w:top w:val="none" w:sz="0" w:space="0" w:color="auto"/>
                <w:left w:val="none" w:sz="0" w:space="0" w:color="auto"/>
                <w:bottom w:val="none" w:sz="0" w:space="0" w:color="auto"/>
                <w:right w:val="none" w:sz="0" w:space="0" w:color="auto"/>
              </w:divBdr>
            </w:div>
            <w:div w:id="1904900453">
              <w:marLeft w:val="0"/>
              <w:marRight w:val="0"/>
              <w:marTop w:val="0"/>
              <w:marBottom w:val="0"/>
              <w:divBdr>
                <w:top w:val="none" w:sz="0" w:space="0" w:color="auto"/>
                <w:left w:val="none" w:sz="0" w:space="0" w:color="auto"/>
                <w:bottom w:val="none" w:sz="0" w:space="0" w:color="auto"/>
                <w:right w:val="none" w:sz="0" w:space="0" w:color="auto"/>
              </w:divBdr>
            </w:div>
          </w:divsChild>
        </w:div>
        <w:div w:id="1342198133">
          <w:marLeft w:val="0"/>
          <w:marRight w:val="0"/>
          <w:marTop w:val="0"/>
          <w:marBottom w:val="0"/>
          <w:divBdr>
            <w:top w:val="none" w:sz="0" w:space="0" w:color="auto"/>
            <w:left w:val="none" w:sz="0" w:space="0" w:color="auto"/>
            <w:bottom w:val="none" w:sz="0" w:space="0" w:color="auto"/>
            <w:right w:val="none" w:sz="0" w:space="0" w:color="auto"/>
          </w:divBdr>
        </w:div>
      </w:divsChild>
    </w:div>
    <w:div w:id="2010448857">
      <w:bodyDiv w:val="1"/>
      <w:marLeft w:val="0"/>
      <w:marRight w:val="0"/>
      <w:marTop w:val="0"/>
      <w:marBottom w:val="0"/>
      <w:divBdr>
        <w:top w:val="none" w:sz="0" w:space="0" w:color="auto"/>
        <w:left w:val="none" w:sz="0" w:space="0" w:color="auto"/>
        <w:bottom w:val="none" w:sz="0" w:space="0" w:color="auto"/>
        <w:right w:val="none" w:sz="0" w:space="0" w:color="auto"/>
      </w:divBdr>
      <w:divsChild>
        <w:div w:id="153185373">
          <w:marLeft w:val="0"/>
          <w:marRight w:val="0"/>
          <w:marTop w:val="0"/>
          <w:marBottom w:val="0"/>
          <w:divBdr>
            <w:top w:val="none" w:sz="0" w:space="0" w:color="auto"/>
            <w:left w:val="none" w:sz="0" w:space="0" w:color="auto"/>
            <w:bottom w:val="none" w:sz="0" w:space="0" w:color="auto"/>
            <w:right w:val="none" w:sz="0" w:space="0" w:color="auto"/>
          </w:divBdr>
        </w:div>
        <w:div w:id="346251761">
          <w:marLeft w:val="0"/>
          <w:marRight w:val="0"/>
          <w:marTop w:val="0"/>
          <w:marBottom w:val="0"/>
          <w:divBdr>
            <w:top w:val="none" w:sz="0" w:space="0" w:color="auto"/>
            <w:left w:val="none" w:sz="0" w:space="0" w:color="auto"/>
            <w:bottom w:val="none" w:sz="0" w:space="0" w:color="auto"/>
            <w:right w:val="none" w:sz="0" w:space="0" w:color="auto"/>
          </w:divBdr>
        </w:div>
        <w:div w:id="814564302">
          <w:marLeft w:val="0"/>
          <w:marRight w:val="0"/>
          <w:marTop w:val="0"/>
          <w:marBottom w:val="0"/>
          <w:divBdr>
            <w:top w:val="none" w:sz="0" w:space="0" w:color="auto"/>
            <w:left w:val="none" w:sz="0" w:space="0" w:color="auto"/>
            <w:bottom w:val="none" w:sz="0" w:space="0" w:color="auto"/>
            <w:right w:val="none" w:sz="0" w:space="0" w:color="auto"/>
          </w:divBdr>
        </w:div>
        <w:div w:id="893586918">
          <w:marLeft w:val="0"/>
          <w:marRight w:val="0"/>
          <w:marTop w:val="0"/>
          <w:marBottom w:val="0"/>
          <w:divBdr>
            <w:top w:val="none" w:sz="0" w:space="0" w:color="auto"/>
            <w:left w:val="none" w:sz="0" w:space="0" w:color="auto"/>
            <w:bottom w:val="none" w:sz="0" w:space="0" w:color="auto"/>
            <w:right w:val="none" w:sz="0" w:space="0" w:color="auto"/>
          </w:divBdr>
        </w:div>
        <w:div w:id="1307248850">
          <w:marLeft w:val="0"/>
          <w:marRight w:val="0"/>
          <w:marTop w:val="0"/>
          <w:marBottom w:val="0"/>
          <w:divBdr>
            <w:top w:val="none" w:sz="0" w:space="0" w:color="auto"/>
            <w:left w:val="none" w:sz="0" w:space="0" w:color="auto"/>
            <w:bottom w:val="none" w:sz="0" w:space="0" w:color="auto"/>
            <w:right w:val="none" w:sz="0" w:space="0" w:color="auto"/>
          </w:divBdr>
        </w:div>
        <w:div w:id="1383360536">
          <w:marLeft w:val="0"/>
          <w:marRight w:val="0"/>
          <w:marTop w:val="0"/>
          <w:marBottom w:val="0"/>
          <w:divBdr>
            <w:top w:val="none" w:sz="0" w:space="0" w:color="auto"/>
            <w:left w:val="none" w:sz="0" w:space="0" w:color="auto"/>
            <w:bottom w:val="none" w:sz="0" w:space="0" w:color="auto"/>
            <w:right w:val="none" w:sz="0" w:space="0" w:color="auto"/>
          </w:divBdr>
        </w:div>
        <w:div w:id="1735855522">
          <w:marLeft w:val="0"/>
          <w:marRight w:val="0"/>
          <w:marTop w:val="0"/>
          <w:marBottom w:val="0"/>
          <w:divBdr>
            <w:top w:val="none" w:sz="0" w:space="0" w:color="auto"/>
            <w:left w:val="none" w:sz="0" w:space="0" w:color="auto"/>
            <w:bottom w:val="none" w:sz="0" w:space="0" w:color="auto"/>
            <w:right w:val="none" w:sz="0" w:space="0" w:color="auto"/>
          </w:divBdr>
        </w:div>
      </w:divsChild>
    </w:div>
    <w:div w:id="2027631249">
      <w:bodyDiv w:val="1"/>
      <w:marLeft w:val="0"/>
      <w:marRight w:val="0"/>
      <w:marTop w:val="0"/>
      <w:marBottom w:val="0"/>
      <w:divBdr>
        <w:top w:val="none" w:sz="0" w:space="0" w:color="auto"/>
        <w:left w:val="none" w:sz="0" w:space="0" w:color="auto"/>
        <w:bottom w:val="none" w:sz="0" w:space="0" w:color="auto"/>
        <w:right w:val="none" w:sz="0" w:space="0" w:color="auto"/>
      </w:divBdr>
      <w:divsChild>
        <w:div w:id="302345113">
          <w:marLeft w:val="0"/>
          <w:marRight w:val="0"/>
          <w:marTop w:val="0"/>
          <w:marBottom w:val="0"/>
          <w:divBdr>
            <w:top w:val="none" w:sz="0" w:space="0" w:color="auto"/>
            <w:left w:val="none" w:sz="0" w:space="0" w:color="auto"/>
            <w:bottom w:val="none" w:sz="0" w:space="0" w:color="auto"/>
            <w:right w:val="none" w:sz="0" w:space="0" w:color="auto"/>
          </w:divBdr>
        </w:div>
        <w:div w:id="599990357">
          <w:marLeft w:val="0"/>
          <w:marRight w:val="0"/>
          <w:marTop w:val="0"/>
          <w:marBottom w:val="0"/>
          <w:divBdr>
            <w:top w:val="none" w:sz="0" w:space="0" w:color="auto"/>
            <w:left w:val="none" w:sz="0" w:space="0" w:color="auto"/>
            <w:bottom w:val="none" w:sz="0" w:space="0" w:color="auto"/>
            <w:right w:val="none" w:sz="0" w:space="0" w:color="auto"/>
          </w:divBdr>
        </w:div>
        <w:div w:id="847255851">
          <w:marLeft w:val="0"/>
          <w:marRight w:val="0"/>
          <w:marTop w:val="0"/>
          <w:marBottom w:val="0"/>
          <w:divBdr>
            <w:top w:val="none" w:sz="0" w:space="0" w:color="auto"/>
            <w:left w:val="none" w:sz="0" w:space="0" w:color="auto"/>
            <w:bottom w:val="none" w:sz="0" w:space="0" w:color="auto"/>
            <w:right w:val="none" w:sz="0" w:space="0" w:color="auto"/>
          </w:divBdr>
        </w:div>
        <w:div w:id="956448075">
          <w:marLeft w:val="0"/>
          <w:marRight w:val="0"/>
          <w:marTop w:val="0"/>
          <w:marBottom w:val="0"/>
          <w:divBdr>
            <w:top w:val="none" w:sz="0" w:space="0" w:color="auto"/>
            <w:left w:val="none" w:sz="0" w:space="0" w:color="auto"/>
            <w:bottom w:val="none" w:sz="0" w:space="0" w:color="auto"/>
            <w:right w:val="none" w:sz="0" w:space="0" w:color="auto"/>
          </w:divBdr>
        </w:div>
        <w:div w:id="1845198631">
          <w:marLeft w:val="0"/>
          <w:marRight w:val="0"/>
          <w:marTop w:val="0"/>
          <w:marBottom w:val="0"/>
          <w:divBdr>
            <w:top w:val="none" w:sz="0" w:space="0" w:color="auto"/>
            <w:left w:val="none" w:sz="0" w:space="0" w:color="auto"/>
            <w:bottom w:val="none" w:sz="0" w:space="0" w:color="auto"/>
            <w:right w:val="none" w:sz="0" w:space="0" w:color="auto"/>
          </w:divBdr>
        </w:div>
      </w:divsChild>
    </w:div>
    <w:div w:id="2032607738">
      <w:bodyDiv w:val="1"/>
      <w:marLeft w:val="0"/>
      <w:marRight w:val="0"/>
      <w:marTop w:val="0"/>
      <w:marBottom w:val="0"/>
      <w:divBdr>
        <w:top w:val="none" w:sz="0" w:space="0" w:color="auto"/>
        <w:left w:val="none" w:sz="0" w:space="0" w:color="auto"/>
        <w:bottom w:val="none" w:sz="0" w:space="0" w:color="auto"/>
        <w:right w:val="none" w:sz="0" w:space="0" w:color="auto"/>
      </w:divBdr>
      <w:divsChild>
        <w:div w:id="592399984">
          <w:marLeft w:val="0"/>
          <w:marRight w:val="0"/>
          <w:marTop w:val="0"/>
          <w:marBottom w:val="0"/>
          <w:divBdr>
            <w:top w:val="none" w:sz="0" w:space="0" w:color="auto"/>
            <w:left w:val="none" w:sz="0" w:space="0" w:color="auto"/>
            <w:bottom w:val="none" w:sz="0" w:space="0" w:color="auto"/>
            <w:right w:val="none" w:sz="0" w:space="0" w:color="auto"/>
          </w:divBdr>
        </w:div>
        <w:div w:id="1299264273">
          <w:marLeft w:val="0"/>
          <w:marRight w:val="0"/>
          <w:marTop w:val="0"/>
          <w:marBottom w:val="0"/>
          <w:divBdr>
            <w:top w:val="none" w:sz="0" w:space="0" w:color="auto"/>
            <w:left w:val="none" w:sz="0" w:space="0" w:color="auto"/>
            <w:bottom w:val="none" w:sz="0" w:space="0" w:color="auto"/>
            <w:right w:val="none" w:sz="0" w:space="0" w:color="auto"/>
          </w:divBdr>
        </w:div>
        <w:div w:id="1338119192">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2078357754">
          <w:marLeft w:val="0"/>
          <w:marRight w:val="0"/>
          <w:marTop w:val="0"/>
          <w:marBottom w:val="0"/>
          <w:divBdr>
            <w:top w:val="none" w:sz="0" w:space="0" w:color="auto"/>
            <w:left w:val="none" w:sz="0" w:space="0" w:color="auto"/>
            <w:bottom w:val="none" w:sz="0" w:space="0" w:color="auto"/>
            <w:right w:val="none" w:sz="0" w:space="0" w:color="auto"/>
          </w:divBdr>
        </w:div>
      </w:divsChild>
    </w:div>
    <w:div w:id="2066828682">
      <w:bodyDiv w:val="1"/>
      <w:marLeft w:val="0"/>
      <w:marRight w:val="0"/>
      <w:marTop w:val="0"/>
      <w:marBottom w:val="0"/>
      <w:divBdr>
        <w:top w:val="none" w:sz="0" w:space="0" w:color="auto"/>
        <w:left w:val="none" w:sz="0" w:space="0" w:color="auto"/>
        <w:bottom w:val="none" w:sz="0" w:space="0" w:color="auto"/>
        <w:right w:val="none" w:sz="0" w:space="0" w:color="auto"/>
      </w:divBdr>
      <w:divsChild>
        <w:div w:id="187718908">
          <w:marLeft w:val="0"/>
          <w:marRight w:val="0"/>
          <w:marTop w:val="0"/>
          <w:marBottom w:val="0"/>
          <w:divBdr>
            <w:top w:val="none" w:sz="0" w:space="0" w:color="auto"/>
            <w:left w:val="none" w:sz="0" w:space="0" w:color="auto"/>
            <w:bottom w:val="none" w:sz="0" w:space="0" w:color="auto"/>
            <w:right w:val="none" w:sz="0" w:space="0" w:color="auto"/>
          </w:divBdr>
        </w:div>
        <w:div w:id="741222625">
          <w:marLeft w:val="0"/>
          <w:marRight w:val="0"/>
          <w:marTop w:val="0"/>
          <w:marBottom w:val="0"/>
          <w:divBdr>
            <w:top w:val="none" w:sz="0" w:space="0" w:color="auto"/>
            <w:left w:val="none" w:sz="0" w:space="0" w:color="auto"/>
            <w:bottom w:val="none" w:sz="0" w:space="0" w:color="auto"/>
            <w:right w:val="none" w:sz="0" w:space="0" w:color="auto"/>
          </w:divBdr>
        </w:div>
        <w:div w:id="754940144">
          <w:marLeft w:val="0"/>
          <w:marRight w:val="0"/>
          <w:marTop w:val="0"/>
          <w:marBottom w:val="0"/>
          <w:divBdr>
            <w:top w:val="none" w:sz="0" w:space="0" w:color="auto"/>
            <w:left w:val="none" w:sz="0" w:space="0" w:color="auto"/>
            <w:bottom w:val="none" w:sz="0" w:space="0" w:color="auto"/>
            <w:right w:val="none" w:sz="0" w:space="0" w:color="auto"/>
          </w:divBdr>
        </w:div>
        <w:div w:id="1045712621">
          <w:marLeft w:val="0"/>
          <w:marRight w:val="0"/>
          <w:marTop w:val="0"/>
          <w:marBottom w:val="0"/>
          <w:divBdr>
            <w:top w:val="none" w:sz="0" w:space="0" w:color="auto"/>
            <w:left w:val="none" w:sz="0" w:space="0" w:color="auto"/>
            <w:bottom w:val="none" w:sz="0" w:space="0" w:color="auto"/>
            <w:right w:val="none" w:sz="0" w:space="0" w:color="auto"/>
          </w:divBdr>
        </w:div>
        <w:div w:id="1212616393">
          <w:marLeft w:val="0"/>
          <w:marRight w:val="0"/>
          <w:marTop w:val="0"/>
          <w:marBottom w:val="0"/>
          <w:divBdr>
            <w:top w:val="none" w:sz="0" w:space="0" w:color="auto"/>
            <w:left w:val="none" w:sz="0" w:space="0" w:color="auto"/>
            <w:bottom w:val="none" w:sz="0" w:space="0" w:color="auto"/>
            <w:right w:val="none" w:sz="0" w:space="0" w:color="auto"/>
          </w:divBdr>
        </w:div>
        <w:div w:id="1547402560">
          <w:marLeft w:val="0"/>
          <w:marRight w:val="0"/>
          <w:marTop w:val="0"/>
          <w:marBottom w:val="0"/>
          <w:divBdr>
            <w:top w:val="none" w:sz="0" w:space="0" w:color="auto"/>
            <w:left w:val="none" w:sz="0" w:space="0" w:color="auto"/>
            <w:bottom w:val="none" w:sz="0" w:space="0" w:color="auto"/>
            <w:right w:val="none" w:sz="0" w:space="0" w:color="auto"/>
          </w:divBdr>
        </w:div>
        <w:div w:id="1612006326">
          <w:marLeft w:val="0"/>
          <w:marRight w:val="0"/>
          <w:marTop w:val="0"/>
          <w:marBottom w:val="0"/>
          <w:divBdr>
            <w:top w:val="none" w:sz="0" w:space="0" w:color="auto"/>
            <w:left w:val="none" w:sz="0" w:space="0" w:color="auto"/>
            <w:bottom w:val="none" w:sz="0" w:space="0" w:color="auto"/>
            <w:right w:val="none" w:sz="0" w:space="0" w:color="auto"/>
          </w:divBdr>
        </w:div>
      </w:divsChild>
    </w:div>
    <w:div w:id="208309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www.dca.ga.gov/safe-affordable-housing/rental-housing-development/housing-tax-credit-program-lihtc/qualified-0-0" TargetMode="External"/><Relationship Id="rId42" Type="http://schemas.openxmlformats.org/officeDocument/2006/relationships/hyperlink" Target="https://www.dca.ga.gov/safe-affordable-housing/rental-housing-development/housing-tax-credit-program-lihtc/qualified-0-1" TargetMode="External"/><Relationship Id="rId47" Type="http://schemas.openxmlformats.org/officeDocument/2006/relationships/hyperlink" Target="mailto:hfdround@dca.ga.gov" TargetMode="External"/><Relationship Id="rId63" Type="http://schemas.openxmlformats.org/officeDocument/2006/relationships/hyperlink" Target="https://www.dca.ga.gov/node/7804" TargetMode="External"/><Relationship Id="rId68"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a.ga.gov/node/7805" TargetMode="External"/><Relationship Id="rId29" Type="http://schemas.openxmlformats.org/officeDocument/2006/relationships/hyperlink" Target="https://www.fcs.uga.edu/fhce/gich-resources-for-alumni-communities" TargetMode="External"/><Relationship Id="rId11" Type="http://schemas.openxmlformats.org/officeDocument/2006/relationships/image" Target="media/image1.emf"/><Relationship Id="rId24" Type="http://schemas.openxmlformats.org/officeDocument/2006/relationships/hyperlink" Target="https://www.dca.ga.gov/safe-affordable-housing/rental-housing-development/housing-tax-credit-program-lihtc/qualified-0-0" TargetMode="External"/><Relationship Id="rId32" Type="http://schemas.openxmlformats.org/officeDocument/2006/relationships/hyperlink" Target="https://www.dca.ga.gov/safe-affordable-housing/rental-housing-development/housing-tax-credit-program-lihtc/qualified-0-0" TargetMode="External"/><Relationship Id="rId37" Type="http://schemas.openxmlformats.org/officeDocument/2006/relationships/hyperlink" Target="https://www.dca.ga.gov/safe-affordable-housing/rental-housing-development/housing-tax-credit-program-lihtc/qualified-0-0" TargetMode="External"/><Relationship Id="rId40" Type="http://schemas.openxmlformats.org/officeDocument/2006/relationships/hyperlink" Target="https://www.dca.ga.gov/safe-affordable-housing/rental-housing-development/housing-tax-credit-program-lihtc/qualified-0/2021" TargetMode="External"/><Relationship Id="rId45" Type="http://schemas.openxmlformats.org/officeDocument/2006/relationships/hyperlink" Target="https://www.dca.ga.gov/safe-affordable-housing/rental-housing-development/housing-tax-credit-program-lihtc/qualified-0/2022" TargetMode="External"/><Relationship Id="rId53" Type="http://schemas.openxmlformats.org/officeDocument/2006/relationships/hyperlink" Target="https://www.dca.ga.gov/safe-affordable-housing/rental-housing-development/compliance-monitoring" TargetMode="External"/><Relationship Id="rId58" Type="http://schemas.openxmlformats.org/officeDocument/2006/relationships/hyperlink" Target="https://www.dca.ga.gov/node/7818" TargetMode="External"/><Relationship Id="rId66" Type="http://schemas.openxmlformats.org/officeDocument/2006/relationships/hyperlink" Target="https://www.dca.ga.gov/safe-affordable-housing/rental-housing-development/housing-tax-credit-program-lihtc/application" TargetMode="External"/><Relationship Id="rId5" Type="http://schemas.openxmlformats.org/officeDocument/2006/relationships/numbering" Target="numbering.xml"/><Relationship Id="rId61" Type="http://schemas.openxmlformats.org/officeDocument/2006/relationships/hyperlink" Target="https://www.dca.ga.gov/node/7818" TargetMode="External"/><Relationship Id="rId19" Type="http://schemas.openxmlformats.org/officeDocument/2006/relationships/hyperlink" Target="https://www.dca.ga.gov/safe-affordable-housing/rental-housing-development/housing-tax-credit-program-lihtc/qualified-0-0" TargetMode="External"/><Relationship Id="rId14" Type="http://schemas.openxmlformats.org/officeDocument/2006/relationships/hyperlink" Target="mailto:hfdround@dca.ga.gov" TargetMode="External"/><Relationship Id="rId22" Type="http://schemas.openxmlformats.org/officeDocument/2006/relationships/hyperlink" Target="https://www.dca.ga.gov/safe-affordable-housing/rental-housing-development/housing-tax-credit-program-lihtc/qualified-0-0" TargetMode="External"/><Relationship Id="rId27" Type="http://schemas.openxmlformats.org/officeDocument/2006/relationships/image" Target="media/image3.png"/><Relationship Id="rId30" Type="http://schemas.openxmlformats.org/officeDocument/2006/relationships/hyperlink" Target="https://www.dca.ga.gov/safe-affordable-housing/rental-housing-development/housing-tax-credit-program-lihtc/qualified-0-0" TargetMode="External"/><Relationship Id="rId35" Type="http://schemas.openxmlformats.org/officeDocument/2006/relationships/hyperlink" Target="https://www.gadoe.org/CCRPI/Pages/default.aspx" TargetMode="External"/><Relationship Id="rId43" Type="http://schemas.openxmlformats.org/officeDocument/2006/relationships/hyperlink" Target="https://www.dca.ga.gov/safe-affordable-housing/rental-housing-development/housing-tax-credit-program-lihtc/application" TargetMode="External"/><Relationship Id="rId48" Type="http://schemas.openxmlformats.org/officeDocument/2006/relationships/hyperlink" Target="https://www.dca.ga.gov/safe-affordable-housing/rental-housing-development/compliance-monitoring" TargetMode="External"/><Relationship Id="rId56" Type="http://schemas.openxmlformats.org/officeDocument/2006/relationships/hyperlink" Target="https://www.dca.ga.gov/node/7804" TargetMode="External"/><Relationship Id="rId64" Type="http://schemas.openxmlformats.org/officeDocument/2006/relationships/hyperlink" Target="https://www.dca.ga.gov/safe-affordable-housing/rental-housing-development/housing-tax-credit-program-lihtc/qualified-0/2022"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dca.ga.gov/node/7804" TargetMode="External"/><Relationship Id="rId3" Type="http://schemas.openxmlformats.org/officeDocument/2006/relationships/customXml" Target="../customXml/item3.xml"/><Relationship Id="rId12" Type="http://schemas.openxmlformats.org/officeDocument/2006/relationships/hyperlink" Target="https://www.dca.ga.gov/safe-affordable-housing/rental-housing-development/housing-tax-credit-program-lihtc/qualified-0/2022" TargetMode="External"/><Relationship Id="rId17" Type="http://schemas.openxmlformats.org/officeDocument/2006/relationships/hyperlink" Target="https://www.dca.ga.gov/safe-affordable-housing/rental-housing-development/housing-tax-credit-program-lihtc/qualified-0-0" TargetMode="External"/><Relationship Id="rId25" Type="http://schemas.openxmlformats.org/officeDocument/2006/relationships/hyperlink" Target="https://georgia-dca.maps.arcgis.com/apps/View/index.html?appid=f40de6a6f3ca455988ccb28f25c8a80e" TargetMode="External"/><Relationship Id="rId33" Type="http://schemas.openxmlformats.org/officeDocument/2006/relationships/hyperlink" Target="https://www.dca.ga.gov/safe-affordable-housing/rental-housing-development/housing-tax-credit-program-lihtc/qualified-0-0" TargetMode="External"/><Relationship Id="rId38" Type="http://schemas.openxmlformats.org/officeDocument/2006/relationships/hyperlink" Target="https://www.dca.ga.gov/safe-affordable-housing/rental-housing-development/housing-tax-credit-program-lihtc/application" TargetMode="External"/><Relationship Id="rId46" Type="http://schemas.openxmlformats.org/officeDocument/2006/relationships/hyperlink" Target="https://www.dca.ga.gov/node/7804" TargetMode="External"/><Relationship Id="rId59" Type="http://schemas.openxmlformats.org/officeDocument/2006/relationships/hyperlink" Target="https://www.dca.ga.gov/safe-affordable-housing/rental-housing-development/housing-tax-credit-program-lihtc/application" TargetMode="External"/><Relationship Id="rId67" Type="http://schemas.openxmlformats.org/officeDocument/2006/relationships/hyperlink" Target="https://www.dca.ga.gov/safe-affordable-housing/rental-housing-development/housing-tax-credit-program-lihtc/application" TargetMode="External"/><Relationship Id="rId20" Type="http://schemas.openxmlformats.org/officeDocument/2006/relationships/hyperlink" Target="https://www.dca.ga.gov/safe-affordable-housing/rental-housing-development/housing-tax-credit-program-lihtc/qualified-0-0" TargetMode="External"/><Relationship Id="rId41" Type="http://schemas.openxmlformats.org/officeDocument/2006/relationships/hyperlink" Target="https://www.dca.ga.gov/node/4709" TargetMode="External"/><Relationship Id="rId54" Type="http://schemas.openxmlformats.org/officeDocument/2006/relationships/hyperlink" Target="https://www.dca.ga.gov/node/7804" TargetMode="External"/><Relationship Id="rId62" Type="http://schemas.openxmlformats.org/officeDocument/2006/relationships/hyperlink" Target="https://www.dca.ga.gov/safe-affordable-housing/rental-housing-development/housing-tax-credit-program-lihtc/application"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ca.ga.gov/safe-affordable-housing/rental-housing-development/compliance-monitoring/utility-allowances" TargetMode="External"/><Relationship Id="rId23" Type="http://schemas.openxmlformats.org/officeDocument/2006/relationships/hyperlink" Target="https://www.dca.ga.gov/safe-affordable-housing/rental-housing-development/housing-tax-credit-program-lihtc/qualified-0-0" TargetMode="External"/><Relationship Id="rId28" Type="http://schemas.openxmlformats.org/officeDocument/2006/relationships/image" Target="media/image4.png"/><Relationship Id="rId36" Type="http://schemas.openxmlformats.org/officeDocument/2006/relationships/hyperlink" Target="https://www.gadoe.org/CCRPI/Pages/-Archived-CCRPI-Data-Files.aspx?" TargetMode="External"/><Relationship Id="rId49" Type="http://schemas.openxmlformats.org/officeDocument/2006/relationships/hyperlink" Target="https://www.dca.ga.gov/safe-affordable-housing/rental-housing-development/compliance-monitoring" TargetMode="External"/><Relationship Id="rId57" Type="http://schemas.openxmlformats.org/officeDocument/2006/relationships/hyperlink" Target="https://www.dca.ga.gov/node/7818" TargetMode="External"/><Relationship Id="rId10" Type="http://schemas.openxmlformats.org/officeDocument/2006/relationships/endnotes" Target="endnotes.xml"/><Relationship Id="rId31" Type="http://schemas.openxmlformats.org/officeDocument/2006/relationships/hyperlink" Target="https://www.youtube.com/watch?v=VozXGGf8Ueg&amp;t=503s" TargetMode="External"/><Relationship Id="rId44" Type="http://schemas.openxmlformats.org/officeDocument/2006/relationships/hyperlink" Target="https://www.dca.ga.gov/safe-affordable-housing/rental-housing-development/housing-tax-credit-program-lihtc/application" TargetMode="External"/><Relationship Id="rId52" Type="http://schemas.openxmlformats.org/officeDocument/2006/relationships/hyperlink" Target="https://www.dca.ga.gov/safe-affordable-housing/rental-housing-development/compliance-monitoring" TargetMode="External"/><Relationship Id="rId60" Type="http://schemas.openxmlformats.org/officeDocument/2006/relationships/hyperlink" Target="https://www.dca.ga.gov/node/7818" TargetMode="External"/><Relationship Id="rId65" Type="http://schemas.openxmlformats.org/officeDocument/2006/relationships/hyperlink" Target="https://www.dca.ga.gov/safe-affordable-housing/rental-housing-development/housing-tax-credit-program-lihtc"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hfdround@dca.ga.gov" TargetMode="External"/><Relationship Id="rId18" Type="http://schemas.openxmlformats.org/officeDocument/2006/relationships/hyperlink" Target="https://www.dca.ga.gov/safe-affordable-housing/rental-housing-development/housing-tax-credit-program-lihtc/application" TargetMode="External"/><Relationship Id="rId39" Type="http://schemas.openxmlformats.org/officeDocument/2006/relationships/hyperlink" Target="https://www.dca.ga.gov/safe-affordable-housing/rental-housing-development/housing-tax-credit-program-lihtc/qualified-0/2021" TargetMode="External"/><Relationship Id="rId34" Type="http://schemas.openxmlformats.org/officeDocument/2006/relationships/hyperlink" Target="https://www.dca.ga.gov/safe-affordable-housing/rental-housing-development/housing-tax-credit-program-lihtc/application" TargetMode="External"/><Relationship Id="rId50" Type="http://schemas.openxmlformats.org/officeDocument/2006/relationships/hyperlink" Target="https://www.dca.ga.gov/node/7804" TargetMode="External"/><Relationship Id="rId55" Type="http://schemas.openxmlformats.org/officeDocument/2006/relationships/hyperlink" Target="https://www.dca.ga.gov/safe-affordable-housing/rental-housing-development/housing-tax-credit-program-lihtc/qualified-0/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31100d4-4470-42c1-96bc-46686c1829ae">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BC28513F06E9409310364D80ACD8FD" ma:contentTypeVersion="4" ma:contentTypeDescription="Create a new document." ma:contentTypeScope="" ma:versionID="83d0b16190b57fa7dc96064b8d8a5359">
  <xsd:schema xmlns:xsd="http://www.w3.org/2001/XMLSchema" xmlns:xs="http://www.w3.org/2001/XMLSchema" xmlns:p="http://schemas.microsoft.com/office/2006/metadata/properties" xmlns:ns2="0b389fdf-c1cd-4589-91b6-850ba51ff85c" xmlns:ns3="431100d4-4470-42c1-96bc-46686c1829ae" targetNamespace="http://schemas.microsoft.com/office/2006/metadata/properties" ma:root="true" ma:fieldsID="eff21368e3679a86a8c1b431e04b0acf" ns2:_="" ns3:_="">
    <xsd:import namespace="0b389fdf-c1cd-4589-91b6-850ba51ff85c"/>
    <xsd:import namespace="431100d4-4470-42c1-96bc-46686c1829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89fdf-c1cd-4589-91b6-850ba51ff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1100d4-4470-42c1-96bc-46686c1829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CA9A69-CD3B-44FD-A2A0-AD4169BB2B1F}">
  <ds:schemaRefs>
    <ds:schemaRef ds:uri="http://www.w3.org/XML/1998/namespace"/>
    <ds:schemaRef ds:uri="http://purl.org/dc/terms/"/>
    <ds:schemaRef ds:uri="http://schemas.microsoft.com/office/2006/metadata/properties"/>
    <ds:schemaRef ds:uri="http://schemas.openxmlformats.org/package/2006/metadata/core-properties"/>
    <ds:schemaRef ds:uri="0b389fdf-c1cd-4589-91b6-850ba51ff85c"/>
    <ds:schemaRef ds:uri="http://purl.org/dc/dcmitype/"/>
    <ds:schemaRef ds:uri="http://schemas.microsoft.com/office/2006/documentManagement/types"/>
    <ds:schemaRef ds:uri="http://schemas.microsoft.com/office/infopath/2007/PartnerControls"/>
    <ds:schemaRef ds:uri="431100d4-4470-42c1-96bc-46686c1829ae"/>
    <ds:schemaRef ds:uri="http://purl.org/dc/elements/1.1/"/>
  </ds:schemaRefs>
</ds:datastoreItem>
</file>

<file path=customXml/itemProps2.xml><?xml version="1.0" encoding="utf-8"?>
<ds:datastoreItem xmlns:ds="http://schemas.openxmlformats.org/officeDocument/2006/customXml" ds:itemID="{83982970-157C-4B94-8177-F956F3613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89fdf-c1cd-4589-91b6-850ba51ff85c"/>
    <ds:schemaRef ds:uri="431100d4-4470-42c1-96bc-46686c182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8830A2-3A51-48E6-8C47-BC7C7E17F3D6}">
  <ds:schemaRefs>
    <ds:schemaRef ds:uri="http://schemas.openxmlformats.org/officeDocument/2006/bibliography"/>
  </ds:schemaRefs>
</ds:datastoreItem>
</file>

<file path=customXml/itemProps4.xml><?xml version="1.0" encoding="utf-8"?>
<ds:datastoreItem xmlns:ds="http://schemas.openxmlformats.org/officeDocument/2006/customXml" ds:itemID="{93CB819E-9CCA-4FCD-90F4-6C873F6413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19004</Words>
  <Characters>108328</Characters>
  <Application>Microsoft Office Word</Application>
  <DocSecurity>0</DocSecurity>
  <Lines>902</Lines>
  <Paragraphs>254</Paragraphs>
  <ScaleCrop>false</ScaleCrop>
  <Company/>
  <LinksUpToDate>false</LinksUpToDate>
  <CharactersWithSpaces>127078</CharactersWithSpaces>
  <SharedDoc>false</SharedDoc>
  <HLinks>
    <vt:vector size="300" baseType="variant">
      <vt:variant>
        <vt:i4>7340131</vt:i4>
      </vt:variant>
      <vt:variant>
        <vt:i4>147</vt:i4>
      </vt:variant>
      <vt:variant>
        <vt:i4>0</vt:i4>
      </vt:variant>
      <vt:variant>
        <vt:i4>5</vt:i4>
      </vt:variant>
      <vt:variant>
        <vt:lpwstr>https://www.dca.ga.gov/safe-affordable-housing/rental-housing-development/housing-tax-credit-program-lihtc/application</vt:lpwstr>
      </vt:variant>
      <vt:variant>
        <vt:lpwstr/>
      </vt:variant>
      <vt:variant>
        <vt:i4>7340131</vt:i4>
      </vt:variant>
      <vt:variant>
        <vt:i4>144</vt:i4>
      </vt:variant>
      <vt:variant>
        <vt:i4>0</vt:i4>
      </vt:variant>
      <vt:variant>
        <vt:i4>5</vt:i4>
      </vt:variant>
      <vt:variant>
        <vt:lpwstr>https://www.dca.ga.gov/safe-affordable-housing/rental-housing-development/housing-tax-credit-program-lihtc/application</vt:lpwstr>
      </vt:variant>
      <vt:variant>
        <vt:lpwstr/>
      </vt:variant>
      <vt:variant>
        <vt:i4>7209000</vt:i4>
      </vt:variant>
      <vt:variant>
        <vt:i4>141</vt:i4>
      </vt:variant>
      <vt:variant>
        <vt:i4>0</vt:i4>
      </vt:variant>
      <vt:variant>
        <vt:i4>5</vt:i4>
      </vt:variant>
      <vt:variant>
        <vt:lpwstr>https://www.dca.ga.gov/safe-affordable-housing/rental-housing-development/housing-tax-credit-program-lihtc</vt:lpwstr>
      </vt:variant>
      <vt:variant>
        <vt:lpwstr/>
      </vt:variant>
      <vt:variant>
        <vt:i4>2752559</vt:i4>
      </vt:variant>
      <vt:variant>
        <vt:i4>138</vt:i4>
      </vt:variant>
      <vt:variant>
        <vt:i4>0</vt:i4>
      </vt:variant>
      <vt:variant>
        <vt:i4>5</vt:i4>
      </vt:variant>
      <vt:variant>
        <vt:lpwstr>https://www.dca.ga.gov/safe-affordable-housing/rental-housing-development/housing-tax-credit-program-lihtc/qualified-0/2022</vt:lpwstr>
      </vt:variant>
      <vt:variant>
        <vt:lpwstr/>
      </vt:variant>
      <vt:variant>
        <vt:i4>6029377</vt:i4>
      </vt:variant>
      <vt:variant>
        <vt:i4>135</vt:i4>
      </vt:variant>
      <vt:variant>
        <vt:i4>0</vt:i4>
      </vt:variant>
      <vt:variant>
        <vt:i4>5</vt:i4>
      </vt:variant>
      <vt:variant>
        <vt:lpwstr>https://www.dca.ga.gov/node/7804</vt:lpwstr>
      </vt:variant>
      <vt:variant>
        <vt:lpwstr/>
      </vt:variant>
      <vt:variant>
        <vt:i4>7340131</vt:i4>
      </vt:variant>
      <vt:variant>
        <vt:i4>132</vt:i4>
      </vt:variant>
      <vt:variant>
        <vt:i4>0</vt:i4>
      </vt:variant>
      <vt:variant>
        <vt:i4>5</vt:i4>
      </vt:variant>
      <vt:variant>
        <vt:lpwstr>https://www.dca.ga.gov/safe-affordable-housing/rental-housing-development/housing-tax-credit-program-lihtc/application</vt:lpwstr>
      </vt:variant>
      <vt:variant>
        <vt:lpwstr/>
      </vt:variant>
      <vt:variant>
        <vt:i4>5242944</vt:i4>
      </vt:variant>
      <vt:variant>
        <vt:i4>129</vt:i4>
      </vt:variant>
      <vt:variant>
        <vt:i4>0</vt:i4>
      </vt:variant>
      <vt:variant>
        <vt:i4>5</vt:i4>
      </vt:variant>
      <vt:variant>
        <vt:lpwstr>https://www.dca.ga.gov/node/7818</vt:lpwstr>
      </vt:variant>
      <vt:variant>
        <vt:lpwstr/>
      </vt:variant>
      <vt:variant>
        <vt:i4>5242944</vt:i4>
      </vt:variant>
      <vt:variant>
        <vt:i4>126</vt:i4>
      </vt:variant>
      <vt:variant>
        <vt:i4>0</vt:i4>
      </vt:variant>
      <vt:variant>
        <vt:i4>5</vt:i4>
      </vt:variant>
      <vt:variant>
        <vt:lpwstr>https://www.dca.ga.gov/node/7818</vt:lpwstr>
      </vt:variant>
      <vt:variant>
        <vt:lpwstr/>
      </vt:variant>
      <vt:variant>
        <vt:i4>7340131</vt:i4>
      </vt:variant>
      <vt:variant>
        <vt:i4>123</vt:i4>
      </vt:variant>
      <vt:variant>
        <vt:i4>0</vt:i4>
      </vt:variant>
      <vt:variant>
        <vt:i4>5</vt:i4>
      </vt:variant>
      <vt:variant>
        <vt:lpwstr>https://www.dca.ga.gov/safe-affordable-housing/rental-housing-development/housing-tax-credit-program-lihtc/application</vt:lpwstr>
      </vt:variant>
      <vt:variant>
        <vt:lpwstr/>
      </vt:variant>
      <vt:variant>
        <vt:i4>5242944</vt:i4>
      </vt:variant>
      <vt:variant>
        <vt:i4>120</vt:i4>
      </vt:variant>
      <vt:variant>
        <vt:i4>0</vt:i4>
      </vt:variant>
      <vt:variant>
        <vt:i4>5</vt:i4>
      </vt:variant>
      <vt:variant>
        <vt:lpwstr>https://www.dca.ga.gov/node/7818</vt:lpwstr>
      </vt:variant>
      <vt:variant>
        <vt:lpwstr/>
      </vt:variant>
      <vt:variant>
        <vt:i4>5242944</vt:i4>
      </vt:variant>
      <vt:variant>
        <vt:i4>117</vt:i4>
      </vt:variant>
      <vt:variant>
        <vt:i4>0</vt:i4>
      </vt:variant>
      <vt:variant>
        <vt:i4>5</vt:i4>
      </vt:variant>
      <vt:variant>
        <vt:lpwstr>https://www.dca.ga.gov/node/7818</vt:lpwstr>
      </vt:variant>
      <vt:variant>
        <vt:lpwstr/>
      </vt:variant>
      <vt:variant>
        <vt:i4>6029377</vt:i4>
      </vt:variant>
      <vt:variant>
        <vt:i4>114</vt:i4>
      </vt:variant>
      <vt:variant>
        <vt:i4>0</vt:i4>
      </vt:variant>
      <vt:variant>
        <vt:i4>5</vt:i4>
      </vt:variant>
      <vt:variant>
        <vt:lpwstr>https://www.dca.ga.gov/node/7804</vt:lpwstr>
      </vt:variant>
      <vt:variant>
        <vt:lpwstr/>
      </vt:variant>
      <vt:variant>
        <vt:i4>2752559</vt:i4>
      </vt:variant>
      <vt:variant>
        <vt:i4>111</vt:i4>
      </vt:variant>
      <vt:variant>
        <vt:i4>0</vt:i4>
      </vt:variant>
      <vt:variant>
        <vt:i4>5</vt:i4>
      </vt:variant>
      <vt:variant>
        <vt:lpwstr>https://www.dca.ga.gov/safe-affordable-housing/rental-housing-development/housing-tax-credit-program-lihtc/qualified-0/2021</vt:lpwstr>
      </vt:variant>
      <vt:variant>
        <vt:lpwstr/>
      </vt:variant>
      <vt:variant>
        <vt:i4>6029377</vt:i4>
      </vt:variant>
      <vt:variant>
        <vt:i4>108</vt:i4>
      </vt:variant>
      <vt:variant>
        <vt:i4>0</vt:i4>
      </vt:variant>
      <vt:variant>
        <vt:i4>5</vt:i4>
      </vt:variant>
      <vt:variant>
        <vt:lpwstr>https://www.dca.ga.gov/node/7804</vt:lpwstr>
      </vt:variant>
      <vt:variant>
        <vt:lpwstr/>
      </vt:variant>
      <vt:variant>
        <vt:i4>7209084</vt:i4>
      </vt:variant>
      <vt:variant>
        <vt:i4>105</vt:i4>
      </vt:variant>
      <vt:variant>
        <vt:i4>0</vt:i4>
      </vt:variant>
      <vt:variant>
        <vt:i4>5</vt:i4>
      </vt:variant>
      <vt:variant>
        <vt:lpwstr>https://www.dca.ga.gov/safe-affordable-housing/rental-housing-development/compliance-monitoring</vt:lpwstr>
      </vt:variant>
      <vt:variant>
        <vt:lpwstr/>
      </vt:variant>
      <vt:variant>
        <vt:i4>7209084</vt:i4>
      </vt:variant>
      <vt:variant>
        <vt:i4>102</vt:i4>
      </vt:variant>
      <vt:variant>
        <vt:i4>0</vt:i4>
      </vt:variant>
      <vt:variant>
        <vt:i4>5</vt:i4>
      </vt:variant>
      <vt:variant>
        <vt:lpwstr>https://www.dca.ga.gov/safe-affordable-housing/rental-housing-development/compliance-monitoring</vt:lpwstr>
      </vt:variant>
      <vt:variant>
        <vt:lpwstr/>
      </vt:variant>
      <vt:variant>
        <vt:i4>6029377</vt:i4>
      </vt:variant>
      <vt:variant>
        <vt:i4>99</vt:i4>
      </vt:variant>
      <vt:variant>
        <vt:i4>0</vt:i4>
      </vt:variant>
      <vt:variant>
        <vt:i4>5</vt:i4>
      </vt:variant>
      <vt:variant>
        <vt:lpwstr>https://www.dca.ga.gov/node/7804</vt:lpwstr>
      </vt:variant>
      <vt:variant>
        <vt:lpwstr/>
      </vt:variant>
      <vt:variant>
        <vt:i4>6029377</vt:i4>
      </vt:variant>
      <vt:variant>
        <vt:i4>96</vt:i4>
      </vt:variant>
      <vt:variant>
        <vt:i4>0</vt:i4>
      </vt:variant>
      <vt:variant>
        <vt:i4>5</vt:i4>
      </vt:variant>
      <vt:variant>
        <vt:lpwstr>https://www.dca.ga.gov/node/7804</vt:lpwstr>
      </vt:variant>
      <vt:variant>
        <vt:lpwstr/>
      </vt:variant>
      <vt:variant>
        <vt:i4>7209084</vt:i4>
      </vt:variant>
      <vt:variant>
        <vt:i4>93</vt:i4>
      </vt:variant>
      <vt:variant>
        <vt:i4>0</vt:i4>
      </vt:variant>
      <vt:variant>
        <vt:i4>5</vt:i4>
      </vt:variant>
      <vt:variant>
        <vt:lpwstr>https://www.dca.ga.gov/safe-affordable-housing/rental-housing-development/compliance-monitoring</vt:lpwstr>
      </vt:variant>
      <vt:variant>
        <vt:lpwstr/>
      </vt:variant>
      <vt:variant>
        <vt:i4>7209084</vt:i4>
      </vt:variant>
      <vt:variant>
        <vt:i4>90</vt:i4>
      </vt:variant>
      <vt:variant>
        <vt:i4>0</vt:i4>
      </vt:variant>
      <vt:variant>
        <vt:i4>5</vt:i4>
      </vt:variant>
      <vt:variant>
        <vt:lpwstr>https://www.dca.ga.gov/safe-affordable-housing/rental-housing-development/compliance-monitoring</vt:lpwstr>
      </vt:variant>
      <vt:variant>
        <vt:lpwstr/>
      </vt:variant>
      <vt:variant>
        <vt:i4>1179756</vt:i4>
      </vt:variant>
      <vt:variant>
        <vt:i4>87</vt:i4>
      </vt:variant>
      <vt:variant>
        <vt:i4>0</vt:i4>
      </vt:variant>
      <vt:variant>
        <vt:i4>5</vt:i4>
      </vt:variant>
      <vt:variant>
        <vt:lpwstr>mailto:hfdround@dca.ga.gov</vt:lpwstr>
      </vt:variant>
      <vt:variant>
        <vt:lpwstr/>
      </vt:variant>
      <vt:variant>
        <vt:i4>6029377</vt:i4>
      </vt:variant>
      <vt:variant>
        <vt:i4>84</vt:i4>
      </vt:variant>
      <vt:variant>
        <vt:i4>0</vt:i4>
      </vt:variant>
      <vt:variant>
        <vt:i4>5</vt:i4>
      </vt:variant>
      <vt:variant>
        <vt:lpwstr>https://www.dca.ga.gov/node/7804</vt:lpwstr>
      </vt:variant>
      <vt:variant>
        <vt:lpwstr/>
      </vt:variant>
      <vt:variant>
        <vt:i4>2752559</vt:i4>
      </vt:variant>
      <vt:variant>
        <vt:i4>81</vt:i4>
      </vt:variant>
      <vt:variant>
        <vt:i4>0</vt:i4>
      </vt:variant>
      <vt:variant>
        <vt:i4>5</vt:i4>
      </vt:variant>
      <vt:variant>
        <vt:lpwstr>https://www.dca.ga.gov/safe-affordable-housing/rental-housing-development/housing-tax-credit-program-lihtc/qualified-0/2022</vt:lpwstr>
      </vt:variant>
      <vt:variant>
        <vt:lpwstr/>
      </vt:variant>
      <vt:variant>
        <vt:i4>7340131</vt:i4>
      </vt:variant>
      <vt:variant>
        <vt:i4>78</vt:i4>
      </vt:variant>
      <vt:variant>
        <vt:i4>0</vt:i4>
      </vt:variant>
      <vt:variant>
        <vt:i4>5</vt:i4>
      </vt:variant>
      <vt:variant>
        <vt:lpwstr>https://www.dca.ga.gov/safe-affordable-housing/rental-housing-development/housing-tax-credit-program-lihtc/application</vt:lpwstr>
      </vt:variant>
      <vt:variant>
        <vt:lpwstr/>
      </vt:variant>
      <vt:variant>
        <vt:i4>7340131</vt:i4>
      </vt:variant>
      <vt:variant>
        <vt:i4>75</vt:i4>
      </vt:variant>
      <vt:variant>
        <vt:i4>0</vt:i4>
      </vt:variant>
      <vt:variant>
        <vt:i4>5</vt:i4>
      </vt:variant>
      <vt:variant>
        <vt:lpwstr>https://www.dca.ga.gov/safe-affordable-housing/rental-housing-development/housing-tax-credit-program-lihtc/application</vt:lpwstr>
      </vt:variant>
      <vt:variant>
        <vt:lpwstr/>
      </vt:variant>
      <vt:variant>
        <vt:i4>1769501</vt:i4>
      </vt:variant>
      <vt:variant>
        <vt:i4>72</vt:i4>
      </vt:variant>
      <vt:variant>
        <vt:i4>0</vt:i4>
      </vt:variant>
      <vt:variant>
        <vt:i4>5</vt:i4>
      </vt:variant>
      <vt:variant>
        <vt:lpwstr>https://www.dca.ga.gov/safe-affordable-housing/rental-housing-development/housing-tax-credit-program-lihtc/qualified-0-1</vt:lpwstr>
      </vt:variant>
      <vt:variant>
        <vt:lpwstr/>
      </vt:variant>
      <vt:variant>
        <vt:i4>6160450</vt:i4>
      </vt:variant>
      <vt:variant>
        <vt:i4>69</vt:i4>
      </vt:variant>
      <vt:variant>
        <vt:i4>0</vt:i4>
      </vt:variant>
      <vt:variant>
        <vt:i4>5</vt:i4>
      </vt:variant>
      <vt:variant>
        <vt:lpwstr>https://www.dca.ga.gov/node/4709</vt:lpwstr>
      </vt:variant>
      <vt:variant>
        <vt:lpwstr/>
      </vt:variant>
      <vt:variant>
        <vt:i4>2752559</vt:i4>
      </vt:variant>
      <vt:variant>
        <vt:i4>66</vt:i4>
      </vt:variant>
      <vt:variant>
        <vt:i4>0</vt:i4>
      </vt:variant>
      <vt:variant>
        <vt:i4>5</vt:i4>
      </vt:variant>
      <vt:variant>
        <vt:lpwstr>https://www.dca.ga.gov/safe-affordable-housing/rental-housing-development/housing-tax-credit-program-lihtc/qualified-0/2021</vt:lpwstr>
      </vt:variant>
      <vt:variant>
        <vt:lpwstr/>
      </vt:variant>
      <vt:variant>
        <vt:i4>2752559</vt:i4>
      </vt:variant>
      <vt:variant>
        <vt:i4>63</vt:i4>
      </vt:variant>
      <vt:variant>
        <vt:i4>0</vt:i4>
      </vt:variant>
      <vt:variant>
        <vt:i4>5</vt:i4>
      </vt:variant>
      <vt:variant>
        <vt:lpwstr>https://www.dca.ga.gov/safe-affordable-housing/rental-housing-development/housing-tax-credit-program-lihtc/qualified-0/2021</vt:lpwstr>
      </vt:variant>
      <vt:variant>
        <vt:lpwstr/>
      </vt:variant>
      <vt:variant>
        <vt:i4>7340131</vt:i4>
      </vt:variant>
      <vt:variant>
        <vt:i4>60</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57</vt:i4>
      </vt:variant>
      <vt:variant>
        <vt:i4>0</vt:i4>
      </vt:variant>
      <vt:variant>
        <vt:i4>5</vt:i4>
      </vt:variant>
      <vt:variant>
        <vt:lpwstr>https://www.dca.ga.gov/safe-affordable-housing/rental-housing-development/housing-tax-credit-program-lihtc/qualified-0-0</vt:lpwstr>
      </vt:variant>
      <vt:variant>
        <vt:lpwstr/>
      </vt:variant>
      <vt:variant>
        <vt:i4>6815867</vt:i4>
      </vt:variant>
      <vt:variant>
        <vt:i4>54</vt:i4>
      </vt:variant>
      <vt:variant>
        <vt:i4>0</vt:i4>
      </vt:variant>
      <vt:variant>
        <vt:i4>5</vt:i4>
      </vt:variant>
      <vt:variant>
        <vt:lpwstr>https://www.gadoe.org/CCRPI/Pages/-Archived-CCRPI-Data-Files.aspx?</vt:lpwstr>
      </vt:variant>
      <vt:variant>
        <vt:lpwstr/>
      </vt:variant>
      <vt:variant>
        <vt:i4>7274528</vt:i4>
      </vt:variant>
      <vt:variant>
        <vt:i4>51</vt:i4>
      </vt:variant>
      <vt:variant>
        <vt:i4>0</vt:i4>
      </vt:variant>
      <vt:variant>
        <vt:i4>5</vt:i4>
      </vt:variant>
      <vt:variant>
        <vt:lpwstr>https://www.gadoe.org/CCRPI/Pages/default.aspx</vt:lpwstr>
      </vt:variant>
      <vt:variant>
        <vt:lpwstr/>
      </vt:variant>
      <vt:variant>
        <vt:i4>7340131</vt:i4>
      </vt:variant>
      <vt:variant>
        <vt:i4>48</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45</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42</vt:i4>
      </vt:variant>
      <vt:variant>
        <vt:i4>0</vt:i4>
      </vt:variant>
      <vt:variant>
        <vt:i4>5</vt:i4>
      </vt:variant>
      <vt:variant>
        <vt:lpwstr>https://www.dca.ga.gov/safe-affordable-housing/rental-housing-development/housing-tax-credit-program-lihtc/qualified-0-0</vt:lpwstr>
      </vt:variant>
      <vt:variant>
        <vt:lpwstr/>
      </vt:variant>
      <vt:variant>
        <vt:i4>2752546</vt:i4>
      </vt:variant>
      <vt:variant>
        <vt:i4>39</vt:i4>
      </vt:variant>
      <vt:variant>
        <vt:i4>0</vt:i4>
      </vt:variant>
      <vt:variant>
        <vt:i4>5</vt:i4>
      </vt:variant>
      <vt:variant>
        <vt:lpwstr>https://www.youtube.com/watch?v=VozXGGf8Ueg&amp;t=503s</vt:lpwstr>
      </vt:variant>
      <vt:variant>
        <vt:lpwstr/>
      </vt:variant>
      <vt:variant>
        <vt:i4>1703965</vt:i4>
      </vt:variant>
      <vt:variant>
        <vt:i4>36</vt:i4>
      </vt:variant>
      <vt:variant>
        <vt:i4>0</vt:i4>
      </vt:variant>
      <vt:variant>
        <vt:i4>5</vt:i4>
      </vt:variant>
      <vt:variant>
        <vt:lpwstr>https://www.dca.ga.gov/safe-affordable-housing/rental-housing-development/housing-tax-credit-program-lihtc/qualified-0-0</vt:lpwstr>
      </vt:variant>
      <vt:variant>
        <vt:lpwstr/>
      </vt:variant>
      <vt:variant>
        <vt:i4>3211296</vt:i4>
      </vt:variant>
      <vt:variant>
        <vt:i4>33</vt:i4>
      </vt:variant>
      <vt:variant>
        <vt:i4>0</vt:i4>
      </vt:variant>
      <vt:variant>
        <vt:i4>5</vt:i4>
      </vt:variant>
      <vt:variant>
        <vt:lpwstr>https://www.fcs.uga.edu/fhce/gich-resources-for-alumni-communities</vt:lpwstr>
      </vt:variant>
      <vt:variant>
        <vt:lpwstr/>
      </vt:variant>
      <vt:variant>
        <vt:i4>3670127</vt:i4>
      </vt:variant>
      <vt:variant>
        <vt:i4>30</vt:i4>
      </vt:variant>
      <vt:variant>
        <vt:i4>0</vt:i4>
      </vt:variant>
      <vt:variant>
        <vt:i4>5</vt:i4>
      </vt:variant>
      <vt:variant>
        <vt:lpwstr>https://georgia-dca.maps.arcgis.com/apps/View/index.html?appid=f40de6a6f3ca455988ccb28f25c8a80e</vt:lpwstr>
      </vt:variant>
      <vt:variant>
        <vt:lpwstr/>
      </vt:variant>
      <vt:variant>
        <vt:i4>1703965</vt:i4>
      </vt:variant>
      <vt:variant>
        <vt:i4>27</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24</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21</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18</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15</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12</vt:i4>
      </vt:variant>
      <vt:variant>
        <vt:i4>0</vt:i4>
      </vt:variant>
      <vt:variant>
        <vt:i4>5</vt:i4>
      </vt:variant>
      <vt:variant>
        <vt:lpwstr>https://www.dca.ga.gov/safe-affordable-housing/rental-housing-development/housing-tax-credit-program-lihtc/qualified-0-0</vt:lpwstr>
      </vt:variant>
      <vt:variant>
        <vt:lpwstr/>
      </vt:variant>
      <vt:variant>
        <vt:i4>7340131</vt:i4>
      </vt:variant>
      <vt:variant>
        <vt:i4>9</vt:i4>
      </vt:variant>
      <vt:variant>
        <vt:i4>0</vt:i4>
      </vt:variant>
      <vt:variant>
        <vt:i4>5</vt:i4>
      </vt:variant>
      <vt:variant>
        <vt:lpwstr>https://www.dca.ga.gov/safe-affordable-housing/rental-housing-development/housing-tax-credit-program-lihtc/application</vt:lpwstr>
      </vt:variant>
      <vt:variant>
        <vt:lpwstr/>
      </vt:variant>
      <vt:variant>
        <vt:i4>1179756</vt:i4>
      </vt:variant>
      <vt:variant>
        <vt:i4>6</vt:i4>
      </vt:variant>
      <vt:variant>
        <vt:i4>0</vt:i4>
      </vt:variant>
      <vt:variant>
        <vt:i4>5</vt:i4>
      </vt:variant>
      <vt:variant>
        <vt:lpwstr>mailto:hfdround@dca.ga.gov</vt:lpwstr>
      </vt:variant>
      <vt:variant>
        <vt:lpwstr/>
      </vt:variant>
      <vt:variant>
        <vt:i4>1179756</vt:i4>
      </vt:variant>
      <vt:variant>
        <vt:i4>3</vt:i4>
      </vt:variant>
      <vt:variant>
        <vt:i4>0</vt:i4>
      </vt:variant>
      <vt:variant>
        <vt:i4>5</vt:i4>
      </vt:variant>
      <vt:variant>
        <vt:lpwstr>mailto:hfdround@dca.ga.gov</vt:lpwstr>
      </vt:variant>
      <vt:variant>
        <vt:lpwstr/>
      </vt:variant>
      <vt:variant>
        <vt:i4>2752559</vt:i4>
      </vt:variant>
      <vt:variant>
        <vt:i4>0</vt:i4>
      </vt:variant>
      <vt:variant>
        <vt:i4>0</vt:i4>
      </vt:variant>
      <vt:variant>
        <vt:i4>5</vt:i4>
      </vt:variant>
      <vt:variant>
        <vt:lpwstr>https://www.dca.ga.gov/safe-affordable-housing/rental-housing-development/housing-tax-credit-program-lihtc/qualified-0/2022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Popper</dc:creator>
  <cp:keywords/>
  <dc:description/>
  <cp:lastModifiedBy>Jack Popper</cp:lastModifiedBy>
  <cp:revision>2</cp:revision>
  <dcterms:created xsi:type="dcterms:W3CDTF">2022-05-11T15:51:00Z</dcterms:created>
  <dcterms:modified xsi:type="dcterms:W3CDTF">2022-05-11T15:51:00Z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0x010100F2BC28513F06E9409310364D80ACD8FD</vt:lpwstr>
  </property>
  <property fmtid="{D5CDD505-2E9C-101B-9397-08002B2CF9AE}" pid="3" name="Order">
    <vt:r8>1034800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