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1B5C9ED7" w:rsidR="007C0246" w:rsidRPr="00A938F4"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color w:val="A6A6A6" w:themeColor="background1" w:themeShade="A6"/>
        </w:rPr>
        <w:t>.</w:t>
      </w:r>
      <w:r w:rsidR="007C0246" w:rsidRPr="00A938F4">
        <w:rPr>
          <w:rFonts w:ascii="Times New Roman" w:hAnsi="Times New Roman" w:cs="Times New Roman"/>
          <w:noProof/>
        </w:rPr>
        <w:t xml:space="preserve">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7D829295"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r w:rsidR="00AE7430">
        <w:rPr>
          <w:rFonts w:ascii="Times New Roman" w:hAnsi="Times New Roman" w:cs="Times New Roman"/>
        </w:rPr>
        <w:t>contain</w:t>
      </w:r>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w:t>
        </w:r>
        <w:r w:rsidR="00C80CAC" w:rsidRPr="00A938F4">
          <w:rPr>
            <w:rStyle w:val="Hyperlink"/>
            <w:rFonts w:ascii="Times New Roman" w:hAnsi="Times New Roman" w:cs="Times New Roman"/>
          </w:rPr>
          <w:t>r</w:t>
        </w:r>
        <w:r w:rsidR="00C80CAC" w:rsidRPr="00A938F4">
          <w:rPr>
            <w:rStyle w:val="Hyperlink"/>
            <w:rFonts w:ascii="Times New Roman" w:hAnsi="Times New Roman" w:cs="Times New Roman"/>
          </w:rPr>
          <w:t>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525DC9" w:rsidRPr="00A379DF" w14:paraId="3F99211E"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2DFF3E77" w14:textId="77777777" w:rsidR="00525DC9" w:rsidRPr="00A379DF" w:rsidRDefault="00525DC9" w:rsidP="00163089">
            <w:pPr>
              <w:jc w:val="center"/>
              <w:rPr>
                <w:rFonts w:ascii="Times New Roman" w:hAnsi="Times New Roman" w:cs="Times New Roman"/>
                <w:b/>
                <w:bCs/>
                <w:noProof/>
                <w:sz w:val="20"/>
                <w:szCs w:val="20"/>
              </w:rPr>
            </w:pPr>
            <w:r w:rsidRPr="00A379DF">
              <w:rPr>
                <w:rFonts w:ascii="Times New Roman" w:hAnsi="Times New Roman" w:cs="Times New Roman"/>
                <w:b/>
                <w:bCs/>
                <w:noProof/>
                <w:sz w:val="20"/>
                <w:szCs w:val="20"/>
              </w:rPr>
              <w:t>Date</w:t>
            </w:r>
          </w:p>
          <w:p w14:paraId="340C3991" w14:textId="77777777" w:rsidR="00525DC9" w:rsidRPr="00A379DF" w:rsidRDefault="00525DC9" w:rsidP="00163089">
            <w:pPr>
              <w:jc w:val="center"/>
              <w:rPr>
                <w:rFonts w:ascii="Times New Roman" w:hAnsi="Times New Roman" w:cs="Times New Roman"/>
                <w:b/>
                <w:bCs/>
                <w:noProof/>
                <w:sz w:val="20"/>
                <w:szCs w:val="20"/>
              </w:rPr>
            </w:pPr>
            <w:r w:rsidRPr="00A379DF">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54093D73" w14:textId="77777777" w:rsidR="00525DC9" w:rsidRPr="00A379DF" w:rsidRDefault="00525DC9" w:rsidP="00163089">
            <w:pPr>
              <w:jc w:val="center"/>
              <w:rPr>
                <w:rFonts w:ascii="Times New Roman" w:hAnsi="Times New Roman" w:cs="Times New Roman"/>
                <w:b/>
                <w:bCs/>
                <w:noProof/>
                <w:sz w:val="20"/>
                <w:szCs w:val="20"/>
              </w:rPr>
            </w:pPr>
            <w:r w:rsidRPr="00A379DF">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01875373" w14:textId="77777777" w:rsidR="00525DC9" w:rsidRPr="00A379DF" w:rsidRDefault="00525DC9" w:rsidP="00163089">
            <w:pPr>
              <w:jc w:val="center"/>
              <w:rPr>
                <w:rFonts w:ascii="Times New Roman" w:hAnsi="Times New Roman" w:cs="Times New Roman"/>
                <w:b/>
                <w:bCs/>
                <w:noProof/>
                <w:sz w:val="20"/>
                <w:szCs w:val="20"/>
              </w:rPr>
            </w:pPr>
            <w:r w:rsidRPr="00A379DF">
              <w:rPr>
                <w:rFonts w:ascii="Times New Roman" w:hAnsi="Times New Roman" w:cs="Times New Roman"/>
                <w:b/>
                <w:bCs/>
                <w:noProof/>
                <w:sz w:val="20"/>
                <w:szCs w:val="20"/>
              </w:rPr>
              <w:t>Question and Answer</w:t>
            </w:r>
          </w:p>
        </w:tc>
      </w:tr>
      <w:tr w:rsidR="00525DC9" w:rsidRPr="00A379DF" w14:paraId="73D36379" w14:textId="77777777" w:rsidTr="00E91E6E">
        <w:trPr>
          <w:jc w:val="center"/>
        </w:trPr>
        <w:tc>
          <w:tcPr>
            <w:tcW w:w="2157" w:type="dxa"/>
            <w:shd w:val="clear" w:color="auto" w:fill="auto"/>
            <w:tcMar>
              <w:top w:w="72" w:type="dxa"/>
              <w:left w:w="115" w:type="dxa"/>
              <w:bottom w:w="72" w:type="dxa"/>
              <w:right w:w="115" w:type="dxa"/>
            </w:tcMar>
            <w:vAlign w:val="center"/>
          </w:tcPr>
          <w:p w14:paraId="70985A88" w14:textId="77777777" w:rsidR="00525DC9" w:rsidRPr="00A379DF" w:rsidRDefault="00525DC9" w:rsidP="00163089">
            <w:pPr>
              <w:contextualSpacing/>
              <w:rPr>
                <w:rFonts w:ascii="Times New Roman" w:hAnsi="Times New Roman" w:cs="Times New Roman"/>
                <w:noProof/>
                <w:sz w:val="20"/>
                <w:szCs w:val="20"/>
              </w:rPr>
            </w:pPr>
            <w:r w:rsidRPr="00A379DF">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1FD60885" w14:textId="77777777" w:rsidR="00525DC9" w:rsidRPr="00A379DF"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1.19</w:t>
            </w:r>
          </w:p>
          <w:p w14:paraId="7111AC8E" w14:textId="77777777" w:rsidR="00525DC9" w:rsidRPr="00A379DF" w:rsidRDefault="00525DC9" w:rsidP="00163089">
            <w:pPr>
              <w:contextualSpacing/>
              <w:rPr>
                <w:rFonts w:ascii="Times New Roman" w:hAnsi="Times New Roman" w:cs="Times New Roman"/>
                <w:noProof/>
                <w:sz w:val="20"/>
                <w:szCs w:val="20"/>
              </w:rPr>
            </w:pPr>
            <w:r w:rsidRPr="00DF5744">
              <w:rPr>
                <w:rFonts w:ascii="Times New Roman" w:hAnsi="Times New Roman" w:cs="Times New Roman"/>
                <w:noProof/>
                <w:sz w:val="20"/>
                <w:szCs w:val="20"/>
              </w:rPr>
              <w:t>D</w:t>
            </w:r>
            <w:r>
              <w:rPr>
                <w:rFonts w:ascii="Times New Roman" w:hAnsi="Times New Roman" w:cs="Times New Roman"/>
                <w:noProof/>
                <w:sz w:val="20"/>
                <w:szCs w:val="20"/>
              </w:rPr>
              <w:t>CA</w:t>
            </w:r>
            <w:r w:rsidRPr="00DF5744">
              <w:rPr>
                <w:rFonts w:ascii="Times New Roman" w:hAnsi="Times New Roman" w:cs="Times New Roman"/>
                <w:noProof/>
                <w:sz w:val="20"/>
                <w:szCs w:val="20"/>
              </w:rPr>
              <w:t xml:space="preserve"> Pre-Application Fees </w:t>
            </w:r>
            <w:r>
              <w:rPr>
                <w:rFonts w:ascii="Times New Roman" w:hAnsi="Times New Roman" w:cs="Times New Roman"/>
                <w:noProof/>
                <w:sz w:val="20"/>
                <w:szCs w:val="20"/>
              </w:rPr>
              <w:t>a</w:t>
            </w:r>
            <w:r w:rsidRPr="00DF5744">
              <w:rPr>
                <w:rFonts w:ascii="Times New Roman" w:hAnsi="Times New Roman" w:cs="Times New Roman"/>
                <w:noProof/>
                <w:sz w:val="20"/>
                <w:szCs w:val="20"/>
              </w:rPr>
              <w:t>nd Deadline Schedules</w:t>
            </w:r>
          </w:p>
        </w:tc>
        <w:tc>
          <w:tcPr>
            <w:tcW w:w="9590" w:type="dxa"/>
            <w:shd w:val="clear" w:color="auto" w:fill="auto"/>
            <w:tcMar>
              <w:top w:w="72" w:type="dxa"/>
              <w:left w:w="115" w:type="dxa"/>
              <w:bottom w:w="72" w:type="dxa"/>
              <w:right w:w="115" w:type="dxa"/>
            </w:tcMar>
            <w:vAlign w:val="center"/>
          </w:tcPr>
          <w:p w14:paraId="4E15C669"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b/>
                <w:bCs/>
                <w:sz w:val="20"/>
                <w:szCs w:val="20"/>
              </w:rPr>
              <w:t>Question</w:t>
            </w:r>
            <w:r w:rsidRPr="00A379DF">
              <w:rPr>
                <w:rStyle w:val="normaltextrun"/>
                <w:sz w:val="20"/>
                <w:szCs w:val="20"/>
              </w:rPr>
              <w:t xml:space="preserve">: </w:t>
            </w:r>
            <w:r w:rsidRPr="00CD1170">
              <w:rPr>
                <w:rStyle w:val="normaltextrun"/>
                <w:sz w:val="20"/>
                <w:szCs w:val="20"/>
              </w:rPr>
              <w:t>Q0201_05</w:t>
            </w:r>
          </w:p>
          <w:p w14:paraId="346989AE"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sz w:val="20"/>
                <w:szCs w:val="20"/>
              </w:rPr>
              <w:t xml:space="preserve">When is the 9% Credits Pre-Application deadline? </w:t>
            </w:r>
          </w:p>
          <w:p w14:paraId="4FD3A264" w14:textId="77777777" w:rsidR="00525DC9" w:rsidRPr="00A379DF" w:rsidRDefault="00525DC9" w:rsidP="00163089">
            <w:pPr>
              <w:pStyle w:val="paragraph"/>
              <w:spacing w:before="0" w:beforeAutospacing="0" w:after="0" w:afterAutospacing="0"/>
              <w:textAlignment w:val="baseline"/>
              <w:rPr>
                <w:rStyle w:val="normaltextrun"/>
                <w:sz w:val="20"/>
                <w:szCs w:val="20"/>
              </w:rPr>
            </w:pPr>
          </w:p>
          <w:p w14:paraId="0509A96D"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b/>
                <w:bCs/>
                <w:sz w:val="20"/>
                <w:szCs w:val="20"/>
              </w:rPr>
              <w:t>Answer</w:t>
            </w:r>
            <w:r w:rsidRPr="00A379DF">
              <w:rPr>
                <w:rStyle w:val="normaltextrun"/>
                <w:sz w:val="20"/>
                <w:szCs w:val="20"/>
              </w:rPr>
              <w:t xml:space="preserve">: </w:t>
            </w:r>
          </w:p>
          <w:p w14:paraId="5EB57EEE"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sz w:val="20"/>
                <w:szCs w:val="20"/>
              </w:rPr>
              <w:t xml:space="preserve">DCA has extended the 9% Credits Pre-Application deadline to Friday, March 11th, 2022. This extension applies to all 9% Credit deadlines previously listed as “3/4/22” in </w:t>
            </w:r>
            <w:r w:rsidRPr="00A379DF">
              <w:rPr>
                <w:rStyle w:val="normaltextrun"/>
                <w:i/>
                <w:iCs/>
                <w:sz w:val="20"/>
                <w:szCs w:val="20"/>
              </w:rPr>
              <w:t xml:space="preserve">Core Plan, Exhibit A: DCA Pre-Application Fees </w:t>
            </w:r>
            <w:r>
              <w:rPr>
                <w:rStyle w:val="normaltextrun"/>
                <w:i/>
                <w:iCs/>
                <w:sz w:val="20"/>
                <w:szCs w:val="20"/>
              </w:rPr>
              <w:t>a</w:t>
            </w:r>
            <w:r w:rsidRPr="00A379DF">
              <w:rPr>
                <w:rStyle w:val="normaltextrun"/>
                <w:i/>
                <w:iCs/>
                <w:sz w:val="20"/>
                <w:szCs w:val="20"/>
              </w:rPr>
              <w:t>nd Deadline Schedules</w:t>
            </w:r>
            <w:r w:rsidRPr="00A379DF">
              <w:rPr>
                <w:rStyle w:val="normaltextrun"/>
                <w:sz w:val="20"/>
                <w:szCs w:val="20"/>
              </w:rPr>
              <w:t>.</w:t>
            </w:r>
          </w:p>
        </w:tc>
      </w:tr>
      <w:tr w:rsidR="00525DC9" w:rsidRPr="00A379DF" w14:paraId="2C7D8440" w14:textId="77777777" w:rsidTr="00E91E6E">
        <w:trPr>
          <w:jc w:val="center"/>
        </w:trPr>
        <w:tc>
          <w:tcPr>
            <w:tcW w:w="2157" w:type="dxa"/>
            <w:shd w:val="clear" w:color="auto" w:fill="auto"/>
            <w:tcMar>
              <w:top w:w="72" w:type="dxa"/>
              <w:left w:w="115" w:type="dxa"/>
              <w:bottom w:w="72" w:type="dxa"/>
              <w:right w:w="115" w:type="dxa"/>
            </w:tcMar>
            <w:vAlign w:val="center"/>
          </w:tcPr>
          <w:p w14:paraId="0F9C1232" w14:textId="77777777" w:rsidR="00525DC9" w:rsidRPr="00A379DF"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2</w:t>
            </w:r>
            <w:r>
              <w:rPr>
                <w:rFonts w:ascii="Times New Roman" w:hAnsi="Times New Roman" w:cs="Times New Roman"/>
                <w:noProof/>
              </w:rPr>
              <w:t>/25/22</w:t>
            </w:r>
          </w:p>
        </w:tc>
        <w:tc>
          <w:tcPr>
            <w:tcW w:w="2198" w:type="dxa"/>
            <w:shd w:val="clear" w:color="auto" w:fill="auto"/>
            <w:tcMar>
              <w:top w:w="72" w:type="dxa"/>
              <w:left w:w="115" w:type="dxa"/>
              <w:bottom w:w="72" w:type="dxa"/>
              <w:right w:w="115" w:type="dxa"/>
            </w:tcMar>
            <w:vAlign w:val="center"/>
          </w:tcPr>
          <w:p w14:paraId="7172B7BE" w14:textId="77777777" w:rsidR="00525DC9" w:rsidRPr="00A379DF"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1.19</w:t>
            </w:r>
          </w:p>
          <w:p w14:paraId="58FFDAF9" w14:textId="77777777" w:rsidR="00525DC9" w:rsidRPr="00A379DF" w:rsidRDefault="00525DC9" w:rsidP="00163089">
            <w:pPr>
              <w:contextualSpacing/>
              <w:rPr>
                <w:rFonts w:ascii="Times New Roman" w:hAnsi="Times New Roman" w:cs="Times New Roman"/>
                <w:noProof/>
                <w:sz w:val="20"/>
                <w:szCs w:val="20"/>
              </w:rPr>
            </w:pPr>
            <w:r w:rsidRPr="00DF5744">
              <w:rPr>
                <w:rFonts w:ascii="Times New Roman" w:hAnsi="Times New Roman" w:cs="Times New Roman"/>
                <w:noProof/>
                <w:sz w:val="20"/>
                <w:szCs w:val="20"/>
              </w:rPr>
              <w:t>D</w:t>
            </w:r>
            <w:r>
              <w:rPr>
                <w:rFonts w:ascii="Times New Roman" w:hAnsi="Times New Roman" w:cs="Times New Roman"/>
                <w:noProof/>
                <w:sz w:val="20"/>
                <w:szCs w:val="20"/>
              </w:rPr>
              <w:t>CA</w:t>
            </w:r>
            <w:r w:rsidRPr="00DF5744">
              <w:rPr>
                <w:rFonts w:ascii="Times New Roman" w:hAnsi="Times New Roman" w:cs="Times New Roman"/>
                <w:noProof/>
                <w:sz w:val="20"/>
                <w:szCs w:val="20"/>
              </w:rPr>
              <w:t xml:space="preserve"> Pre-Application Fees </w:t>
            </w:r>
            <w:r>
              <w:rPr>
                <w:rFonts w:ascii="Times New Roman" w:hAnsi="Times New Roman" w:cs="Times New Roman"/>
                <w:noProof/>
                <w:sz w:val="20"/>
                <w:szCs w:val="20"/>
              </w:rPr>
              <w:t>a</w:t>
            </w:r>
            <w:r w:rsidRPr="00DF5744">
              <w:rPr>
                <w:rFonts w:ascii="Times New Roman" w:hAnsi="Times New Roman" w:cs="Times New Roman"/>
                <w:noProof/>
                <w:sz w:val="20"/>
                <w:szCs w:val="20"/>
              </w:rPr>
              <w:t>nd Deadline Schedules</w:t>
            </w:r>
            <w:r w:rsidRPr="00A379DF">
              <w:rPr>
                <w:rFonts w:ascii="Times New Roman" w:hAnsi="Times New Roman" w:cs="Times New Roman"/>
                <w:noProof/>
                <w:sz w:val="20"/>
                <w:szCs w:val="20"/>
              </w:rPr>
              <w:t xml:space="preserve"> </w:t>
            </w:r>
          </w:p>
          <w:p w14:paraId="6A807279" w14:textId="77777777" w:rsidR="00525DC9" w:rsidRPr="00A379DF" w:rsidRDefault="00525DC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CB47B00"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b/>
                <w:bCs/>
                <w:sz w:val="20"/>
                <w:szCs w:val="20"/>
              </w:rPr>
              <w:t>Question</w:t>
            </w:r>
            <w:r w:rsidRPr="00A379DF">
              <w:rPr>
                <w:rStyle w:val="normaltextrun"/>
                <w:sz w:val="20"/>
                <w:szCs w:val="20"/>
              </w:rPr>
              <w:t xml:space="preserve">: </w:t>
            </w:r>
            <w:r w:rsidRPr="00606937">
              <w:rPr>
                <w:rStyle w:val="normaltextrun"/>
                <w:sz w:val="20"/>
                <w:szCs w:val="20"/>
              </w:rPr>
              <w:t>Q0201_06</w:t>
            </w:r>
          </w:p>
          <w:p w14:paraId="12DF902F" w14:textId="3F402A56"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sz w:val="20"/>
                <w:szCs w:val="20"/>
              </w:rPr>
              <w:t xml:space="preserve">When is the </w:t>
            </w:r>
            <w:r>
              <w:rPr>
                <w:rStyle w:val="normaltextrun"/>
                <w:sz w:val="20"/>
                <w:szCs w:val="20"/>
              </w:rPr>
              <w:t xml:space="preserve">deadline for submitting a </w:t>
            </w:r>
            <w:r w:rsidR="008248A1">
              <w:rPr>
                <w:rStyle w:val="normaltextrun"/>
                <w:sz w:val="20"/>
                <w:szCs w:val="20"/>
              </w:rPr>
              <w:t xml:space="preserve">Full Application </w:t>
            </w:r>
            <w:r>
              <w:rPr>
                <w:rStyle w:val="normaltextrun"/>
                <w:sz w:val="20"/>
                <w:szCs w:val="20"/>
              </w:rPr>
              <w:t xml:space="preserve">for consideration under the 2022 9% Credits Competitive Round? </w:t>
            </w:r>
          </w:p>
          <w:p w14:paraId="25AB251B" w14:textId="77777777" w:rsidR="00525DC9" w:rsidRPr="00A379DF" w:rsidRDefault="00525DC9" w:rsidP="00163089">
            <w:pPr>
              <w:pStyle w:val="paragraph"/>
              <w:spacing w:before="0" w:beforeAutospacing="0" w:after="0" w:afterAutospacing="0"/>
              <w:textAlignment w:val="baseline"/>
              <w:rPr>
                <w:rStyle w:val="normaltextrun"/>
                <w:sz w:val="20"/>
                <w:szCs w:val="20"/>
              </w:rPr>
            </w:pPr>
          </w:p>
          <w:p w14:paraId="31BB41F8" w14:textId="77777777" w:rsidR="00525DC9" w:rsidRPr="00A379DF" w:rsidRDefault="00525DC9" w:rsidP="00163089">
            <w:pPr>
              <w:pStyle w:val="paragraph"/>
              <w:spacing w:before="0" w:beforeAutospacing="0" w:after="0" w:afterAutospacing="0"/>
              <w:textAlignment w:val="baseline"/>
              <w:rPr>
                <w:rStyle w:val="normaltextrun"/>
                <w:sz w:val="20"/>
                <w:szCs w:val="20"/>
              </w:rPr>
            </w:pPr>
            <w:r w:rsidRPr="00A379DF">
              <w:rPr>
                <w:rStyle w:val="normaltextrun"/>
                <w:b/>
                <w:bCs/>
                <w:sz w:val="20"/>
                <w:szCs w:val="20"/>
              </w:rPr>
              <w:t>Answer</w:t>
            </w:r>
            <w:r w:rsidRPr="00A379DF">
              <w:rPr>
                <w:rStyle w:val="normaltextrun"/>
                <w:sz w:val="20"/>
                <w:szCs w:val="20"/>
              </w:rPr>
              <w:t xml:space="preserve">: </w:t>
            </w:r>
          </w:p>
          <w:p w14:paraId="77DE93AB" w14:textId="77777777" w:rsidR="00525DC9" w:rsidRDefault="00525DC9" w:rsidP="00163089">
            <w:pPr>
              <w:pStyle w:val="paragraph"/>
              <w:spacing w:before="0" w:beforeAutospacing="0" w:after="0" w:afterAutospacing="0"/>
              <w:textAlignment w:val="baseline"/>
              <w:rPr>
                <w:rStyle w:val="normaltextrun"/>
                <w:sz w:val="20"/>
                <w:szCs w:val="20"/>
              </w:rPr>
            </w:pPr>
            <w:r>
              <w:rPr>
                <w:rStyle w:val="normaltextrun"/>
                <w:sz w:val="20"/>
                <w:szCs w:val="20"/>
              </w:rPr>
              <w:t>The “Application Submission” deadline for 9% Credit applications is May 20</w:t>
            </w:r>
            <w:r w:rsidRPr="00586591">
              <w:rPr>
                <w:rStyle w:val="normaltextrun"/>
                <w:sz w:val="20"/>
                <w:szCs w:val="20"/>
                <w:vertAlign w:val="superscript"/>
              </w:rPr>
              <w:t>th</w:t>
            </w:r>
            <w:r>
              <w:rPr>
                <w:rStyle w:val="normaltextrun"/>
                <w:sz w:val="20"/>
                <w:szCs w:val="20"/>
              </w:rPr>
              <w:t xml:space="preserve">, 2022. </w:t>
            </w:r>
          </w:p>
          <w:p w14:paraId="30D3F963" w14:textId="77777777" w:rsidR="00525DC9" w:rsidRDefault="00525DC9" w:rsidP="00163089">
            <w:pPr>
              <w:pStyle w:val="paragraph"/>
              <w:spacing w:before="0" w:beforeAutospacing="0" w:after="0" w:afterAutospacing="0"/>
              <w:textAlignment w:val="baseline"/>
              <w:rPr>
                <w:rStyle w:val="normaltextrun"/>
                <w:sz w:val="20"/>
                <w:szCs w:val="20"/>
              </w:rPr>
            </w:pPr>
          </w:p>
          <w:p w14:paraId="4F1324F4" w14:textId="77777777" w:rsidR="00525DC9" w:rsidRPr="00C97080" w:rsidRDefault="00525DC9" w:rsidP="00163089">
            <w:pPr>
              <w:pStyle w:val="paragraph"/>
              <w:spacing w:before="0" w:beforeAutospacing="0" w:after="0" w:afterAutospacing="0"/>
              <w:textAlignment w:val="baseline"/>
              <w:rPr>
                <w:rStyle w:val="normaltextrun"/>
                <w:sz w:val="20"/>
                <w:szCs w:val="20"/>
              </w:rPr>
            </w:pPr>
            <w:r>
              <w:rPr>
                <w:rStyle w:val="normaltextrun"/>
                <w:sz w:val="20"/>
                <w:szCs w:val="20"/>
              </w:rPr>
              <w:t xml:space="preserve">The term “Application Submission,” used throughout the QAP, refers to this date for purposes of the 9% Credits Competitive Round. See the “9% Deadline” column in </w:t>
            </w:r>
            <w:r w:rsidRPr="00792B07">
              <w:rPr>
                <w:rStyle w:val="normaltextrun"/>
                <w:i/>
                <w:iCs/>
                <w:sz w:val="20"/>
                <w:szCs w:val="20"/>
              </w:rPr>
              <w:t>Core Plan, DCA Pre-Application Fees and Deadline Schedules</w:t>
            </w:r>
            <w:r>
              <w:rPr>
                <w:rStyle w:val="normaltextrun"/>
                <w:sz w:val="20"/>
                <w:szCs w:val="20"/>
              </w:rPr>
              <w:t xml:space="preserve"> for all deadlines associated with the 9% Credits Competitive Round. </w:t>
            </w:r>
          </w:p>
        </w:tc>
      </w:tr>
      <w:tr w:rsidR="00525DC9" w:rsidRPr="00A379DF" w14:paraId="1F397E53" w14:textId="77777777" w:rsidTr="00E91E6E">
        <w:trPr>
          <w:jc w:val="center"/>
        </w:trPr>
        <w:tc>
          <w:tcPr>
            <w:tcW w:w="2157" w:type="dxa"/>
            <w:shd w:val="clear" w:color="auto" w:fill="auto"/>
            <w:tcMar>
              <w:top w:w="72" w:type="dxa"/>
              <w:left w:w="115" w:type="dxa"/>
              <w:bottom w:w="72" w:type="dxa"/>
              <w:right w:w="115" w:type="dxa"/>
            </w:tcMar>
            <w:vAlign w:val="center"/>
          </w:tcPr>
          <w:p w14:paraId="66475C65" w14:textId="77777777" w:rsidR="00525DC9" w:rsidRPr="00A379DF" w:rsidRDefault="00525DC9" w:rsidP="00163089">
            <w:pPr>
              <w:contextualSpacing/>
              <w:rPr>
                <w:rFonts w:ascii="Times New Roman" w:hAnsi="Times New Roman" w:cs="Times New Roman"/>
                <w:noProof/>
                <w:sz w:val="20"/>
                <w:szCs w:val="20"/>
              </w:rPr>
            </w:pPr>
            <w:r w:rsidRPr="00A379DF">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AB08407" w14:textId="77777777" w:rsidR="00525DC9"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2.20</w:t>
            </w:r>
          </w:p>
          <w:p w14:paraId="40C5EB9E" w14:textId="77777777" w:rsidR="00525DC9"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Threshold; </w:t>
            </w:r>
          </w:p>
          <w:p w14:paraId="03ECD588" w14:textId="77777777" w:rsidR="00525DC9" w:rsidRPr="00A379DF" w:rsidRDefault="00525DC9" w:rsidP="00163089">
            <w:pPr>
              <w:contextualSpacing/>
              <w:rPr>
                <w:rFonts w:ascii="Times New Roman" w:hAnsi="Times New Roman" w:cs="Times New Roman"/>
                <w:noProof/>
                <w:sz w:val="20"/>
                <w:szCs w:val="20"/>
              </w:rPr>
            </w:pPr>
            <w:r w:rsidRPr="00FB6C27">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2FC880AC"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normaltextrun"/>
                <w:b/>
                <w:bCs/>
                <w:sz w:val="20"/>
                <w:szCs w:val="20"/>
              </w:rPr>
              <w:t>Question</w:t>
            </w:r>
            <w:r w:rsidRPr="00A379DF">
              <w:rPr>
                <w:rStyle w:val="normaltextrun"/>
                <w:sz w:val="20"/>
                <w:szCs w:val="20"/>
              </w:rPr>
              <w:t>: Q0218_02</w:t>
            </w:r>
            <w:r w:rsidRPr="00A379DF">
              <w:rPr>
                <w:rStyle w:val="eop"/>
                <w:sz w:val="20"/>
                <w:szCs w:val="20"/>
              </w:rPr>
              <w:t> </w:t>
            </w:r>
          </w:p>
          <w:p w14:paraId="39FD1E27"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normaltextrun"/>
                <w:sz w:val="20"/>
                <w:szCs w:val="20"/>
              </w:rPr>
              <w:t>We were pre-qualified last year. Do we need to submit another pre-application for qualifications review this year or could we rely on last year’s qualified determination? </w:t>
            </w:r>
            <w:r w:rsidRPr="00A379DF">
              <w:rPr>
                <w:rStyle w:val="eop"/>
                <w:sz w:val="20"/>
                <w:szCs w:val="20"/>
              </w:rPr>
              <w:t> </w:t>
            </w:r>
            <w:r w:rsidRPr="00A379DF">
              <w:rPr>
                <w:rStyle w:val="normaltextrun"/>
                <w:sz w:val="20"/>
                <w:szCs w:val="20"/>
              </w:rPr>
              <w:t>If the latter, do we just submit last year’s qualifications approval with our Full Application? </w:t>
            </w:r>
            <w:r w:rsidRPr="00A379DF">
              <w:rPr>
                <w:rStyle w:val="eop"/>
                <w:sz w:val="20"/>
                <w:szCs w:val="20"/>
              </w:rPr>
              <w:t> </w:t>
            </w:r>
          </w:p>
          <w:p w14:paraId="3E7A8593"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eop"/>
                <w:sz w:val="20"/>
                <w:szCs w:val="20"/>
              </w:rPr>
              <w:t> </w:t>
            </w:r>
          </w:p>
          <w:p w14:paraId="7D633636" w14:textId="77777777" w:rsidR="00525DC9" w:rsidRPr="00A379DF" w:rsidRDefault="00525DC9" w:rsidP="00163089">
            <w:pPr>
              <w:pStyle w:val="paragraph"/>
              <w:spacing w:before="0" w:beforeAutospacing="0" w:after="0" w:afterAutospacing="0"/>
              <w:jc w:val="center"/>
              <w:textAlignment w:val="baseline"/>
              <w:rPr>
                <w:sz w:val="20"/>
                <w:szCs w:val="20"/>
              </w:rPr>
            </w:pPr>
            <w:r w:rsidRPr="00A379DF">
              <w:rPr>
                <w:rStyle w:val="normaltextrun"/>
                <w:b/>
                <w:bCs/>
                <w:sz w:val="20"/>
                <w:szCs w:val="20"/>
              </w:rPr>
              <w:t>Answer</w:t>
            </w:r>
            <w:r w:rsidRPr="00A379DF">
              <w:rPr>
                <w:rStyle w:val="normaltextrun"/>
                <w:sz w:val="20"/>
                <w:szCs w:val="20"/>
              </w:rPr>
              <w:t>:</w:t>
            </w:r>
            <w:r w:rsidRPr="00A379DF">
              <w:rPr>
                <w:rStyle w:val="eop"/>
                <w:sz w:val="20"/>
                <w:szCs w:val="20"/>
              </w:rPr>
              <w:t> </w:t>
            </w:r>
          </w:p>
          <w:p w14:paraId="62239F57"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normaltextrun"/>
                <w:sz w:val="20"/>
                <w:szCs w:val="20"/>
              </w:rPr>
              <w:t xml:space="preserve">The 2022 QAP states in </w:t>
            </w:r>
            <w:r w:rsidRPr="00A379DF">
              <w:rPr>
                <w:rStyle w:val="normaltextrun"/>
                <w:i/>
                <w:iCs/>
                <w:sz w:val="20"/>
                <w:szCs w:val="20"/>
              </w:rPr>
              <w:t>Threshold Criteria, Experience, Capacity and Performance Requirements for General Partner and Developer Entities: </w:t>
            </w:r>
            <w:r w:rsidRPr="00A379DF">
              <w:rPr>
                <w:rStyle w:val="normaltextrun"/>
                <w:i/>
                <w:iCs/>
                <w:sz w:val="20"/>
                <w:szCs w:val="20"/>
              </w:rPr>
              <w:br/>
            </w:r>
            <w:r w:rsidRPr="00A379DF">
              <w:rPr>
                <w:rStyle w:val="eop"/>
                <w:i/>
                <w:iCs/>
                <w:sz w:val="20"/>
                <w:szCs w:val="20"/>
              </w:rPr>
              <w:t> </w:t>
            </w:r>
          </w:p>
          <w:p w14:paraId="0BA4B1D6" w14:textId="77777777" w:rsidR="00525DC9" w:rsidRPr="00A379DF" w:rsidRDefault="00525DC9" w:rsidP="00163089">
            <w:pPr>
              <w:pStyle w:val="paragraph"/>
              <w:numPr>
                <w:ilvl w:val="0"/>
                <w:numId w:val="6"/>
              </w:numPr>
              <w:spacing w:before="0" w:beforeAutospacing="0" w:after="0" w:afterAutospacing="0"/>
              <w:textAlignment w:val="baseline"/>
              <w:rPr>
                <w:sz w:val="20"/>
                <w:szCs w:val="20"/>
              </w:rPr>
            </w:pPr>
            <w:r w:rsidRPr="00A379DF">
              <w:rPr>
                <w:rStyle w:val="normaltextrun"/>
                <w:i/>
                <w:iCs/>
                <w:sz w:val="20"/>
                <w:szCs w:val="20"/>
              </w:rPr>
              <w:t>Overview</w:t>
            </w:r>
            <w:r w:rsidRPr="00A379DF">
              <w:rPr>
                <w:rStyle w:val="normaltextrun"/>
                <w:sz w:val="20"/>
                <w:szCs w:val="20"/>
              </w:rPr>
              <w:t>:</w:t>
            </w:r>
            <w:r w:rsidRPr="00A379DF">
              <w:rPr>
                <w:rStyle w:val="normaltextrun"/>
                <w:b/>
                <w:bCs/>
                <w:sz w:val="20"/>
                <w:szCs w:val="20"/>
              </w:rPr>
              <w:t xml:space="preserve"> </w:t>
            </w:r>
            <w:r w:rsidRPr="00A379DF">
              <w:rPr>
                <w:rStyle w:val="normaltextrun"/>
                <w:sz w:val="20"/>
                <w:szCs w:val="20"/>
              </w:rPr>
              <w:t>“DCA reviews the following four areas of the proposed Project Team: Experience, Capacity, Performance, Compliance History…”</w:t>
            </w:r>
            <w:r w:rsidRPr="00A379DF">
              <w:rPr>
                <w:rStyle w:val="eop"/>
                <w:sz w:val="20"/>
                <w:szCs w:val="20"/>
              </w:rPr>
              <w:t> </w:t>
            </w:r>
          </w:p>
          <w:p w14:paraId="4847216E" w14:textId="77777777" w:rsidR="00525DC9" w:rsidRPr="00A379DF" w:rsidRDefault="00525DC9" w:rsidP="00163089">
            <w:pPr>
              <w:pStyle w:val="paragraph"/>
              <w:numPr>
                <w:ilvl w:val="0"/>
                <w:numId w:val="6"/>
              </w:numPr>
              <w:spacing w:before="0" w:beforeAutospacing="0" w:after="0" w:afterAutospacing="0"/>
              <w:textAlignment w:val="baseline"/>
              <w:rPr>
                <w:sz w:val="20"/>
                <w:szCs w:val="20"/>
              </w:rPr>
            </w:pPr>
            <w:r w:rsidRPr="00A379DF">
              <w:rPr>
                <w:rStyle w:val="normaltextrun"/>
                <w:i/>
                <w:iCs/>
                <w:sz w:val="20"/>
                <w:szCs w:val="20"/>
              </w:rPr>
              <w:t>C. Requirements for Experience (Certifying Entity)</w:t>
            </w:r>
            <w:r w:rsidRPr="00A379DF">
              <w:rPr>
                <w:rStyle w:val="normaltextrun"/>
                <w:sz w:val="20"/>
                <w:szCs w:val="20"/>
              </w:rPr>
              <w:t xml:space="preserve">: “A certifying entity that was deemed to meet experience requirements in 2021 is only exempt from submitting documentation of experience for the 2022 round. All other sections…of the performance workbook must be completed. Only those certifying entities </w:t>
            </w:r>
            <w:r w:rsidRPr="00A379DF">
              <w:rPr>
                <w:rStyle w:val="normaltextrun"/>
                <w:sz w:val="20"/>
                <w:szCs w:val="20"/>
              </w:rPr>
              <w:lastRenderedPageBreak/>
              <w:t>that have received a determination letter of “Qualified” in the 2021 round will be deemed to qualify under grandfathering.”</w:t>
            </w:r>
            <w:r w:rsidRPr="00A379DF">
              <w:rPr>
                <w:rStyle w:val="eop"/>
                <w:sz w:val="20"/>
                <w:szCs w:val="20"/>
              </w:rPr>
              <w:t> </w:t>
            </w:r>
          </w:p>
          <w:p w14:paraId="6BDA45C3"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eop"/>
                <w:sz w:val="20"/>
                <w:szCs w:val="20"/>
              </w:rPr>
              <w:t> </w:t>
            </w:r>
          </w:p>
          <w:p w14:paraId="2FB32AA6" w14:textId="77777777" w:rsidR="00525DC9" w:rsidRPr="00A379DF" w:rsidRDefault="00525DC9" w:rsidP="00163089">
            <w:pPr>
              <w:pStyle w:val="paragraph"/>
              <w:spacing w:before="0" w:beforeAutospacing="0" w:after="0" w:afterAutospacing="0"/>
              <w:textAlignment w:val="baseline"/>
              <w:rPr>
                <w:sz w:val="20"/>
                <w:szCs w:val="20"/>
              </w:rPr>
            </w:pPr>
            <w:r w:rsidRPr="00A379DF">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0777EFDC" w14:textId="77777777" w:rsidR="00525DC9" w:rsidRPr="00A379DF" w:rsidRDefault="00525DC9" w:rsidP="00163089">
            <w:pPr>
              <w:contextualSpacing/>
              <w:rPr>
                <w:rFonts w:ascii="Times New Roman" w:hAnsi="Times New Roman" w:cs="Times New Roman"/>
                <w:b/>
                <w:bCs/>
                <w:sz w:val="20"/>
                <w:szCs w:val="20"/>
              </w:rPr>
            </w:pPr>
          </w:p>
        </w:tc>
      </w:tr>
      <w:tr w:rsidR="00525DC9" w:rsidRPr="00A379DF" w14:paraId="5953B8C6" w14:textId="77777777" w:rsidTr="00E91E6E">
        <w:trPr>
          <w:jc w:val="center"/>
        </w:trPr>
        <w:tc>
          <w:tcPr>
            <w:tcW w:w="2157" w:type="dxa"/>
            <w:shd w:val="clear" w:color="auto" w:fill="auto"/>
            <w:tcMar>
              <w:top w:w="72" w:type="dxa"/>
              <w:left w:w="115" w:type="dxa"/>
              <w:bottom w:w="72" w:type="dxa"/>
              <w:right w:w="115" w:type="dxa"/>
            </w:tcMar>
            <w:vAlign w:val="center"/>
          </w:tcPr>
          <w:p w14:paraId="7BB000DA" w14:textId="77777777" w:rsidR="00525DC9" w:rsidRPr="00A379DF" w:rsidRDefault="00525DC9" w:rsidP="00163089">
            <w:pPr>
              <w:contextualSpacing/>
              <w:rPr>
                <w:rFonts w:ascii="Times New Roman" w:hAnsi="Times New Roman" w:cs="Times New Roman"/>
                <w:noProof/>
                <w:sz w:val="20"/>
                <w:szCs w:val="20"/>
              </w:rPr>
            </w:pPr>
            <w:r w:rsidRPr="00A379DF">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2A1DAF12" w14:textId="77777777" w:rsidR="00525DC9" w:rsidRDefault="00525DC9" w:rsidP="00163089">
            <w:pPr>
              <w:contextualSpacing/>
              <w:rPr>
                <w:rFonts w:ascii="Times New Roman" w:hAnsi="Times New Roman" w:cs="Times New Roman"/>
              </w:rPr>
            </w:pPr>
            <w:r w:rsidRPr="00A938F4">
              <w:rPr>
                <w:rFonts w:ascii="Times New Roman" w:hAnsi="Times New Roman" w:cs="Times New Roman"/>
              </w:rPr>
              <w:t>7</w:t>
            </w:r>
            <w:r>
              <w:rPr>
                <w:rFonts w:ascii="Times New Roman" w:hAnsi="Times New Roman" w:cs="Times New Roman"/>
              </w:rPr>
              <w:t>.00</w:t>
            </w:r>
          </w:p>
          <w:p w14:paraId="4FD21364" w14:textId="77777777" w:rsidR="00525DC9" w:rsidRPr="00A379DF" w:rsidRDefault="00525DC9" w:rsidP="00163089">
            <w:pPr>
              <w:contextualSpacing/>
              <w:rPr>
                <w:rFonts w:ascii="Times New Roman" w:hAnsi="Times New Roman" w:cs="Times New Roman"/>
                <w:noProof/>
                <w:sz w:val="20"/>
                <w:szCs w:val="20"/>
              </w:rPr>
            </w:pPr>
            <w:r w:rsidRPr="00A938F4">
              <w:rPr>
                <w:rFonts w:ascii="Times New Roman" w:hAnsi="Times New Roman" w:cs="Times New Roman"/>
              </w:rPr>
              <w:t xml:space="preserve">Application Materials </w:t>
            </w:r>
            <w:r>
              <w:rPr>
                <w:rFonts w:ascii="Times New Roman" w:hAnsi="Times New Roman" w:cs="Times New Roman"/>
                <w:noProof/>
                <w:sz w:val="20"/>
                <w:szCs w:val="20"/>
              </w:rPr>
              <w:t xml:space="preserve">(Forms, etc.) </w:t>
            </w:r>
          </w:p>
          <w:p w14:paraId="493EB29A" w14:textId="77777777" w:rsidR="00525DC9" w:rsidRPr="00A379DF" w:rsidRDefault="00525DC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05569E88" w14:textId="77777777" w:rsidR="00525DC9" w:rsidRPr="00F97EB8" w:rsidRDefault="00525DC9" w:rsidP="00163089">
            <w:pPr>
              <w:textAlignment w:val="baseline"/>
              <w:rPr>
                <w:rFonts w:ascii="Times New Roman" w:eastAsia="Times New Roman" w:hAnsi="Times New Roman" w:cs="Times New Roman"/>
                <w:sz w:val="20"/>
                <w:szCs w:val="20"/>
              </w:rPr>
            </w:pPr>
            <w:r w:rsidRPr="00F97EB8">
              <w:rPr>
                <w:rFonts w:ascii="Times New Roman" w:eastAsia="Times New Roman" w:hAnsi="Times New Roman" w:cs="Times New Roman"/>
                <w:b/>
                <w:bCs/>
                <w:sz w:val="20"/>
                <w:szCs w:val="20"/>
              </w:rPr>
              <w:t>Question</w:t>
            </w:r>
            <w:r w:rsidRPr="00F97EB8">
              <w:rPr>
                <w:rFonts w:ascii="Times New Roman" w:eastAsia="Times New Roman" w:hAnsi="Times New Roman" w:cs="Times New Roman"/>
                <w:sz w:val="20"/>
                <w:szCs w:val="20"/>
              </w:rPr>
              <w:t>: Q0221_02 </w:t>
            </w:r>
          </w:p>
          <w:p w14:paraId="670C800D" w14:textId="77777777" w:rsidR="00525DC9" w:rsidRPr="00F97EB8" w:rsidRDefault="00525DC9" w:rsidP="00163089">
            <w:pPr>
              <w:textAlignment w:val="baseline"/>
              <w:rPr>
                <w:rFonts w:ascii="Times New Roman" w:eastAsia="Times New Roman" w:hAnsi="Times New Roman" w:cs="Times New Roman"/>
                <w:sz w:val="20"/>
                <w:szCs w:val="20"/>
              </w:rPr>
            </w:pPr>
            <w:r w:rsidRPr="00F97EB8">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659958D9" w14:textId="77777777" w:rsidR="00525DC9" w:rsidRPr="00F97EB8" w:rsidRDefault="00525DC9" w:rsidP="00163089">
            <w:pPr>
              <w:textAlignment w:val="baseline"/>
              <w:rPr>
                <w:rFonts w:ascii="Times New Roman" w:eastAsia="Times New Roman" w:hAnsi="Times New Roman" w:cs="Times New Roman"/>
                <w:sz w:val="20"/>
                <w:szCs w:val="20"/>
              </w:rPr>
            </w:pPr>
            <w:r w:rsidRPr="00F97EB8">
              <w:rPr>
                <w:rFonts w:ascii="Times New Roman" w:eastAsia="Times New Roman" w:hAnsi="Times New Roman" w:cs="Times New Roman"/>
                <w:sz w:val="20"/>
                <w:szCs w:val="20"/>
              </w:rPr>
              <w:t> </w:t>
            </w:r>
          </w:p>
          <w:p w14:paraId="46F26CC6" w14:textId="77777777" w:rsidR="00525DC9" w:rsidRPr="00F97EB8" w:rsidRDefault="00525DC9" w:rsidP="00163089">
            <w:pPr>
              <w:textAlignment w:val="baseline"/>
              <w:rPr>
                <w:rFonts w:ascii="Times New Roman" w:eastAsia="Times New Roman" w:hAnsi="Times New Roman" w:cs="Times New Roman"/>
                <w:sz w:val="20"/>
                <w:szCs w:val="20"/>
              </w:rPr>
            </w:pPr>
            <w:r w:rsidRPr="00F97EB8">
              <w:rPr>
                <w:rFonts w:ascii="Times New Roman" w:eastAsia="Times New Roman" w:hAnsi="Times New Roman" w:cs="Times New Roman"/>
                <w:b/>
                <w:bCs/>
                <w:sz w:val="20"/>
                <w:szCs w:val="20"/>
              </w:rPr>
              <w:t>Answer</w:t>
            </w:r>
            <w:r w:rsidRPr="00F97EB8">
              <w:rPr>
                <w:rFonts w:ascii="Times New Roman" w:eastAsia="Times New Roman" w:hAnsi="Times New Roman" w:cs="Times New Roman"/>
                <w:sz w:val="20"/>
                <w:szCs w:val="20"/>
              </w:rPr>
              <w:t>:  </w:t>
            </w:r>
          </w:p>
          <w:p w14:paraId="5D43D001" w14:textId="77777777" w:rsidR="00525DC9" w:rsidRPr="00F97EB8" w:rsidRDefault="00525DC9" w:rsidP="00163089">
            <w:pPr>
              <w:textAlignment w:val="baseline"/>
              <w:rPr>
                <w:rFonts w:ascii="Times New Roman" w:eastAsia="Times New Roman" w:hAnsi="Times New Roman" w:cs="Times New Roman"/>
                <w:sz w:val="20"/>
                <w:szCs w:val="20"/>
              </w:rPr>
            </w:pPr>
            <w:r w:rsidRPr="00F97EB8">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15" w:tgtFrame="_blank" w:history="1">
              <w:r w:rsidRPr="00F97EB8">
                <w:rPr>
                  <w:rFonts w:ascii="Times New Roman" w:eastAsia="Times New Roman" w:hAnsi="Times New Roman" w:cs="Times New Roman"/>
                  <w:color w:val="0563C1"/>
                  <w:sz w:val="20"/>
                  <w:szCs w:val="20"/>
                  <w:u w:val="single"/>
                </w:rPr>
                <w:t xml:space="preserve">click </w:t>
              </w:r>
              <w:r w:rsidRPr="00F97EB8">
                <w:rPr>
                  <w:rFonts w:ascii="Times New Roman" w:eastAsia="Times New Roman" w:hAnsi="Times New Roman" w:cs="Times New Roman"/>
                  <w:color w:val="0563C1"/>
                  <w:sz w:val="20"/>
                  <w:szCs w:val="20"/>
                  <w:u w:val="single"/>
                </w:rPr>
                <w:t>h</w:t>
              </w:r>
              <w:r w:rsidRPr="00F97EB8">
                <w:rPr>
                  <w:rFonts w:ascii="Times New Roman" w:eastAsia="Times New Roman" w:hAnsi="Times New Roman" w:cs="Times New Roman"/>
                  <w:color w:val="0563C1"/>
                  <w:sz w:val="20"/>
                  <w:szCs w:val="20"/>
                  <w:u w:val="single"/>
                </w:rPr>
                <w:t>ere</w:t>
              </w:r>
            </w:hyperlink>
            <w:r w:rsidRPr="00F97EB8">
              <w:rPr>
                <w:rFonts w:ascii="Times New Roman" w:eastAsia="Times New Roman" w:hAnsi="Times New Roman" w:cs="Times New Roman"/>
                <w:sz w:val="20"/>
                <w:szCs w:val="20"/>
              </w:rPr>
              <w:t xml:space="preserve"> to view posted Application Manuals and Forms by year).</w:t>
            </w:r>
          </w:p>
          <w:p w14:paraId="0D8F9BAB" w14:textId="77777777" w:rsidR="00525DC9" w:rsidRPr="00A379DF" w:rsidRDefault="00525DC9" w:rsidP="00163089">
            <w:pPr>
              <w:pStyle w:val="paragraph"/>
              <w:spacing w:before="0" w:beforeAutospacing="0" w:after="0" w:afterAutospacing="0"/>
              <w:textAlignment w:val="baseline"/>
              <w:rPr>
                <w:rStyle w:val="normaltextrun"/>
                <w:b/>
                <w:bCs/>
                <w:sz w:val="20"/>
                <w:szCs w:val="20"/>
              </w:rPr>
            </w:pPr>
          </w:p>
        </w:tc>
      </w:tr>
      <w:tr w:rsidR="00525DC9" w:rsidRPr="00A379DF" w14:paraId="72276DBC" w14:textId="77777777" w:rsidTr="00E91E6E">
        <w:trPr>
          <w:jc w:val="center"/>
        </w:trPr>
        <w:tc>
          <w:tcPr>
            <w:tcW w:w="2157" w:type="dxa"/>
            <w:shd w:val="clear" w:color="auto" w:fill="auto"/>
            <w:tcMar>
              <w:top w:w="72" w:type="dxa"/>
              <w:left w:w="115" w:type="dxa"/>
              <w:bottom w:w="72" w:type="dxa"/>
              <w:right w:w="115" w:type="dxa"/>
            </w:tcMar>
            <w:vAlign w:val="center"/>
          </w:tcPr>
          <w:p w14:paraId="7BE472F8" w14:textId="77777777" w:rsidR="00525DC9" w:rsidRPr="00A379DF" w:rsidRDefault="00525DC9" w:rsidP="00163089">
            <w:pPr>
              <w:contextualSpacing/>
              <w:rPr>
                <w:rFonts w:ascii="Times New Roman" w:hAnsi="Times New Roman" w:cs="Times New Roman"/>
                <w:noProof/>
                <w:sz w:val="20"/>
                <w:szCs w:val="20"/>
              </w:rPr>
            </w:pPr>
            <w:r w:rsidRPr="00A379DF">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061B9BA5" w14:textId="77777777" w:rsidR="00525DC9"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9.00 </w:t>
            </w:r>
          </w:p>
          <w:p w14:paraId="6C2EACAE" w14:textId="77777777" w:rsidR="00525DC9" w:rsidRPr="00A379DF"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Other;</w:t>
            </w:r>
          </w:p>
          <w:p w14:paraId="55A381B3" w14:textId="77777777" w:rsidR="00525DC9" w:rsidRPr="00A379DF" w:rsidRDefault="00525DC9"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7CB39ED8" w14:textId="77777777" w:rsidR="00525DC9" w:rsidRPr="00A379DF" w:rsidRDefault="00525DC9" w:rsidP="00163089">
            <w:pPr>
              <w:contextualSpacing/>
              <w:rPr>
                <w:rFonts w:ascii="Times New Roman" w:hAnsi="Times New Roman" w:cs="Times New Roman"/>
                <w:b/>
                <w:bCs/>
                <w:sz w:val="20"/>
                <w:szCs w:val="20"/>
              </w:rPr>
            </w:pPr>
            <w:r w:rsidRPr="00A379DF">
              <w:rPr>
                <w:rFonts w:ascii="Times New Roman" w:hAnsi="Times New Roman" w:cs="Times New Roman"/>
                <w:b/>
                <w:bCs/>
                <w:sz w:val="20"/>
                <w:szCs w:val="20"/>
              </w:rPr>
              <w:t xml:space="preserve">Question: </w:t>
            </w:r>
            <w:r w:rsidRPr="00A379DF">
              <w:rPr>
                <w:rFonts w:ascii="Times New Roman" w:hAnsi="Times New Roman" w:cs="Times New Roman"/>
                <w:sz w:val="20"/>
                <w:szCs w:val="20"/>
              </w:rPr>
              <w:t>Q0218_01</w:t>
            </w:r>
          </w:p>
          <w:p w14:paraId="11E1B71D" w14:textId="77777777" w:rsidR="00525DC9" w:rsidRPr="00A379DF" w:rsidRDefault="00525DC9" w:rsidP="00163089">
            <w:pPr>
              <w:contextualSpacing/>
              <w:rPr>
                <w:rFonts w:ascii="Times New Roman" w:hAnsi="Times New Roman" w:cs="Times New Roman"/>
                <w:sz w:val="20"/>
                <w:szCs w:val="20"/>
              </w:rPr>
            </w:pPr>
            <w:r w:rsidRPr="00A379DF">
              <w:rPr>
                <w:rFonts w:ascii="Times New Roman" w:hAnsi="Times New Roman" w:cs="Times New Roman"/>
                <w:sz w:val="20"/>
                <w:szCs w:val="20"/>
              </w:rPr>
              <w:t xml:space="preserve">Do we still need to submit a Cost Limit waiver at the Pre-Application stage?  </w:t>
            </w:r>
            <w:r w:rsidRPr="00A379DF">
              <w:rPr>
                <w:rFonts w:ascii="Times New Roman" w:hAnsi="Times New Roman" w:cs="Times New Roman"/>
                <w:b/>
                <w:bCs/>
                <w:sz w:val="20"/>
                <w:szCs w:val="20"/>
              </w:rPr>
              <w:t xml:space="preserve"> </w:t>
            </w:r>
          </w:p>
          <w:p w14:paraId="1B3A83B7" w14:textId="77777777" w:rsidR="00525DC9" w:rsidRPr="00A379DF" w:rsidRDefault="00525DC9" w:rsidP="00163089">
            <w:pPr>
              <w:contextualSpacing/>
              <w:rPr>
                <w:rFonts w:ascii="Times New Roman" w:hAnsi="Times New Roman" w:cs="Times New Roman"/>
                <w:b/>
                <w:bCs/>
                <w:sz w:val="20"/>
                <w:szCs w:val="20"/>
              </w:rPr>
            </w:pPr>
          </w:p>
          <w:p w14:paraId="2EDBD574" w14:textId="77777777" w:rsidR="00525DC9" w:rsidRPr="00A379DF" w:rsidRDefault="00525DC9" w:rsidP="00163089">
            <w:pPr>
              <w:contextualSpacing/>
              <w:rPr>
                <w:rFonts w:ascii="Times New Roman" w:hAnsi="Times New Roman" w:cs="Times New Roman"/>
                <w:b/>
                <w:bCs/>
                <w:sz w:val="20"/>
                <w:szCs w:val="20"/>
              </w:rPr>
            </w:pPr>
            <w:r w:rsidRPr="00A379DF">
              <w:rPr>
                <w:rFonts w:ascii="Times New Roman" w:hAnsi="Times New Roman" w:cs="Times New Roman"/>
                <w:b/>
                <w:bCs/>
                <w:sz w:val="20"/>
                <w:szCs w:val="20"/>
              </w:rPr>
              <w:t xml:space="preserve">Answer:  </w:t>
            </w:r>
          </w:p>
          <w:p w14:paraId="4298920A" w14:textId="77777777" w:rsidR="00525DC9" w:rsidRPr="00A379DF" w:rsidRDefault="00525DC9" w:rsidP="00163089">
            <w:pPr>
              <w:contextualSpacing/>
              <w:rPr>
                <w:rFonts w:ascii="Times New Roman" w:hAnsi="Times New Roman" w:cs="Times New Roman"/>
                <w:sz w:val="20"/>
                <w:szCs w:val="20"/>
              </w:rPr>
            </w:pPr>
            <w:r w:rsidRPr="00A379DF">
              <w:rPr>
                <w:rFonts w:ascii="Times New Roman" w:hAnsi="Times New Roman" w:cs="Times New Roman"/>
                <w:i/>
                <w:iCs/>
                <w:sz w:val="20"/>
                <w:szCs w:val="20"/>
              </w:rPr>
              <w:t>Threshold Criteria, Cost Limits</w:t>
            </w:r>
            <w:r w:rsidRPr="00A379DF">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656" w14:textId="77777777" w:rsidR="00016C96" w:rsidRDefault="00016C96" w:rsidP="00441946">
      <w:pPr>
        <w:spacing w:after="0" w:line="240" w:lineRule="auto"/>
      </w:pPr>
      <w:r>
        <w:separator/>
      </w:r>
    </w:p>
  </w:endnote>
  <w:endnote w:type="continuationSeparator" w:id="0">
    <w:p w14:paraId="11265ECA" w14:textId="77777777" w:rsidR="00016C96" w:rsidRDefault="00016C96" w:rsidP="00441946">
      <w:pPr>
        <w:spacing w:after="0" w:line="240" w:lineRule="auto"/>
      </w:pPr>
      <w:r>
        <w:continuationSeparator/>
      </w:r>
    </w:p>
  </w:endnote>
  <w:endnote w:type="continuationNotice" w:id="1">
    <w:p w14:paraId="455C63E6"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3647" w14:textId="77777777" w:rsidR="00016C96" w:rsidRDefault="00016C96" w:rsidP="00441946">
      <w:pPr>
        <w:spacing w:after="0" w:line="240" w:lineRule="auto"/>
      </w:pPr>
      <w:r>
        <w:separator/>
      </w:r>
    </w:p>
  </w:footnote>
  <w:footnote w:type="continuationSeparator" w:id="0">
    <w:p w14:paraId="19FA1B8F" w14:textId="77777777" w:rsidR="00016C96" w:rsidRDefault="00016C96" w:rsidP="00441946">
      <w:pPr>
        <w:spacing w:after="0" w:line="240" w:lineRule="auto"/>
      </w:pPr>
      <w:r>
        <w:continuationSeparator/>
      </w:r>
    </w:p>
  </w:footnote>
  <w:footnote w:type="continuationNotice" w:id="1">
    <w:p w14:paraId="37BFF6E2"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8"/>
  </w:num>
  <w:num w:numId="4">
    <w:abstractNumId w:val="3"/>
  </w:num>
  <w:num w:numId="5">
    <w:abstractNumId w:val="1"/>
  </w:num>
  <w:num w:numId="6">
    <w:abstractNumId w:val="7"/>
  </w:num>
  <w:num w:numId="7">
    <w:abstractNumId w:val="11"/>
  </w:num>
  <w:num w:numId="8">
    <w:abstractNumId w:val="6"/>
  </w:num>
  <w:num w:numId="9">
    <w:abstractNumId w:val="2"/>
  </w:num>
  <w:num w:numId="10">
    <w:abstractNumId w:val="10"/>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29B"/>
    <w:rsid w:val="00030A19"/>
    <w:rsid w:val="00031887"/>
    <w:rsid w:val="00031A24"/>
    <w:rsid w:val="000328C6"/>
    <w:rsid w:val="0003300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4243"/>
    <w:rsid w:val="000648E0"/>
    <w:rsid w:val="000653EA"/>
    <w:rsid w:val="000657A6"/>
    <w:rsid w:val="00065D0F"/>
    <w:rsid w:val="000661D9"/>
    <w:rsid w:val="00066A73"/>
    <w:rsid w:val="00067754"/>
    <w:rsid w:val="00070520"/>
    <w:rsid w:val="00071086"/>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92"/>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614A"/>
    <w:rsid w:val="000B622F"/>
    <w:rsid w:val="000B68E1"/>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8D5"/>
    <w:rsid w:val="000F5290"/>
    <w:rsid w:val="000F54F9"/>
    <w:rsid w:val="000F5833"/>
    <w:rsid w:val="000F62ED"/>
    <w:rsid w:val="000F644A"/>
    <w:rsid w:val="000F645A"/>
    <w:rsid w:val="000F6B1E"/>
    <w:rsid w:val="001001AE"/>
    <w:rsid w:val="00101498"/>
    <w:rsid w:val="00101F7F"/>
    <w:rsid w:val="0010239D"/>
    <w:rsid w:val="001023A2"/>
    <w:rsid w:val="00102950"/>
    <w:rsid w:val="001032C7"/>
    <w:rsid w:val="001038D1"/>
    <w:rsid w:val="00103A85"/>
    <w:rsid w:val="001040B5"/>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4CF"/>
    <w:rsid w:val="00133FC7"/>
    <w:rsid w:val="001340CF"/>
    <w:rsid w:val="001344B0"/>
    <w:rsid w:val="00135C94"/>
    <w:rsid w:val="00136555"/>
    <w:rsid w:val="00136F08"/>
    <w:rsid w:val="001372E4"/>
    <w:rsid w:val="00137410"/>
    <w:rsid w:val="00137597"/>
    <w:rsid w:val="00137C5D"/>
    <w:rsid w:val="00137F7A"/>
    <w:rsid w:val="001406C0"/>
    <w:rsid w:val="001406E9"/>
    <w:rsid w:val="00140B5A"/>
    <w:rsid w:val="0014106F"/>
    <w:rsid w:val="001414D9"/>
    <w:rsid w:val="0014150B"/>
    <w:rsid w:val="001415CB"/>
    <w:rsid w:val="00141B40"/>
    <w:rsid w:val="0014216C"/>
    <w:rsid w:val="00142D8C"/>
    <w:rsid w:val="00144415"/>
    <w:rsid w:val="0014756A"/>
    <w:rsid w:val="00147707"/>
    <w:rsid w:val="001477C5"/>
    <w:rsid w:val="00147D25"/>
    <w:rsid w:val="00150896"/>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559D"/>
    <w:rsid w:val="001659F7"/>
    <w:rsid w:val="00165D0D"/>
    <w:rsid w:val="00166142"/>
    <w:rsid w:val="00166621"/>
    <w:rsid w:val="00167015"/>
    <w:rsid w:val="00169F88"/>
    <w:rsid w:val="001701BA"/>
    <w:rsid w:val="001709D6"/>
    <w:rsid w:val="00170F0C"/>
    <w:rsid w:val="001714CD"/>
    <w:rsid w:val="001718F7"/>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19CF"/>
    <w:rsid w:val="001920AB"/>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0B36"/>
    <w:rsid w:val="001A1CCE"/>
    <w:rsid w:val="001A1D47"/>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435"/>
    <w:rsid w:val="001E073B"/>
    <w:rsid w:val="001E07B5"/>
    <w:rsid w:val="001E0ADE"/>
    <w:rsid w:val="001E144A"/>
    <w:rsid w:val="001E1B7F"/>
    <w:rsid w:val="001E1CA3"/>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4E30"/>
    <w:rsid w:val="001F5A6D"/>
    <w:rsid w:val="001F5B55"/>
    <w:rsid w:val="001F5E91"/>
    <w:rsid w:val="001F6054"/>
    <w:rsid w:val="001F6BA3"/>
    <w:rsid w:val="001F7699"/>
    <w:rsid w:val="001F7904"/>
    <w:rsid w:val="001F7F9A"/>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719"/>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3F5"/>
    <w:rsid w:val="002D0927"/>
    <w:rsid w:val="002D252C"/>
    <w:rsid w:val="002D25E3"/>
    <w:rsid w:val="002D3333"/>
    <w:rsid w:val="002D400C"/>
    <w:rsid w:val="002D43A8"/>
    <w:rsid w:val="002D4405"/>
    <w:rsid w:val="002D5107"/>
    <w:rsid w:val="002D51E7"/>
    <w:rsid w:val="002D5F7C"/>
    <w:rsid w:val="002D6017"/>
    <w:rsid w:val="002D621A"/>
    <w:rsid w:val="002D632C"/>
    <w:rsid w:val="002D64FD"/>
    <w:rsid w:val="002D6AC5"/>
    <w:rsid w:val="002D6C47"/>
    <w:rsid w:val="002D6D3F"/>
    <w:rsid w:val="002D6F1A"/>
    <w:rsid w:val="002D7B62"/>
    <w:rsid w:val="002E064F"/>
    <w:rsid w:val="002E17C0"/>
    <w:rsid w:val="002E2C17"/>
    <w:rsid w:val="002E552E"/>
    <w:rsid w:val="002E5673"/>
    <w:rsid w:val="002E6451"/>
    <w:rsid w:val="002E657C"/>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693"/>
    <w:rsid w:val="002F4D98"/>
    <w:rsid w:val="002F4FB4"/>
    <w:rsid w:val="002F577D"/>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DB6"/>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2719"/>
    <w:rsid w:val="00373D04"/>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240C"/>
    <w:rsid w:val="003C288F"/>
    <w:rsid w:val="003C297E"/>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DBB"/>
    <w:rsid w:val="0042334A"/>
    <w:rsid w:val="00424900"/>
    <w:rsid w:val="00424C31"/>
    <w:rsid w:val="004250F7"/>
    <w:rsid w:val="00425740"/>
    <w:rsid w:val="0042720A"/>
    <w:rsid w:val="0042768C"/>
    <w:rsid w:val="00427B77"/>
    <w:rsid w:val="00427DDB"/>
    <w:rsid w:val="00430049"/>
    <w:rsid w:val="00432E56"/>
    <w:rsid w:val="004336BF"/>
    <w:rsid w:val="00433D9B"/>
    <w:rsid w:val="00433E31"/>
    <w:rsid w:val="004342CD"/>
    <w:rsid w:val="00434AC7"/>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17A8"/>
    <w:rsid w:val="00452229"/>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3A"/>
    <w:rsid w:val="004F4D87"/>
    <w:rsid w:val="004F5EB3"/>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15"/>
    <w:rsid w:val="005576A3"/>
    <w:rsid w:val="005577C2"/>
    <w:rsid w:val="00560CDB"/>
    <w:rsid w:val="00561212"/>
    <w:rsid w:val="00562B88"/>
    <w:rsid w:val="0056316B"/>
    <w:rsid w:val="00563801"/>
    <w:rsid w:val="005639C5"/>
    <w:rsid w:val="00564F0E"/>
    <w:rsid w:val="00564F9B"/>
    <w:rsid w:val="00565755"/>
    <w:rsid w:val="00565BC5"/>
    <w:rsid w:val="0056638E"/>
    <w:rsid w:val="005663BB"/>
    <w:rsid w:val="005664E1"/>
    <w:rsid w:val="005672E3"/>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552C"/>
    <w:rsid w:val="00595D7E"/>
    <w:rsid w:val="0059660D"/>
    <w:rsid w:val="00596E2A"/>
    <w:rsid w:val="00596E99"/>
    <w:rsid w:val="0059752F"/>
    <w:rsid w:val="0059768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6FF"/>
    <w:rsid w:val="005B57AF"/>
    <w:rsid w:val="005B62F7"/>
    <w:rsid w:val="005B6789"/>
    <w:rsid w:val="005B6B85"/>
    <w:rsid w:val="005B71BE"/>
    <w:rsid w:val="005B760E"/>
    <w:rsid w:val="005B763A"/>
    <w:rsid w:val="005C00FC"/>
    <w:rsid w:val="005C1A16"/>
    <w:rsid w:val="005C2C02"/>
    <w:rsid w:val="005C3660"/>
    <w:rsid w:val="005C480D"/>
    <w:rsid w:val="005C4A79"/>
    <w:rsid w:val="005C6987"/>
    <w:rsid w:val="005D31C1"/>
    <w:rsid w:val="005D326A"/>
    <w:rsid w:val="005D424E"/>
    <w:rsid w:val="005D48A0"/>
    <w:rsid w:val="005D4E16"/>
    <w:rsid w:val="005D5E34"/>
    <w:rsid w:val="005D600F"/>
    <w:rsid w:val="005D614F"/>
    <w:rsid w:val="005D634A"/>
    <w:rsid w:val="005D6B1A"/>
    <w:rsid w:val="005D6F94"/>
    <w:rsid w:val="005D7CF0"/>
    <w:rsid w:val="005D7FF8"/>
    <w:rsid w:val="005E028A"/>
    <w:rsid w:val="005E1819"/>
    <w:rsid w:val="005E21FA"/>
    <w:rsid w:val="005E2596"/>
    <w:rsid w:val="005E268C"/>
    <w:rsid w:val="005E2A2B"/>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143A"/>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E73"/>
    <w:rsid w:val="0064028A"/>
    <w:rsid w:val="00640625"/>
    <w:rsid w:val="006411CD"/>
    <w:rsid w:val="00641BC0"/>
    <w:rsid w:val="00641FEB"/>
    <w:rsid w:val="00642B29"/>
    <w:rsid w:val="00644D73"/>
    <w:rsid w:val="00645861"/>
    <w:rsid w:val="00645C98"/>
    <w:rsid w:val="00646E22"/>
    <w:rsid w:val="0064714E"/>
    <w:rsid w:val="0064742B"/>
    <w:rsid w:val="006503E1"/>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9B7"/>
    <w:rsid w:val="00671AF9"/>
    <w:rsid w:val="00673770"/>
    <w:rsid w:val="00674665"/>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8CB"/>
    <w:rsid w:val="006B0EEB"/>
    <w:rsid w:val="006B102B"/>
    <w:rsid w:val="006B1424"/>
    <w:rsid w:val="006B19C9"/>
    <w:rsid w:val="006B1EE4"/>
    <w:rsid w:val="006B3970"/>
    <w:rsid w:val="006B442C"/>
    <w:rsid w:val="006B4DFF"/>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C6462"/>
    <w:rsid w:val="006D04C4"/>
    <w:rsid w:val="006D0761"/>
    <w:rsid w:val="006D1340"/>
    <w:rsid w:val="006D2428"/>
    <w:rsid w:val="006D26C1"/>
    <w:rsid w:val="006D2B38"/>
    <w:rsid w:val="006D3454"/>
    <w:rsid w:val="006D41CE"/>
    <w:rsid w:val="006D4378"/>
    <w:rsid w:val="006D5077"/>
    <w:rsid w:val="006D5158"/>
    <w:rsid w:val="006D56FD"/>
    <w:rsid w:val="006D6C27"/>
    <w:rsid w:val="006D6DB3"/>
    <w:rsid w:val="006D7569"/>
    <w:rsid w:val="006D7B6D"/>
    <w:rsid w:val="006D7C1B"/>
    <w:rsid w:val="006D7E6F"/>
    <w:rsid w:val="006E03A2"/>
    <w:rsid w:val="006E058A"/>
    <w:rsid w:val="006E06E2"/>
    <w:rsid w:val="006E0710"/>
    <w:rsid w:val="006E2F73"/>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76DA"/>
    <w:rsid w:val="00707C4E"/>
    <w:rsid w:val="00707CB0"/>
    <w:rsid w:val="00711B4A"/>
    <w:rsid w:val="00711C5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B3B"/>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437F"/>
    <w:rsid w:val="00774D8F"/>
    <w:rsid w:val="00776BE5"/>
    <w:rsid w:val="00776D0D"/>
    <w:rsid w:val="00777AC9"/>
    <w:rsid w:val="007808F7"/>
    <w:rsid w:val="00780D60"/>
    <w:rsid w:val="00781603"/>
    <w:rsid w:val="0078333E"/>
    <w:rsid w:val="007833FD"/>
    <w:rsid w:val="007834FB"/>
    <w:rsid w:val="00783CA7"/>
    <w:rsid w:val="00783E03"/>
    <w:rsid w:val="00784C17"/>
    <w:rsid w:val="007859C1"/>
    <w:rsid w:val="00785D10"/>
    <w:rsid w:val="00785F6D"/>
    <w:rsid w:val="007866A4"/>
    <w:rsid w:val="00786942"/>
    <w:rsid w:val="00786D9A"/>
    <w:rsid w:val="0078766C"/>
    <w:rsid w:val="00791CBE"/>
    <w:rsid w:val="00792685"/>
    <w:rsid w:val="00792AC2"/>
    <w:rsid w:val="00792AF6"/>
    <w:rsid w:val="00792B07"/>
    <w:rsid w:val="00793212"/>
    <w:rsid w:val="00793517"/>
    <w:rsid w:val="0079375A"/>
    <w:rsid w:val="0079385A"/>
    <w:rsid w:val="00794397"/>
    <w:rsid w:val="00794A5A"/>
    <w:rsid w:val="00794C6D"/>
    <w:rsid w:val="00795203"/>
    <w:rsid w:val="00795214"/>
    <w:rsid w:val="007954BE"/>
    <w:rsid w:val="00795F4C"/>
    <w:rsid w:val="00796E93"/>
    <w:rsid w:val="007A04B3"/>
    <w:rsid w:val="007A1699"/>
    <w:rsid w:val="007A1EE1"/>
    <w:rsid w:val="007A205F"/>
    <w:rsid w:val="007A2643"/>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5D92"/>
    <w:rsid w:val="007D66C3"/>
    <w:rsid w:val="007D6A72"/>
    <w:rsid w:val="007E03E5"/>
    <w:rsid w:val="007E0C78"/>
    <w:rsid w:val="007E0D8B"/>
    <w:rsid w:val="007E12B7"/>
    <w:rsid w:val="007E283A"/>
    <w:rsid w:val="007E3090"/>
    <w:rsid w:val="007E30A2"/>
    <w:rsid w:val="007E3529"/>
    <w:rsid w:val="007E3886"/>
    <w:rsid w:val="007E3A62"/>
    <w:rsid w:val="007E3C78"/>
    <w:rsid w:val="007E4628"/>
    <w:rsid w:val="007E52DB"/>
    <w:rsid w:val="007E59C3"/>
    <w:rsid w:val="007E5FBB"/>
    <w:rsid w:val="007E6090"/>
    <w:rsid w:val="007E712A"/>
    <w:rsid w:val="007E7263"/>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D6D"/>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D53"/>
    <w:rsid w:val="008441A4"/>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724B"/>
    <w:rsid w:val="008577CC"/>
    <w:rsid w:val="008600C6"/>
    <w:rsid w:val="00860482"/>
    <w:rsid w:val="00860699"/>
    <w:rsid w:val="00860BC0"/>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135D"/>
    <w:rsid w:val="00882483"/>
    <w:rsid w:val="00882D97"/>
    <w:rsid w:val="00883401"/>
    <w:rsid w:val="00883B7F"/>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4EC3"/>
    <w:rsid w:val="0089500C"/>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F56"/>
    <w:rsid w:val="008A4026"/>
    <w:rsid w:val="008A4A0E"/>
    <w:rsid w:val="008A4C98"/>
    <w:rsid w:val="008A4DFE"/>
    <w:rsid w:val="008A5720"/>
    <w:rsid w:val="008A5CD9"/>
    <w:rsid w:val="008A5E3A"/>
    <w:rsid w:val="008A66F7"/>
    <w:rsid w:val="008A6B8A"/>
    <w:rsid w:val="008A6ED8"/>
    <w:rsid w:val="008A706E"/>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2106"/>
    <w:rsid w:val="008C30D5"/>
    <w:rsid w:val="008C3260"/>
    <w:rsid w:val="008C33FB"/>
    <w:rsid w:val="008C3554"/>
    <w:rsid w:val="008C4456"/>
    <w:rsid w:val="008C4E1D"/>
    <w:rsid w:val="008C5F13"/>
    <w:rsid w:val="008C60B3"/>
    <w:rsid w:val="008C6104"/>
    <w:rsid w:val="008C64C0"/>
    <w:rsid w:val="008C7265"/>
    <w:rsid w:val="008D01D2"/>
    <w:rsid w:val="008D1961"/>
    <w:rsid w:val="008D20D7"/>
    <w:rsid w:val="008D258F"/>
    <w:rsid w:val="008D27FC"/>
    <w:rsid w:val="008D2F61"/>
    <w:rsid w:val="008D3B40"/>
    <w:rsid w:val="008D43B0"/>
    <w:rsid w:val="008D4827"/>
    <w:rsid w:val="008D4B1C"/>
    <w:rsid w:val="008D4F7D"/>
    <w:rsid w:val="008D4FE3"/>
    <w:rsid w:val="008D565A"/>
    <w:rsid w:val="008D5B2E"/>
    <w:rsid w:val="008D6634"/>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E27"/>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2DD"/>
    <w:rsid w:val="00930D6E"/>
    <w:rsid w:val="009314D1"/>
    <w:rsid w:val="009319BD"/>
    <w:rsid w:val="009326A6"/>
    <w:rsid w:val="009327D9"/>
    <w:rsid w:val="00932AA4"/>
    <w:rsid w:val="009339A2"/>
    <w:rsid w:val="00933A1A"/>
    <w:rsid w:val="00933B63"/>
    <w:rsid w:val="0093413B"/>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243B"/>
    <w:rsid w:val="009635E9"/>
    <w:rsid w:val="00964028"/>
    <w:rsid w:val="00964A16"/>
    <w:rsid w:val="00964A3B"/>
    <w:rsid w:val="00965520"/>
    <w:rsid w:val="009656A3"/>
    <w:rsid w:val="0096771C"/>
    <w:rsid w:val="0097088C"/>
    <w:rsid w:val="00970E5C"/>
    <w:rsid w:val="00971074"/>
    <w:rsid w:val="00971634"/>
    <w:rsid w:val="00971744"/>
    <w:rsid w:val="009719E9"/>
    <w:rsid w:val="00972792"/>
    <w:rsid w:val="00972DC6"/>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2AC1"/>
    <w:rsid w:val="00993C98"/>
    <w:rsid w:val="0099411C"/>
    <w:rsid w:val="0099614D"/>
    <w:rsid w:val="00996795"/>
    <w:rsid w:val="009968CF"/>
    <w:rsid w:val="00996EB5"/>
    <w:rsid w:val="00997082"/>
    <w:rsid w:val="0099750D"/>
    <w:rsid w:val="00997EBF"/>
    <w:rsid w:val="009A020D"/>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B73"/>
    <w:rsid w:val="009B5FB1"/>
    <w:rsid w:val="009B6372"/>
    <w:rsid w:val="009B684A"/>
    <w:rsid w:val="009B6D11"/>
    <w:rsid w:val="009B77AE"/>
    <w:rsid w:val="009B7AC1"/>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C00"/>
    <w:rsid w:val="009D00C6"/>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2063"/>
    <w:rsid w:val="009E2155"/>
    <w:rsid w:val="009E21DE"/>
    <w:rsid w:val="009E2890"/>
    <w:rsid w:val="009E30F2"/>
    <w:rsid w:val="009E34BD"/>
    <w:rsid w:val="009E3C29"/>
    <w:rsid w:val="009E4AE9"/>
    <w:rsid w:val="009E4D8A"/>
    <w:rsid w:val="009E51D1"/>
    <w:rsid w:val="009E560B"/>
    <w:rsid w:val="009E7D8D"/>
    <w:rsid w:val="009F0333"/>
    <w:rsid w:val="009F1640"/>
    <w:rsid w:val="009F181A"/>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8DC"/>
    <w:rsid w:val="00A13C4F"/>
    <w:rsid w:val="00A14D30"/>
    <w:rsid w:val="00A14D50"/>
    <w:rsid w:val="00A1514D"/>
    <w:rsid w:val="00A160E2"/>
    <w:rsid w:val="00A161A6"/>
    <w:rsid w:val="00A167EA"/>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AA6"/>
    <w:rsid w:val="00A470CE"/>
    <w:rsid w:val="00A473D1"/>
    <w:rsid w:val="00A474CC"/>
    <w:rsid w:val="00A4770D"/>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DE6"/>
    <w:rsid w:val="00A57E30"/>
    <w:rsid w:val="00A57E6A"/>
    <w:rsid w:val="00A616D4"/>
    <w:rsid w:val="00A617E4"/>
    <w:rsid w:val="00A61D17"/>
    <w:rsid w:val="00A630D3"/>
    <w:rsid w:val="00A6314E"/>
    <w:rsid w:val="00A637C5"/>
    <w:rsid w:val="00A63B26"/>
    <w:rsid w:val="00A64B98"/>
    <w:rsid w:val="00A651D5"/>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DCB"/>
    <w:rsid w:val="00A7512D"/>
    <w:rsid w:val="00A75466"/>
    <w:rsid w:val="00A759F6"/>
    <w:rsid w:val="00A75CC4"/>
    <w:rsid w:val="00A765E5"/>
    <w:rsid w:val="00A76927"/>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9AB"/>
    <w:rsid w:val="00A87B2F"/>
    <w:rsid w:val="00A90F6A"/>
    <w:rsid w:val="00A913C8"/>
    <w:rsid w:val="00A91856"/>
    <w:rsid w:val="00A91CFC"/>
    <w:rsid w:val="00A92702"/>
    <w:rsid w:val="00A93549"/>
    <w:rsid w:val="00A9383A"/>
    <w:rsid w:val="00A938F4"/>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A7A26"/>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5D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51F"/>
    <w:rsid w:val="00AE6EB1"/>
    <w:rsid w:val="00AE7281"/>
    <w:rsid w:val="00AE7430"/>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630C"/>
    <w:rsid w:val="00AF6941"/>
    <w:rsid w:val="00AF727F"/>
    <w:rsid w:val="00AF7339"/>
    <w:rsid w:val="00AF7499"/>
    <w:rsid w:val="00AF78C8"/>
    <w:rsid w:val="00AF7926"/>
    <w:rsid w:val="00AF7B6F"/>
    <w:rsid w:val="00B001A2"/>
    <w:rsid w:val="00B0021A"/>
    <w:rsid w:val="00B010BF"/>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1FDF"/>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DAA"/>
    <w:rsid w:val="00B37E59"/>
    <w:rsid w:val="00B40370"/>
    <w:rsid w:val="00B4073B"/>
    <w:rsid w:val="00B432C2"/>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5CF"/>
    <w:rsid w:val="00B626B6"/>
    <w:rsid w:val="00B63230"/>
    <w:rsid w:val="00B63943"/>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B14"/>
    <w:rsid w:val="00B92CD6"/>
    <w:rsid w:val="00B9475D"/>
    <w:rsid w:val="00B94F35"/>
    <w:rsid w:val="00B9540D"/>
    <w:rsid w:val="00B955D7"/>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30E6"/>
    <w:rsid w:val="00BB3732"/>
    <w:rsid w:val="00BB392A"/>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67B8"/>
    <w:rsid w:val="00BF6CA7"/>
    <w:rsid w:val="00BF799A"/>
    <w:rsid w:val="00C01052"/>
    <w:rsid w:val="00C01458"/>
    <w:rsid w:val="00C01EDC"/>
    <w:rsid w:val="00C02241"/>
    <w:rsid w:val="00C02348"/>
    <w:rsid w:val="00C023C7"/>
    <w:rsid w:val="00C02400"/>
    <w:rsid w:val="00C02CF6"/>
    <w:rsid w:val="00C02D9E"/>
    <w:rsid w:val="00C04405"/>
    <w:rsid w:val="00C04466"/>
    <w:rsid w:val="00C04B54"/>
    <w:rsid w:val="00C0685B"/>
    <w:rsid w:val="00C07BB7"/>
    <w:rsid w:val="00C10BA9"/>
    <w:rsid w:val="00C11202"/>
    <w:rsid w:val="00C11EB8"/>
    <w:rsid w:val="00C135C4"/>
    <w:rsid w:val="00C1367D"/>
    <w:rsid w:val="00C1522A"/>
    <w:rsid w:val="00C15AF0"/>
    <w:rsid w:val="00C167BA"/>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B8A"/>
    <w:rsid w:val="00C44147"/>
    <w:rsid w:val="00C44585"/>
    <w:rsid w:val="00C447DF"/>
    <w:rsid w:val="00C45047"/>
    <w:rsid w:val="00C45600"/>
    <w:rsid w:val="00C45BB1"/>
    <w:rsid w:val="00C46861"/>
    <w:rsid w:val="00C46D57"/>
    <w:rsid w:val="00C46EA7"/>
    <w:rsid w:val="00C504BF"/>
    <w:rsid w:val="00C50743"/>
    <w:rsid w:val="00C50D18"/>
    <w:rsid w:val="00C511DB"/>
    <w:rsid w:val="00C5138B"/>
    <w:rsid w:val="00C5315B"/>
    <w:rsid w:val="00C53862"/>
    <w:rsid w:val="00C53F5A"/>
    <w:rsid w:val="00C540D9"/>
    <w:rsid w:val="00C55013"/>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6EDA"/>
    <w:rsid w:val="00CA71D5"/>
    <w:rsid w:val="00CA7577"/>
    <w:rsid w:val="00CA78B4"/>
    <w:rsid w:val="00CA7A5E"/>
    <w:rsid w:val="00CB0507"/>
    <w:rsid w:val="00CB0F12"/>
    <w:rsid w:val="00CB106A"/>
    <w:rsid w:val="00CB24BB"/>
    <w:rsid w:val="00CB2C33"/>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647"/>
    <w:rsid w:val="00CD432F"/>
    <w:rsid w:val="00CD4342"/>
    <w:rsid w:val="00CD4CCF"/>
    <w:rsid w:val="00CD546C"/>
    <w:rsid w:val="00CD5F96"/>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B08"/>
    <w:rsid w:val="00CF2E19"/>
    <w:rsid w:val="00CF2F44"/>
    <w:rsid w:val="00CF3B9D"/>
    <w:rsid w:val="00CF3D0A"/>
    <w:rsid w:val="00CF412E"/>
    <w:rsid w:val="00CF4E18"/>
    <w:rsid w:val="00CF519E"/>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63CB"/>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AC"/>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4E2F"/>
    <w:rsid w:val="00D555A1"/>
    <w:rsid w:val="00D55C7E"/>
    <w:rsid w:val="00D55C8C"/>
    <w:rsid w:val="00D563E7"/>
    <w:rsid w:val="00D56426"/>
    <w:rsid w:val="00D56A8E"/>
    <w:rsid w:val="00D573F7"/>
    <w:rsid w:val="00D57C66"/>
    <w:rsid w:val="00D606C5"/>
    <w:rsid w:val="00D60910"/>
    <w:rsid w:val="00D60F1D"/>
    <w:rsid w:val="00D61512"/>
    <w:rsid w:val="00D616EB"/>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28C"/>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D2"/>
    <w:rsid w:val="00DD18EB"/>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E03AD"/>
    <w:rsid w:val="00DE0E1F"/>
    <w:rsid w:val="00DE0EDA"/>
    <w:rsid w:val="00DE100A"/>
    <w:rsid w:val="00DE14A5"/>
    <w:rsid w:val="00DE1A6D"/>
    <w:rsid w:val="00DE27DE"/>
    <w:rsid w:val="00DE3297"/>
    <w:rsid w:val="00DE42FA"/>
    <w:rsid w:val="00DE4A2D"/>
    <w:rsid w:val="00DE51C0"/>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3A6"/>
    <w:rsid w:val="00E55517"/>
    <w:rsid w:val="00E558B7"/>
    <w:rsid w:val="00E55A18"/>
    <w:rsid w:val="00E55A57"/>
    <w:rsid w:val="00E56436"/>
    <w:rsid w:val="00E5667B"/>
    <w:rsid w:val="00E57016"/>
    <w:rsid w:val="00E579B8"/>
    <w:rsid w:val="00E603F1"/>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598"/>
    <w:rsid w:val="00E85A6A"/>
    <w:rsid w:val="00E863B6"/>
    <w:rsid w:val="00E864DD"/>
    <w:rsid w:val="00E87A27"/>
    <w:rsid w:val="00E87EB2"/>
    <w:rsid w:val="00E90677"/>
    <w:rsid w:val="00E910A5"/>
    <w:rsid w:val="00E910D0"/>
    <w:rsid w:val="00E914B5"/>
    <w:rsid w:val="00E91E53"/>
    <w:rsid w:val="00E91E6E"/>
    <w:rsid w:val="00E92886"/>
    <w:rsid w:val="00E9347A"/>
    <w:rsid w:val="00E93556"/>
    <w:rsid w:val="00E93A42"/>
    <w:rsid w:val="00E94048"/>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4A28"/>
    <w:rsid w:val="00EE65E4"/>
    <w:rsid w:val="00EE7129"/>
    <w:rsid w:val="00EE79F6"/>
    <w:rsid w:val="00EF10D1"/>
    <w:rsid w:val="00EF12D4"/>
    <w:rsid w:val="00EF2214"/>
    <w:rsid w:val="00EF290A"/>
    <w:rsid w:val="00EF2C71"/>
    <w:rsid w:val="00EF3E39"/>
    <w:rsid w:val="00EF3FCC"/>
    <w:rsid w:val="00EF4055"/>
    <w:rsid w:val="00EF544A"/>
    <w:rsid w:val="00EF5AD0"/>
    <w:rsid w:val="00EF6731"/>
    <w:rsid w:val="00EF6881"/>
    <w:rsid w:val="00EF6A51"/>
    <w:rsid w:val="00EF789C"/>
    <w:rsid w:val="00EF7C65"/>
    <w:rsid w:val="00EF7D17"/>
    <w:rsid w:val="00EF7F0D"/>
    <w:rsid w:val="00F00F42"/>
    <w:rsid w:val="00F01542"/>
    <w:rsid w:val="00F02868"/>
    <w:rsid w:val="00F033E5"/>
    <w:rsid w:val="00F036A6"/>
    <w:rsid w:val="00F0382C"/>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177"/>
    <w:rsid w:val="00F22FA5"/>
    <w:rsid w:val="00F234CC"/>
    <w:rsid w:val="00F2365A"/>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379C5"/>
    <w:rsid w:val="00F4089D"/>
    <w:rsid w:val="00F40CD0"/>
    <w:rsid w:val="00F415E0"/>
    <w:rsid w:val="00F41C28"/>
    <w:rsid w:val="00F4227F"/>
    <w:rsid w:val="00F425D1"/>
    <w:rsid w:val="00F42789"/>
    <w:rsid w:val="00F43107"/>
    <w:rsid w:val="00F44400"/>
    <w:rsid w:val="00F454E7"/>
    <w:rsid w:val="00F463AE"/>
    <w:rsid w:val="00F4688B"/>
    <w:rsid w:val="00F46FA1"/>
    <w:rsid w:val="00F47B1F"/>
    <w:rsid w:val="00F47B70"/>
    <w:rsid w:val="00F50BAA"/>
    <w:rsid w:val="00F51527"/>
    <w:rsid w:val="00F51714"/>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F5B"/>
    <w:rsid w:val="00F73A3C"/>
    <w:rsid w:val="00F73D35"/>
    <w:rsid w:val="00F73F39"/>
    <w:rsid w:val="00F74089"/>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97EB8"/>
    <w:rsid w:val="00FA078A"/>
    <w:rsid w:val="00FA0DB5"/>
    <w:rsid w:val="00FA133A"/>
    <w:rsid w:val="00FA152A"/>
    <w:rsid w:val="00FA1D1B"/>
    <w:rsid w:val="00FA3014"/>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0F4"/>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F43"/>
    <w:rsid w:val="00FD62E1"/>
    <w:rsid w:val="00FD6BE0"/>
    <w:rsid w:val="00FD7118"/>
    <w:rsid w:val="00FD711D"/>
    <w:rsid w:val="00FE0AE8"/>
    <w:rsid w:val="00FE0E9D"/>
    <w:rsid w:val="00FE190D"/>
    <w:rsid w:val="00FE2873"/>
    <w:rsid w:val="00FE30B8"/>
    <w:rsid w:val="00FE3DF2"/>
    <w:rsid w:val="00FE400D"/>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appli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36CA9A69-CD3B-44FD-A2A0-AD4169BB2B1F}">
  <ds:schemaRefs>
    <ds:schemaRef ds:uri="0b389fdf-c1cd-4589-91b6-850ba51ff85c"/>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431100d4-4470-42c1-96bc-46686c1829a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Meagan Cutler</cp:lastModifiedBy>
  <cp:revision>2</cp:revision>
  <dcterms:created xsi:type="dcterms:W3CDTF">2022-02-25T21:39:00Z</dcterms:created>
  <dcterms:modified xsi:type="dcterms:W3CDTF">2022-02-25T21:39:00Z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