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1DE8A41" w:rsidR="002A7CD2" w:rsidRPr="00D90432" w:rsidRDefault="00AE3836" w:rsidP="000078D6">
      <w:pPr>
        <w:spacing w:after="0"/>
        <w:jc w:val="center"/>
        <w:rPr>
          <w:rFonts w:ascii="Times New Roman" w:hAnsi="Times New Roman" w:cs="Times New Roman"/>
        </w:rPr>
      </w:pPr>
      <w:r w:rsidRPr="00D90432">
        <w:rPr>
          <w:rFonts w:ascii="Times New Roman" w:hAnsi="Times New Roman" w:cs="Times New Roman"/>
        </w:rPr>
        <w:softHyphen/>
      </w:r>
      <w:r w:rsidR="00441946" w:rsidRPr="00D90432">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77777777" w:rsidR="00616EA5" w:rsidRDefault="00277840" w:rsidP="00F70795">
      <w:pPr>
        <w:spacing w:after="0"/>
        <w:jc w:val="center"/>
        <w:rPr>
          <w:rFonts w:ascii="Times New Roman" w:hAnsi="Times New Roman" w:cs="Times New Roman"/>
          <w:b/>
          <w:sz w:val="32"/>
          <w:szCs w:val="32"/>
        </w:rPr>
      </w:pPr>
      <w:r w:rsidRPr="00BD7945">
        <w:rPr>
          <w:rFonts w:ascii="Times New Roman" w:hAnsi="Times New Roman" w:cs="Times New Roman"/>
          <w:b/>
          <w:sz w:val="32"/>
          <w:szCs w:val="32"/>
        </w:rPr>
        <w:t xml:space="preserve">2021 </w:t>
      </w:r>
      <w:r w:rsidR="001256CA">
        <w:rPr>
          <w:rFonts w:ascii="Times New Roman" w:hAnsi="Times New Roman" w:cs="Times New Roman"/>
          <w:b/>
          <w:sz w:val="32"/>
          <w:szCs w:val="32"/>
        </w:rPr>
        <w:t xml:space="preserve">9% and 4% </w:t>
      </w:r>
      <w:r w:rsidR="008C0345">
        <w:rPr>
          <w:rFonts w:ascii="Times New Roman" w:hAnsi="Times New Roman" w:cs="Times New Roman"/>
          <w:b/>
          <w:sz w:val="32"/>
          <w:szCs w:val="32"/>
        </w:rPr>
        <w:t xml:space="preserve">Housing Tax Credit </w:t>
      </w:r>
    </w:p>
    <w:p w14:paraId="2BB5916B" w14:textId="2CCD5312" w:rsidR="00226B34" w:rsidRDefault="00277840" w:rsidP="00616EA5">
      <w:pPr>
        <w:pBdr>
          <w:bottom w:val="single" w:sz="6" w:space="1" w:color="auto"/>
        </w:pBdr>
        <w:spacing w:after="0"/>
        <w:jc w:val="center"/>
        <w:rPr>
          <w:rFonts w:ascii="Times New Roman" w:hAnsi="Times New Roman" w:cs="Times New Roman"/>
          <w:b/>
          <w:sz w:val="32"/>
          <w:szCs w:val="32"/>
        </w:rPr>
      </w:pPr>
      <w:r w:rsidRPr="00BD7945">
        <w:rPr>
          <w:rFonts w:ascii="Times New Roman" w:hAnsi="Times New Roman" w:cs="Times New Roman"/>
          <w:b/>
          <w:sz w:val="32"/>
          <w:szCs w:val="32"/>
        </w:rPr>
        <w:t>Competitive Round</w:t>
      </w:r>
      <w:r w:rsidR="00912E45">
        <w:rPr>
          <w:rFonts w:ascii="Times New Roman" w:hAnsi="Times New Roman" w:cs="Times New Roman"/>
          <w:b/>
          <w:sz w:val="32"/>
          <w:szCs w:val="32"/>
        </w:rPr>
        <w:t>s</w:t>
      </w:r>
      <w:r w:rsidR="00F16580">
        <w:rPr>
          <w:rFonts w:ascii="Times New Roman" w:hAnsi="Times New Roman" w:cs="Times New Roman"/>
          <w:b/>
          <w:sz w:val="32"/>
          <w:szCs w:val="32"/>
        </w:rPr>
        <w:t xml:space="preserve"> </w:t>
      </w:r>
      <w:r w:rsidR="00226B34" w:rsidRPr="00BD7945">
        <w:rPr>
          <w:rFonts w:ascii="Times New Roman" w:hAnsi="Times New Roman" w:cs="Times New Roman"/>
          <w:b/>
          <w:sz w:val="32"/>
          <w:szCs w:val="32"/>
        </w:rPr>
        <w:t>Questions and Answers</w:t>
      </w:r>
      <w:r w:rsidR="00D93FAE">
        <w:rPr>
          <w:rFonts w:ascii="Times New Roman" w:hAnsi="Times New Roman" w:cs="Times New Roman"/>
          <w:b/>
          <w:sz w:val="32"/>
          <w:szCs w:val="32"/>
        </w:rPr>
        <w:t xml:space="preserve"> </w:t>
      </w:r>
    </w:p>
    <w:p w14:paraId="501B4049" w14:textId="77777777" w:rsidR="00E87EB2" w:rsidRDefault="00E87EB2" w:rsidP="006D7569">
      <w:pPr>
        <w:spacing w:after="0"/>
        <w:rPr>
          <w:rFonts w:ascii="Times New Roman" w:hAnsi="Times New Roman" w:cs="Times New Roman"/>
          <w:noProof/>
        </w:rPr>
      </w:pPr>
    </w:p>
    <w:p w14:paraId="0407AE8F" w14:textId="4D47A1E9" w:rsidR="007C0246" w:rsidRDefault="009A3438" w:rsidP="006D7569">
      <w:pPr>
        <w:spacing w:after="0"/>
        <w:rPr>
          <w:rFonts w:ascii="Times New Roman" w:hAnsi="Times New Roman" w:cs="Times New Roman"/>
          <w:noProof/>
        </w:rPr>
      </w:pPr>
      <w:r w:rsidRPr="00D90432">
        <w:rPr>
          <w:rFonts w:ascii="Times New Roman" w:hAnsi="Times New Roman" w:cs="Times New Roman"/>
          <w:color w:val="A6A6A6" w:themeColor="background1" w:themeShade="A6"/>
        </w:rPr>
        <w:t xml:space="preserve">Published </w:t>
      </w:r>
      <w:r w:rsidR="007C0246" w:rsidRPr="00D90432">
        <w:rPr>
          <w:rFonts w:ascii="Times New Roman" w:hAnsi="Times New Roman" w:cs="Times New Roman"/>
          <w:color w:val="A6A6A6" w:themeColor="background1" w:themeShade="A6"/>
        </w:rPr>
        <w:t xml:space="preserve">February </w:t>
      </w:r>
      <w:r w:rsidR="008B2CAD">
        <w:rPr>
          <w:rFonts w:ascii="Times New Roman" w:hAnsi="Times New Roman" w:cs="Times New Roman"/>
          <w:color w:val="A6A6A6" w:themeColor="background1" w:themeShade="A6"/>
        </w:rPr>
        <w:t>18</w:t>
      </w:r>
      <w:r w:rsidR="007C0246" w:rsidRPr="00D90432">
        <w:rPr>
          <w:rFonts w:ascii="Times New Roman" w:hAnsi="Times New Roman" w:cs="Times New Roman"/>
          <w:color w:val="A6A6A6" w:themeColor="background1" w:themeShade="A6"/>
        </w:rPr>
        <w:t>, 2021.</w:t>
      </w:r>
      <w:r w:rsidR="007C0246" w:rsidRPr="00D90432">
        <w:rPr>
          <w:rFonts w:ascii="Times New Roman" w:hAnsi="Times New Roman" w:cs="Times New Roman"/>
          <w:noProof/>
        </w:rPr>
        <w:t xml:space="preserve"> </w:t>
      </w:r>
    </w:p>
    <w:p w14:paraId="3836E527" w14:textId="7FD18AC2" w:rsidR="007C4F1A" w:rsidRPr="00D90432" w:rsidRDefault="00B54A25" w:rsidP="006D7569">
      <w:pPr>
        <w:spacing w:after="0"/>
        <w:rPr>
          <w:rFonts w:ascii="Times New Roman" w:hAnsi="Times New Roman" w:cs="Times New Roman"/>
          <w:noProof/>
        </w:rPr>
      </w:pPr>
      <w:r>
        <w:rPr>
          <w:rFonts w:ascii="Times New Roman" w:hAnsi="Times New Roman" w:cs="Times New Roman"/>
          <w:noProof/>
          <w:color w:val="A6A6A6" w:themeColor="background1" w:themeShade="A6"/>
        </w:rPr>
        <w:t>Updated</w:t>
      </w:r>
      <w:r w:rsidR="00976680">
        <w:rPr>
          <w:rFonts w:ascii="Times New Roman" w:hAnsi="Times New Roman" w:cs="Times New Roman"/>
          <w:noProof/>
          <w:color w:val="A6A6A6" w:themeColor="background1" w:themeShade="A6"/>
        </w:rPr>
        <w:t xml:space="preserve"> May </w:t>
      </w:r>
      <w:r w:rsidR="00F73F39">
        <w:rPr>
          <w:rFonts w:ascii="Times New Roman" w:hAnsi="Times New Roman" w:cs="Times New Roman"/>
          <w:noProof/>
          <w:color w:val="A6A6A6" w:themeColor="background1" w:themeShade="A6"/>
        </w:rPr>
        <w:t>12</w:t>
      </w:r>
      <w:r w:rsidR="007C4F1A" w:rsidRPr="1C802DC7">
        <w:rPr>
          <w:rFonts w:ascii="Times New Roman" w:hAnsi="Times New Roman" w:cs="Times New Roman"/>
          <w:noProof/>
          <w:color w:val="A6A6A6" w:themeColor="background1" w:themeShade="A6"/>
        </w:rPr>
        <w:t>, 2021</w:t>
      </w:r>
      <w:r w:rsidR="79A1AD59" w:rsidRPr="1C802DC7">
        <w:rPr>
          <w:rFonts w:ascii="Times New Roman" w:hAnsi="Times New Roman" w:cs="Times New Roman"/>
          <w:noProof/>
          <w:color w:val="A6A6A6" w:themeColor="background1" w:themeShade="A6"/>
        </w:rPr>
        <w:t>.</w:t>
      </w:r>
      <w:r w:rsidR="000F169D" w:rsidRPr="1C802DC7">
        <w:rPr>
          <w:rFonts w:ascii="Times New Roman" w:hAnsi="Times New Roman" w:cs="Times New Roman"/>
          <w:noProof/>
          <w:color w:val="A6A6A6" w:themeColor="background1" w:themeShade="A6"/>
        </w:rPr>
        <w:t xml:space="preserve"> </w:t>
      </w:r>
    </w:p>
    <w:p w14:paraId="3BAA02D4" w14:textId="7E6F77E5" w:rsidR="00E90677" w:rsidRPr="00D90432" w:rsidRDefault="00EF4055" w:rsidP="00C80CAC">
      <w:pPr>
        <w:rPr>
          <w:rFonts w:ascii="Times New Roman" w:hAnsi="Times New Roman" w:cs="Times New Roman"/>
        </w:rPr>
      </w:pPr>
      <w:r w:rsidRPr="00D90432">
        <w:rPr>
          <w:rFonts w:ascii="Times New Roman" w:hAnsi="Times New Roman" w:cs="Times New Roman"/>
        </w:rPr>
        <w:t xml:space="preserve"> </w:t>
      </w:r>
      <w:r w:rsidR="003E3AE5" w:rsidRPr="00D90432">
        <w:rPr>
          <w:rFonts w:ascii="Times New Roman" w:hAnsi="Times New Roman" w:cs="Times New Roman"/>
        </w:rPr>
        <w:t xml:space="preserve"> </w:t>
      </w:r>
    </w:p>
    <w:p w14:paraId="0CFBFD79" w14:textId="337F90BB" w:rsidR="005A42ED" w:rsidRDefault="000F162F" w:rsidP="00C80CAC">
      <w:pPr>
        <w:rPr>
          <w:rFonts w:ascii="Times New Roman" w:hAnsi="Times New Roman" w:cs="Times New Roman"/>
        </w:rPr>
      </w:pPr>
      <w:r w:rsidRPr="00D90432">
        <w:rPr>
          <w:rFonts w:ascii="Times New Roman" w:hAnsi="Times New Roman" w:cs="Times New Roman"/>
        </w:rPr>
        <w:t xml:space="preserve">The pages that follow </w:t>
      </w:r>
      <w:proofErr w:type="gramStart"/>
      <w:r w:rsidR="00C80CAC" w:rsidRPr="00D90432">
        <w:rPr>
          <w:rFonts w:ascii="Times New Roman" w:hAnsi="Times New Roman" w:cs="Times New Roman"/>
        </w:rPr>
        <w:t>are</w:t>
      </w:r>
      <w:proofErr w:type="gramEnd"/>
      <w:r w:rsidR="00C80CAC" w:rsidRPr="00D90432">
        <w:rPr>
          <w:rFonts w:ascii="Times New Roman" w:hAnsi="Times New Roman" w:cs="Times New Roman"/>
        </w:rPr>
        <w:t xml:space="preserve"> </w:t>
      </w:r>
      <w:r w:rsidR="009F2161" w:rsidRPr="00D90432">
        <w:rPr>
          <w:rFonts w:ascii="Times New Roman" w:hAnsi="Times New Roman" w:cs="Times New Roman"/>
        </w:rPr>
        <w:t xml:space="preserve">DCA </w:t>
      </w:r>
      <w:r w:rsidR="00C80CAC" w:rsidRPr="00D90432">
        <w:rPr>
          <w:rFonts w:ascii="Times New Roman" w:hAnsi="Times New Roman" w:cs="Times New Roman"/>
        </w:rPr>
        <w:t>responses to questions pertaining to Competitive Round</w:t>
      </w:r>
      <w:r w:rsidR="00F01542">
        <w:rPr>
          <w:rFonts w:ascii="Times New Roman" w:hAnsi="Times New Roman" w:cs="Times New Roman"/>
        </w:rPr>
        <w:t>s</w:t>
      </w:r>
      <w:r w:rsidR="00A3635E">
        <w:rPr>
          <w:rFonts w:ascii="Times New Roman" w:hAnsi="Times New Roman" w:cs="Times New Roman"/>
        </w:rPr>
        <w:t xml:space="preserve"> </w:t>
      </w:r>
      <w:r w:rsidR="00F01542">
        <w:rPr>
          <w:rFonts w:ascii="Times New Roman" w:hAnsi="Times New Roman" w:cs="Times New Roman"/>
        </w:rPr>
        <w:t>for both 9% and 4% Housing Tax Credits.</w:t>
      </w:r>
      <w:r w:rsidR="00402C8E">
        <w:rPr>
          <w:rFonts w:ascii="Times New Roman" w:hAnsi="Times New Roman" w:cs="Times New Roman"/>
        </w:rPr>
        <w:t xml:space="preserve"> </w:t>
      </w:r>
    </w:p>
    <w:p w14:paraId="3FE01ED7" w14:textId="0885E8B7" w:rsidR="005A266F" w:rsidRPr="00D90432" w:rsidRDefault="005A266F" w:rsidP="005A266F">
      <w:pPr>
        <w:pStyle w:val="Heading1"/>
      </w:pPr>
      <w:r>
        <w:t>Part I: Overview</w:t>
      </w:r>
    </w:p>
    <w:p w14:paraId="2F289F9B" w14:textId="6B8D20E1" w:rsidR="006704F3" w:rsidRPr="00683AE6" w:rsidRDefault="006704F3" w:rsidP="006704F3">
      <w:pPr>
        <w:pStyle w:val="Heading2"/>
        <w:rPr>
          <w:rFonts w:cs="Times New Roman"/>
        </w:rPr>
      </w:pPr>
      <w:r w:rsidRPr="00683AE6">
        <w:rPr>
          <w:rFonts w:cs="Times New Roman"/>
        </w:rPr>
        <w:t>Submit</w:t>
      </w:r>
      <w:r w:rsidR="00CD1C00" w:rsidRPr="00683AE6">
        <w:rPr>
          <w:rFonts w:cs="Times New Roman"/>
        </w:rPr>
        <w:t>ting</w:t>
      </w:r>
      <w:r w:rsidRPr="00683AE6">
        <w:rPr>
          <w:rFonts w:cs="Times New Roman"/>
        </w:rPr>
        <w:t xml:space="preserve"> </w:t>
      </w:r>
      <w:r w:rsidR="001D6A5E" w:rsidRPr="00683AE6">
        <w:rPr>
          <w:rFonts w:cs="Times New Roman"/>
        </w:rPr>
        <w:t xml:space="preserve">Additional </w:t>
      </w:r>
      <w:r w:rsidRPr="00683AE6">
        <w:rPr>
          <w:rFonts w:cs="Times New Roman"/>
        </w:rPr>
        <w:t>Questions</w:t>
      </w:r>
    </w:p>
    <w:p w14:paraId="5B270D2B" w14:textId="7BF21275" w:rsidR="004C6455" w:rsidRPr="00D90432" w:rsidRDefault="00865369" w:rsidP="00C80CAC">
      <w:pPr>
        <w:rPr>
          <w:rFonts w:ascii="Times New Roman" w:hAnsi="Times New Roman" w:cs="Times New Roman"/>
        </w:rPr>
      </w:pPr>
      <w:r w:rsidRPr="00D90432">
        <w:rPr>
          <w:rFonts w:ascii="Times New Roman" w:hAnsi="Times New Roman" w:cs="Times New Roman"/>
        </w:rPr>
        <w:t>Q</w:t>
      </w:r>
      <w:r w:rsidR="00C80CAC" w:rsidRPr="00D90432">
        <w:rPr>
          <w:rFonts w:ascii="Times New Roman" w:hAnsi="Times New Roman" w:cs="Times New Roman"/>
        </w:rPr>
        <w:t>uestions must be submitted through the online 9%</w:t>
      </w:r>
      <w:r w:rsidR="00C67543">
        <w:rPr>
          <w:rFonts w:ascii="Times New Roman" w:hAnsi="Times New Roman" w:cs="Times New Roman"/>
        </w:rPr>
        <w:t xml:space="preserve"> and 4%</w:t>
      </w:r>
      <w:r w:rsidR="00C80CAC" w:rsidRPr="00D90432">
        <w:rPr>
          <w:rFonts w:ascii="Times New Roman" w:hAnsi="Times New Roman" w:cs="Times New Roman"/>
        </w:rPr>
        <w:t xml:space="preserve"> Competitive Round Q&amp;A Survey hosted on the 2021 QAP and Related Documents webpage (</w:t>
      </w:r>
      <w:hyperlink r:id="rId12" w:history="1">
        <w:r w:rsidR="00C80CAC" w:rsidRPr="00D90432">
          <w:rPr>
            <w:rStyle w:val="Hyperlink"/>
            <w:rFonts w:ascii="Times New Roman" w:hAnsi="Times New Roman" w:cs="Times New Roman"/>
          </w:rPr>
          <w:t>click here</w:t>
        </w:r>
      </w:hyperlink>
      <w:r w:rsidR="00C80CAC" w:rsidRPr="00D90432">
        <w:rPr>
          <w:rFonts w:ascii="Times New Roman" w:hAnsi="Times New Roman" w:cs="Times New Roman"/>
        </w:rPr>
        <w:t xml:space="preserve">). </w:t>
      </w:r>
    </w:p>
    <w:p w14:paraId="2E528202" w14:textId="23FCA9B0" w:rsidR="004C6455" w:rsidRPr="00D90432" w:rsidRDefault="003F1CA0" w:rsidP="00C80CAC">
      <w:pPr>
        <w:pStyle w:val="ListParagraph"/>
        <w:numPr>
          <w:ilvl w:val="0"/>
          <w:numId w:val="19"/>
        </w:numPr>
        <w:rPr>
          <w:rFonts w:ascii="Times New Roman" w:hAnsi="Times New Roman" w:cs="Times New Roman"/>
        </w:rPr>
      </w:pPr>
      <w:r>
        <w:rPr>
          <w:rFonts w:ascii="Times New Roman" w:hAnsi="Times New Roman" w:cs="Times New Roman"/>
          <w:b/>
          <w:bCs/>
        </w:rPr>
        <w:t xml:space="preserve">Having </w:t>
      </w:r>
      <w:r w:rsidR="004E7E05" w:rsidRPr="004E7E05">
        <w:rPr>
          <w:rFonts w:ascii="Times New Roman" w:hAnsi="Times New Roman" w:cs="Times New Roman"/>
          <w:b/>
          <w:bCs/>
        </w:rPr>
        <w:t xml:space="preserve">issues using the </w:t>
      </w:r>
      <w:r>
        <w:rPr>
          <w:rFonts w:ascii="Times New Roman" w:hAnsi="Times New Roman" w:cs="Times New Roman"/>
          <w:b/>
          <w:bCs/>
        </w:rPr>
        <w:t xml:space="preserve">online </w:t>
      </w:r>
      <w:r w:rsidR="004E7E05" w:rsidRPr="004E7E05">
        <w:rPr>
          <w:rFonts w:ascii="Times New Roman" w:hAnsi="Times New Roman" w:cs="Times New Roman"/>
          <w:b/>
          <w:bCs/>
        </w:rPr>
        <w:t>survey?</w:t>
      </w:r>
      <w:r w:rsidR="004E7E05">
        <w:rPr>
          <w:rFonts w:ascii="Times New Roman" w:hAnsi="Times New Roman" w:cs="Times New Roman"/>
        </w:rPr>
        <w:t xml:space="preserve"> P</w:t>
      </w:r>
      <w:r w:rsidR="00CD140E" w:rsidRPr="00D90432">
        <w:rPr>
          <w:rFonts w:ascii="Times New Roman" w:hAnsi="Times New Roman" w:cs="Times New Roman"/>
        </w:rPr>
        <w:t xml:space="preserve">lease email </w:t>
      </w:r>
      <w:hyperlink r:id="rId13" w:history="1">
        <w:r w:rsidR="00CD140E" w:rsidRPr="00D90432">
          <w:rPr>
            <w:rStyle w:val="Hyperlink"/>
            <w:rFonts w:ascii="Times New Roman" w:hAnsi="Times New Roman" w:cs="Times New Roman"/>
          </w:rPr>
          <w:t>hfdround@dca.ga.gov</w:t>
        </w:r>
      </w:hyperlink>
      <w:r w:rsidR="00CD140E" w:rsidRPr="00D90432">
        <w:rPr>
          <w:rFonts w:ascii="Times New Roman" w:hAnsi="Times New Roman" w:cs="Times New Roman"/>
        </w:rPr>
        <w:t xml:space="preserve">. </w:t>
      </w:r>
    </w:p>
    <w:p w14:paraId="28DE8BF9" w14:textId="718DC267" w:rsidR="00B75985" w:rsidRDefault="009E0E40" w:rsidP="00C80CAC">
      <w:pPr>
        <w:pStyle w:val="ListParagraph"/>
        <w:numPr>
          <w:ilvl w:val="0"/>
          <w:numId w:val="19"/>
        </w:numPr>
        <w:rPr>
          <w:rFonts w:ascii="Times New Roman" w:hAnsi="Times New Roman" w:cs="Times New Roman"/>
        </w:rPr>
      </w:pPr>
      <w:r w:rsidRPr="008868B7">
        <w:rPr>
          <w:rFonts w:ascii="Times New Roman" w:hAnsi="Times New Roman" w:cs="Times New Roman"/>
          <w:b/>
          <w:bCs/>
        </w:rPr>
        <w:t xml:space="preserve">Concerned </w:t>
      </w:r>
      <w:r w:rsidR="00935E6E">
        <w:rPr>
          <w:rFonts w:ascii="Times New Roman" w:hAnsi="Times New Roman" w:cs="Times New Roman"/>
          <w:b/>
          <w:bCs/>
        </w:rPr>
        <w:t xml:space="preserve">about the timing of DCA’s response? </w:t>
      </w:r>
    </w:p>
    <w:p w14:paraId="102A8AA8" w14:textId="77777777" w:rsidR="00943A93" w:rsidRDefault="00B75985" w:rsidP="00B75985">
      <w:pPr>
        <w:pStyle w:val="ListParagraph"/>
        <w:numPr>
          <w:ilvl w:val="1"/>
          <w:numId w:val="19"/>
        </w:numPr>
        <w:rPr>
          <w:rFonts w:ascii="Times New Roman" w:hAnsi="Times New Roman" w:cs="Times New Roman"/>
        </w:rPr>
      </w:pPr>
      <w:r>
        <w:rPr>
          <w:rFonts w:ascii="Times New Roman" w:hAnsi="Times New Roman" w:cs="Times New Roman"/>
        </w:rPr>
        <w:t>First, g</w:t>
      </w:r>
      <w:r w:rsidRPr="00ED26AE">
        <w:rPr>
          <w:rFonts w:ascii="Times New Roman" w:hAnsi="Times New Roman" w:cs="Times New Roman"/>
        </w:rPr>
        <w:t>iven the volume of questions submitted, please expect at least a 2-week delay between submitting a question and seeing an answer posted to the website.</w:t>
      </w:r>
    </w:p>
    <w:p w14:paraId="0E30F057" w14:textId="240B83AA" w:rsidR="00ED26AE" w:rsidRPr="00ED26AE" w:rsidRDefault="00CA4A26" w:rsidP="00B75985">
      <w:pPr>
        <w:pStyle w:val="ListParagraph"/>
        <w:numPr>
          <w:ilvl w:val="1"/>
          <w:numId w:val="19"/>
        </w:numPr>
        <w:rPr>
          <w:rFonts w:ascii="Times New Roman" w:hAnsi="Times New Roman" w:cs="Times New Roman"/>
        </w:rPr>
      </w:pPr>
      <w:r>
        <w:rPr>
          <w:rFonts w:ascii="Times New Roman" w:hAnsi="Times New Roman" w:cs="Times New Roman"/>
        </w:rPr>
        <w:t xml:space="preserve">If you have concerns related to response timing, please email the </w:t>
      </w:r>
      <w:r w:rsidR="00305E3C">
        <w:rPr>
          <w:rFonts w:ascii="Times New Roman" w:hAnsi="Times New Roman" w:cs="Times New Roman"/>
        </w:rPr>
        <w:t xml:space="preserve">inquiry to </w:t>
      </w:r>
      <w:hyperlink r:id="rId14" w:history="1">
        <w:r w:rsidR="00305E3C" w:rsidRPr="00DE200E">
          <w:rPr>
            <w:rStyle w:val="Hyperlink"/>
            <w:rFonts w:ascii="Times New Roman" w:hAnsi="Times New Roman" w:cs="Times New Roman"/>
          </w:rPr>
          <w:t>hfdround@dca.ga.gov</w:t>
        </w:r>
      </w:hyperlink>
      <w:r w:rsidR="00305E3C">
        <w:rPr>
          <w:rFonts w:ascii="Times New Roman" w:hAnsi="Times New Roman" w:cs="Times New Roman"/>
        </w:rPr>
        <w:t xml:space="preserve"> </w:t>
      </w:r>
    </w:p>
    <w:p w14:paraId="483D250E" w14:textId="53501754" w:rsidR="0026322C" w:rsidRDefault="00ED26AE" w:rsidP="00C80CAC">
      <w:pPr>
        <w:pStyle w:val="ListParagraph"/>
        <w:numPr>
          <w:ilvl w:val="0"/>
          <w:numId w:val="19"/>
        </w:numPr>
        <w:rPr>
          <w:rFonts w:ascii="Times New Roman" w:hAnsi="Times New Roman" w:cs="Times New Roman"/>
        </w:rPr>
      </w:pPr>
      <w:r w:rsidRPr="00ED26AE">
        <w:rPr>
          <w:rFonts w:ascii="Times New Roman" w:hAnsi="Times New Roman" w:cs="Times New Roman"/>
          <w:b/>
          <w:bCs/>
        </w:rPr>
        <w:t>Have a project-specific question?</w:t>
      </w:r>
      <w:r>
        <w:rPr>
          <w:rFonts w:ascii="Times New Roman" w:hAnsi="Times New Roman" w:cs="Times New Roman"/>
        </w:rPr>
        <w:t xml:space="preserve"> </w:t>
      </w:r>
      <w:r w:rsidR="00037557" w:rsidRPr="00D90432">
        <w:rPr>
          <w:rFonts w:ascii="Times New Roman" w:hAnsi="Times New Roman" w:cs="Times New Roman"/>
        </w:rPr>
        <w:t xml:space="preserve">There is no separate option for “project-specific” questions. </w:t>
      </w:r>
      <w:r w:rsidR="008F7D71" w:rsidRPr="00D90432">
        <w:rPr>
          <w:rFonts w:ascii="Times New Roman" w:hAnsi="Times New Roman" w:cs="Times New Roman"/>
        </w:rPr>
        <w:t>Currently</w:t>
      </w:r>
      <w:r w:rsidR="002E6451" w:rsidRPr="00D90432">
        <w:rPr>
          <w:rFonts w:ascii="Times New Roman" w:hAnsi="Times New Roman" w:cs="Times New Roman"/>
        </w:rPr>
        <w:t>,</w:t>
      </w:r>
      <w:r w:rsidR="00A42788" w:rsidRPr="00D90432">
        <w:rPr>
          <w:rFonts w:ascii="Times New Roman" w:hAnsi="Times New Roman" w:cs="Times New Roman"/>
        </w:rPr>
        <w:t xml:space="preserve"> </w:t>
      </w:r>
      <w:r w:rsidR="003F73AF" w:rsidRPr="00D90432">
        <w:rPr>
          <w:rFonts w:ascii="Times New Roman" w:hAnsi="Times New Roman" w:cs="Times New Roman"/>
        </w:rPr>
        <w:t xml:space="preserve">all questions </w:t>
      </w:r>
      <w:r w:rsidR="00281571" w:rsidRPr="00D90432">
        <w:rPr>
          <w:rFonts w:ascii="Times New Roman" w:hAnsi="Times New Roman" w:cs="Times New Roman"/>
        </w:rPr>
        <w:t>go through the same</w:t>
      </w:r>
      <w:r w:rsidR="00A879AB" w:rsidRPr="00D90432">
        <w:rPr>
          <w:rFonts w:ascii="Times New Roman" w:hAnsi="Times New Roman" w:cs="Times New Roman"/>
        </w:rPr>
        <w:t xml:space="preserve"> approval and publication process. </w:t>
      </w:r>
      <w:r w:rsidR="005B2371" w:rsidRPr="00D90432">
        <w:rPr>
          <w:rFonts w:ascii="Times New Roman" w:hAnsi="Times New Roman" w:cs="Times New Roman"/>
        </w:rPr>
        <w:t xml:space="preserve"> </w:t>
      </w:r>
      <w:r w:rsidR="002E6451" w:rsidRPr="00D90432">
        <w:rPr>
          <w:rFonts w:ascii="Times New Roman" w:hAnsi="Times New Roman" w:cs="Times New Roman"/>
        </w:rPr>
        <w:t xml:space="preserve"> </w:t>
      </w:r>
    </w:p>
    <w:p w14:paraId="429BCD4E" w14:textId="5994FD4E" w:rsidR="00320169" w:rsidRPr="00D90432" w:rsidRDefault="00320169" w:rsidP="00C80CAC">
      <w:pPr>
        <w:pStyle w:val="ListParagraph"/>
        <w:numPr>
          <w:ilvl w:val="0"/>
          <w:numId w:val="19"/>
        </w:numPr>
        <w:rPr>
          <w:rFonts w:ascii="Times New Roman" w:hAnsi="Times New Roman" w:cs="Times New Roman"/>
        </w:rPr>
      </w:pPr>
      <w:r>
        <w:rPr>
          <w:rFonts w:ascii="Times New Roman" w:hAnsi="Times New Roman" w:cs="Times New Roman"/>
          <w:b/>
          <w:bCs/>
        </w:rPr>
        <w:t xml:space="preserve">Want to </w:t>
      </w:r>
      <w:r w:rsidR="00D80A78">
        <w:rPr>
          <w:rFonts w:ascii="Times New Roman" w:hAnsi="Times New Roman" w:cs="Times New Roman"/>
          <w:b/>
          <w:bCs/>
        </w:rPr>
        <w:t xml:space="preserve">add context to </w:t>
      </w:r>
      <w:r>
        <w:rPr>
          <w:rFonts w:ascii="Times New Roman" w:hAnsi="Times New Roman" w:cs="Times New Roman"/>
          <w:b/>
          <w:bCs/>
        </w:rPr>
        <w:t xml:space="preserve">a </w:t>
      </w:r>
      <w:proofErr w:type="gramStart"/>
      <w:r>
        <w:rPr>
          <w:rFonts w:ascii="Times New Roman" w:hAnsi="Times New Roman" w:cs="Times New Roman"/>
          <w:b/>
          <w:bCs/>
        </w:rPr>
        <w:t>previously</w:t>
      </w:r>
      <w:r w:rsidR="00243C0C">
        <w:rPr>
          <w:rFonts w:ascii="Times New Roman" w:hAnsi="Times New Roman" w:cs="Times New Roman"/>
          <w:b/>
          <w:bCs/>
        </w:rPr>
        <w:t>-</w:t>
      </w:r>
      <w:r>
        <w:rPr>
          <w:rFonts w:ascii="Times New Roman" w:hAnsi="Times New Roman" w:cs="Times New Roman"/>
          <w:b/>
          <w:bCs/>
        </w:rPr>
        <w:t>submitted</w:t>
      </w:r>
      <w:proofErr w:type="gramEnd"/>
      <w:r>
        <w:rPr>
          <w:rFonts w:ascii="Times New Roman" w:hAnsi="Times New Roman" w:cs="Times New Roman"/>
          <w:b/>
          <w:bCs/>
        </w:rPr>
        <w:t xml:space="preserve"> question? </w:t>
      </w:r>
      <w:r w:rsidR="00EA4A6E">
        <w:rPr>
          <w:rFonts w:ascii="Times New Roman" w:hAnsi="Times New Roman" w:cs="Times New Roman"/>
        </w:rPr>
        <w:t xml:space="preserve">DCA updates </w:t>
      </w:r>
      <w:r w:rsidR="00526338">
        <w:rPr>
          <w:rFonts w:ascii="Times New Roman" w:hAnsi="Times New Roman" w:cs="Times New Roman"/>
        </w:rPr>
        <w:t>the Q&amp;A postings based on what has been submitted through the online survey. To ensure your comment is considered, please</w:t>
      </w:r>
      <w:r w:rsidR="00EA4A6E">
        <w:rPr>
          <w:rFonts w:ascii="Times New Roman" w:hAnsi="Times New Roman" w:cs="Times New Roman"/>
        </w:rPr>
        <w:t xml:space="preserve"> </w:t>
      </w:r>
      <w:r w:rsidR="00756E57">
        <w:rPr>
          <w:rFonts w:ascii="Times New Roman" w:hAnsi="Times New Roman" w:cs="Times New Roman"/>
        </w:rPr>
        <w:t xml:space="preserve">do not email individual DCA staff. Instead, please submit your additional context through the online survey </w:t>
      </w:r>
      <w:r w:rsidR="00CC47B6">
        <w:rPr>
          <w:rFonts w:ascii="Times New Roman" w:hAnsi="Times New Roman" w:cs="Times New Roman"/>
        </w:rPr>
        <w:t xml:space="preserve">and reference the </w:t>
      </w:r>
      <w:proofErr w:type="gramStart"/>
      <w:r w:rsidR="00CC47B6">
        <w:rPr>
          <w:rFonts w:ascii="Times New Roman" w:hAnsi="Times New Roman" w:cs="Times New Roman"/>
        </w:rPr>
        <w:t>previously-submitted</w:t>
      </w:r>
      <w:proofErr w:type="gramEnd"/>
      <w:r w:rsidR="00CC47B6">
        <w:rPr>
          <w:rFonts w:ascii="Times New Roman" w:hAnsi="Times New Roman" w:cs="Times New Roman"/>
        </w:rPr>
        <w:t xml:space="preserve"> question.</w:t>
      </w:r>
      <w:r w:rsidR="00447698">
        <w:rPr>
          <w:rFonts w:ascii="Times New Roman" w:hAnsi="Times New Roman" w:cs="Times New Roman"/>
        </w:rPr>
        <w:t xml:space="preserve"> </w:t>
      </w:r>
      <w:r>
        <w:rPr>
          <w:rFonts w:ascii="Times New Roman" w:hAnsi="Times New Roman" w:cs="Times New Roman"/>
        </w:rPr>
        <w:t xml:space="preserve"> </w:t>
      </w:r>
    </w:p>
    <w:p w14:paraId="568508D4" w14:textId="16C441B5" w:rsidR="004C6455" w:rsidRPr="00ED26AE" w:rsidRDefault="004C6455" w:rsidP="00ED26AE">
      <w:pPr>
        <w:rPr>
          <w:rFonts w:ascii="Times New Roman" w:hAnsi="Times New Roman" w:cs="Times New Roman"/>
        </w:rPr>
      </w:pPr>
    </w:p>
    <w:p w14:paraId="16987001" w14:textId="35B544C5" w:rsidR="003658C9" w:rsidRPr="00683AE6" w:rsidRDefault="0029286B" w:rsidP="0029286B">
      <w:pPr>
        <w:pStyle w:val="Heading2"/>
        <w:rPr>
          <w:rFonts w:cs="Times New Roman"/>
        </w:rPr>
      </w:pPr>
      <w:r w:rsidRPr="00683AE6">
        <w:rPr>
          <w:rFonts w:cs="Times New Roman"/>
        </w:rPr>
        <w:t>Deadline to Submit Questions</w:t>
      </w:r>
    </w:p>
    <w:p w14:paraId="372C529F" w14:textId="0338F013" w:rsidR="00F93A97" w:rsidRPr="00D90432" w:rsidRDefault="00591E07" w:rsidP="00C80CAC">
      <w:pPr>
        <w:rPr>
          <w:rFonts w:ascii="Times New Roman" w:hAnsi="Times New Roman" w:cs="Times New Roman"/>
        </w:rPr>
      </w:pPr>
      <w:r w:rsidRPr="00D90432">
        <w:rPr>
          <w:rFonts w:ascii="Times New Roman" w:hAnsi="Times New Roman" w:cs="Times New Roman"/>
        </w:rPr>
        <w:t xml:space="preserve">The deadline to submit </w:t>
      </w:r>
      <w:r w:rsidRPr="00A33CB0">
        <w:rPr>
          <w:rFonts w:ascii="Times New Roman" w:hAnsi="Times New Roman" w:cs="Times New Roman"/>
        </w:rPr>
        <w:t>questions is Monday, April 26, 2021.</w:t>
      </w:r>
      <w:r w:rsidR="0094425C" w:rsidRPr="00A33CB0">
        <w:rPr>
          <w:rFonts w:ascii="Times New Roman" w:hAnsi="Times New Roman" w:cs="Times New Roman"/>
        </w:rPr>
        <w:t xml:space="preserve"> </w:t>
      </w:r>
      <w:r w:rsidR="004D7806" w:rsidRPr="00A33CB0">
        <w:rPr>
          <w:rFonts w:ascii="Times New Roman" w:hAnsi="Times New Roman" w:cs="Times New Roman"/>
        </w:rPr>
        <w:t>This</w:t>
      </w:r>
      <w:r w:rsidR="004D7806" w:rsidRPr="00D90432">
        <w:rPr>
          <w:rFonts w:ascii="Times New Roman" w:hAnsi="Times New Roman" w:cs="Times New Roman"/>
        </w:rPr>
        <w:t xml:space="preserve"> deadline is to ensure that</w:t>
      </w:r>
      <w:r w:rsidR="000D7DA3" w:rsidRPr="00D90432">
        <w:rPr>
          <w:rFonts w:ascii="Times New Roman" w:hAnsi="Times New Roman" w:cs="Times New Roman"/>
        </w:rPr>
        <w:t xml:space="preserve"> all applicants have sufficient time to</w:t>
      </w:r>
      <w:r w:rsidR="00081752" w:rsidRPr="00D90432">
        <w:rPr>
          <w:rFonts w:ascii="Times New Roman" w:hAnsi="Times New Roman" w:cs="Times New Roman"/>
        </w:rPr>
        <w:t xml:space="preserve"> </w:t>
      </w:r>
      <w:r w:rsidR="003E2E40" w:rsidRPr="00D90432">
        <w:rPr>
          <w:rFonts w:ascii="Times New Roman" w:hAnsi="Times New Roman" w:cs="Times New Roman"/>
        </w:rPr>
        <w:t xml:space="preserve">react </w:t>
      </w:r>
      <w:r w:rsidR="00081752" w:rsidRPr="00D90432">
        <w:rPr>
          <w:rFonts w:ascii="Times New Roman" w:hAnsi="Times New Roman" w:cs="Times New Roman"/>
        </w:rPr>
        <w:t xml:space="preserve">to </w:t>
      </w:r>
      <w:r w:rsidR="00A029B5" w:rsidRPr="00D90432">
        <w:rPr>
          <w:rFonts w:ascii="Times New Roman" w:hAnsi="Times New Roman" w:cs="Times New Roman"/>
        </w:rPr>
        <w:t xml:space="preserve">posted DCA responses </w:t>
      </w:r>
      <w:r w:rsidR="00322065" w:rsidRPr="00D90432">
        <w:rPr>
          <w:rFonts w:ascii="Times New Roman" w:hAnsi="Times New Roman" w:cs="Times New Roman"/>
        </w:rPr>
        <w:t xml:space="preserve">before the </w:t>
      </w:r>
      <w:r w:rsidR="00F4227F" w:rsidRPr="00D90432">
        <w:rPr>
          <w:rFonts w:ascii="Times New Roman" w:hAnsi="Times New Roman" w:cs="Times New Roman"/>
        </w:rPr>
        <w:t>May 21</w:t>
      </w:r>
      <w:r w:rsidR="00F4227F" w:rsidRPr="00D90432">
        <w:rPr>
          <w:rFonts w:ascii="Times New Roman" w:hAnsi="Times New Roman" w:cs="Times New Roman"/>
          <w:vertAlign w:val="superscript"/>
        </w:rPr>
        <w:t>st</w:t>
      </w:r>
      <w:r w:rsidR="00F4227F" w:rsidRPr="00D90432">
        <w:rPr>
          <w:rFonts w:ascii="Times New Roman" w:hAnsi="Times New Roman" w:cs="Times New Roman"/>
        </w:rPr>
        <w:t xml:space="preserve"> </w:t>
      </w:r>
      <w:r w:rsidR="00322065" w:rsidRPr="00D90432">
        <w:rPr>
          <w:rFonts w:ascii="Times New Roman" w:hAnsi="Times New Roman" w:cs="Times New Roman"/>
        </w:rPr>
        <w:t>application submission deadline</w:t>
      </w:r>
      <w:r w:rsidR="0096221A" w:rsidRPr="00D90432">
        <w:rPr>
          <w:rFonts w:ascii="Times New Roman" w:hAnsi="Times New Roman" w:cs="Times New Roman"/>
        </w:rPr>
        <w:t xml:space="preserve">. </w:t>
      </w:r>
    </w:p>
    <w:p w14:paraId="70C79854" w14:textId="2EAB78BD" w:rsidR="00321263" w:rsidRPr="00D90432" w:rsidRDefault="00321263" w:rsidP="00C80CAC">
      <w:pPr>
        <w:rPr>
          <w:rFonts w:ascii="Times New Roman" w:hAnsi="Times New Roman" w:cs="Times New Roman"/>
        </w:rPr>
      </w:pPr>
      <w:r w:rsidRPr="00D90432">
        <w:rPr>
          <w:rFonts w:ascii="Times New Roman" w:hAnsi="Times New Roman" w:cs="Times New Roman"/>
        </w:rPr>
        <w:t xml:space="preserve">After this deadline, DCA will only respond to questions pertaining to the mechanics of application submission (e.g., </w:t>
      </w:r>
      <w:r w:rsidR="00A77D26" w:rsidRPr="00D90432">
        <w:rPr>
          <w:rFonts w:ascii="Times New Roman" w:hAnsi="Times New Roman" w:cs="Times New Roman"/>
        </w:rPr>
        <w:t xml:space="preserve">issues </w:t>
      </w:r>
      <w:r w:rsidR="002D6F1A" w:rsidRPr="00D90432">
        <w:rPr>
          <w:rFonts w:ascii="Times New Roman" w:hAnsi="Times New Roman" w:cs="Times New Roman"/>
        </w:rPr>
        <w:t xml:space="preserve">accessing the online application portal). </w:t>
      </w:r>
    </w:p>
    <w:p w14:paraId="0343A782" w14:textId="05D2FF4D" w:rsidR="003E4094" w:rsidRPr="00683AE6" w:rsidRDefault="004007BE" w:rsidP="004007BE">
      <w:pPr>
        <w:pStyle w:val="Heading2"/>
        <w:rPr>
          <w:rFonts w:cs="Times New Roman"/>
        </w:rPr>
      </w:pPr>
      <w:r w:rsidRPr="00683AE6">
        <w:rPr>
          <w:rFonts w:cs="Times New Roman"/>
        </w:rPr>
        <w:t xml:space="preserve">Q&amp;A Document Update Process  </w:t>
      </w:r>
    </w:p>
    <w:p w14:paraId="01F7CC9B" w14:textId="77777777" w:rsidR="00F6468A" w:rsidRPr="00D90432" w:rsidRDefault="00C80CAC" w:rsidP="00C80CAC">
      <w:pPr>
        <w:rPr>
          <w:rFonts w:ascii="Times New Roman" w:hAnsi="Times New Roman" w:cs="Times New Roman"/>
        </w:rPr>
      </w:pPr>
      <w:r w:rsidRPr="00D90432">
        <w:rPr>
          <w:rFonts w:ascii="Times New Roman" w:hAnsi="Times New Roman" w:cs="Times New Roman"/>
        </w:rPr>
        <w:t xml:space="preserve">DCA will update the Q&amp;A document </w:t>
      </w:r>
      <w:r w:rsidR="00DD5513" w:rsidRPr="00D90432">
        <w:rPr>
          <w:rFonts w:ascii="Times New Roman" w:hAnsi="Times New Roman" w:cs="Times New Roman"/>
        </w:rPr>
        <w:t xml:space="preserve">in small, incremental </w:t>
      </w:r>
      <w:r w:rsidR="006C26C3" w:rsidRPr="00D90432">
        <w:rPr>
          <w:rFonts w:ascii="Times New Roman" w:hAnsi="Times New Roman" w:cs="Times New Roman"/>
        </w:rPr>
        <w:t xml:space="preserve">response </w:t>
      </w:r>
      <w:r w:rsidR="008C4E1D" w:rsidRPr="00D90432">
        <w:rPr>
          <w:rFonts w:ascii="Times New Roman" w:hAnsi="Times New Roman" w:cs="Times New Roman"/>
        </w:rPr>
        <w:t>sets</w:t>
      </w:r>
      <w:r w:rsidR="008D68BE" w:rsidRPr="00D90432">
        <w:rPr>
          <w:rFonts w:ascii="Times New Roman" w:hAnsi="Times New Roman" w:cs="Times New Roman"/>
        </w:rPr>
        <w:t xml:space="preserve">. </w:t>
      </w:r>
      <w:r w:rsidRPr="00D90432">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4023BE0A" w:rsidR="00C80CAC" w:rsidRDefault="00C80CAC" w:rsidP="00C80CAC">
      <w:pPr>
        <w:rPr>
          <w:rFonts w:ascii="Times New Roman" w:hAnsi="Times New Roman" w:cs="Times New Roman"/>
        </w:rPr>
      </w:pPr>
      <w:r w:rsidRPr="00D90432">
        <w:rPr>
          <w:rFonts w:ascii="Times New Roman" w:hAnsi="Times New Roman" w:cs="Times New Roman"/>
        </w:rPr>
        <w:t xml:space="preserve">Please monitor the “Updated” date by the Q&amp;A document on the DCA website to track when DCA has released additional responses. </w:t>
      </w:r>
      <w:r w:rsidR="00C02D9E" w:rsidRPr="00D90432">
        <w:rPr>
          <w:rFonts w:ascii="Times New Roman" w:hAnsi="Times New Roman" w:cs="Times New Roman"/>
        </w:rPr>
        <w:t xml:space="preserve">By default, the table below will be sorted such that the most recent responses are at the top. </w:t>
      </w:r>
    </w:p>
    <w:p w14:paraId="3B8D43A9" w14:textId="4CF53CC9" w:rsidR="00C80CAC" w:rsidRPr="00683AE6" w:rsidRDefault="00C80CAC" w:rsidP="00035F89">
      <w:pPr>
        <w:pStyle w:val="Heading2"/>
        <w:rPr>
          <w:rFonts w:cs="Times New Roman"/>
        </w:rPr>
      </w:pPr>
      <w:r w:rsidRPr="00683AE6">
        <w:rPr>
          <w:rFonts w:cs="Times New Roman"/>
        </w:rPr>
        <w:t>Navigating</w:t>
      </w:r>
      <w:r w:rsidR="0095013A" w:rsidRPr="00683AE6">
        <w:rPr>
          <w:rFonts w:cs="Times New Roman"/>
        </w:rPr>
        <w:t xml:space="preserve"> the Q&amp;A Table</w:t>
      </w:r>
      <w:r w:rsidRPr="00683AE6">
        <w:rPr>
          <w:rFonts w:cs="Times New Roman"/>
        </w:rPr>
        <w:t xml:space="preserve"> </w:t>
      </w:r>
    </w:p>
    <w:p w14:paraId="0B956C17" w14:textId="3FCE63C0" w:rsidR="00804F23" w:rsidRDefault="00C80CAC" w:rsidP="00785F6D">
      <w:pPr>
        <w:rPr>
          <w:rFonts w:ascii="Times New Roman" w:hAnsi="Times New Roman" w:cs="Times New Roman"/>
        </w:rPr>
      </w:pPr>
      <w:r w:rsidRPr="00D90432">
        <w:rPr>
          <w:rFonts w:ascii="Times New Roman" w:hAnsi="Times New Roman" w:cs="Times New Roman"/>
        </w:rPr>
        <w:t xml:space="preserve">The below table, as posted to the DCA website, is sorted in descending order by date posted. </w:t>
      </w:r>
      <w:r w:rsidR="002235D3" w:rsidRPr="00D90432">
        <w:rPr>
          <w:rFonts w:ascii="Times New Roman" w:hAnsi="Times New Roman" w:cs="Times New Roman"/>
        </w:rPr>
        <w:t xml:space="preserve">If preferred, the </w:t>
      </w:r>
      <w:r w:rsidR="00382A45" w:rsidRPr="00D90432">
        <w:rPr>
          <w:rFonts w:ascii="Times New Roman" w:hAnsi="Times New Roman" w:cs="Times New Roman"/>
        </w:rPr>
        <w:t xml:space="preserve">document </w:t>
      </w:r>
      <w:r w:rsidRPr="00D90432">
        <w:rPr>
          <w:rFonts w:ascii="Times New Roman" w:hAnsi="Times New Roman" w:cs="Times New Roman"/>
        </w:rPr>
        <w:t xml:space="preserve">can </w:t>
      </w:r>
      <w:r w:rsidR="00DD4B22" w:rsidRPr="00D90432">
        <w:rPr>
          <w:rFonts w:ascii="Times New Roman" w:hAnsi="Times New Roman" w:cs="Times New Roman"/>
        </w:rPr>
        <w:t xml:space="preserve">also </w:t>
      </w:r>
      <w:r w:rsidRPr="00D90432">
        <w:rPr>
          <w:rFonts w:ascii="Times New Roman" w:hAnsi="Times New Roman" w:cs="Times New Roman"/>
        </w:rPr>
        <w:t>be sorted by category</w:t>
      </w:r>
      <w:r w:rsidR="00A32665" w:rsidRPr="00D90432">
        <w:rPr>
          <w:rFonts w:ascii="Times New Roman" w:hAnsi="Times New Roman" w:cs="Times New Roman"/>
        </w:rPr>
        <w:t xml:space="preserve"> (in Microsoft Word, </w:t>
      </w:r>
      <w:r w:rsidR="00E85598">
        <w:rPr>
          <w:rFonts w:ascii="Times New Roman" w:hAnsi="Times New Roman" w:cs="Times New Roman"/>
        </w:rPr>
        <w:t xml:space="preserve">select the full table, </w:t>
      </w:r>
      <w:r w:rsidR="00A32665" w:rsidRPr="00D90432">
        <w:rPr>
          <w:rFonts w:ascii="Times New Roman" w:hAnsi="Times New Roman" w:cs="Times New Roman"/>
        </w:rPr>
        <w:t xml:space="preserve">select “Home” </w:t>
      </w:r>
      <w:r w:rsidR="00A32665" w:rsidRPr="00D90432">
        <w:rPr>
          <w:rFonts w:ascii="Wingdings" w:eastAsia="Wingdings" w:hAnsi="Wingdings" w:cs="Wingdings"/>
        </w:rPr>
        <w:t>à</w:t>
      </w:r>
      <w:r w:rsidR="00A32665" w:rsidRPr="00D90432">
        <w:rPr>
          <w:rFonts w:ascii="Times New Roman" w:hAnsi="Times New Roman" w:cs="Times New Roman"/>
        </w:rPr>
        <w:t xml:space="preserve"> </w:t>
      </w:r>
      <w:r w:rsidR="001C1B3F" w:rsidRPr="00D90432">
        <w:rPr>
          <w:rFonts w:ascii="Times New Roman" w:hAnsi="Times New Roman" w:cs="Times New Roman"/>
        </w:rPr>
        <w:t>“Sort”</w:t>
      </w:r>
      <w:r w:rsidR="00B82A7F" w:rsidRPr="00D90432">
        <w:rPr>
          <w:rFonts w:ascii="Times New Roman" w:hAnsi="Times New Roman" w:cs="Times New Roman"/>
        </w:rPr>
        <w:t xml:space="preserve">, </w:t>
      </w:r>
      <w:r w:rsidR="001C1B3F" w:rsidRPr="00D90432">
        <w:rPr>
          <w:rFonts w:ascii="Times New Roman" w:hAnsi="Times New Roman" w:cs="Times New Roman"/>
        </w:rPr>
        <w:t xml:space="preserve">under </w:t>
      </w:r>
      <w:r w:rsidR="008B470F" w:rsidRPr="00D90432">
        <w:rPr>
          <w:rFonts w:ascii="Times New Roman" w:hAnsi="Times New Roman" w:cs="Times New Roman"/>
        </w:rPr>
        <w:t xml:space="preserve">the </w:t>
      </w:r>
      <w:r w:rsidR="001C1B3F" w:rsidRPr="00D90432">
        <w:rPr>
          <w:rFonts w:ascii="Times New Roman" w:hAnsi="Times New Roman" w:cs="Times New Roman"/>
        </w:rPr>
        <w:t>Paragraph section</w:t>
      </w:r>
      <w:r w:rsidR="00B82A7F" w:rsidRPr="00D90432">
        <w:rPr>
          <w:rFonts w:ascii="Times New Roman" w:hAnsi="Times New Roman" w:cs="Times New Roman"/>
        </w:rPr>
        <w:t>)</w:t>
      </w:r>
      <w:r w:rsidRPr="00D90432">
        <w:rPr>
          <w:rFonts w:ascii="Times New Roman" w:hAnsi="Times New Roman" w:cs="Times New Roman"/>
        </w:rPr>
        <w:t xml:space="preserve">. </w:t>
      </w:r>
    </w:p>
    <w:p w14:paraId="578628CE" w14:textId="00FB6021" w:rsidR="00A4436B" w:rsidRDefault="00A4436B" w:rsidP="00785F6D">
      <w:pPr>
        <w:rPr>
          <w:rFonts w:ascii="Times New Roman" w:hAnsi="Times New Roman" w:cs="Times New Roman"/>
        </w:rPr>
      </w:pPr>
      <w:r>
        <w:rPr>
          <w:rFonts w:ascii="Times New Roman" w:hAnsi="Times New Roman" w:cs="Times New Roman"/>
        </w:rPr>
        <w:t>In the window that pops up, select the following:</w:t>
      </w:r>
    </w:p>
    <w:p w14:paraId="6F90EB88" w14:textId="61707B93" w:rsid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Pr="0015268E">
        <w:rPr>
          <w:rFonts w:ascii="Times New Roman" w:hAnsi="Times New Roman" w:cs="Times New Roman"/>
          <w:b/>
          <w:bCs/>
        </w:rPr>
        <w:t>Date</w:t>
      </w:r>
      <w:r>
        <w:rPr>
          <w:rFonts w:ascii="Times New Roman" w:hAnsi="Times New Roman" w:cs="Times New Roman"/>
        </w:rPr>
        <w:t xml:space="preserve"> </w:t>
      </w:r>
      <w:r w:rsidR="00F13F1A" w:rsidRPr="00F13F1A">
        <w:rPr>
          <w:rFonts w:ascii="Times New Roman" w:hAnsi="Times New Roman" w:cs="Times New Roman"/>
          <w:b/>
          <w:bCs/>
        </w:rPr>
        <w:t>Posted</w:t>
      </w:r>
      <w:r w:rsidR="00F13F1A">
        <w:rPr>
          <w:rFonts w:ascii="Times New Roman" w:hAnsi="Times New Roman" w:cs="Times New Roman"/>
        </w:rPr>
        <w:t xml:space="preserve"> column </w:t>
      </w:r>
      <w:r>
        <w:rPr>
          <w:rFonts w:ascii="Times New Roman" w:hAnsi="Times New Roman" w:cs="Times New Roman"/>
        </w:rPr>
        <w:t xml:space="preserve">should be sorted by “Type: </w:t>
      </w:r>
      <w:proofErr w:type="gramStart"/>
      <w:r>
        <w:rPr>
          <w:rFonts w:ascii="Times New Roman" w:hAnsi="Times New Roman" w:cs="Times New Roman"/>
        </w:rPr>
        <w:t>Date</w:t>
      </w:r>
      <w:proofErr w:type="gramEnd"/>
      <w:r>
        <w:rPr>
          <w:rFonts w:ascii="Times New Roman" w:hAnsi="Times New Roman" w:cs="Times New Roman"/>
        </w:rPr>
        <w:t>”</w:t>
      </w:r>
    </w:p>
    <w:p w14:paraId="20EC5B97" w14:textId="43A84189" w:rsidR="0015268E" w:rsidRP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00F13F1A" w:rsidRPr="00E45BA3">
        <w:rPr>
          <w:rFonts w:ascii="Times New Roman" w:hAnsi="Times New Roman" w:cs="Times New Roman"/>
          <w:b/>
          <w:bCs/>
        </w:rPr>
        <w:t>Category</w:t>
      </w:r>
      <w:r w:rsidR="00F13F1A">
        <w:rPr>
          <w:rFonts w:ascii="Times New Roman" w:hAnsi="Times New Roman" w:cs="Times New Roman"/>
        </w:rPr>
        <w:t xml:space="preserve"> </w:t>
      </w:r>
      <w:r w:rsidR="00E45BA3">
        <w:rPr>
          <w:rFonts w:ascii="Times New Roman" w:hAnsi="Times New Roman" w:cs="Times New Roman"/>
        </w:rPr>
        <w:t xml:space="preserve">column should be sorted by “Type: </w:t>
      </w:r>
      <w:proofErr w:type="gramStart"/>
      <w:r w:rsidR="00E45BA3">
        <w:rPr>
          <w:rFonts w:ascii="Times New Roman" w:hAnsi="Times New Roman" w:cs="Times New Roman"/>
        </w:rPr>
        <w:t>Number</w:t>
      </w:r>
      <w:proofErr w:type="gramEnd"/>
      <w:r w:rsidR="00E45BA3">
        <w:rPr>
          <w:rFonts w:ascii="Times New Roman" w:hAnsi="Times New Roman" w:cs="Times New Roman"/>
        </w:rPr>
        <w:t>”</w:t>
      </w:r>
    </w:p>
    <w:p w14:paraId="29F1DB44" w14:textId="078E0062" w:rsidR="00C80CAC" w:rsidRPr="00D90432" w:rsidRDefault="00BC6305" w:rsidP="00785F6D">
      <w:pPr>
        <w:rPr>
          <w:rFonts w:ascii="Times New Roman" w:hAnsi="Times New Roman" w:cs="Times New Roman"/>
        </w:rPr>
      </w:pPr>
      <w:r>
        <w:rPr>
          <w:rFonts w:ascii="Times New Roman" w:hAnsi="Times New Roman" w:cs="Times New Roman"/>
        </w:rPr>
        <w:t xml:space="preserve">Question categories are assigned a number </w:t>
      </w:r>
      <w:r w:rsidR="00C07BB7">
        <w:rPr>
          <w:rFonts w:ascii="Times New Roman" w:hAnsi="Times New Roman" w:cs="Times New Roman"/>
        </w:rPr>
        <w:t xml:space="preserve">for purposes of </w:t>
      </w:r>
      <w:r w:rsidR="005B23E3">
        <w:rPr>
          <w:rFonts w:ascii="Times New Roman" w:hAnsi="Times New Roman" w:cs="Times New Roman"/>
        </w:rPr>
        <w:t xml:space="preserve">table sorting. </w:t>
      </w:r>
      <w:r w:rsidR="005F0863" w:rsidRPr="00D90432">
        <w:rPr>
          <w:rFonts w:ascii="Times New Roman" w:hAnsi="Times New Roman" w:cs="Times New Roman"/>
        </w:rPr>
        <w:t xml:space="preserve">Below are the category </w:t>
      </w:r>
      <w:r w:rsidR="00C563EB" w:rsidRPr="00D90432">
        <w:rPr>
          <w:rFonts w:ascii="Times New Roman" w:hAnsi="Times New Roman" w:cs="Times New Roman"/>
        </w:rPr>
        <w:t xml:space="preserve">breakdowns in the Q&amp;A table: </w:t>
      </w:r>
    </w:p>
    <w:p w14:paraId="3E75901A" w14:textId="2FD3AF56"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1-Core Plan</w:t>
      </w:r>
    </w:p>
    <w:p w14:paraId="3F260B77" w14:textId="66FA2FEF"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2-Threshold</w:t>
      </w:r>
    </w:p>
    <w:p w14:paraId="31929BCA" w14:textId="270DDEC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3-Scoring</w:t>
      </w:r>
    </w:p>
    <w:p w14:paraId="606F59C4" w14:textId="56D405F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4-Compliance Appendix</w:t>
      </w:r>
    </w:p>
    <w:p w14:paraId="2AD395B0" w14:textId="4B420565"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5-Manuals</w:t>
      </w:r>
    </w:p>
    <w:p w14:paraId="3ED5D95F" w14:textId="1EBDB4CE" w:rsidR="00110808" w:rsidRPr="00D90432" w:rsidRDefault="00110808" w:rsidP="00785F6D">
      <w:pPr>
        <w:pStyle w:val="ListParagraph"/>
        <w:numPr>
          <w:ilvl w:val="0"/>
          <w:numId w:val="13"/>
        </w:numPr>
        <w:rPr>
          <w:rFonts w:ascii="Times New Roman" w:hAnsi="Times New Roman" w:cs="Times New Roman"/>
        </w:rPr>
      </w:pPr>
      <w:r w:rsidRPr="00D90432">
        <w:rPr>
          <w:rFonts w:ascii="Times New Roman" w:hAnsi="Times New Roman" w:cs="Times New Roman"/>
        </w:rPr>
        <w:t>6-</w:t>
      </w:r>
      <w:r w:rsidR="00C72428" w:rsidRPr="00D90432">
        <w:rPr>
          <w:rFonts w:ascii="Times New Roman" w:hAnsi="Times New Roman" w:cs="Times New Roman"/>
        </w:rPr>
        <w:t xml:space="preserve">Emphasys </w:t>
      </w:r>
      <w:r w:rsidR="00A056E8" w:rsidRPr="00D90432">
        <w:rPr>
          <w:rFonts w:ascii="Times New Roman" w:hAnsi="Times New Roman" w:cs="Times New Roman"/>
        </w:rPr>
        <w:t xml:space="preserve">Application Portal </w:t>
      </w:r>
    </w:p>
    <w:p w14:paraId="1222407B" w14:textId="0EED6CB8" w:rsidR="00C80CAC" w:rsidRPr="00D90432"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7</w:t>
      </w:r>
      <w:r w:rsidR="00C80CAC" w:rsidRPr="00D90432">
        <w:rPr>
          <w:rFonts w:ascii="Times New Roman" w:hAnsi="Times New Roman" w:cs="Times New Roman"/>
        </w:rPr>
        <w:t>-Application Materials</w:t>
      </w:r>
      <w:r w:rsidR="00182630" w:rsidRPr="00D90432">
        <w:rPr>
          <w:rFonts w:ascii="Times New Roman" w:hAnsi="Times New Roman" w:cs="Times New Roman"/>
        </w:rPr>
        <w:t xml:space="preserve"> (Forms, etc.)</w:t>
      </w:r>
    </w:p>
    <w:p w14:paraId="4D63FE65" w14:textId="0DD30E81" w:rsidR="00E023E6"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8</w:t>
      </w:r>
      <w:r w:rsidR="00C80CAC" w:rsidRPr="00D90432">
        <w:rPr>
          <w:rFonts w:ascii="Times New Roman" w:hAnsi="Times New Roman" w:cs="Times New Roman"/>
        </w:rPr>
        <w:t xml:space="preserve">-Other </w:t>
      </w:r>
    </w:p>
    <w:p w14:paraId="036C49B6" w14:textId="77777777" w:rsidR="00B6442F" w:rsidRDefault="005D7CF0" w:rsidP="00C965C9">
      <w:pPr>
        <w:rPr>
          <w:rFonts w:ascii="Times New Roman" w:hAnsi="Times New Roman" w:cs="Times New Roman"/>
        </w:rPr>
      </w:pPr>
      <w:r>
        <w:rPr>
          <w:rFonts w:ascii="Times New Roman" w:hAnsi="Times New Roman" w:cs="Times New Roman"/>
        </w:rPr>
        <w:t xml:space="preserve">Category numbers take the </w:t>
      </w:r>
      <w:r w:rsidR="00B6442F">
        <w:rPr>
          <w:rFonts w:ascii="Times New Roman" w:hAnsi="Times New Roman" w:cs="Times New Roman"/>
        </w:rPr>
        <w:t xml:space="preserve">following </w:t>
      </w:r>
      <w:r>
        <w:rPr>
          <w:rFonts w:ascii="Times New Roman" w:hAnsi="Times New Roman" w:cs="Times New Roman"/>
        </w:rPr>
        <w:t>form</w:t>
      </w:r>
      <w:r w:rsidR="00B6442F">
        <w:rPr>
          <w:rFonts w:ascii="Times New Roman" w:hAnsi="Times New Roman" w:cs="Times New Roman"/>
        </w:rPr>
        <w:t>:</w:t>
      </w:r>
      <w:r>
        <w:rPr>
          <w:rFonts w:ascii="Times New Roman" w:hAnsi="Times New Roman" w:cs="Times New Roman"/>
        </w:rPr>
        <w:t xml:space="preserve"> </w:t>
      </w:r>
    </w:p>
    <w:p w14:paraId="7A53DB4B" w14:textId="698B7CC6" w:rsidR="00B6442F" w:rsidRDefault="005D7CF0" w:rsidP="00F95A96">
      <w:pPr>
        <w:jc w:val="center"/>
        <w:rPr>
          <w:rFonts w:ascii="Times New Roman" w:hAnsi="Times New Roman" w:cs="Times New Roman"/>
        </w:rPr>
      </w:pPr>
      <w:r w:rsidRPr="00B6442F">
        <w:rPr>
          <w:rFonts w:ascii="Times New Roman" w:hAnsi="Times New Roman" w:cs="Times New Roman"/>
          <w:i/>
          <w:iCs/>
        </w:rPr>
        <w:lastRenderedPageBreak/>
        <w:t>[Category number</w:t>
      </w:r>
      <w:proofErr w:type="gramStart"/>
      <w:r w:rsidRPr="00B6442F">
        <w:rPr>
          <w:rFonts w:ascii="Times New Roman" w:hAnsi="Times New Roman" w:cs="Times New Roman"/>
          <w:i/>
          <w:iCs/>
        </w:rPr>
        <w:t xml:space="preserve">] </w:t>
      </w:r>
      <w:r w:rsidRPr="009E13F9">
        <w:rPr>
          <w:rFonts w:ascii="Times New Roman" w:hAnsi="Times New Roman" w:cs="Times New Roman"/>
          <w:b/>
          <w:bCs/>
          <w:i/>
          <w:iCs/>
        </w:rPr>
        <w:t>.</w:t>
      </w:r>
      <w:proofErr w:type="gramEnd"/>
      <w:r w:rsidRPr="00B6442F">
        <w:rPr>
          <w:rFonts w:ascii="Times New Roman" w:hAnsi="Times New Roman" w:cs="Times New Roman"/>
          <w:i/>
          <w:iCs/>
        </w:rPr>
        <w:t xml:space="preserve"> [subsection #]</w:t>
      </w:r>
    </w:p>
    <w:p w14:paraId="5E0DCD06" w14:textId="588958A9" w:rsidR="00C965C9" w:rsidRPr="00C965C9" w:rsidRDefault="001B2E62" w:rsidP="00C965C9">
      <w:pPr>
        <w:rPr>
          <w:rFonts w:ascii="Times New Roman" w:hAnsi="Times New Roman" w:cs="Times New Roman"/>
        </w:rPr>
      </w:pPr>
      <w:r>
        <w:rPr>
          <w:rFonts w:ascii="Times New Roman" w:hAnsi="Times New Roman" w:cs="Times New Roman"/>
        </w:rPr>
        <w:t xml:space="preserve">For example, </w:t>
      </w:r>
      <w:r w:rsidR="005A388A" w:rsidRPr="006E06E2">
        <w:rPr>
          <w:rFonts w:ascii="Times New Roman" w:hAnsi="Times New Roman" w:cs="Times New Roman"/>
          <w:i/>
          <w:iCs/>
        </w:rPr>
        <w:t xml:space="preserve">Core Plan, </w:t>
      </w:r>
      <w:r w:rsidR="006E06E2" w:rsidRPr="006E06E2">
        <w:rPr>
          <w:rFonts w:ascii="Times New Roman" w:hAnsi="Times New Roman" w:cs="Times New Roman"/>
          <w:i/>
          <w:iCs/>
        </w:rPr>
        <w:t>Section 8. 9% Round Set Asides</w:t>
      </w:r>
      <w:r w:rsidR="006E06E2">
        <w:rPr>
          <w:rFonts w:ascii="Times New Roman" w:hAnsi="Times New Roman" w:cs="Times New Roman"/>
        </w:rPr>
        <w:t xml:space="preserve"> is </w:t>
      </w:r>
      <w:r w:rsidR="0085392D">
        <w:rPr>
          <w:rFonts w:ascii="Times New Roman" w:hAnsi="Times New Roman" w:cs="Times New Roman"/>
        </w:rPr>
        <w:t xml:space="preserve">numbered as </w:t>
      </w:r>
      <w:r w:rsidR="005B4BDE">
        <w:rPr>
          <w:rFonts w:ascii="Times New Roman" w:hAnsi="Times New Roman" w:cs="Times New Roman"/>
        </w:rPr>
        <w:t>“</w:t>
      </w:r>
      <w:r w:rsidR="0085392D">
        <w:rPr>
          <w:rFonts w:ascii="Times New Roman" w:hAnsi="Times New Roman" w:cs="Times New Roman"/>
        </w:rPr>
        <w:t>1.</w:t>
      </w:r>
      <w:r w:rsidR="00C15AF0">
        <w:rPr>
          <w:rFonts w:ascii="Times New Roman" w:hAnsi="Times New Roman" w:cs="Times New Roman"/>
        </w:rPr>
        <w:t>08.</w:t>
      </w:r>
      <w:r w:rsidR="005B4BDE">
        <w:rPr>
          <w:rFonts w:ascii="Times New Roman" w:hAnsi="Times New Roman" w:cs="Times New Roman"/>
        </w:rPr>
        <w:t>”</w:t>
      </w:r>
      <w:r w:rsidR="006E06E2">
        <w:rPr>
          <w:rFonts w:ascii="Times New Roman" w:hAnsi="Times New Roman" w:cs="Times New Roman"/>
        </w:rPr>
        <w:t xml:space="preserve"> </w:t>
      </w:r>
    </w:p>
    <w:p w14:paraId="74E0315E" w14:textId="75CAFCEF" w:rsidR="00176327" w:rsidRDefault="00CF0051" w:rsidP="00CC2BB6">
      <w:pPr>
        <w:pStyle w:val="Heading2"/>
      </w:pPr>
      <w:r>
        <w:t xml:space="preserve">Log of </w:t>
      </w:r>
      <w:r w:rsidR="001E0ADE">
        <w:t>Changes in Updates</w:t>
      </w:r>
      <w:r w:rsidR="00845192">
        <w:t xml:space="preserve"> to this Q&amp;A Document</w:t>
      </w:r>
    </w:p>
    <w:p w14:paraId="3E3AEE31" w14:textId="263ABEE5" w:rsidR="00292828" w:rsidRDefault="00D77ADA" w:rsidP="00176327">
      <w:pPr>
        <w:rPr>
          <w:rFonts w:ascii="Times New Roman" w:hAnsi="Times New Roman" w:cs="Times New Roman"/>
        </w:rPr>
      </w:pPr>
      <w:r>
        <w:rPr>
          <w:rFonts w:ascii="Times New Roman" w:hAnsi="Times New Roman" w:cs="Times New Roman"/>
        </w:rPr>
        <w:t xml:space="preserve">This section </w:t>
      </w:r>
      <w:r w:rsidR="00D84E39">
        <w:rPr>
          <w:rFonts w:ascii="Times New Roman" w:hAnsi="Times New Roman" w:cs="Times New Roman"/>
        </w:rPr>
        <w:t xml:space="preserve">provides a high-level description of </w:t>
      </w:r>
      <w:r w:rsidR="005306AE">
        <w:rPr>
          <w:rFonts w:ascii="Times New Roman" w:hAnsi="Times New Roman" w:cs="Times New Roman"/>
        </w:rPr>
        <w:t>changes</w:t>
      </w:r>
      <w:r w:rsidR="004A29D5">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FC451E" w:rsidRDefault="00BA7622" w:rsidP="00820378">
            <w:pPr>
              <w:keepNext/>
              <w:jc w:val="center"/>
              <w:rPr>
                <w:rFonts w:ascii="Times New Roman" w:hAnsi="Times New Roman" w:cs="Times New Roman"/>
                <w:b/>
                <w:bCs/>
              </w:rPr>
            </w:pPr>
            <w:r w:rsidRPr="00FC451E">
              <w:rPr>
                <w:rFonts w:ascii="Times New Roman" w:hAnsi="Times New Roman" w:cs="Times New Roman"/>
                <w:b/>
                <w:bCs/>
              </w:rPr>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FC451E" w:rsidRDefault="00B64656" w:rsidP="00820378">
            <w:pPr>
              <w:keepNext/>
              <w:jc w:val="center"/>
              <w:rPr>
                <w:rFonts w:ascii="Times New Roman" w:hAnsi="Times New Roman" w:cs="Times New Roman"/>
                <w:b/>
                <w:bCs/>
              </w:rPr>
            </w:pPr>
            <w:r w:rsidRPr="00FC451E">
              <w:rPr>
                <w:rFonts w:ascii="Times New Roman" w:hAnsi="Times New Roman" w:cs="Times New Roman"/>
                <w:b/>
                <w:bCs/>
              </w:rPr>
              <w:t>Changes</w:t>
            </w:r>
          </w:p>
        </w:tc>
      </w:tr>
      <w:tr w:rsidR="00B64656" w14:paraId="1AF854EC" w14:textId="77777777" w:rsidTr="00815B6A">
        <w:trPr>
          <w:jc w:val="center"/>
        </w:trPr>
        <w:tc>
          <w:tcPr>
            <w:tcW w:w="1165" w:type="dxa"/>
            <w:tcMar>
              <w:top w:w="72" w:type="dxa"/>
              <w:left w:w="115" w:type="dxa"/>
              <w:bottom w:w="72" w:type="dxa"/>
              <w:right w:w="115" w:type="dxa"/>
            </w:tcMar>
            <w:vAlign w:val="center"/>
          </w:tcPr>
          <w:p w14:paraId="649C1526" w14:textId="2E31319B" w:rsidR="00B64656" w:rsidRDefault="00FC451E" w:rsidP="00820378">
            <w:pPr>
              <w:keepNext/>
              <w:rPr>
                <w:rFonts w:ascii="Times New Roman" w:hAnsi="Times New Roman" w:cs="Times New Roman"/>
              </w:rPr>
            </w:pPr>
            <w:r>
              <w:rPr>
                <w:rFonts w:ascii="Times New Roman" w:hAnsi="Times New Roman" w:cs="Times New Roman"/>
              </w:rPr>
              <w:t>2/18/21</w:t>
            </w:r>
          </w:p>
        </w:tc>
        <w:tc>
          <w:tcPr>
            <w:tcW w:w="8010" w:type="dxa"/>
            <w:tcMar>
              <w:top w:w="72" w:type="dxa"/>
              <w:left w:w="115" w:type="dxa"/>
              <w:bottom w:w="72" w:type="dxa"/>
              <w:right w:w="115" w:type="dxa"/>
            </w:tcMar>
            <w:vAlign w:val="center"/>
          </w:tcPr>
          <w:p w14:paraId="52E44A04" w14:textId="2136C93C" w:rsidR="00B64656" w:rsidRPr="00AC414F" w:rsidRDefault="00FC451E" w:rsidP="00820378">
            <w:pPr>
              <w:pStyle w:val="ListParagraph"/>
              <w:keepNext/>
              <w:numPr>
                <w:ilvl w:val="0"/>
                <w:numId w:val="26"/>
              </w:numPr>
              <w:rPr>
                <w:rFonts w:ascii="Times New Roman" w:hAnsi="Times New Roman" w:cs="Times New Roman"/>
              </w:rPr>
            </w:pPr>
            <w:r w:rsidRPr="00AC414F">
              <w:rPr>
                <w:rFonts w:ascii="Times New Roman" w:hAnsi="Times New Roman" w:cs="Times New Roman"/>
              </w:rPr>
              <w:t>Initial posting</w:t>
            </w:r>
          </w:p>
        </w:tc>
      </w:tr>
      <w:tr w:rsidR="00FC451E" w14:paraId="430D031F" w14:textId="77777777" w:rsidTr="00815B6A">
        <w:trPr>
          <w:jc w:val="center"/>
        </w:trPr>
        <w:tc>
          <w:tcPr>
            <w:tcW w:w="1165" w:type="dxa"/>
            <w:tcMar>
              <w:top w:w="72" w:type="dxa"/>
              <w:left w:w="115" w:type="dxa"/>
              <w:bottom w:w="72" w:type="dxa"/>
              <w:right w:w="115" w:type="dxa"/>
            </w:tcMar>
            <w:vAlign w:val="center"/>
          </w:tcPr>
          <w:p w14:paraId="7298B612" w14:textId="404A9158" w:rsidR="00FC451E" w:rsidRDefault="00FC451E" w:rsidP="00A36E54">
            <w:pPr>
              <w:rPr>
                <w:rFonts w:ascii="Times New Roman" w:hAnsi="Times New Roman" w:cs="Times New Roman"/>
              </w:rPr>
            </w:pPr>
            <w:r>
              <w:rPr>
                <w:rFonts w:ascii="Times New Roman" w:hAnsi="Times New Roman" w:cs="Times New Roman"/>
              </w:rPr>
              <w:t>2/26/21</w:t>
            </w:r>
          </w:p>
        </w:tc>
        <w:tc>
          <w:tcPr>
            <w:tcW w:w="8010" w:type="dxa"/>
            <w:tcMar>
              <w:top w:w="72" w:type="dxa"/>
              <w:left w:w="115" w:type="dxa"/>
              <w:bottom w:w="72" w:type="dxa"/>
              <w:right w:w="115" w:type="dxa"/>
            </w:tcMar>
            <w:vAlign w:val="center"/>
          </w:tcPr>
          <w:p w14:paraId="4A90430C" w14:textId="5B4F651B" w:rsidR="00FC451E" w:rsidRDefault="00A42AEB" w:rsidP="001A5DAE">
            <w:pPr>
              <w:pStyle w:val="ListParagraph"/>
              <w:numPr>
                <w:ilvl w:val="0"/>
                <w:numId w:val="25"/>
              </w:numPr>
              <w:rPr>
                <w:rFonts w:ascii="Times New Roman" w:hAnsi="Times New Roman" w:cs="Times New Roman"/>
              </w:rPr>
            </w:pPr>
            <w:r>
              <w:rPr>
                <w:rFonts w:ascii="Times New Roman" w:hAnsi="Times New Roman" w:cs="Times New Roman"/>
              </w:rPr>
              <w:t xml:space="preserve">Posted </w:t>
            </w:r>
            <w:r w:rsidR="00AE5C63">
              <w:rPr>
                <w:rFonts w:ascii="Times New Roman" w:hAnsi="Times New Roman" w:cs="Times New Roman"/>
              </w:rPr>
              <w:t>new Q&amp;A set</w:t>
            </w:r>
          </w:p>
          <w:p w14:paraId="338FCF3D" w14:textId="4F05BEA2" w:rsidR="00842868" w:rsidRDefault="009C7C00" w:rsidP="00A55A95">
            <w:pPr>
              <w:pStyle w:val="ListParagraph"/>
              <w:numPr>
                <w:ilvl w:val="0"/>
                <w:numId w:val="25"/>
              </w:numPr>
              <w:rPr>
                <w:rFonts w:ascii="Times New Roman" w:hAnsi="Times New Roman" w:cs="Times New Roman"/>
              </w:rPr>
            </w:pPr>
            <w:r>
              <w:rPr>
                <w:rFonts w:ascii="Times New Roman" w:hAnsi="Times New Roman" w:cs="Times New Roman"/>
              </w:rPr>
              <w:t xml:space="preserve">Clarified </w:t>
            </w:r>
            <w:r w:rsidR="00341F43">
              <w:rPr>
                <w:rFonts w:ascii="Times New Roman" w:hAnsi="Times New Roman" w:cs="Times New Roman"/>
              </w:rPr>
              <w:t xml:space="preserve">in </w:t>
            </w:r>
            <w:r w:rsidR="00EF2214" w:rsidRPr="008F5BE3">
              <w:rPr>
                <w:rFonts w:ascii="Times New Roman" w:hAnsi="Times New Roman" w:cs="Times New Roman"/>
                <w:i/>
                <w:iCs/>
              </w:rPr>
              <w:t>Part I: Overvie</w:t>
            </w:r>
            <w:r w:rsidR="008F5BE3" w:rsidRPr="008F5BE3">
              <w:rPr>
                <w:rFonts w:ascii="Times New Roman" w:hAnsi="Times New Roman" w:cs="Times New Roman"/>
                <w:i/>
                <w:iCs/>
              </w:rPr>
              <w:t>w</w:t>
            </w:r>
            <w:r w:rsidR="00EF2214">
              <w:rPr>
                <w:rFonts w:ascii="Times New Roman" w:hAnsi="Times New Roman" w:cs="Times New Roman"/>
              </w:rPr>
              <w:t xml:space="preserve"> that</w:t>
            </w:r>
            <w:r w:rsidR="00D748CE">
              <w:rPr>
                <w:rFonts w:ascii="Times New Roman" w:hAnsi="Times New Roman" w:cs="Times New Roman"/>
              </w:rPr>
              <w:t xml:space="preserve"> questions related to 4% Housing Tax Credits can also be submitted through this Q&amp;A process and document</w:t>
            </w:r>
            <w:r w:rsidR="00350225">
              <w:rPr>
                <w:rFonts w:ascii="Times New Roman" w:hAnsi="Times New Roman" w:cs="Times New Roman"/>
              </w:rPr>
              <w:t>, not just 9%</w:t>
            </w:r>
            <w:r w:rsidR="00D7569A">
              <w:rPr>
                <w:rFonts w:ascii="Times New Roman" w:hAnsi="Times New Roman" w:cs="Times New Roman"/>
              </w:rPr>
              <w:t xml:space="preserve"> questions. </w:t>
            </w:r>
          </w:p>
          <w:p w14:paraId="2A395B01" w14:textId="77777777" w:rsidR="00836662" w:rsidRDefault="00B77247" w:rsidP="00A55A95">
            <w:pPr>
              <w:pStyle w:val="ListParagraph"/>
              <w:numPr>
                <w:ilvl w:val="0"/>
                <w:numId w:val="25"/>
              </w:numPr>
              <w:rPr>
                <w:rFonts w:ascii="Times New Roman" w:hAnsi="Times New Roman" w:cs="Times New Roman"/>
              </w:rPr>
            </w:pPr>
            <w:r>
              <w:rPr>
                <w:rFonts w:ascii="Times New Roman" w:hAnsi="Times New Roman" w:cs="Times New Roman"/>
              </w:rPr>
              <w:t xml:space="preserve">Adjusted category numbers to resolve sorting issues. </w:t>
            </w:r>
          </w:p>
          <w:p w14:paraId="4350F8EB" w14:textId="710AF145" w:rsidR="00C81AD6" w:rsidRDefault="00C81AD6" w:rsidP="00A55A95">
            <w:pPr>
              <w:pStyle w:val="ListParagraph"/>
              <w:numPr>
                <w:ilvl w:val="0"/>
                <w:numId w:val="25"/>
              </w:numPr>
              <w:rPr>
                <w:rFonts w:ascii="Times New Roman" w:hAnsi="Times New Roman" w:cs="Times New Roman"/>
              </w:rPr>
            </w:pPr>
            <w:r>
              <w:rPr>
                <w:rFonts w:ascii="Times New Roman" w:hAnsi="Times New Roman" w:cs="Times New Roman"/>
              </w:rPr>
              <w:t xml:space="preserve">Removed </w:t>
            </w:r>
            <w:r w:rsidR="00B5316B">
              <w:rPr>
                <w:rFonts w:ascii="Times New Roman" w:hAnsi="Times New Roman" w:cs="Times New Roman"/>
              </w:rPr>
              <w:t xml:space="preserve">responses to </w:t>
            </w:r>
            <w:r w:rsidRPr="00C81AD6">
              <w:rPr>
                <w:rFonts w:ascii="Times New Roman" w:hAnsi="Times New Roman" w:cs="Times New Roman"/>
              </w:rPr>
              <w:t>Q0217_01</w:t>
            </w:r>
            <w:r>
              <w:rPr>
                <w:rFonts w:ascii="Times New Roman" w:hAnsi="Times New Roman" w:cs="Times New Roman"/>
              </w:rPr>
              <w:t xml:space="preserve"> and </w:t>
            </w:r>
            <w:r w:rsidR="00835D0D" w:rsidRPr="00835D0D">
              <w:rPr>
                <w:rFonts w:ascii="Times New Roman" w:hAnsi="Times New Roman" w:cs="Times New Roman"/>
              </w:rPr>
              <w:t>Q0217</w:t>
            </w:r>
            <w:r w:rsidR="006C3E75">
              <w:rPr>
                <w:rFonts w:ascii="Times New Roman" w:hAnsi="Times New Roman" w:cs="Times New Roman"/>
              </w:rPr>
              <w:t>_</w:t>
            </w:r>
            <w:r w:rsidR="00835D0D" w:rsidRPr="00835D0D">
              <w:rPr>
                <w:rFonts w:ascii="Times New Roman" w:hAnsi="Times New Roman" w:cs="Times New Roman"/>
              </w:rPr>
              <w:t>02</w:t>
            </w:r>
            <w:r w:rsidR="00793212">
              <w:rPr>
                <w:rFonts w:ascii="Times New Roman" w:hAnsi="Times New Roman" w:cs="Times New Roman"/>
              </w:rPr>
              <w:t xml:space="preserve"> posted on 2/28/21.These </w:t>
            </w:r>
            <w:r w:rsidR="001A245F">
              <w:rPr>
                <w:rFonts w:ascii="Times New Roman" w:hAnsi="Times New Roman" w:cs="Times New Roman"/>
              </w:rPr>
              <w:t xml:space="preserve">provided preliminary guidance </w:t>
            </w:r>
            <w:r w:rsidR="00050A0F">
              <w:rPr>
                <w:rFonts w:ascii="Times New Roman" w:hAnsi="Times New Roman" w:cs="Times New Roman"/>
              </w:rPr>
              <w:t xml:space="preserve">on </w:t>
            </w:r>
            <w:r w:rsidR="001A245F">
              <w:rPr>
                <w:rFonts w:ascii="Times New Roman" w:hAnsi="Times New Roman" w:cs="Times New Roman"/>
              </w:rPr>
              <w:t xml:space="preserve">QAP Workshop Slides and Pre-Application Instructions. </w:t>
            </w:r>
          </w:p>
          <w:p w14:paraId="73A56CB2" w14:textId="368C0AF2" w:rsidR="003B4136" w:rsidRDefault="001F63C6" w:rsidP="003B4136">
            <w:pPr>
              <w:pStyle w:val="ListParagraph"/>
              <w:numPr>
                <w:ilvl w:val="1"/>
                <w:numId w:val="25"/>
              </w:numPr>
              <w:rPr>
                <w:rFonts w:ascii="Times New Roman" w:hAnsi="Times New Roman" w:cs="Times New Roman"/>
              </w:rPr>
            </w:pPr>
            <w:hyperlink r:id="rId15" w:history="1">
              <w:r w:rsidR="008D01D2" w:rsidRPr="001B5F48">
                <w:rPr>
                  <w:rStyle w:val="Hyperlink"/>
                  <w:rFonts w:ascii="Times New Roman" w:hAnsi="Times New Roman" w:cs="Times New Roman"/>
                </w:rPr>
                <w:t>Click here</w:t>
              </w:r>
            </w:hyperlink>
            <w:r w:rsidR="008D01D2">
              <w:rPr>
                <w:rFonts w:ascii="Times New Roman" w:hAnsi="Times New Roman" w:cs="Times New Roman"/>
              </w:rPr>
              <w:t xml:space="preserve"> to view the </w:t>
            </w:r>
            <w:r w:rsidR="00815B6A">
              <w:rPr>
                <w:rFonts w:ascii="Times New Roman" w:hAnsi="Times New Roman" w:cs="Times New Roman"/>
              </w:rPr>
              <w:t xml:space="preserve">QAP Workshop Slides </w:t>
            </w:r>
          </w:p>
          <w:p w14:paraId="678DB95D" w14:textId="53B4E78A" w:rsidR="006C0A89" w:rsidRPr="00A55A95" w:rsidRDefault="001F63C6" w:rsidP="003B4136">
            <w:pPr>
              <w:pStyle w:val="ListParagraph"/>
              <w:numPr>
                <w:ilvl w:val="1"/>
                <w:numId w:val="25"/>
              </w:numPr>
              <w:rPr>
                <w:rFonts w:ascii="Times New Roman" w:hAnsi="Times New Roman" w:cs="Times New Roman"/>
              </w:rPr>
            </w:pPr>
            <w:hyperlink r:id="rId16" w:history="1">
              <w:r w:rsidR="008D01D2" w:rsidRPr="008D01D2">
                <w:rPr>
                  <w:rStyle w:val="Hyperlink"/>
                  <w:rFonts w:ascii="Times New Roman" w:hAnsi="Times New Roman" w:cs="Times New Roman"/>
                </w:rPr>
                <w:t>Click here</w:t>
              </w:r>
            </w:hyperlink>
            <w:r w:rsidR="008D01D2">
              <w:rPr>
                <w:rFonts w:ascii="Times New Roman" w:hAnsi="Times New Roman" w:cs="Times New Roman"/>
              </w:rPr>
              <w:t xml:space="preserve"> to view Pre-Application instructions </w:t>
            </w:r>
          </w:p>
        </w:tc>
      </w:tr>
      <w:tr w:rsidR="644AE3A9" w14:paraId="6C55BB08" w14:textId="77777777" w:rsidTr="644AE3A9">
        <w:trPr>
          <w:jc w:val="center"/>
        </w:trPr>
        <w:tc>
          <w:tcPr>
            <w:tcW w:w="1165" w:type="dxa"/>
            <w:tcMar>
              <w:top w:w="72" w:type="dxa"/>
              <w:left w:w="115" w:type="dxa"/>
              <w:bottom w:w="72" w:type="dxa"/>
              <w:right w:w="115" w:type="dxa"/>
            </w:tcMar>
            <w:vAlign w:val="center"/>
          </w:tcPr>
          <w:p w14:paraId="60D1FBDD" w14:textId="523123D6" w:rsidR="719DDF0F" w:rsidRDefault="719DDF0F" w:rsidP="644AE3A9">
            <w:pPr>
              <w:rPr>
                <w:rFonts w:ascii="Times New Roman" w:hAnsi="Times New Roman" w:cs="Times New Roman"/>
              </w:rPr>
            </w:pPr>
            <w:r w:rsidRPr="644AE3A9">
              <w:rPr>
                <w:rFonts w:ascii="Times New Roman" w:hAnsi="Times New Roman" w:cs="Times New Roman"/>
              </w:rPr>
              <w:t>3/</w:t>
            </w:r>
            <w:r w:rsidR="000F645A">
              <w:rPr>
                <w:rFonts w:ascii="Times New Roman" w:hAnsi="Times New Roman" w:cs="Times New Roman"/>
              </w:rPr>
              <w:t>2</w:t>
            </w:r>
            <w:r w:rsidRPr="644AE3A9">
              <w:rPr>
                <w:rFonts w:ascii="Times New Roman" w:hAnsi="Times New Roman" w:cs="Times New Roman"/>
              </w:rPr>
              <w:t>/21</w:t>
            </w:r>
          </w:p>
        </w:tc>
        <w:tc>
          <w:tcPr>
            <w:tcW w:w="8010" w:type="dxa"/>
            <w:tcMar>
              <w:top w:w="72" w:type="dxa"/>
              <w:left w:w="115" w:type="dxa"/>
              <w:bottom w:w="72" w:type="dxa"/>
              <w:right w:w="115" w:type="dxa"/>
            </w:tcMar>
            <w:vAlign w:val="center"/>
          </w:tcPr>
          <w:p w14:paraId="2C4E3FC7" w14:textId="7D0DC784" w:rsidR="719DDF0F" w:rsidRPr="008218CD" w:rsidRDefault="719DDF0F"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tc>
      </w:tr>
      <w:tr w:rsidR="00162354" w14:paraId="78A31343" w14:textId="77777777" w:rsidTr="644AE3A9">
        <w:trPr>
          <w:jc w:val="center"/>
        </w:trPr>
        <w:tc>
          <w:tcPr>
            <w:tcW w:w="1165" w:type="dxa"/>
            <w:tcMar>
              <w:top w:w="72" w:type="dxa"/>
              <w:left w:w="115" w:type="dxa"/>
              <w:bottom w:w="72" w:type="dxa"/>
              <w:right w:w="115" w:type="dxa"/>
            </w:tcMar>
            <w:vAlign w:val="center"/>
          </w:tcPr>
          <w:p w14:paraId="14A9DE54" w14:textId="3A9A7DB7" w:rsidR="00162354" w:rsidRPr="644AE3A9" w:rsidRDefault="00162354" w:rsidP="644AE3A9">
            <w:pPr>
              <w:rPr>
                <w:rFonts w:ascii="Times New Roman" w:hAnsi="Times New Roman" w:cs="Times New Roman"/>
              </w:rPr>
            </w:pPr>
            <w:r>
              <w:rPr>
                <w:rFonts w:ascii="Times New Roman" w:hAnsi="Times New Roman" w:cs="Times New Roman"/>
              </w:rPr>
              <w:t>3/3/21</w:t>
            </w:r>
          </w:p>
        </w:tc>
        <w:tc>
          <w:tcPr>
            <w:tcW w:w="8010" w:type="dxa"/>
            <w:tcMar>
              <w:top w:w="72" w:type="dxa"/>
              <w:left w:w="115" w:type="dxa"/>
              <w:bottom w:w="72" w:type="dxa"/>
              <w:right w:w="115" w:type="dxa"/>
            </w:tcMar>
            <w:vAlign w:val="center"/>
          </w:tcPr>
          <w:p w14:paraId="53C2F0F7" w14:textId="64BECF6C" w:rsidR="00162354" w:rsidRPr="008218CD" w:rsidRDefault="00162354"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tc>
      </w:tr>
      <w:tr w:rsidR="00A474CC" w14:paraId="4B84AD6A" w14:textId="77777777" w:rsidTr="644AE3A9">
        <w:trPr>
          <w:jc w:val="center"/>
        </w:trPr>
        <w:tc>
          <w:tcPr>
            <w:tcW w:w="1165" w:type="dxa"/>
            <w:tcMar>
              <w:top w:w="72" w:type="dxa"/>
              <w:left w:w="115" w:type="dxa"/>
              <w:bottom w:w="72" w:type="dxa"/>
              <w:right w:w="115" w:type="dxa"/>
            </w:tcMar>
            <w:vAlign w:val="center"/>
          </w:tcPr>
          <w:p w14:paraId="1BFA214C" w14:textId="24ED8225" w:rsidR="00A474CC" w:rsidRDefault="00A474CC" w:rsidP="644AE3A9">
            <w:pPr>
              <w:rPr>
                <w:rFonts w:ascii="Times New Roman" w:hAnsi="Times New Roman" w:cs="Times New Roman"/>
              </w:rPr>
            </w:pPr>
            <w:r>
              <w:rPr>
                <w:rFonts w:ascii="Times New Roman" w:hAnsi="Times New Roman" w:cs="Times New Roman"/>
              </w:rPr>
              <w:t>3/4/21</w:t>
            </w:r>
          </w:p>
        </w:tc>
        <w:tc>
          <w:tcPr>
            <w:tcW w:w="8010" w:type="dxa"/>
            <w:tcMar>
              <w:top w:w="72" w:type="dxa"/>
              <w:left w:w="115" w:type="dxa"/>
              <w:bottom w:w="72" w:type="dxa"/>
              <w:right w:w="115" w:type="dxa"/>
            </w:tcMar>
            <w:vAlign w:val="center"/>
          </w:tcPr>
          <w:p w14:paraId="0C943C4D" w14:textId="77777777" w:rsidR="00A474CC" w:rsidRPr="008218CD" w:rsidRDefault="00A474CC"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p w14:paraId="65DC325B" w14:textId="1B02D402" w:rsidR="00693EFD" w:rsidRPr="008218CD" w:rsidRDefault="00ED5A86" w:rsidP="0035694E">
            <w:pPr>
              <w:pStyle w:val="ListParagraph"/>
              <w:numPr>
                <w:ilvl w:val="0"/>
                <w:numId w:val="33"/>
              </w:numPr>
              <w:rPr>
                <w:rFonts w:ascii="Times New Roman" w:hAnsi="Times New Roman" w:cs="Times New Roman"/>
              </w:rPr>
            </w:pPr>
            <w:r w:rsidRPr="008218CD">
              <w:rPr>
                <w:rFonts w:ascii="Times New Roman" w:hAnsi="Times New Roman" w:cs="Times New Roman"/>
              </w:rPr>
              <w:t>Updated</w:t>
            </w:r>
            <w:r w:rsidR="00CD4CCF" w:rsidRPr="008218CD">
              <w:rPr>
                <w:rFonts w:ascii="Times New Roman" w:hAnsi="Times New Roman" w:cs="Times New Roman"/>
              </w:rPr>
              <w:t xml:space="preserve"> </w:t>
            </w:r>
            <w:r w:rsidR="00E841B0" w:rsidRPr="008218CD">
              <w:rPr>
                <w:rFonts w:ascii="Times New Roman" w:hAnsi="Times New Roman" w:cs="Times New Roman"/>
                <w:i/>
                <w:iCs/>
              </w:rPr>
              <w:t>Part I: Overview, Submitting Additional Questions</w:t>
            </w:r>
            <w:r w:rsidR="00E841B0" w:rsidRPr="008218CD">
              <w:rPr>
                <w:rFonts w:ascii="Times New Roman" w:hAnsi="Times New Roman" w:cs="Times New Roman"/>
              </w:rPr>
              <w:t xml:space="preserve"> to clarify that </w:t>
            </w:r>
            <w:r w:rsidR="000A6236" w:rsidRPr="008218CD">
              <w:rPr>
                <w:rFonts w:ascii="Times New Roman" w:hAnsi="Times New Roman" w:cs="Times New Roman"/>
              </w:rPr>
              <w:t xml:space="preserve">inquiries or </w:t>
            </w:r>
            <w:r w:rsidR="00325D8C" w:rsidRPr="008218CD">
              <w:rPr>
                <w:rFonts w:ascii="Times New Roman" w:hAnsi="Times New Roman" w:cs="Times New Roman"/>
              </w:rPr>
              <w:t>concerns related to the timing of DCA response</w:t>
            </w:r>
            <w:r w:rsidR="006657E3" w:rsidRPr="008218CD">
              <w:rPr>
                <w:rFonts w:ascii="Times New Roman" w:hAnsi="Times New Roman" w:cs="Times New Roman"/>
              </w:rPr>
              <w:t>s</w:t>
            </w:r>
            <w:r w:rsidR="004629A5" w:rsidRPr="008218CD">
              <w:rPr>
                <w:rFonts w:ascii="Times New Roman" w:hAnsi="Times New Roman" w:cs="Times New Roman"/>
              </w:rPr>
              <w:t xml:space="preserve"> to specific questions </w:t>
            </w:r>
            <w:r w:rsidR="00325D8C" w:rsidRPr="008218CD">
              <w:rPr>
                <w:rFonts w:ascii="Times New Roman" w:hAnsi="Times New Roman" w:cs="Times New Roman"/>
              </w:rPr>
              <w:t xml:space="preserve">should be </w:t>
            </w:r>
            <w:r w:rsidR="00394CA2" w:rsidRPr="008218CD">
              <w:rPr>
                <w:rFonts w:ascii="Times New Roman" w:hAnsi="Times New Roman" w:cs="Times New Roman"/>
              </w:rPr>
              <w:t>email</w:t>
            </w:r>
            <w:r w:rsidR="003146AB" w:rsidRPr="008218CD">
              <w:rPr>
                <w:rFonts w:ascii="Times New Roman" w:hAnsi="Times New Roman" w:cs="Times New Roman"/>
              </w:rPr>
              <w:t>ed</w:t>
            </w:r>
            <w:r w:rsidR="00394CA2" w:rsidRPr="008218CD">
              <w:rPr>
                <w:rFonts w:ascii="Times New Roman" w:hAnsi="Times New Roman" w:cs="Times New Roman"/>
              </w:rPr>
              <w:t xml:space="preserve"> to </w:t>
            </w:r>
            <w:hyperlink r:id="rId17" w:history="1">
              <w:r w:rsidR="00394CA2" w:rsidRPr="008218CD">
                <w:rPr>
                  <w:rStyle w:val="Hyperlink"/>
                  <w:rFonts w:ascii="Times New Roman" w:hAnsi="Times New Roman" w:cs="Times New Roman"/>
                </w:rPr>
                <w:t>hfdround@dca.ga.gov</w:t>
              </w:r>
            </w:hyperlink>
            <w:r w:rsidR="00394CA2" w:rsidRPr="008218CD">
              <w:rPr>
                <w:rFonts w:ascii="Times New Roman" w:hAnsi="Times New Roman" w:cs="Times New Roman"/>
              </w:rPr>
              <w:t xml:space="preserve">. </w:t>
            </w:r>
          </w:p>
        </w:tc>
      </w:tr>
      <w:tr w:rsidR="00956344" w14:paraId="0AF98914" w14:textId="77777777" w:rsidTr="644AE3A9">
        <w:trPr>
          <w:jc w:val="center"/>
        </w:trPr>
        <w:tc>
          <w:tcPr>
            <w:tcW w:w="1165" w:type="dxa"/>
            <w:tcMar>
              <w:top w:w="72" w:type="dxa"/>
              <w:left w:w="115" w:type="dxa"/>
              <w:bottom w:w="72" w:type="dxa"/>
              <w:right w:w="115" w:type="dxa"/>
            </w:tcMar>
            <w:vAlign w:val="center"/>
          </w:tcPr>
          <w:p w14:paraId="32276ACF" w14:textId="085D6B91" w:rsidR="00956344" w:rsidRDefault="00956344" w:rsidP="644AE3A9">
            <w:pPr>
              <w:rPr>
                <w:rFonts w:ascii="Times New Roman" w:hAnsi="Times New Roman" w:cs="Times New Roman"/>
              </w:rPr>
            </w:pPr>
            <w:r>
              <w:rPr>
                <w:rFonts w:ascii="Times New Roman" w:hAnsi="Times New Roman" w:cs="Times New Roman"/>
              </w:rPr>
              <w:t>3/15/21</w:t>
            </w:r>
          </w:p>
        </w:tc>
        <w:tc>
          <w:tcPr>
            <w:tcW w:w="8010" w:type="dxa"/>
            <w:tcMar>
              <w:top w:w="72" w:type="dxa"/>
              <w:left w:w="115" w:type="dxa"/>
              <w:bottom w:w="72" w:type="dxa"/>
              <w:right w:w="115" w:type="dxa"/>
            </w:tcMar>
            <w:vAlign w:val="center"/>
          </w:tcPr>
          <w:p w14:paraId="2D395188" w14:textId="093CF568" w:rsidR="00956344" w:rsidRPr="008218CD" w:rsidRDefault="00956344" w:rsidP="00A630D3">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C90831" w14:paraId="4867BEA1" w14:textId="77777777" w:rsidTr="644AE3A9">
        <w:trPr>
          <w:jc w:val="center"/>
        </w:trPr>
        <w:tc>
          <w:tcPr>
            <w:tcW w:w="1165" w:type="dxa"/>
            <w:tcMar>
              <w:top w:w="72" w:type="dxa"/>
              <w:left w:w="115" w:type="dxa"/>
              <w:bottom w:w="72" w:type="dxa"/>
              <w:right w:w="115" w:type="dxa"/>
            </w:tcMar>
            <w:vAlign w:val="center"/>
          </w:tcPr>
          <w:p w14:paraId="2CED44EB" w14:textId="19D31E33" w:rsidR="00C90831" w:rsidRDefault="00C90831" w:rsidP="644AE3A9">
            <w:pPr>
              <w:rPr>
                <w:rFonts w:ascii="Times New Roman" w:hAnsi="Times New Roman" w:cs="Times New Roman"/>
              </w:rPr>
            </w:pPr>
            <w:r>
              <w:rPr>
                <w:rFonts w:ascii="Times New Roman" w:hAnsi="Times New Roman" w:cs="Times New Roman"/>
              </w:rPr>
              <w:t>3/24/21</w:t>
            </w:r>
          </w:p>
        </w:tc>
        <w:tc>
          <w:tcPr>
            <w:tcW w:w="8010" w:type="dxa"/>
            <w:tcMar>
              <w:top w:w="72" w:type="dxa"/>
              <w:left w:w="115" w:type="dxa"/>
              <w:bottom w:w="72" w:type="dxa"/>
              <w:right w:w="115" w:type="dxa"/>
            </w:tcMar>
            <w:vAlign w:val="center"/>
          </w:tcPr>
          <w:p w14:paraId="2579B028" w14:textId="6EB7DAE6" w:rsidR="00C90831" w:rsidRDefault="00C90831" w:rsidP="00A630D3">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822B2B" w14:paraId="200E2D45" w14:textId="77777777" w:rsidTr="644AE3A9">
        <w:trPr>
          <w:jc w:val="center"/>
        </w:trPr>
        <w:tc>
          <w:tcPr>
            <w:tcW w:w="1165" w:type="dxa"/>
            <w:tcMar>
              <w:top w:w="72" w:type="dxa"/>
              <w:left w:w="115" w:type="dxa"/>
              <w:bottom w:w="72" w:type="dxa"/>
              <w:right w:w="115" w:type="dxa"/>
            </w:tcMar>
            <w:vAlign w:val="center"/>
          </w:tcPr>
          <w:p w14:paraId="584D784D" w14:textId="4EA247A3" w:rsidR="00822B2B" w:rsidRDefault="00822B2B" w:rsidP="644AE3A9">
            <w:pPr>
              <w:rPr>
                <w:rFonts w:ascii="Times New Roman" w:hAnsi="Times New Roman" w:cs="Times New Roman"/>
              </w:rPr>
            </w:pPr>
            <w:r>
              <w:rPr>
                <w:rFonts w:ascii="Times New Roman" w:hAnsi="Times New Roman" w:cs="Times New Roman"/>
              </w:rPr>
              <w:t>3/29/21</w:t>
            </w:r>
          </w:p>
        </w:tc>
        <w:tc>
          <w:tcPr>
            <w:tcW w:w="8010" w:type="dxa"/>
            <w:tcMar>
              <w:top w:w="72" w:type="dxa"/>
              <w:left w:w="115" w:type="dxa"/>
              <w:bottom w:w="72" w:type="dxa"/>
              <w:right w:w="115" w:type="dxa"/>
            </w:tcMar>
            <w:vAlign w:val="center"/>
          </w:tcPr>
          <w:p w14:paraId="2F0CFB37" w14:textId="69725141" w:rsidR="000E2D60" w:rsidRPr="000E2D60" w:rsidRDefault="00822B2B" w:rsidP="000E2D60">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0E2D60" w14:paraId="0DE0BBE6" w14:textId="77777777" w:rsidTr="644AE3A9">
        <w:trPr>
          <w:jc w:val="center"/>
        </w:trPr>
        <w:tc>
          <w:tcPr>
            <w:tcW w:w="1165" w:type="dxa"/>
            <w:tcMar>
              <w:top w:w="72" w:type="dxa"/>
              <w:left w:w="115" w:type="dxa"/>
              <w:bottom w:w="72" w:type="dxa"/>
              <w:right w:w="115" w:type="dxa"/>
            </w:tcMar>
            <w:vAlign w:val="center"/>
          </w:tcPr>
          <w:p w14:paraId="6DAA7357" w14:textId="330DC50E" w:rsidR="000E2D60" w:rsidRDefault="000E2D60" w:rsidP="644AE3A9">
            <w:pPr>
              <w:rPr>
                <w:rFonts w:ascii="Times New Roman" w:hAnsi="Times New Roman" w:cs="Times New Roman"/>
              </w:rPr>
            </w:pPr>
            <w:r>
              <w:rPr>
                <w:rFonts w:ascii="Times New Roman" w:hAnsi="Times New Roman" w:cs="Times New Roman"/>
              </w:rPr>
              <w:t>4/</w:t>
            </w:r>
            <w:r w:rsidR="00596E99">
              <w:rPr>
                <w:rFonts w:ascii="Times New Roman" w:hAnsi="Times New Roman" w:cs="Times New Roman"/>
              </w:rPr>
              <w:t>15</w:t>
            </w:r>
            <w:r>
              <w:rPr>
                <w:rFonts w:ascii="Times New Roman" w:hAnsi="Times New Roman" w:cs="Times New Roman"/>
              </w:rPr>
              <w:t>/21</w:t>
            </w:r>
          </w:p>
        </w:tc>
        <w:tc>
          <w:tcPr>
            <w:tcW w:w="8010" w:type="dxa"/>
            <w:tcMar>
              <w:top w:w="72" w:type="dxa"/>
              <w:left w:w="115" w:type="dxa"/>
              <w:bottom w:w="72" w:type="dxa"/>
              <w:right w:w="115" w:type="dxa"/>
            </w:tcMar>
            <w:vAlign w:val="center"/>
          </w:tcPr>
          <w:p w14:paraId="60DC7D58" w14:textId="09CEC70B" w:rsidR="000E2D60" w:rsidRDefault="007F49D7" w:rsidP="000E2D60">
            <w:pPr>
              <w:pStyle w:val="ListParagraph"/>
              <w:numPr>
                <w:ilvl w:val="0"/>
                <w:numId w:val="33"/>
              </w:numPr>
              <w:rPr>
                <w:rFonts w:ascii="Times New Roman" w:hAnsi="Times New Roman" w:cs="Times New Roman"/>
              </w:rPr>
            </w:pPr>
            <w:r>
              <w:rPr>
                <w:rFonts w:ascii="Times New Roman" w:hAnsi="Times New Roman" w:cs="Times New Roman"/>
              </w:rPr>
              <w:t>Added note to</w:t>
            </w:r>
            <w:r w:rsidR="00454BFD">
              <w:rPr>
                <w:rFonts w:ascii="Times New Roman" w:hAnsi="Times New Roman" w:cs="Times New Roman"/>
              </w:rPr>
              <w:t xml:space="preserve"> section</w:t>
            </w:r>
            <w:r>
              <w:rPr>
                <w:rFonts w:ascii="Times New Roman" w:hAnsi="Times New Roman" w:cs="Times New Roman"/>
              </w:rPr>
              <w:t xml:space="preserve"> </w:t>
            </w:r>
            <w:r w:rsidR="00421D87" w:rsidRPr="00421D87">
              <w:rPr>
                <w:rFonts w:ascii="Times New Roman" w:hAnsi="Times New Roman" w:cs="Times New Roman"/>
                <w:i/>
                <w:iCs/>
              </w:rPr>
              <w:t>Part I:</w:t>
            </w:r>
            <w:r w:rsidR="00421D87">
              <w:rPr>
                <w:rFonts w:ascii="Times New Roman" w:hAnsi="Times New Roman" w:cs="Times New Roman"/>
              </w:rPr>
              <w:t xml:space="preserve"> </w:t>
            </w:r>
            <w:r w:rsidR="006D2B38" w:rsidRPr="006D2B38">
              <w:rPr>
                <w:rFonts w:ascii="Times New Roman" w:hAnsi="Times New Roman" w:cs="Times New Roman"/>
                <w:i/>
                <w:iCs/>
              </w:rPr>
              <w:t>Overview</w:t>
            </w:r>
            <w:r w:rsidR="006D2B38">
              <w:rPr>
                <w:rFonts w:ascii="Times New Roman" w:hAnsi="Times New Roman" w:cs="Times New Roman"/>
              </w:rPr>
              <w:t xml:space="preserve">, </w:t>
            </w:r>
            <w:r w:rsidRPr="006D2B38">
              <w:rPr>
                <w:rFonts w:ascii="Times New Roman" w:hAnsi="Times New Roman" w:cs="Times New Roman"/>
                <w:i/>
                <w:iCs/>
              </w:rPr>
              <w:t>Submitting Additional Questions</w:t>
            </w:r>
            <w:r w:rsidR="006D2B38">
              <w:rPr>
                <w:rFonts w:ascii="Times New Roman" w:hAnsi="Times New Roman" w:cs="Times New Roman"/>
              </w:rPr>
              <w:t>:</w:t>
            </w:r>
            <w:r>
              <w:rPr>
                <w:rFonts w:ascii="Times New Roman" w:hAnsi="Times New Roman" w:cs="Times New Roman"/>
              </w:rPr>
              <w:t xml:space="preserve"> </w:t>
            </w:r>
            <w:r w:rsidR="006D2B38">
              <w:rPr>
                <w:rFonts w:ascii="Times New Roman" w:hAnsi="Times New Roman" w:cs="Times New Roman"/>
              </w:rPr>
              <w:t>“</w:t>
            </w:r>
            <w:r w:rsidR="002A1487">
              <w:rPr>
                <w:rFonts w:ascii="Times New Roman" w:hAnsi="Times New Roman" w:cs="Times New Roman"/>
              </w:rPr>
              <w:t xml:space="preserve">Need </w:t>
            </w:r>
            <w:r w:rsidRPr="007F49D7">
              <w:rPr>
                <w:rFonts w:ascii="Times New Roman" w:hAnsi="Times New Roman" w:cs="Times New Roman"/>
              </w:rPr>
              <w:t>to add context to a previously</w:t>
            </w:r>
            <w:r w:rsidR="00B312C3">
              <w:rPr>
                <w:rFonts w:ascii="Times New Roman" w:hAnsi="Times New Roman" w:cs="Times New Roman"/>
              </w:rPr>
              <w:t>-</w:t>
            </w:r>
            <w:r w:rsidRPr="007F49D7">
              <w:rPr>
                <w:rFonts w:ascii="Times New Roman" w:hAnsi="Times New Roman" w:cs="Times New Roman"/>
              </w:rPr>
              <w:t>submitted question?</w:t>
            </w:r>
            <w:r>
              <w:rPr>
                <w:rFonts w:ascii="Times New Roman" w:hAnsi="Times New Roman" w:cs="Times New Roman"/>
              </w:rPr>
              <w:t>”</w:t>
            </w:r>
          </w:p>
          <w:p w14:paraId="3F17C4AB" w14:textId="11F05856" w:rsidR="009B06C9" w:rsidRDefault="009B06C9" w:rsidP="000E2D60">
            <w:pPr>
              <w:pStyle w:val="ListParagraph"/>
              <w:numPr>
                <w:ilvl w:val="0"/>
                <w:numId w:val="33"/>
              </w:numPr>
              <w:rPr>
                <w:rFonts w:ascii="Times New Roman" w:hAnsi="Times New Roman" w:cs="Times New Roman"/>
              </w:rPr>
            </w:pPr>
            <w:r>
              <w:rPr>
                <w:rFonts w:ascii="Times New Roman" w:hAnsi="Times New Roman" w:cs="Times New Roman"/>
              </w:rPr>
              <w:lastRenderedPageBreak/>
              <w:t xml:space="preserve">Posted new Q&amp;A set. </w:t>
            </w:r>
          </w:p>
        </w:tc>
      </w:tr>
      <w:tr w:rsidR="00A95936" w14:paraId="7FB89F94" w14:textId="77777777" w:rsidTr="644AE3A9">
        <w:trPr>
          <w:jc w:val="center"/>
        </w:trPr>
        <w:tc>
          <w:tcPr>
            <w:tcW w:w="1165" w:type="dxa"/>
            <w:tcMar>
              <w:top w:w="72" w:type="dxa"/>
              <w:left w:w="115" w:type="dxa"/>
              <w:bottom w:w="72" w:type="dxa"/>
              <w:right w:w="115" w:type="dxa"/>
            </w:tcMar>
            <w:vAlign w:val="center"/>
          </w:tcPr>
          <w:p w14:paraId="74198D3F" w14:textId="2D31CC3D" w:rsidR="00A95936" w:rsidRDefault="00A95936" w:rsidP="644AE3A9">
            <w:pPr>
              <w:rPr>
                <w:rFonts w:ascii="Times New Roman" w:hAnsi="Times New Roman" w:cs="Times New Roman"/>
              </w:rPr>
            </w:pPr>
            <w:r>
              <w:rPr>
                <w:rFonts w:ascii="Times New Roman" w:hAnsi="Times New Roman" w:cs="Times New Roman"/>
              </w:rPr>
              <w:lastRenderedPageBreak/>
              <w:t>4/23/21</w:t>
            </w:r>
          </w:p>
        </w:tc>
        <w:tc>
          <w:tcPr>
            <w:tcW w:w="8010" w:type="dxa"/>
            <w:tcMar>
              <w:top w:w="72" w:type="dxa"/>
              <w:left w:w="115" w:type="dxa"/>
              <w:bottom w:w="72" w:type="dxa"/>
              <w:right w:w="115" w:type="dxa"/>
            </w:tcMar>
            <w:vAlign w:val="center"/>
          </w:tcPr>
          <w:p w14:paraId="134CADEA" w14:textId="76926D39" w:rsidR="00C01458" w:rsidRPr="00C01458" w:rsidRDefault="00CF772C" w:rsidP="00C01458">
            <w:pPr>
              <w:pStyle w:val="ListParagraph"/>
              <w:numPr>
                <w:ilvl w:val="0"/>
                <w:numId w:val="33"/>
              </w:numPr>
              <w:rPr>
                <w:rFonts w:ascii="Times New Roman" w:hAnsi="Times New Roman" w:cs="Times New Roman"/>
              </w:rPr>
            </w:pPr>
            <w:r>
              <w:rPr>
                <w:rFonts w:ascii="Times New Roman" w:hAnsi="Times New Roman" w:cs="Times New Roman"/>
              </w:rPr>
              <w:t xml:space="preserve">Posted new Q&amp;A set. </w:t>
            </w:r>
          </w:p>
        </w:tc>
      </w:tr>
      <w:tr w:rsidR="00652C20" w14:paraId="2B0F42F9" w14:textId="77777777" w:rsidTr="644AE3A9">
        <w:trPr>
          <w:jc w:val="center"/>
        </w:trPr>
        <w:tc>
          <w:tcPr>
            <w:tcW w:w="1165" w:type="dxa"/>
            <w:tcMar>
              <w:top w:w="72" w:type="dxa"/>
              <w:left w:w="115" w:type="dxa"/>
              <w:bottom w:w="72" w:type="dxa"/>
              <w:right w:w="115" w:type="dxa"/>
            </w:tcMar>
            <w:vAlign w:val="center"/>
          </w:tcPr>
          <w:p w14:paraId="7AFF9A5F" w14:textId="42323A57" w:rsidR="00652C20" w:rsidRDefault="00652C20" w:rsidP="644AE3A9">
            <w:pPr>
              <w:rPr>
                <w:rFonts w:ascii="Times New Roman" w:hAnsi="Times New Roman" w:cs="Times New Roman"/>
              </w:rPr>
            </w:pPr>
            <w:r>
              <w:rPr>
                <w:rFonts w:ascii="Times New Roman" w:hAnsi="Times New Roman" w:cs="Times New Roman"/>
              </w:rPr>
              <w:t>5/6/21</w:t>
            </w:r>
          </w:p>
        </w:tc>
        <w:tc>
          <w:tcPr>
            <w:tcW w:w="8010" w:type="dxa"/>
            <w:tcMar>
              <w:top w:w="72" w:type="dxa"/>
              <w:left w:w="115" w:type="dxa"/>
              <w:bottom w:w="72" w:type="dxa"/>
              <w:right w:w="115" w:type="dxa"/>
            </w:tcMar>
            <w:vAlign w:val="center"/>
          </w:tcPr>
          <w:p w14:paraId="3AD2262C" w14:textId="25ABE26A" w:rsidR="00652C20" w:rsidRDefault="00652C20" w:rsidP="00C01458">
            <w:pPr>
              <w:pStyle w:val="ListParagraph"/>
              <w:numPr>
                <w:ilvl w:val="0"/>
                <w:numId w:val="33"/>
              </w:numPr>
              <w:rPr>
                <w:rFonts w:ascii="Times New Roman" w:hAnsi="Times New Roman" w:cs="Times New Roman"/>
              </w:rPr>
            </w:pPr>
            <w:r>
              <w:rPr>
                <w:rFonts w:ascii="Times New Roman" w:hAnsi="Times New Roman" w:cs="Times New Roman"/>
              </w:rPr>
              <w:t xml:space="preserve">Posted new Q&amp;A set. </w:t>
            </w:r>
          </w:p>
        </w:tc>
      </w:tr>
      <w:tr w:rsidR="00073EED" w14:paraId="260A0108" w14:textId="77777777" w:rsidTr="644AE3A9">
        <w:trPr>
          <w:jc w:val="center"/>
        </w:trPr>
        <w:tc>
          <w:tcPr>
            <w:tcW w:w="1165" w:type="dxa"/>
            <w:tcMar>
              <w:top w:w="72" w:type="dxa"/>
              <w:left w:w="115" w:type="dxa"/>
              <w:bottom w:w="72" w:type="dxa"/>
              <w:right w:w="115" w:type="dxa"/>
            </w:tcMar>
            <w:vAlign w:val="center"/>
          </w:tcPr>
          <w:p w14:paraId="1AF6D3B2" w14:textId="5196C4E7" w:rsidR="00073EED" w:rsidRDefault="00073EED" w:rsidP="644AE3A9">
            <w:pPr>
              <w:rPr>
                <w:rFonts w:ascii="Times New Roman" w:hAnsi="Times New Roman" w:cs="Times New Roman"/>
              </w:rPr>
            </w:pPr>
            <w:r>
              <w:rPr>
                <w:rFonts w:ascii="Times New Roman" w:hAnsi="Times New Roman" w:cs="Times New Roman"/>
              </w:rPr>
              <w:t>5/7/21</w:t>
            </w:r>
          </w:p>
        </w:tc>
        <w:tc>
          <w:tcPr>
            <w:tcW w:w="8010" w:type="dxa"/>
            <w:tcMar>
              <w:top w:w="72" w:type="dxa"/>
              <w:left w:w="115" w:type="dxa"/>
              <w:bottom w:w="72" w:type="dxa"/>
              <w:right w:w="115" w:type="dxa"/>
            </w:tcMar>
            <w:vAlign w:val="center"/>
          </w:tcPr>
          <w:p w14:paraId="0A241A1A" w14:textId="65FC23AB" w:rsidR="00073EED" w:rsidRDefault="00073EED" w:rsidP="00C01458">
            <w:pPr>
              <w:pStyle w:val="ListParagraph"/>
              <w:numPr>
                <w:ilvl w:val="0"/>
                <w:numId w:val="33"/>
              </w:numPr>
              <w:rPr>
                <w:rFonts w:ascii="Times New Roman" w:hAnsi="Times New Roman" w:cs="Times New Roman"/>
              </w:rPr>
            </w:pPr>
            <w:r>
              <w:rPr>
                <w:rFonts w:ascii="Times New Roman" w:hAnsi="Times New Roman" w:cs="Times New Roman"/>
              </w:rPr>
              <w:t xml:space="preserve">Posted new Q&amp;A set. </w:t>
            </w:r>
          </w:p>
        </w:tc>
      </w:tr>
      <w:tr w:rsidR="008A0D3C" w14:paraId="664FAD24" w14:textId="77777777" w:rsidTr="644AE3A9">
        <w:trPr>
          <w:jc w:val="center"/>
        </w:trPr>
        <w:tc>
          <w:tcPr>
            <w:tcW w:w="1165" w:type="dxa"/>
            <w:tcMar>
              <w:top w:w="72" w:type="dxa"/>
              <w:left w:w="115" w:type="dxa"/>
              <w:bottom w:w="72" w:type="dxa"/>
              <w:right w:w="115" w:type="dxa"/>
            </w:tcMar>
            <w:vAlign w:val="center"/>
          </w:tcPr>
          <w:p w14:paraId="74582186" w14:textId="1E15061C" w:rsidR="008A0D3C" w:rsidRDefault="008A0D3C" w:rsidP="644AE3A9">
            <w:pPr>
              <w:rPr>
                <w:rFonts w:ascii="Times New Roman" w:hAnsi="Times New Roman" w:cs="Times New Roman"/>
              </w:rPr>
            </w:pPr>
            <w:r>
              <w:rPr>
                <w:rFonts w:ascii="Times New Roman" w:hAnsi="Times New Roman" w:cs="Times New Roman"/>
              </w:rPr>
              <w:t>5/12/21</w:t>
            </w:r>
          </w:p>
        </w:tc>
        <w:tc>
          <w:tcPr>
            <w:tcW w:w="8010" w:type="dxa"/>
            <w:tcMar>
              <w:top w:w="72" w:type="dxa"/>
              <w:left w:w="115" w:type="dxa"/>
              <w:bottom w:w="72" w:type="dxa"/>
              <w:right w:w="115" w:type="dxa"/>
            </w:tcMar>
            <w:vAlign w:val="center"/>
          </w:tcPr>
          <w:p w14:paraId="740B0870" w14:textId="78132868" w:rsidR="008A0D3C" w:rsidRDefault="008A0D3C" w:rsidP="00C01458">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bl>
    <w:p w14:paraId="66AF5A12" w14:textId="77777777" w:rsidR="00361D02" w:rsidRPr="00A36E54" w:rsidRDefault="00361D02" w:rsidP="00A36E54">
      <w:pPr>
        <w:rPr>
          <w:rFonts w:ascii="Times New Roman" w:hAnsi="Times New Roman" w:cs="Times New Roman"/>
        </w:rPr>
      </w:pPr>
    </w:p>
    <w:p w14:paraId="767ADC67" w14:textId="1FE12EB2" w:rsidR="00976965" w:rsidRPr="00976965" w:rsidRDefault="00E54915" w:rsidP="00976965">
      <w:pPr>
        <w:pStyle w:val="Heading1"/>
      </w:pPr>
      <w:r>
        <w:t xml:space="preserve">Part II: </w:t>
      </w:r>
      <w:r w:rsidR="00137597">
        <w:t>Question and Answer Table</w:t>
      </w:r>
    </w:p>
    <w:tbl>
      <w:tblPr>
        <w:tblStyle w:val="TableGrid"/>
        <w:tblW w:w="13945" w:type="dxa"/>
        <w:jc w:val="center"/>
        <w:tblLook w:val="04A0" w:firstRow="1" w:lastRow="0" w:firstColumn="1" w:lastColumn="0" w:noHBand="0" w:noVBand="1"/>
      </w:tblPr>
      <w:tblGrid>
        <w:gridCol w:w="2157"/>
        <w:gridCol w:w="2198"/>
        <w:gridCol w:w="9590"/>
      </w:tblGrid>
      <w:tr w:rsidR="00943E5C" w:rsidRPr="00AC6DEC" w14:paraId="392EBA2B" w14:textId="77777777" w:rsidTr="2A62FF34">
        <w:trPr>
          <w:jc w:val="center"/>
        </w:trPr>
        <w:tc>
          <w:tcPr>
            <w:tcW w:w="2157" w:type="dxa"/>
            <w:shd w:val="clear" w:color="auto" w:fill="D9D9D9" w:themeFill="background1" w:themeFillShade="D9"/>
            <w:tcMar>
              <w:top w:w="72" w:type="dxa"/>
              <w:left w:w="115" w:type="dxa"/>
              <w:bottom w:w="72" w:type="dxa"/>
              <w:right w:w="115" w:type="dxa"/>
            </w:tcMar>
            <w:vAlign w:val="center"/>
          </w:tcPr>
          <w:p w14:paraId="4E2A8277" w14:textId="77777777" w:rsidR="00943E5C" w:rsidRPr="00AC6DEC" w:rsidRDefault="00943E5C" w:rsidP="003A1E8D">
            <w:pPr>
              <w:keepNext/>
              <w:jc w:val="center"/>
              <w:rPr>
                <w:rFonts w:ascii="Times New Roman" w:hAnsi="Times New Roman" w:cs="Times New Roman"/>
                <w:b/>
                <w:bCs/>
                <w:noProof/>
              </w:rPr>
            </w:pPr>
            <w:r w:rsidRPr="00AC6DEC">
              <w:rPr>
                <w:rFonts w:ascii="Times New Roman" w:hAnsi="Times New Roman" w:cs="Times New Roman"/>
                <w:b/>
                <w:bCs/>
                <w:noProof/>
              </w:rPr>
              <w:t>Date</w:t>
            </w:r>
          </w:p>
          <w:p w14:paraId="4FDBE985" w14:textId="77777777" w:rsidR="00943E5C" w:rsidRPr="00AC6DEC" w:rsidRDefault="00943E5C" w:rsidP="003A1E8D">
            <w:pPr>
              <w:keepNext/>
              <w:jc w:val="center"/>
              <w:rPr>
                <w:rFonts w:ascii="Times New Roman" w:hAnsi="Times New Roman" w:cs="Times New Roman"/>
                <w:b/>
                <w:bCs/>
                <w:noProof/>
              </w:rPr>
            </w:pPr>
            <w:r w:rsidRPr="00AC6DEC">
              <w:rPr>
                <w:rFonts w:ascii="Times New Roman" w:hAnsi="Times New Roman" w:cs="Times New Roman"/>
                <w:b/>
                <w:bCs/>
                <w:noProof/>
              </w:rPr>
              <w:t>Posted</w:t>
            </w:r>
          </w:p>
        </w:tc>
        <w:tc>
          <w:tcPr>
            <w:tcW w:w="2198" w:type="dxa"/>
            <w:shd w:val="clear" w:color="auto" w:fill="D9D9D9" w:themeFill="background1" w:themeFillShade="D9"/>
            <w:tcMar>
              <w:top w:w="72" w:type="dxa"/>
              <w:left w:w="115" w:type="dxa"/>
              <w:bottom w:w="72" w:type="dxa"/>
              <w:right w:w="115" w:type="dxa"/>
            </w:tcMar>
            <w:vAlign w:val="center"/>
          </w:tcPr>
          <w:p w14:paraId="429A686F" w14:textId="77777777" w:rsidR="00943E5C" w:rsidRPr="00AC6DEC" w:rsidRDefault="00943E5C" w:rsidP="003A1E8D">
            <w:pPr>
              <w:keepNext/>
              <w:jc w:val="center"/>
              <w:rPr>
                <w:rFonts w:ascii="Times New Roman" w:hAnsi="Times New Roman" w:cs="Times New Roman"/>
                <w:b/>
                <w:bCs/>
                <w:noProof/>
              </w:rPr>
            </w:pPr>
            <w:r w:rsidRPr="00AC6DEC">
              <w:rPr>
                <w:rFonts w:ascii="Times New Roman" w:hAnsi="Times New Roman" w:cs="Times New Roman"/>
                <w:b/>
                <w:bCs/>
                <w:noProof/>
              </w:rPr>
              <w:t>Category</w:t>
            </w:r>
          </w:p>
        </w:tc>
        <w:tc>
          <w:tcPr>
            <w:tcW w:w="9590" w:type="dxa"/>
            <w:shd w:val="clear" w:color="auto" w:fill="D9D9D9" w:themeFill="background1" w:themeFillShade="D9"/>
            <w:tcMar>
              <w:top w:w="72" w:type="dxa"/>
              <w:left w:w="115" w:type="dxa"/>
              <w:bottom w:w="72" w:type="dxa"/>
              <w:right w:w="115" w:type="dxa"/>
            </w:tcMar>
            <w:vAlign w:val="center"/>
          </w:tcPr>
          <w:p w14:paraId="38A5515A" w14:textId="77777777" w:rsidR="00943E5C" w:rsidRPr="00AC6DEC" w:rsidRDefault="00943E5C" w:rsidP="003A1E8D">
            <w:pPr>
              <w:keepNext/>
              <w:jc w:val="center"/>
              <w:rPr>
                <w:rFonts w:ascii="Times New Roman" w:hAnsi="Times New Roman" w:cs="Times New Roman"/>
                <w:b/>
                <w:bCs/>
                <w:noProof/>
              </w:rPr>
            </w:pPr>
            <w:r w:rsidRPr="00AC6DEC">
              <w:rPr>
                <w:rFonts w:ascii="Times New Roman" w:hAnsi="Times New Roman" w:cs="Times New Roman"/>
                <w:b/>
                <w:bCs/>
                <w:noProof/>
              </w:rPr>
              <w:t>Question and Answer</w:t>
            </w:r>
          </w:p>
        </w:tc>
      </w:tr>
      <w:tr w:rsidR="00943E5C" w:rsidRPr="00AC6DEC" w14:paraId="7454F77F" w14:textId="77777777" w:rsidTr="2A62FF34">
        <w:trPr>
          <w:jc w:val="center"/>
        </w:trPr>
        <w:tc>
          <w:tcPr>
            <w:tcW w:w="2157" w:type="dxa"/>
            <w:tcMar>
              <w:top w:w="72" w:type="dxa"/>
              <w:left w:w="115" w:type="dxa"/>
              <w:bottom w:w="72" w:type="dxa"/>
              <w:right w:w="115" w:type="dxa"/>
            </w:tcMar>
            <w:vAlign w:val="center"/>
          </w:tcPr>
          <w:p w14:paraId="50A8E09B" w14:textId="77777777" w:rsidR="00943E5C" w:rsidRPr="00786942" w:rsidRDefault="00943E5C" w:rsidP="00607B8C">
            <w:pPr>
              <w:rPr>
                <w:rFonts w:ascii="Times New Roman" w:hAnsi="Times New Roman" w:cs="Times New Roman"/>
              </w:rPr>
            </w:pPr>
            <w:r w:rsidRPr="00633289">
              <w:rPr>
                <w:rFonts w:ascii="Times New Roman" w:hAnsi="Times New Roman" w:cs="Times New Roman"/>
              </w:rPr>
              <w:t>5/12/21</w:t>
            </w:r>
          </w:p>
        </w:tc>
        <w:tc>
          <w:tcPr>
            <w:tcW w:w="2198" w:type="dxa"/>
            <w:tcMar>
              <w:top w:w="72" w:type="dxa"/>
              <w:left w:w="115" w:type="dxa"/>
              <w:bottom w:w="72" w:type="dxa"/>
              <w:right w:w="115" w:type="dxa"/>
            </w:tcMar>
            <w:vAlign w:val="center"/>
          </w:tcPr>
          <w:p w14:paraId="79BD841B" w14:textId="77777777" w:rsidR="00943E5C" w:rsidRDefault="00943E5C" w:rsidP="00607B8C">
            <w:pPr>
              <w:rPr>
                <w:rFonts w:ascii="Times New Roman" w:hAnsi="Times New Roman" w:cs="Times New Roman"/>
                <w:noProof/>
              </w:rPr>
            </w:pPr>
            <w:r>
              <w:rPr>
                <w:rFonts w:ascii="Times New Roman" w:hAnsi="Times New Roman" w:cs="Times New Roman"/>
                <w:noProof/>
              </w:rPr>
              <w:t>2.01</w:t>
            </w:r>
          </w:p>
          <w:p w14:paraId="7681EBED" w14:textId="77777777" w:rsidR="00943E5C" w:rsidRDefault="00943E5C" w:rsidP="00607B8C">
            <w:pPr>
              <w:rPr>
                <w:rFonts w:ascii="Times New Roman" w:hAnsi="Times New Roman" w:cs="Times New Roman"/>
                <w:noProof/>
              </w:rPr>
            </w:pPr>
            <w:r>
              <w:rPr>
                <w:rFonts w:ascii="Times New Roman" w:hAnsi="Times New Roman" w:cs="Times New Roman"/>
                <w:noProof/>
              </w:rPr>
              <w:t>Threshold; Project Feasibility</w:t>
            </w:r>
          </w:p>
        </w:tc>
        <w:tc>
          <w:tcPr>
            <w:tcW w:w="9590" w:type="dxa"/>
            <w:tcMar>
              <w:top w:w="72" w:type="dxa"/>
              <w:left w:w="115" w:type="dxa"/>
              <w:bottom w:w="72" w:type="dxa"/>
              <w:right w:w="115" w:type="dxa"/>
            </w:tcMar>
            <w:vAlign w:val="center"/>
          </w:tcPr>
          <w:p w14:paraId="7144E77E" w14:textId="77777777" w:rsidR="00943E5C" w:rsidRDefault="00943E5C" w:rsidP="00607B8C">
            <w:pPr>
              <w:rPr>
                <w:rFonts w:ascii="Times New Roman" w:hAnsi="Times New Roman" w:cs="Times New Roman"/>
              </w:rPr>
            </w:pPr>
            <w:r w:rsidRPr="47697D6B">
              <w:rPr>
                <w:rFonts w:ascii="Times New Roman" w:hAnsi="Times New Roman" w:cs="Times New Roman"/>
                <w:b/>
                <w:bCs/>
              </w:rPr>
              <w:t>Question:</w:t>
            </w:r>
            <w:r w:rsidRPr="47697D6B">
              <w:rPr>
                <w:rFonts w:ascii="Times New Roman" w:hAnsi="Times New Roman" w:cs="Times New Roman"/>
              </w:rPr>
              <w:t xml:space="preserve"> </w:t>
            </w:r>
            <w:r w:rsidRPr="003E3BDF">
              <w:rPr>
                <w:rFonts w:ascii="Times New Roman" w:hAnsi="Times New Roman" w:cs="Times New Roman"/>
                <w:b/>
                <w:bCs/>
              </w:rPr>
              <w:t>Q0426_06</w:t>
            </w:r>
            <w:r>
              <w:tab/>
            </w:r>
          </w:p>
          <w:p w14:paraId="7B71CB79" w14:textId="77777777" w:rsidR="00943E5C" w:rsidRDefault="00943E5C" w:rsidP="00607B8C">
            <w:pPr>
              <w:contextualSpacing/>
              <w:rPr>
                <w:rFonts w:ascii="Times New Roman" w:hAnsi="Times New Roman" w:cs="Times New Roman"/>
              </w:rPr>
            </w:pPr>
            <w:r w:rsidRPr="54FFCA6C">
              <w:rPr>
                <w:rFonts w:ascii="Times New Roman" w:hAnsi="Times New Roman" w:cs="Times New Roman"/>
              </w:rPr>
              <w:t xml:space="preserve">Our proposed 9% LIHTC new construction, 70-unit family development includes 30 HUD RAD Section 8 PBRA-assisted units and the balance of 40 units will be LIHTC-only with no rental assistance.   We would like clarification from DCA of what source for our Utility Allowances (UAs) we should use.  By the QAP definitions of the Threshold Criteria, we are considered to have both ""HUD-Regulated Buildings"" and ""Tax Credit Buildings with no HOME.""  HUD will review the rents and utility allowances for the 30 RAD Section 8 units, but not the 40 LIHTC-only units.  We understand that DCA requires the RAD units to utilize the HUD-Prescribed UAs for those units, which will be documented with a RAD CHAP in the LIHTC application.  However, we ask for clarity from DCA about which UAs we should use for the LIHTC-only units.  The local housing authority does not administer Section 8 units.  Which source should we use to establish the initial UAs for the LIHTC-only units?  Should the whole project comply with the ""HUD-Regulated Buildings"" definition and therefore use the CHAP UAs for all units?  </w:t>
            </w:r>
            <w:r>
              <w:tab/>
            </w:r>
            <w:r>
              <w:tab/>
            </w:r>
          </w:p>
          <w:p w14:paraId="5797E727" w14:textId="77777777" w:rsidR="00943E5C" w:rsidRDefault="00943E5C" w:rsidP="00607B8C">
            <w:pPr>
              <w:contextualSpacing/>
              <w:rPr>
                <w:rFonts w:ascii="Times New Roman" w:hAnsi="Times New Roman" w:cs="Times New Roman"/>
              </w:rPr>
            </w:pPr>
            <w:r w:rsidRPr="00357BB6">
              <w:rPr>
                <w:rFonts w:ascii="Times New Roman" w:hAnsi="Times New Roman" w:cs="Times New Roman"/>
              </w:rPr>
              <w:tab/>
            </w:r>
          </w:p>
          <w:p w14:paraId="798BA94B" w14:textId="77777777" w:rsidR="00943E5C" w:rsidRDefault="00943E5C" w:rsidP="00607B8C">
            <w:pPr>
              <w:rPr>
                <w:rFonts w:ascii="Times New Roman" w:hAnsi="Times New Roman" w:cs="Times New Roman"/>
                <w:b/>
                <w:bCs/>
              </w:rPr>
            </w:pPr>
            <w:r>
              <w:rPr>
                <w:rFonts w:ascii="Times New Roman" w:hAnsi="Times New Roman" w:cs="Times New Roman"/>
                <w:b/>
                <w:bCs/>
              </w:rPr>
              <w:t>Answer:</w:t>
            </w:r>
          </w:p>
          <w:p w14:paraId="7DEA922F" w14:textId="77777777" w:rsidR="00943E5C" w:rsidRDefault="00943E5C" w:rsidP="00607B8C">
            <w:pPr>
              <w:rPr>
                <w:rFonts w:ascii="Times New Roman" w:hAnsi="Times New Roman" w:cs="Times New Roman"/>
              </w:rPr>
            </w:pPr>
            <w:r w:rsidRPr="00F4134A">
              <w:rPr>
                <w:rFonts w:ascii="Times New Roman" w:hAnsi="Times New Roman" w:cs="Times New Roman"/>
                <w:i/>
                <w:iCs/>
              </w:rPr>
              <w:t>Threshold Criteria, Project Feasibility, Feasibility Assumptions and Policies, 7. Operating Utility Allowance</w:t>
            </w:r>
            <w:r w:rsidRPr="00F4134A">
              <w:rPr>
                <w:rFonts w:ascii="Times New Roman" w:hAnsi="Times New Roman" w:cs="Times New Roman"/>
              </w:rPr>
              <w:t xml:space="preserve"> describes the utility allowance assumptions to be used for underwriting purposes under the most common circumstances submitted to DCA. For all circumstances not described explicitly under this subsection, DCA does not hold a position different from what is allowable under the applicable regulations given the property’s funding sources. </w:t>
            </w:r>
          </w:p>
          <w:p w14:paraId="2AF723AA" w14:textId="77777777" w:rsidR="00943E5C" w:rsidRDefault="00943E5C" w:rsidP="00607B8C">
            <w:pPr>
              <w:rPr>
                <w:rFonts w:ascii="Times New Roman" w:hAnsi="Times New Roman" w:cs="Times New Roman"/>
              </w:rPr>
            </w:pPr>
          </w:p>
          <w:p w14:paraId="661FFDB5" w14:textId="77777777" w:rsidR="00943E5C" w:rsidRPr="00835A48" w:rsidRDefault="00943E5C" w:rsidP="00607B8C">
            <w:pPr>
              <w:contextualSpacing/>
              <w:rPr>
                <w:rFonts w:ascii="Times New Roman" w:hAnsi="Times New Roman" w:cs="Times New Roman"/>
                <w:b/>
                <w:bCs/>
              </w:rPr>
            </w:pPr>
            <w:r w:rsidRPr="00F4134A">
              <w:rPr>
                <w:rFonts w:ascii="Times New Roman" w:eastAsia="Times New Roman" w:hAnsi="Times New Roman" w:cs="Times New Roman"/>
              </w:rPr>
              <w:lastRenderedPageBreak/>
              <w:t xml:space="preserve">For applicants who wish to utilize the UA established by the Public Housing Agency (PHA) that administers the Section 8 Program in the locality where the property is located, and DCA is the contract administrator, please see the applicable UAs here </w:t>
            </w:r>
            <w:hyperlink r:id="rId18">
              <w:r w:rsidRPr="00F4134A">
                <w:rPr>
                  <w:rStyle w:val="Hyperlink"/>
                  <w:rFonts w:ascii="Times New Roman" w:eastAsia="Times New Roman" w:hAnsi="Times New Roman" w:cs="Times New Roman"/>
                </w:rPr>
                <w:t>https://www.dca.ga.gov/node/4593</w:t>
              </w:r>
            </w:hyperlink>
            <w:r w:rsidRPr="00F4134A">
              <w:rPr>
                <w:rFonts w:ascii="Times New Roman" w:eastAsia="Times New Roman" w:hAnsi="Times New Roman" w:cs="Times New Roman"/>
              </w:rPr>
              <w:t>.</w:t>
            </w:r>
          </w:p>
        </w:tc>
      </w:tr>
      <w:tr w:rsidR="00943E5C" w:rsidRPr="00AC6DEC" w14:paraId="43537E9D" w14:textId="77777777" w:rsidTr="2A62FF34">
        <w:trPr>
          <w:jc w:val="center"/>
        </w:trPr>
        <w:tc>
          <w:tcPr>
            <w:tcW w:w="2157" w:type="dxa"/>
            <w:tcMar>
              <w:top w:w="72" w:type="dxa"/>
              <w:left w:w="115" w:type="dxa"/>
              <w:bottom w:w="72" w:type="dxa"/>
              <w:right w:w="115" w:type="dxa"/>
            </w:tcMar>
            <w:vAlign w:val="center"/>
          </w:tcPr>
          <w:p w14:paraId="7AA7AECE" w14:textId="77777777" w:rsidR="00943E5C" w:rsidRPr="00FD5F43" w:rsidRDefault="00943E5C" w:rsidP="00607B8C">
            <w:pPr>
              <w:rPr>
                <w:rFonts w:ascii="Times New Roman" w:hAnsi="Times New Roman" w:cs="Times New Roman"/>
                <w:highlight w:val="yellow"/>
              </w:rPr>
            </w:pPr>
            <w:r w:rsidRPr="00633289">
              <w:rPr>
                <w:rFonts w:ascii="Times New Roman" w:hAnsi="Times New Roman" w:cs="Times New Roman"/>
              </w:rPr>
              <w:lastRenderedPageBreak/>
              <w:t>5/12/21</w:t>
            </w:r>
          </w:p>
        </w:tc>
        <w:tc>
          <w:tcPr>
            <w:tcW w:w="2198" w:type="dxa"/>
            <w:tcMar>
              <w:top w:w="72" w:type="dxa"/>
              <w:left w:w="115" w:type="dxa"/>
              <w:bottom w:w="72" w:type="dxa"/>
              <w:right w:w="115" w:type="dxa"/>
            </w:tcMar>
            <w:vAlign w:val="center"/>
          </w:tcPr>
          <w:p w14:paraId="0DEA15CA" w14:textId="77777777" w:rsidR="00943E5C" w:rsidRDefault="00943E5C" w:rsidP="00BA3596">
            <w:pPr>
              <w:rPr>
                <w:rFonts w:ascii="Times New Roman" w:hAnsi="Times New Roman" w:cs="Times New Roman"/>
                <w:noProof/>
              </w:rPr>
            </w:pPr>
            <w:r>
              <w:rPr>
                <w:rFonts w:ascii="Times New Roman" w:hAnsi="Times New Roman" w:cs="Times New Roman"/>
                <w:noProof/>
              </w:rPr>
              <w:t>2.25</w:t>
            </w:r>
          </w:p>
          <w:p w14:paraId="6852B116" w14:textId="77777777" w:rsidR="00943E5C" w:rsidRDefault="00943E5C" w:rsidP="00BA3596">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47607681" w14:textId="77777777" w:rsidR="00943E5C" w:rsidRPr="00296C51" w:rsidRDefault="00943E5C" w:rsidP="00296C51">
            <w:pPr>
              <w:contextualSpacing/>
              <w:rPr>
                <w:rFonts w:ascii="Times New Roman" w:hAnsi="Times New Roman" w:cs="Times New Roman"/>
                <w:b/>
                <w:bCs/>
              </w:rPr>
            </w:pPr>
            <w:r w:rsidRPr="00296C51">
              <w:rPr>
                <w:rFonts w:ascii="Times New Roman" w:hAnsi="Times New Roman" w:cs="Times New Roman"/>
                <w:b/>
                <w:bCs/>
              </w:rPr>
              <w:t>Question: Q-ReloWebinar_03</w:t>
            </w:r>
          </w:p>
          <w:p w14:paraId="5AAF00B6" w14:textId="77777777" w:rsidR="00943E5C" w:rsidRPr="006D4C17" w:rsidRDefault="00943E5C" w:rsidP="00296C51">
            <w:pPr>
              <w:contextualSpacing/>
              <w:rPr>
                <w:rFonts w:ascii="Times New Roman" w:hAnsi="Times New Roman" w:cs="Times New Roman"/>
              </w:rPr>
            </w:pPr>
            <w:r w:rsidRPr="006D4C17">
              <w:rPr>
                <w:rFonts w:ascii="Times New Roman" w:hAnsi="Times New Roman" w:cs="Times New Roman"/>
              </w:rPr>
              <w:t>Will the new manual be in effect for projects funded in 2020?</w:t>
            </w:r>
          </w:p>
          <w:p w14:paraId="06BB3BC2" w14:textId="77777777" w:rsidR="00943E5C" w:rsidRPr="006D4C17" w:rsidRDefault="00943E5C" w:rsidP="00296C51">
            <w:pPr>
              <w:contextualSpacing/>
              <w:rPr>
                <w:rFonts w:ascii="Times New Roman" w:hAnsi="Times New Roman" w:cs="Times New Roman"/>
                <w:b/>
                <w:bCs/>
              </w:rPr>
            </w:pPr>
          </w:p>
          <w:p w14:paraId="57F03BB2" w14:textId="77777777" w:rsidR="00943E5C" w:rsidRPr="006D4C17" w:rsidRDefault="00943E5C" w:rsidP="00296C51">
            <w:pPr>
              <w:contextualSpacing/>
              <w:rPr>
                <w:rFonts w:ascii="Times New Roman" w:hAnsi="Times New Roman" w:cs="Times New Roman"/>
                <w:b/>
                <w:bCs/>
              </w:rPr>
            </w:pPr>
            <w:r w:rsidRPr="006D4C17">
              <w:rPr>
                <w:rFonts w:ascii="Times New Roman" w:hAnsi="Times New Roman" w:cs="Times New Roman"/>
                <w:b/>
                <w:bCs/>
              </w:rPr>
              <w:t xml:space="preserve">Answer: </w:t>
            </w:r>
          </w:p>
          <w:p w14:paraId="362EFAAD" w14:textId="77777777" w:rsidR="00943E5C" w:rsidRPr="00296C51" w:rsidRDefault="00943E5C" w:rsidP="00607B8C">
            <w:pPr>
              <w:contextualSpacing/>
              <w:rPr>
                <w:rFonts w:ascii="Times New Roman" w:hAnsi="Times New Roman" w:cs="Times New Roman"/>
              </w:rPr>
            </w:pPr>
            <w:r w:rsidRPr="36171C3D">
              <w:rPr>
                <w:rFonts w:ascii="Times New Roman" w:hAnsi="Times New Roman" w:cs="Times New Roman"/>
              </w:rPr>
              <w:t>The new manual coincides with the 2021 QAP and is required for 2021 applications. It can be used as guidance for earlier years.</w:t>
            </w:r>
          </w:p>
        </w:tc>
      </w:tr>
      <w:tr w:rsidR="00943E5C" w:rsidRPr="00AC6DEC" w14:paraId="30760D32" w14:textId="77777777" w:rsidTr="2A62FF34">
        <w:trPr>
          <w:jc w:val="center"/>
        </w:trPr>
        <w:tc>
          <w:tcPr>
            <w:tcW w:w="2157" w:type="dxa"/>
            <w:tcMar>
              <w:top w:w="72" w:type="dxa"/>
              <w:left w:w="115" w:type="dxa"/>
              <w:bottom w:w="72" w:type="dxa"/>
              <w:right w:w="115" w:type="dxa"/>
            </w:tcMar>
            <w:vAlign w:val="center"/>
          </w:tcPr>
          <w:p w14:paraId="752D169D" w14:textId="77777777" w:rsidR="00943E5C" w:rsidRPr="00FD5F43" w:rsidRDefault="00943E5C" w:rsidP="00607B8C">
            <w:pPr>
              <w:rPr>
                <w:rFonts w:ascii="Times New Roman" w:hAnsi="Times New Roman" w:cs="Times New Roman"/>
                <w:highlight w:val="yellow"/>
              </w:rPr>
            </w:pPr>
            <w:r w:rsidRPr="00633289">
              <w:rPr>
                <w:rFonts w:ascii="Times New Roman" w:hAnsi="Times New Roman" w:cs="Times New Roman"/>
              </w:rPr>
              <w:t>5/12/21</w:t>
            </w:r>
          </w:p>
        </w:tc>
        <w:tc>
          <w:tcPr>
            <w:tcW w:w="2198" w:type="dxa"/>
            <w:tcMar>
              <w:top w:w="72" w:type="dxa"/>
              <w:left w:w="115" w:type="dxa"/>
              <w:bottom w:w="72" w:type="dxa"/>
              <w:right w:w="115" w:type="dxa"/>
            </w:tcMar>
            <w:vAlign w:val="center"/>
          </w:tcPr>
          <w:p w14:paraId="5DC96D1C" w14:textId="77777777" w:rsidR="00943E5C" w:rsidRDefault="00943E5C" w:rsidP="00607B8C">
            <w:pPr>
              <w:rPr>
                <w:rFonts w:ascii="Times New Roman" w:hAnsi="Times New Roman" w:cs="Times New Roman"/>
                <w:noProof/>
              </w:rPr>
            </w:pPr>
            <w:r>
              <w:rPr>
                <w:rFonts w:ascii="Times New Roman" w:hAnsi="Times New Roman" w:cs="Times New Roman"/>
                <w:noProof/>
              </w:rPr>
              <w:t>2.25</w:t>
            </w:r>
          </w:p>
          <w:p w14:paraId="136BB08E" w14:textId="77777777" w:rsidR="00943E5C" w:rsidRDefault="00943E5C"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2560E1D9" w14:textId="77777777" w:rsidR="00943E5C" w:rsidRPr="00607B8C" w:rsidRDefault="00943E5C" w:rsidP="00607B8C">
            <w:pPr>
              <w:contextualSpacing/>
              <w:rPr>
                <w:rFonts w:ascii="Times New Roman" w:hAnsi="Times New Roman" w:cs="Times New Roman"/>
                <w:b/>
                <w:bCs/>
              </w:rPr>
            </w:pPr>
            <w:r w:rsidRPr="00607B8C">
              <w:rPr>
                <w:rFonts w:ascii="Times New Roman" w:hAnsi="Times New Roman" w:cs="Times New Roman"/>
                <w:b/>
                <w:bCs/>
              </w:rPr>
              <w:t>Question: Q-ReloWebinar_01</w:t>
            </w:r>
            <w:r w:rsidRPr="00607B8C">
              <w:rPr>
                <w:rFonts w:ascii="Times New Roman" w:hAnsi="Times New Roman" w:cs="Times New Roman"/>
                <w:b/>
                <w:bCs/>
                <w:highlight w:val="yellow"/>
              </w:rPr>
              <w:t xml:space="preserve"> </w:t>
            </w:r>
          </w:p>
          <w:p w14:paraId="10C50665" w14:textId="77777777" w:rsidR="00943E5C" w:rsidRDefault="00943E5C" w:rsidP="00607B8C">
            <w:pPr>
              <w:contextualSpacing/>
              <w:rPr>
                <w:rFonts w:ascii="Times New Roman" w:hAnsi="Times New Roman" w:cs="Times New Roman"/>
              </w:rPr>
            </w:pPr>
            <w:r w:rsidRPr="00B92AAA">
              <w:rPr>
                <w:rFonts w:ascii="Times New Roman" w:hAnsi="Times New Roman" w:cs="Times New Roman"/>
              </w:rPr>
              <w:t xml:space="preserve">Does </w:t>
            </w:r>
            <w:r>
              <w:rPr>
                <w:rFonts w:ascii="Times New Roman" w:hAnsi="Times New Roman" w:cs="Times New Roman"/>
              </w:rPr>
              <w:t xml:space="preserve">the new relocation </w:t>
            </w:r>
            <w:r w:rsidRPr="00B92AAA">
              <w:rPr>
                <w:rFonts w:ascii="Times New Roman" w:hAnsi="Times New Roman" w:cs="Times New Roman"/>
              </w:rPr>
              <w:t>manual apply to existing projects in DCA's LIHTC portfolio that are being refinanced without new tax credits?</w:t>
            </w:r>
          </w:p>
          <w:p w14:paraId="71930BE2" w14:textId="77777777" w:rsidR="00943E5C" w:rsidRPr="00B92AAA" w:rsidRDefault="00943E5C" w:rsidP="00607B8C">
            <w:pPr>
              <w:contextualSpacing/>
              <w:rPr>
                <w:rFonts w:ascii="Times New Roman" w:hAnsi="Times New Roman" w:cs="Times New Roman"/>
                <w:b/>
                <w:bCs/>
              </w:rPr>
            </w:pPr>
          </w:p>
          <w:p w14:paraId="313BC9F9" w14:textId="77777777" w:rsidR="00943E5C" w:rsidRPr="00B92AAA" w:rsidRDefault="00943E5C" w:rsidP="00607B8C">
            <w:pPr>
              <w:contextualSpacing/>
              <w:rPr>
                <w:rFonts w:ascii="Times New Roman" w:hAnsi="Times New Roman" w:cs="Times New Roman"/>
                <w:b/>
                <w:bCs/>
              </w:rPr>
            </w:pPr>
            <w:r w:rsidRPr="2B3B39E8">
              <w:rPr>
                <w:rFonts w:ascii="Times New Roman" w:hAnsi="Times New Roman" w:cs="Times New Roman"/>
                <w:b/>
                <w:bCs/>
              </w:rPr>
              <w:t xml:space="preserve">Answer: </w:t>
            </w:r>
          </w:p>
          <w:p w14:paraId="5DC02C73" w14:textId="77777777" w:rsidR="00943E5C" w:rsidRPr="00607B8C" w:rsidRDefault="00943E5C" w:rsidP="00607B8C">
            <w:pPr>
              <w:contextualSpacing/>
              <w:rPr>
                <w:rFonts w:ascii="Times New Roman" w:eastAsia="Times New Roman" w:hAnsi="Times New Roman" w:cs="Times New Roman"/>
              </w:rPr>
            </w:pPr>
            <w:r w:rsidRPr="2B3B39E8">
              <w:rPr>
                <w:rFonts w:ascii="Times New Roman" w:eastAsia="Times New Roman" w:hAnsi="Times New Roman" w:cs="Times New Roman"/>
              </w:rPr>
              <w:t>This only applies to developments applying for DCA’s Housing Tax Credits funded in 2021.</w:t>
            </w:r>
          </w:p>
        </w:tc>
      </w:tr>
      <w:tr w:rsidR="00943E5C" w:rsidRPr="00AC6DEC" w14:paraId="271B8D04" w14:textId="77777777" w:rsidTr="2A62FF34">
        <w:trPr>
          <w:jc w:val="center"/>
        </w:trPr>
        <w:tc>
          <w:tcPr>
            <w:tcW w:w="2157" w:type="dxa"/>
            <w:tcMar>
              <w:top w:w="72" w:type="dxa"/>
              <w:left w:w="115" w:type="dxa"/>
              <w:bottom w:w="72" w:type="dxa"/>
              <w:right w:w="115" w:type="dxa"/>
            </w:tcMar>
            <w:vAlign w:val="center"/>
          </w:tcPr>
          <w:p w14:paraId="3BE513B3" w14:textId="77777777" w:rsidR="00943E5C" w:rsidRPr="00FD5F43" w:rsidRDefault="00943E5C" w:rsidP="00607B8C">
            <w:pPr>
              <w:rPr>
                <w:rFonts w:ascii="Times New Roman" w:hAnsi="Times New Roman" w:cs="Times New Roman"/>
                <w:highlight w:val="yellow"/>
              </w:rPr>
            </w:pPr>
            <w:r w:rsidRPr="00633289">
              <w:rPr>
                <w:rFonts w:ascii="Times New Roman" w:hAnsi="Times New Roman" w:cs="Times New Roman"/>
              </w:rPr>
              <w:t>5/12/21</w:t>
            </w:r>
          </w:p>
        </w:tc>
        <w:tc>
          <w:tcPr>
            <w:tcW w:w="2198" w:type="dxa"/>
            <w:tcMar>
              <w:top w:w="72" w:type="dxa"/>
              <w:left w:w="115" w:type="dxa"/>
              <w:bottom w:w="72" w:type="dxa"/>
              <w:right w:w="115" w:type="dxa"/>
            </w:tcMar>
            <w:vAlign w:val="center"/>
          </w:tcPr>
          <w:p w14:paraId="5E31A061" w14:textId="77777777" w:rsidR="00943E5C" w:rsidRDefault="00943E5C" w:rsidP="00607B8C">
            <w:pPr>
              <w:rPr>
                <w:rFonts w:ascii="Times New Roman" w:hAnsi="Times New Roman" w:cs="Times New Roman"/>
                <w:noProof/>
              </w:rPr>
            </w:pPr>
            <w:r>
              <w:rPr>
                <w:rFonts w:ascii="Times New Roman" w:hAnsi="Times New Roman" w:cs="Times New Roman"/>
                <w:noProof/>
              </w:rPr>
              <w:t>2.25</w:t>
            </w:r>
          </w:p>
          <w:p w14:paraId="30E287B9" w14:textId="77777777" w:rsidR="00943E5C" w:rsidRDefault="00943E5C"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7D7D9FEA" w14:textId="77777777" w:rsidR="00943E5C" w:rsidRDefault="00943E5C" w:rsidP="00607B8C">
            <w:pPr>
              <w:contextualSpacing/>
              <w:rPr>
                <w:rFonts w:ascii="Times New Roman" w:hAnsi="Times New Roman" w:cs="Times New Roman"/>
              </w:rPr>
            </w:pPr>
            <w:r w:rsidRPr="2F386E20">
              <w:rPr>
                <w:rFonts w:ascii="Times New Roman" w:hAnsi="Times New Roman" w:cs="Times New Roman"/>
                <w:b/>
                <w:bCs/>
              </w:rPr>
              <w:t>Question:</w:t>
            </w:r>
            <w:r w:rsidRPr="2F386E20">
              <w:rPr>
                <w:rFonts w:ascii="Times New Roman" w:hAnsi="Times New Roman" w:cs="Times New Roman"/>
              </w:rPr>
              <w:t xml:space="preserve"> Q0426_07</w:t>
            </w:r>
            <w:r>
              <w:tab/>
            </w:r>
          </w:p>
          <w:p w14:paraId="576CE0CC" w14:textId="77777777" w:rsidR="00943E5C" w:rsidRPr="006326DB" w:rsidRDefault="00943E5C" w:rsidP="00607B8C">
            <w:pPr>
              <w:contextualSpacing/>
              <w:rPr>
                <w:rFonts w:ascii="Times New Roman" w:hAnsi="Times New Roman" w:cs="Times New Roman"/>
              </w:rPr>
            </w:pPr>
            <w:r w:rsidRPr="52951783">
              <w:rPr>
                <w:rFonts w:ascii="Times New Roman" w:hAnsi="Times New Roman" w:cs="Times New Roman"/>
              </w:rPr>
              <w:t xml:space="preserve">We are proposing a 9% LIHTC new construction, 72-unit family development that includes 32 RAD Section 8 PBRA-assisted units on raw land that does not contain any public housing units on it. Through the RAD program, we will utilize a Transfer of Assistance process in the RAD program to transfer the PBRA assistance from the local housing authority's current portfolio of existing public housing units to the new LIHTC/RAD project site.  We will have a delayed HAP Contract that will begin on the new site upon completion of construction.  At that time, 32 families residing in the housing authority's public housing will be selected to relocate to the new LIHTC/RAD project site through a lottery system overseen by housing authority that will be based on family-size and lease compliance.  If we are successful in securing 9% LIHTCs in this 2021 Round, we estimate to complete construction and move residents into the new project during 4th Quarter 2023.  </w:t>
            </w:r>
          </w:p>
          <w:p w14:paraId="06F8D7A4" w14:textId="77777777" w:rsidR="00943E5C" w:rsidRPr="006326DB" w:rsidRDefault="00943E5C" w:rsidP="00607B8C">
            <w:pPr>
              <w:contextualSpacing/>
              <w:rPr>
                <w:rFonts w:ascii="Times New Roman" w:hAnsi="Times New Roman" w:cs="Times New Roman"/>
              </w:rPr>
            </w:pPr>
          </w:p>
          <w:p w14:paraId="137566C7" w14:textId="77777777" w:rsidR="00943E5C" w:rsidRPr="006326DB" w:rsidRDefault="00943E5C" w:rsidP="00607B8C">
            <w:pPr>
              <w:contextualSpacing/>
              <w:rPr>
                <w:rFonts w:ascii="Times New Roman" w:hAnsi="Times New Roman" w:cs="Times New Roman"/>
              </w:rPr>
            </w:pPr>
            <w:r w:rsidRPr="2F386E20">
              <w:rPr>
                <w:rFonts w:ascii="Times New Roman" w:hAnsi="Times New Roman" w:cs="Times New Roman"/>
              </w:rPr>
              <w:t xml:space="preserve">Given that the 32 RAD families will not be relocated until over 2 years from now, we do not think it is wise, effective, and appropriate to select these households now because we have no assurance that they will be qualified and still living in public housing by then.   Therefore, we believe providing resident-specific information on relocation documents as part of our 9% LIHTC application is not a wise approach.  We believe the following documents are appropriate to submit in the 9% LIHTC application and we plan to submit the following </w:t>
            </w:r>
            <w:proofErr w:type="gramStart"/>
            <w:r w:rsidRPr="2F386E20">
              <w:rPr>
                <w:rFonts w:ascii="Times New Roman" w:hAnsi="Times New Roman" w:cs="Times New Roman"/>
              </w:rPr>
              <w:t>documents</w:t>
            </w:r>
            <w:proofErr w:type="gramEnd"/>
          </w:p>
          <w:p w14:paraId="19F49C9D" w14:textId="77777777" w:rsidR="00943E5C" w:rsidRPr="006326DB" w:rsidRDefault="00943E5C" w:rsidP="00607B8C">
            <w:pPr>
              <w:contextualSpacing/>
              <w:rPr>
                <w:rFonts w:ascii="Times New Roman" w:hAnsi="Times New Roman" w:cs="Times New Roman"/>
              </w:rPr>
            </w:pPr>
            <w:r w:rsidRPr="2F386E20">
              <w:rPr>
                <w:rFonts w:ascii="Times New Roman" w:hAnsi="Times New Roman" w:cs="Times New Roman"/>
              </w:rPr>
              <w:t xml:space="preserve">-- Comprehensive Relocation Plan </w:t>
            </w:r>
          </w:p>
          <w:p w14:paraId="5828EEFA" w14:textId="77777777" w:rsidR="00943E5C" w:rsidRPr="006326DB" w:rsidRDefault="00943E5C" w:rsidP="00607B8C">
            <w:pPr>
              <w:contextualSpacing/>
              <w:rPr>
                <w:rFonts w:ascii="Times New Roman" w:hAnsi="Times New Roman" w:cs="Times New Roman"/>
              </w:rPr>
            </w:pPr>
            <w:r w:rsidRPr="2F386E20">
              <w:rPr>
                <w:rFonts w:ascii="Times New Roman" w:hAnsi="Times New Roman" w:cs="Times New Roman"/>
              </w:rPr>
              <w:lastRenderedPageBreak/>
              <w:t>-- Site Relocation Survey Form</w:t>
            </w:r>
          </w:p>
          <w:p w14:paraId="3564D2A6" w14:textId="77777777" w:rsidR="00943E5C" w:rsidRPr="006326DB" w:rsidRDefault="00943E5C" w:rsidP="00607B8C">
            <w:pPr>
              <w:contextualSpacing/>
              <w:rPr>
                <w:rFonts w:ascii="Times New Roman" w:hAnsi="Times New Roman" w:cs="Times New Roman"/>
              </w:rPr>
            </w:pPr>
            <w:r w:rsidRPr="2F386E20">
              <w:rPr>
                <w:rFonts w:ascii="Times New Roman" w:hAnsi="Times New Roman" w:cs="Times New Roman"/>
              </w:rPr>
              <w:t>-- Relocation Budget</w:t>
            </w:r>
          </w:p>
          <w:p w14:paraId="77F1FE5F" w14:textId="77777777" w:rsidR="00943E5C" w:rsidRPr="006326DB" w:rsidRDefault="00943E5C" w:rsidP="00607B8C">
            <w:pPr>
              <w:contextualSpacing/>
              <w:rPr>
                <w:rFonts w:ascii="Times New Roman" w:hAnsi="Times New Roman" w:cs="Times New Roman"/>
              </w:rPr>
            </w:pPr>
            <w:r w:rsidRPr="2F386E20">
              <w:rPr>
                <w:rFonts w:ascii="Times New Roman" w:hAnsi="Times New Roman" w:cs="Times New Roman"/>
              </w:rPr>
              <w:t>-- Multifamily Tenant Relocation Plan Certification</w:t>
            </w:r>
          </w:p>
          <w:p w14:paraId="19B87B13" w14:textId="77777777" w:rsidR="00943E5C" w:rsidRPr="006326DB" w:rsidRDefault="00943E5C" w:rsidP="00607B8C">
            <w:pPr>
              <w:contextualSpacing/>
              <w:rPr>
                <w:rFonts w:ascii="Times New Roman" w:hAnsi="Times New Roman" w:cs="Times New Roman"/>
              </w:rPr>
            </w:pPr>
            <w:r w:rsidRPr="2F386E20">
              <w:rPr>
                <w:rFonts w:ascii="Times New Roman" w:hAnsi="Times New Roman" w:cs="Times New Roman"/>
              </w:rPr>
              <w:t>-- Biography or letter for Advisory Services and</w:t>
            </w:r>
          </w:p>
          <w:p w14:paraId="5556456B" w14:textId="77777777" w:rsidR="00943E5C" w:rsidRPr="006326DB" w:rsidRDefault="00943E5C" w:rsidP="00607B8C">
            <w:pPr>
              <w:contextualSpacing/>
              <w:rPr>
                <w:rFonts w:ascii="Times New Roman" w:hAnsi="Times New Roman" w:cs="Times New Roman"/>
              </w:rPr>
            </w:pPr>
            <w:r w:rsidRPr="2F386E20">
              <w:rPr>
                <w:rFonts w:ascii="Times New Roman" w:hAnsi="Times New Roman" w:cs="Times New Roman"/>
              </w:rPr>
              <w:t>-- DCA Resident Engagement for Occupied Rehab Form (if DCA requires for this type of relocation)</w:t>
            </w:r>
          </w:p>
          <w:p w14:paraId="69B1F894" w14:textId="77777777" w:rsidR="00943E5C" w:rsidRPr="006326DB" w:rsidRDefault="00943E5C" w:rsidP="00607B8C">
            <w:pPr>
              <w:contextualSpacing/>
              <w:rPr>
                <w:rFonts w:ascii="Times New Roman" w:hAnsi="Times New Roman" w:cs="Times New Roman"/>
              </w:rPr>
            </w:pPr>
          </w:p>
          <w:p w14:paraId="6B9A3661" w14:textId="77777777" w:rsidR="00943E5C" w:rsidRPr="006326DB" w:rsidRDefault="00943E5C" w:rsidP="00607B8C">
            <w:pPr>
              <w:contextualSpacing/>
              <w:rPr>
                <w:rFonts w:ascii="Times New Roman" w:hAnsi="Times New Roman" w:cs="Times New Roman"/>
              </w:rPr>
            </w:pPr>
            <w:r w:rsidRPr="2F386E20">
              <w:rPr>
                <w:rFonts w:ascii="Times New Roman" w:hAnsi="Times New Roman" w:cs="Times New Roman"/>
              </w:rPr>
              <w:t xml:space="preserve">However, we believe it is appropriate to postpone submitting resident-specific relocation documents to DCA until we have determined the specific households once the project is near completion.  Based on this reality, would DCA be agreeable to this project submitting the following relocation documents within 30 days of completion of construction in 2023?  </w:t>
            </w:r>
          </w:p>
          <w:p w14:paraId="162527AB" w14:textId="77777777" w:rsidR="00943E5C" w:rsidRPr="006326DB" w:rsidRDefault="00943E5C" w:rsidP="00607B8C">
            <w:pPr>
              <w:contextualSpacing/>
              <w:rPr>
                <w:rFonts w:ascii="Times New Roman" w:hAnsi="Times New Roman" w:cs="Times New Roman"/>
              </w:rPr>
            </w:pPr>
          </w:p>
          <w:p w14:paraId="2A6F8B7C" w14:textId="77777777" w:rsidR="00943E5C" w:rsidRPr="006326DB" w:rsidRDefault="00943E5C" w:rsidP="00607B8C">
            <w:pPr>
              <w:contextualSpacing/>
              <w:rPr>
                <w:rFonts w:ascii="Times New Roman" w:hAnsi="Times New Roman" w:cs="Times New Roman"/>
              </w:rPr>
            </w:pPr>
            <w:r w:rsidRPr="2F386E20">
              <w:rPr>
                <w:rFonts w:ascii="Times New Roman" w:hAnsi="Times New Roman" w:cs="Times New Roman"/>
              </w:rPr>
              <w:t xml:space="preserve">The specific documents that we propose to be submitted following resident selection in 2023 are as follows: </w:t>
            </w:r>
          </w:p>
          <w:p w14:paraId="1446EF03" w14:textId="77777777" w:rsidR="00943E5C" w:rsidRPr="006326DB" w:rsidRDefault="00943E5C" w:rsidP="00607B8C">
            <w:pPr>
              <w:contextualSpacing/>
              <w:rPr>
                <w:rFonts w:ascii="Times New Roman" w:hAnsi="Times New Roman" w:cs="Times New Roman"/>
              </w:rPr>
            </w:pPr>
            <w:r w:rsidRPr="2F386E20">
              <w:rPr>
                <w:rFonts w:ascii="Times New Roman" w:hAnsi="Times New Roman" w:cs="Times New Roman"/>
              </w:rPr>
              <w:t>-- Relocation Displacement Spreadsheet/Workbook</w:t>
            </w:r>
          </w:p>
          <w:p w14:paraId="004C0D33" w14:textId="77777777" w:rsidR="00943E5C" w:rsidRPr="006326DB" w:rsidRDefault="00943E5C" w:rsidP="00607B8C">
            <w:pPr>
              <w:contextualSpacing/>
              <w:rPr>
                <w:rFonts w:ascii="Times New Roman" w:hAnsi="Times New Roman" w:cs="Times New Roman"/>
              </w:rPr>
            </w:pPr>
            <w:r w:rsidRPr="2F386E20">
              <w:rPr>
                <w:rFonts w:ascii="Times New Roman" w:hAnsi="Times New Roman" w:cs="Times New Roman"/>
              </w:rPr>
              <w:t xml:space="preserve">-- Rent Rolls </w:t>
            </w:r>
          </w:p>
          <w:p w14:paraId="00A31F78" w14:textId="77777777" w:rsidR="00943E5C" w:rsidRPr="006326DB" w:rsidRDefault="00943E5C" w:rsidP="00607B8C">
            <w:pPr>
              <w:contextualSpacing/>
              <w:rPr>
                <w:rFonts w:ascii="Times New Roman" w:hAnsi="Times New Roman" w:cs="Times New Roman"/>
              </w:rPr>
            </w:pPr>
            <w:r w:rsidRPr="2F386E20">
              <w:rPr>
                <w:rFonts w:ascii="Times New Roman" w:hAnsi="Times New Roman" w:cs="Times New Roman"/>
              </w:rPr>
              <w:t>-- Tenant Household Data Forms and</w:t>
            </w:r>
          </w:p>
          <w:p w14:paraId="0CFAEC15" w14:textId="77777777" w:rsidR="00943E5C" w:rsidRPr="006326DB" w:rsidRDefault="00943E5C" w:rsidP="00607B8C">
            <w:pPr>
              <w:contextualSpacing/>
              <w:rPr>
                <w:rFonts w:ascii="Times New Roman" w:hAnsi="Times New Roman" w:cs="Times New Roman"/>
              </w:rPr>
            </w:pPr>
            <w:r w:rsidRPr="2F386E20">
              <w:rPr>
                <w:rFonts w:ascii="Times New Roman" w:hAnsi="Times New Roman" w:cs="Times New Roman"/>
              </w:rPr>
              <w:t>-- General Info Notice for Occupants</w:t>
            </w:r>
          </w:p>
          <w:p w14:paraId="113F86EF" w14:textId="77777777" w:rsidR="00943E5C" w:rsidRPr="006326DB" w:rsidRDefault="00943E5C" w:rsidP="00607B8C">
            <w:pPr>
              <w:contextualSpacing/>
              <w:rPr>
                <w:rFonts w:ascii="Times New Roman" w:hAnsi="Times New Roman" w:cs="Times New Roman"/>
              </w:rPr>
            </w:pPr>
          </w:p>
          <w:p w14:paraId="4D283872" w14:textId="77777777" w:rsidR="00943E5C" w:rsidRPr="006326DB" w:rsidRDefault="00943E5C" w:rsidP="00607B8C">
            <w:pPr>
              <w:contextualSpacing/>
              <w:rPr>
                <w:rFonts w:ascii="Times New Roman" w:hAnsi="Times New Roman" w:cs="Times New Roman"/>
              </w:rPr>
            </w:pPr>
            <w:r w:rsidRPr="2F386E20">
              <w:rPr>
                <w:rFonts w:ascii="Times New Roman" w:hAnsi="Times New Roman" w:cs="Times New Roman"/>
              </w:rPr>
              <w:t>DCA has previously approved this for similar projects. Can you please confirm that this will be acceptable for 2021?</w:t>
            </w:r>
          </w:p>
          <w:p w14:paraId="1B0A3B0B" w14:textId="77777777" w:rsidR="00943E5C" w:rsidRPr="006326DB" w:rsidRDefault="00943E5C" w:rsidP="00607B8C">
            <w:pPr>
              <w:contextualSpacing/>
              <w:rPr>
                <w:rFonts w:ascii="Times New Roman" w:hAnsi="Times New Roman" w:cs="Times New Roman"/>
              </w:rPr>
            </w:pPr>
          </w:p>
          <w:p w14:paraId="7287CF5D" w14:textId="77777777" w:rsidR="00943E5C" w:rsidRDefault="00943E5C" w:rsidP="00607B8C">
            <w:pPr>
              <w:contextualSpacing/>
              <w:rPr>
                <w:rFonts w:ascii="Times New Roman" w:hAnsi="Times New Roman" w:cs="Times New Roman"/>
                <w:b/>
                <w:bCs/>
              </w:rPr>
            </w:pPr>
            <w:r w:rsidRPr="2F386E20">
              <w:rPr>
                <w:rFonts w:ascii="Times New Roman" w:hAnsi="Times New Roman" w:cs="Times New Roman"/>
              </w:rPr>
              <w:t>Also, will DCA require this new construction project to submit the DCA Resident Engagement for Occupied Rehab form?"</w:t>
            </w:r>
          </w:p>
          <w:p w14:paraId="5F2B0FBB" w14:textId="77777777" w:rsidR="00943E5C" w:rsidRDefault="00943E5C" w:rsidP="00607B8C">
            <w:pPr>
              <w:contextualSpacing/>
              <w:rPr>
                <w:rFonts w:ascii="Times New Roman" w:hAnsi="Times New Roman" w:cs="Times New Roman"/>
                <w:b/>
                <w:bCs/>
              </w:rPr>
            </w:pPr>
          </w:p>
          <w:p w14:paraId="120756F9" w14:textId="77777777" w:rsidR="00943E5C" w:rsidRPr="00215D24" w:rsidRDefault="00943E5C" w:rsidP="00607B8C">
            <w:pPr>
              <w:contextualSpacing/>
              <w:rPr>
                <w:rFonts w:ascii="Times New Roman" w:hAnsi="Times New Roman" w:cs="Times New Roman"/>
                <w:b/>
                <w:bCs/>
              </w:rPr>
            </w:pPr>
            <w:r w:rsidRPr="2F386E20">
              <w:rPr>
                <w:rFonts w:ascii="Times New Roman" w:hAnsi="Times New Roman" w:cs="Times New Roman"/>
                <w:b/>
                <w:bCs/>
              </w:rPr>
              <w:t xml:space="preserve">Answer: </w:t>
            </w:r>
          </w:p>
          <w:p w14:paraId="3EA0405C" w14:textId="77777777" w:rsidR="00943E5C" w:rsidRDefault="00943E5C" w:rsidP="00607B8C">
            <w:pPr>
              <w:rPr>
                <w:rFonts w:ascii="Times New Roman" w:hAnsi="Times New Roman" w:cs="Times New Roman"/>
              </w:rPr>
            </w:pPr>
            <w:r w:rsidRPr="4CB2EBED">
              <w:rPr>
                <w:rFonts w:ascii="Times New Roman" w:hAnsi="Times New Roman" w:cs="Times New Roman"/>
              </w:rPr>
              <w:t>No, DCA would not be agreeable to this project submitting the following relocation documents within 30 days of completion of construction in 2023. Tenants need to be made aware of the programs they may be eligible for and be able to make decisions regarding their eligibility.</w:t>
            </w:r>
          </w:p>
          <w:p w14:paraId="24D1E237" w14:textId="77777777" w:rsidR="00943E5C" w:rsidRDefault="00943E5C" w:rsidP="00607B8C">
            <w:pPr>
              <w:rPr>
                <w:rFonts w:ascii="Times New Roman" w:hAnsi="Times New Roman" w:cs="Times New Roman"/>
              </w:rPr>
            </w:pPr>
          </w:p>
          <w:p w14:paraId="22E014D3" w14:textId="77777777" w:rsidR="00943E5C" w:rsidRDefault="00943E5C" w:rsidP="00607B8C">
            <w:pPr>
              <w:rPr>
                <w:rFonts w:ascii="Times New Roman" w:hAnsi="Times New Roman" w:cs="Times New Roman"/>
              </w:rPr>
            </w:pPr>
            <w:r w:rsidRPr="4CB2EBED">
              <w:rPr>
                <w:rFonts w:ascii="Times New Roman" w:hAnsi="Times New Roman" w:cs="Times New Roman"/>
              </w:rPr>
              <w:t>According to the manual, the RAD General Information Notice must be distributed and inform occupants of the project, if approved, and their rights under the Relocation Assistance Demonstration.  Information regarding the relocation costs they are eligible for and the terms of their approval (including the lottery) must be included.</w:t>
            </w:r>
          </w:p>
          <w:p w14:paraId="098BA903" w14:textId="77777777" w:rsidR="00943E5C" w:rsidRDefault="00943E5C" w:rsidP="00607B8C">
            <w:pPr>
              <w:rPr>
                <w:rFonts w:ascii="Times New Roman" w:hAnsi="Times New Roman" w:cs="Times New Roman"/>
              </w:rPr>
            </w:pPr>
          </w:p>
          <w:p w14:paraId="4DDFA112" w14:textId="77777777" w:rsidR="00943E5C" w:rsidRDefault="00943E5C" w:rsidP="00607B8C">
            <w:pPr>
              <w:rPr>
                <w:rFonts w:ascii="Times New Roman" w:hAnsi="Times New Roman" w:cs="Times New Roman"/>
              </w:rPr>
            </w:pPr>
            <w:r w:rsidRPr="4CB2EBED">
              <w:rPr>
                <w:rFonts w:ascii="Times New Roman" w:hAnsi="Times New Roman" w:cs="Times New Roman"/>
              </w:rPr>
              <w:lastRenderedPageBreak/>
              <w:t>Accordingly, Notices of Eligibility must be completed by 60 days before Certificate of Occupancy.  Therefore, tenant certifications must be completed and will be valid up to 120 days prior to the Notice of Eligibility.</w:t>
            </w:r>
          </w:p>
          <w:p w14:paraId="1733063C" w14:textId="77777777" w:rsidR="00943E5C" w:rsidRDefault="00943E5C" w:rsidP="00607B8C">
            <w:pPr>
              <w:rPr>
                <w:rFonts w:ascii="Times New Roman" w:hAnsi="Times New Roman" w:cs="Times New Roman"/>
              </w:rPr>
            </w:pPr>
          </w:p>
          <w:p w14:paraId="1B82E558" w14:textId="77777777" w:rsidR="00943E5C" w:rsidRDefault="00943E5C" w:rsidP="00607B8C">
            <w:pPr>
              <w:rPr>
                <w:rFonts w:ascii="Times New Roman" w:hAnsi="Times New Roman" w:cs="Times New Roman"/>
              </w:rPr>
            </w:pPr>
            <w:r w:rsidRPr="4CB2EBED">
              <w:rPr>
                <w:rFonts w:ascii="Times New Roman" w:hAnsi="Times New Roman" w:cs="Times New Roman"/>
              </w:rPr>
              <w:t xml:space="preserve">The following documents must be submitted </w:t>
            </w:r>
            <w:proofErr w:type="spellStart"/>
            <w:r w:rsidRPr="4CB2EBED">
              <w:rPr>
                <w:rFonts w:ascii="Times New Roman" w:hAnsi="Times New Roman" w:cs="Times New Roman"/>
              </w:rPr>
              <w:t>at</w:t>
            </w:r>
            <w:proofErr w:type="spellEnd"/>
            <w:r w:rsidRPr="4CB2EBED">
              <w:rPr>
                <w:rFonts w:ascii="Times New Roman" w:hAnsi="Times New Roman" w:cs="Times New Roman"/>
              </w:rPr>
              <w:t xml:space="preserve"> Application:</w:t>
            </w:r>
          </w:p>
          <w:p w14:paraId="07A527A1" w14:textId="77777777" w:rsidR="00943E5C" w:rsidRDefault="00943E5C" w:rsidP="00607B8C">
            <w:pPr>
              <w:rPr>
                <w:rFonts w:ascii="Times New Roman" w:hAnsi="Times New Roman" w:cs="Times New Roman"/>
              </w:rPr>
            </w:pPr>
            <w:r w:rsidRPr="7D5909FE">
              <w:rPr>
                <w:rFonts w:ascii="Times New Roman" w:hAnsi="Times New Roman" w:cs="Times New Roman"/>
              </w:rPr>
              <w:t>-- Comprehensive Relocation Plan with timeline and Resident Engagement Plan</w:t>
            </w:r>
          </w:p>
          <w:p w14:paraId="65EE09FA" w14:textId="77777777" w:rsidR="00943E5C" w:rsidRDefault="00943E5C" w:rsidP="00607B8C">
            <w:pPr>
              <w:rPr>
                <w:rFonts w:ascii="Times New Roman" w:hAnsi="Times New Roman" w:cs="Times New Roman"/>
              </w:rPr>
            </w:pPr>
            <w:r w:rsidRPr="4CB2EBED">
              <w:rPr>
                <w:rFonts w:ascii="Times New Roman" w:hAnsi="Times New Roman" w:cs="Times New Roman"/>
              </w:rPr>
              <w:t>-- Site Relocation Survey Form (Included in the Core Application)</w:t>
            </w:r>
          </w:p>
          <w:p w14:paraId="7801A863" w14:textId="77777777" w:rsidR="00943E5C" w:rsidRDefault="00943E5C" w:rsidP="00607B8C">
            <w:pPr>
              <w:rPr>
                <w:rFonts w:ascii="Times New Roman" w:hAnsi="Times New Roman" w:cs="Times New Roman"/>
              </w:rPr>
            </w:pPr>
            <w:r w:rsidRPr="4CB2EBED">
              <w:rPr>
                <w:rFonts w:ascii="Times New Roman" w:hAnsi="Times New Roman" w:cs="Times New Roman"/>
              </w:rPr>
              <w:t>-- Relocation Budget</w:t>
            </w:r>
          </w:p>
          <w:p w14:paraId="72A5E5BB" w14:textId="77777777" w:rsidR="00943E5C" w:rsidRDefault="00943E5C" w:rsidP="00607B8C">
            <w:pPr>
              <w:rPr>
                <w:rFonts w:ascii="Times New Roman" w:hAnsi="Times New Roman" w:cs="Times New Roman"/>
              </w:rPr>
            </w:pPr>
            <w:r w:rsidRPr="4CB2EBED">
              <w:rPr>
                <w:rFonts w:ascii="Times New Roman" w:hAnsi="Times New Roman" w:cs="Times New Roman"/>
              </w:rPr>
              <w:t>-- Multifamily Tenant Relocation Plan Certification</w:t>
            </w:r>
          </w:p>
          <w:p w14:paraId="616B3C3B" w14:textId="77777777" w:rsidR="00943E5C" w:rsidRDefault="00943E5C" w:rsidP="00607B8C">
            <w:pPr>
              <w:rPr>
                <w:rFonts w:ascii="Times New Roman" w:hAnsi="Times New Roman" w:cs="Times New Roman"/>
              </w:rPr>
            </w:pPr>
            <w:r w:rsidRPr="7D5909FE">
              <w:rPr>
                <w:rFonts w:ascii="Times New Roman" w:hAnsi="Times New Roman" w:cs="Times New Roman"/>
              </w:rPr>
              <w:t>-- Biography or letter for Advisory Services and</w:t>
            </w:r>
          </w:p>
          <w:p w14:paraId="69F282AA" w14:textId="77777777" w:rsidR="00943E5C" w:rsidRDefault="00943E5C" w:rsidP="00607B8C">
            <w:pPr>
              <w:rPr>
                <w:rFonts w:ascii="Times New Roman" w:hAnsi="Times New Roman" w:cs="Times New Roman"/>
              </w:rPr>
            </w:pPr>
          </w:p>
          <w:p w14:paraId="178BAECB" w14:textId="77777777" w:rsidR="00943E5C" w:rsidRDefault="00943E5C" w:rsidP="00607B8C">
            <w:pPr>
              <w:rPr>
                <w:rFonts w:ascii="Times New Roman" w:hAnsi="Times New Roman" w:cs="Times New Roman"/>
              </w:rPr>
            </w:pPr>
            <w:r w:rsidRPr="4CB2EBED">
              <w:rPr>
                <w:rFonts w:ascii="Times New Roman" w:hAnsi="Times New Roman" w:cs="Times New Roman"/>
              </w:rPr>
              <w:t>To be submitted 30 days after application approval:</w:t>
            </w:r>
          </w:p>
          <w:p w14:paraId="64BD5EF6" w14:textId="77777777" w:rsidR="00943E5C" w:rsidRDefault="00943E5C" w:rsidP="00607B8C">
            <w:pPr>
              <w:rPr>
                <w:rFonts w:ascii="Times New Roman" w:hAnsi="Times New Roman" w:cs="Times New Roman"/>
              </w:rPr>
            </w:pPr>
            <w:r w:rsidRPr="4CB2EBED">
              <w:rPr>
                <w:rFonts w:ascii="Times New Roman" w:hAnsi="Times New Roman" w:cs="Times New Roman"/>
              </w:rPr>
              <w:t>-- RAD General Info Notice for Occupants and proof of receipt</w:t>
            </w:r>
          </w:p>
          <w:p w14:paraId="4FF0EC91" w14:textId="77777777" w:rsidR="00943E5C" w:rsidRDefault="00943E5C" w:rsidP="00607B8C">
            <w:pPr>
              <w:rPr>
                <w:rFonts w:ascii="Times New Roman" w:hAnsi="Times New Roman" w:cs="Times New Roman"/>
              </w:rPr>
            </w:pPr>
            <w:r w:rsidRPr="4CB2EBED">
              <w:rPr>
                <w:rFonts w:ascii="Times New Roman" w:hAnsi="Times New Roman" w:cs="Times New Roman"/>
              </w:rPr>
              <w:t>-- Rent Rolls for the last 3 months</w:t>
            </w:r>
          </w:p>
          <w:p w14:paraId="68B05169" w14:textId="77777777" w:rsidR="00943E5C" w:rsidRDefault="00943E5C" w:rsidP="00607B8C">
            <w:pPr>
              <w:rPr>
                <w:rFonts w:ascii="Times New Roman" w:hAnsi="Times New Roman" w:cs="Times New Roman"/>
              </w:rPr>
            </w:pPr>
          </w:p>
          <w:p w14:paraId="4F302813" w14:textId="77777777" w:rsidR="00943E5C" w:rsidRDefault="00943E5C" w:rsidP="00607B8C">
            <w:pPr>
              <w:rPr>
                <w:rFonts w:ascii="Times New Roman" w:hAnsi="Times New Roman" w:cs="Times New Roman"/>
              </w:rPr>
            </w:pPr>
            <w:r w:rsidRPr="4CB2EBED">
              <w:rPr>
                <w:rFonts w:ascii="Times New Roman" w:hAnsi="Times New Roman" w:cs="Times New Roman"/>
              </w:rPr>
              <w:t>To be submitted 90 days prior to Occupancy and 30 days prior to Notice Distribution:</w:t>
            </w:r>
          </w:p>
          <w:p w14:paraId="057E2F35" w14:textId="77777777" w:rsidR="00943E5C" w:rsidRDefault="00943E5C" w:rsidP="00607B8C">
            <w:pPr>
              <w:rPr>
                <w:rFonts w:ascii="Times New Roman" w:hAnsi="Times New Roman" w:cs="Times New Roman"/>
              </w:rPr>
            </w:pPr>
            <w:r w:rsidRPr="4CB2EBED">
              <w:rPr>
                <w:rFonts w:ascii="Times New Roman" w:hAnsi="Times New Roman" w:cs="Times New Roman"/>
              </w:rPr>
              <w:t>-- Relocation Displacement Spreadsheet/Workbook</w:t>
            </w:r>
          </w:p>
          <w:p w14:paraId="54E5B09C" w14:textId="77777777" w:rsidR="00943E5C" w:rsidRDefault="00943E5C" w:rsidP="00607B8C">
            <w:pPr>
              <w:rPr>
                <w:rFonts w:ascii="Times New Roman" w:hAnsi="Times New Roman" w:cs="Times New Roman"/>
              </w:rPr>
            </w:pPr>
            <w:r w:rsidRPr="4CB2EBED">
              <w:rPr>
                <w:rFonts w:ascii="Times New Roman" w:hAnsi="Times New Roman" w:cs="Times New Roman"/>
              </w:rPr>
              <w:t xml:space="preserve">-- 3 months of </w:t>
            </w:r>
            <w:proofErr w:type="gramStart"/>
            <w:r w:rsidRPr="4CB2EBED">
              <w:rPr>
                <w:rFonts w:ascii="Times New Roman" w:hAnsi="Times New Roman" w:cs="Times New Roman"/>
              </w:rPr>
              <w:t>up to date</w:t>
            </w:r>
            <w:proofErr w:type="gramEnd"/>
            <w:r w:rsidRPr="4CB2EBED">
              <w:rPr>
                <w:rFonts w:ascii="Times New Roman" w:hAnsi="Times New Roman" w:cs="Times New Roman"/>
              </w:rPr>
              <w:t xml:space="preserve"> Rent Rolls </w:t>
            </w:r>
          </w:p>
          <w:p w14:paraId="0AB53EE5" w14:textId="77777777" w:rsidR="00943E5C" w:rsidRDefault="00943E5C" w:rsidP="00607B8C">
            <w:pPr>
              <w:rPr>
                <w:rFonts w:ascii="Times New Roman" w:hAnsi="Times New Roman" w:cs="Times New Roman"/>
              </w:rPr>
            </w:pPr>
            <w:r w:rsidRPr="4CB2EBED">
              <w:rPr>
                <w:rFonts w:ascii="Times New Roman" w:hAnsi="Times New Roman" w:cs="Times New Roman"/>
              </w:rPr>
              <w:t>-- Tenant Household Data Forms and</w:t>
            </w:r>
          </w:p>
          <w:p w14:paraId="663A9215" w14:textId="77777777" w:rsidR="00943E5C" w:rsidRDefault="00943E5C" w:rsidP="00607B8C">
            <w:pPr>
              <w:rPr>
                <w:rFonts w:ascii="Times New Roman" w:hAnsi="Times New Roman" w:cs="Times New Roman"/>
              </w:rPr>
            </w:pPr>
            <w:r w:rsidRPr="4CB2EBED">
              <w:rPr>
                <w:rFonts w:ascii="Times New Roman" w:hAnsi="Times New Roman" w:cs="Times New Roman"/>
              </w:rPr>
              <w:t xml:space="preserve">-- Copy of the Notice of Eligibility to be distributed at 60 days prior to occupancy </w:t>
            </w:r>
          </w:p>
          <w:p w14:paraId="700326FD" w14:textId="77777777" w:rsidR="00943E5C" w:rsidRDefault="00943E5C" w:rsidP="00607B8C">
            <w:pPr>
              <w:rPr>
                <w:rFonts w:ascii="Times New Roman" w:hAnsi="Times New Roman" w:cs="Times New Roman"/>
              </w:rPr>
            </w:pPr>
          </w:p>
          <w:p w14:paraId="43FB9F50" w14:textId="77777777" w:rsidR="00943E5C" w:rsidRPr="3CF9F186" w:rsidRDefault="00943E5C" w:rsidP="00607B8C">
            <w:pPr>
              <w:contextualSpacing/>
              <w:rPr>
                <w:rFonts w:ascii="Times New Roman" w:hAnsi="Times New Roman" w:cs="Times New Roman"/>
                <w:b/>
                <w:bCs/>
              </w:rPr>
            </w:pPr>
            <w:r w:rsidRPr="4CB2EBED">
              <w:rPr>
                <w:rFonts w:ascii="Times New Roman" w:hAnsi="Times New Roman" w:cs="Times New Roman"/>
              </w:rPr>
              <w:t xml:space="preserve">If approved, DCA will require this new construction project to submit the DCA Resident Engagement information showing the meetings, notes, </w:t>
            </w:r>
            <w:proofErr w:type="gramStart"/>
            <w:r w:rsidRPr="4CB2EBED">
              <w:rPr>
                <w:rFonts w:ascii="Times New Roman" w:hAnsi="Times New Roman" w:cs="Times New Roman"/>
              </w:rPr>
              <w:t>suggestions</w:t>
            </w:r>
            <w:proofErr w:type="gramEnd"/>
            <w:r w:rsidRPr="4CB2EBED">
              <w:rPr>
                <w:rFonts w:ascii="Times New Roman" w:hAnsi="Times New Roman" w:cs="Times New Roman"/>
              </w:rPr>
              <w:t xml:space="preserve"> and development inclusions from the Resident Engagement Meetings with families residing in the housing authority's public housing units.  This should be conducted after the General Information Notice Distribution and prior to the lottery to explain to the residents the new construction process that they may be eligible to participate in and give them an opportunity for development input.</w:t>
            </w:r>
          </w:p>
        </w:tc>
      </w:tr>
      <w:tr w:rsidR="00943E5C" w:rsidRPr="00AC6DEC" w14:paraId="3A55E4EF" w14:textId="77777777" w:rsidTr="2A62FF34">
        <w:trPr>
          <w:jc w:val="center"/>
        </w:trPr>
        <w:tc>
          <w:tcPr>
            <w:tcW w:w="2157" w:type="dxa"/>
            <w:tcMar>
              <w:top w:w="72" w:type="dxa"/>
              <w:left w:w="115" w:type="dxa"/>
              <w:bottom w:w="72" w:type="dxa"/>
              <w:right w:w="115" w:type="dxa"/>
            </w:tcMar>
            <w:vAlign w:val="center"/>
          </w:tcPr>
          <w:p w14:paraId="66FD9AD5" w14:textId="77777777" w:rsidR="00943E5C" w:rsidRPr="00FD5F43" w:rsidRDefault="00943E5C" w:rsidP="00607B8C">
            <w:pPr>
              <w:rPr>
                <w:rFonts w:ascii="Times New Roman" w:hAnsi="Times New Roman" w:cs="Times New Roman"/>
                <w:highlight w:val="yellow"/>
              </w:rPr>
            </w:pPr>
            <w:r w:rsidRPr="00633289">
              <w:rPr>
                <w:rFonts w:ascii="Times New Roman" w:hAnsi="Times New Roman" w:cs="Times New Roman"/>
              </w:rPr>
              <w:lastRenderedPageBreak/>
              <w:t>5/12/21</w:t>
            </w:r>
          </w:p>
        </w:tc>
        <w:tc>
          <w:tcPr>
            <w:tcW w:w="2198" w:type="dxa"/>
            <w:tcMar>
              <w:top w:w="72" w:type="dxa"/>
              <w:left w:w="115" w:type="dxa"/>
              <w:bottom w:w="72" w:type="dxa"/>
              <w:right w:w="115" w:type="dxa"/>
            </w:tcMar>
            <w:vAlign w:val="center"/>
          </w:tcPr>
          <w:p w14:paraId="2A29C90D" w14:textId="77777777" w:rsidR="00943E5C" w:rsidRDefault="00943E5C" w:rsidP="00607B8C">
            <w:pPr>
              <w:rPr>
                <w:rFonts w:ascii="Times New Roman" w:hAnsi="Times New Roman" w:cs="Times New Roman"/>
                <w:noProof/>
              </w:rPr>
            </w:pPr>
            <w:r>
              <w:rPr>
                <w:rFonts w:ascii="Times New Roman" w:hAnsi="Times New Roman" w:cs="Times New Roman"/>
                <w:noProof/>
              </w:rPr>
              <w:t>2.25</w:t>
            </w:r>
          </w:p>
          <w:p w14:paraId="2012D23D" w14:textId="77777777" w:rsidR="00943E5C" w:rsidRDefault="00943E5C"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0D1831D3" w14:textId="77777777" w:rsidR="00943E5C" w:rsidRPr="00351491" w:rsidRDefault="00943E5C" w:rsidP="00607B8C">
            <w:pPr>
              <w:contextualSpacing/>
              <w:rPr>
                <w:rFonts w:ascii="Times New Roman" w:hAnsi="Times New Roman" w:cs="Times New Roman"/>
                <w:b/>
                <w:bCs/>
              </w:rPr>
            </w:pPr>
            <w:r w:rsidRPr="3CF9F186">
              <w:rPr>
                <w:rFonts w:ascii="Times New Roman" w:hAnsi="Times New Roman" w:cs="Times New Roman"/>
                <w:b/>
                <w:bCs/>
              </w:rPr>
              <w:t>Question: Q0413_02</w:t>
            </w:r>
          </w:p>
          <w:p w14:paraId="743C1FF3" w14:textId="77777777" w:rsidR="00943E5C" w:rsidRPr="00F32F71" w:rsidRDefault="00943E5C" w:rsidP="00607B8C">
            <w:pPr>
              <w:contextualSpacing/>
              <w:rPr>
                <w:rFonts w:ascii="Times New Roman" w:hAnsi="Times New Roman" w:cs="Times New Roman"/>
              </w:rPr>
            </w:pPr>
            <w:r w:rsidRPr="3CF9F186">
              <w:rPr>
                <w:rFonts w:ascii="Times New Roman" w:hAnsi="Times New Roman" w:cs="Times New Roman"/>
              </w:rPr>
              <w:t xml:space="preserve">The DCA application checklist requires a site relocation form for ALL developments (even those not requiring relocation). Can the DCA staff please point us to the exact form that is required? There are numerous forms within the relocation folder on the DCA website and we do not want to use one the incorrect form. </w:t>
            </w:r>
          </w:p>
          <w:p w14:paraId="41A2A53D" w14:textId="77777777" w:rsidR="00943E5C" w:rsidRDefault="00943E5C" w:rsidP="00607B8C">
            <w:pPr>
              <w:contextualSpacing/>
              <w:rPr>
                <w:rFonts w:ascii="Times New Roman" w:hAnsi="Times New Roman" w:cs="Times New Roman"/>
                <w:b/>
                <w:bCs/>
              </w:rPr>
            </w:pPr>
          </w:p>
          <w:p w14:paraId="17A9E7A9" w14:textId="77777777" w:rsidR="00943E5C" w:rsidRDefault="00943E5C" w:rsidP="00607B8C">
            <w:pPr>
              <w:contextualSpacing/>
              <w:rPr>
                <w:rFonts w:ascii="Times New Roman" w:hAnsi="Times New Roman" w:cs="Times New Roman"/>
                <w:b/>
                <w:bCs/>
              </w:rPr>
            </w:pPr>
            <w:r w:rsidRPr="610E207B">
              <w:rPr>
                <w:rFonts w:ascii="Times New Roman" w:hAnsi="Times New Roman" w:cs="Times New Roman"/>
                <w:b/>
                <w:bCs/>
              </w:rPr>
              <w:t xml:space="preserve">Answer: </w:t>
            </w:r>
          </w:p>
          <w:p w14:paraId="6C28F158" w14:textId="77777777" w:rsidR="00943E5C" w:rsidRDefault="00943E5C" w:rsidP="00607B8C">
            <w:pPr>
              <w:rPr>
                <w:rFonts w:ascii="Times New Roman" w:eastAsia="Times New Roman" w:hAnsi="Times New Roman" w:cs="Times New Roman"/>
              </w:rPr>
            </w:pPr>
            <w:r w:rsidRPr="610E207B">
              <w:rPr>
                <w:rFonts w:ascii="Times New Roman" w:eastAsia="Times New Roman" w:hAnsi="Times New Roman" w:cs="Times New Roman"/>
              </w:rPr>
              <w:lastRenderedPageBreak/>
              <w:t xml:space="preserve">All proposed developments with occupants on-site since the earlier of pre-application, three months prior to Application Submission, and application for federal funds (if applicable) must meet the requirements of both part A and B under </w:t>
            </w:r>
            <w:r w:rsidRPr="000173D2">
              <w:rPr>
                <w:rFonts w:ascii="Times New Roman" w:eastAsia="Times New Roman" w:hAnsi="Times New Roman" w:cs="Times New Roman"/>
                <w:b/>
                <w:bCs/>
              </w:rPr>
              <w:t>Threshold, Occupied Developments</w:t>
            </w:r>
            <w:r>
              <w:rPr>
                <w:rFonts w:ascii="Times New Roman" w:eastAsia="Times New Roman" w:hAnsi="Times New Roman" w:cs="Times New Roman"/>
              </w:rPr>
              <w:t xml:space="preserve">. </w:t>
            </w:r>
          </w:p>
          <w:p w14:paraId="79BFAA96" w14:textId="77777777" w:rsidR="00943E5C" w:rsidRDefault="00943E5C" w:rsidP="00607B8C">
            <w:pPr>
              <w:rPr>
                <w:rFonts w:ascii="Times New Roman" w:eastAsia="Times New Roman" w:hAnsi="Times New Roman" w:cs="Times New Roman"/>
              </w:rPr>
            </w:pPr>
          </w:p>
          <w:p w14:paraId="490032CE" w14:textId="7B465A1E" w:rsidR="00943E5C" w:rsidRDefault="00943E5C" w:rsidP="00607B8C">
            <w:pPr>
              <w:rPr>
                <w:rFonts w:ascii="Times New Roman" w:eastAsia="Times New Roman" w:hAnsi="Times New Roman" w:cs="Times New Roman"/>
              </w:rPr>
            </w:pPr>
            <w:r w:rsidRPr="610E207B">
              <w:rPr>
                <w:rFonts w:ascii="Times New Roman" w:eastAsia="Times New Roman" w:hAnsi="Times New Roman" w:cs="Times New Roman"/>
              </w:rPr>
              <w:t>Developments with no occupants on site are not required to submit any minimum documents for this section.  However, thorough completion of the Core Application, Part I under Occupied Development</w:t>
            </w:r>
            <w:r>
              <w:rPr>
                <w:rFonts w:ascii="Times New Roman" w:eastAsia="Times New Roman" w:hAnsi="Times New Roman" w:cs="Times New Roman"/>
              </w:rPr>
              <w:t>s</w:t>
            </w:r>
            <w:r w:rsidRPr="610E207B">
              <w:rPr>
                <w:rFonts w:ascii="Times New Roman" w:eastAsia="Times New Roman" w:hAnsi="Times New Roman" w:cs="Times New Roman"/>
              </w:rPr>
              <w:t xml:space="preserve"> </w:t>
            </w:r>
            <w:r w:rsidR="000125A7">
              <w:rPr>
                <w:rFonts w:ascii="Times New Roman" w:eastAsia="Times New Roman" w:hAnsi="Times New Roman" w:cs="Times New Roman"/>
              </w:rPr>
              <w:t xml:space="preserve">(Threshold tab) </w:t>
            </w:r>
            <w:r w:rsidRPr="610E207B">
              <w:rPr>
                <w:rFonts w:ascii="Times New Roman" w:eastAsia="Times New Roman" w:hAnsi="Times New Roman" w:cs="Times New Roman"/>
              </w:rPr>
              <w:t xml:space="preserve">and </w:t>
            </w:r>
            <w:r w:rsidRPr="000125A7">
              <w:rPr>
                <w:rFonts w:ascii="Times New Roman" w:eastAsia="Times New Roman" w:hAnsi="Times New Roman" w:cs="Times New Roman"/>
              </w:rPr>
              <w:t>Additional Project Information</w:t>
            </w:r>
            <w:r w:rsidRPr="610E207B">
              <w:rPr>
                <w:rFonts w:ascii="Times New Roman" w:eastAsia="Times New Roman" w:hAnsi="Times New Roman" w:cs="Times New Roman"/>
              </w:rPr>
              <w:t xml:space="preserve"> </w:t>
            </w:r>
            <w:r w:rsidR="000125A7">
              <w:rPr>
                <w:rFonts w:ascii="Times New Roman" w:eastAsia="Times New Roman" w:hAnsi="Times New Roman" w:cs="Times New Roman"/>
              </w:rPr>
              <w:t xml:space="preserve">(Project Information tab) </w:t>
            </w:r>
            <w:r w:rsidRPr="610E207B">
              <w:rPr>
                <w:rFonts w:ascii="Times New Roman" w:eastAsia="Times New Roman" w:hAnsi="Times New Roman" w:cs="Times New Roman"/>
              </w:rPr>
              <w:t>is important to help the Applicant consider various relocation anomalies.</w:t>
            </w:r>
          </w:p>
          <w:p w14:paraId="27A9DB7C" w14:textId="77777777" w:rsidR="00943E5C" w:rsidRPr="1B4192B2" w:rsidRDefault="00943E5C" w:rsidP="00607B8C">
            <w:pPr>
              <w:contextualSpacing/>
              <w:rPr>
                <w:rFonts w:ascii="Times New Roman" w:hAnsi="Times New Roman" w:cs="Times New Roman"/>
                <w:b/>
                <w:bCs/>
                <w:sz w:val="24"/>
                <w:szCs w:val="24"/>
              </w:rPr>
            </w:pPr>
          </w:p>
        </w:tc>
      </w:tr>
      <w:tr w:rsidR="00943E5C" w:rsidRPr="00AC6DEC" w14:paraId="2BD64206" w14:textId="77777777" w:rsidTr="2A62FF34">
        <w:trPr>
          <w:jc w:val="center"/>
        </w:trPr>
        <w:tc>
          <w:tcPr>
            <w:tcW w:w="2157" w:type="dxa"/>
            <w:tcMar>
              <w:top w:w="72" w:type="dxa"/>
              <w:left w:w="115" w:type="dxa"/>
              <w:bottom w:w="72" w:type="dxa"/>
              <w:right w:w="115" w:type="dxa"/>
            </w:tcMar>
            <w:vAlign w:val="center"/>
          </w:tcPr>
          <w:p w14:paraId="0C3C8A35" w14:textId="77777777" w:rsidR="00943E5C" w:rsidRPr="00FD5F43" w:rsidRDefault="00943E5C" w:rsidP="00607B8C">
            <w:pPr>
              <w:rPr>
                <w:rFonts w:ascii="Times New Roman" w:hAnsi="Times New Roman" w:cs="Times New Roman"/>
                <w:highlight w:val="yellow"/>
              </w:rPr>
            </w:pPr>
            <w:r w:rsidRPr="00633289">
              <w:rPr>
                <w:rFonts w:ascii="Times New Roman" w:hAnsi="Times New Roman" w:cs="Times New Roman"/>
              </w:rPr>
              <w:lastRenderedPageBreak/>
              <w:t>5/12/21</w:t>
            </w:r>
          </w:p>
        </w:tc>
        <w:tc>
          <w:tcPr>
            <w:tcW w:w="2198" w:type="dxa"/>
            <w:tcMar>
              <w:top w:w="72" w:type="dxa"/>
              <w:left w:w="115" w:type="dxa"/>
              <w:bottom w:w="72" w:type="dxa"/>
              <w:right w:w="115" w:type="dxa"/>
            </w:tcMar>
            <w:vAlign w:val="center"/>
          </w:tcPr>
          <w:p w14:paraId="098EBD84" w14:textId="77777777" w:rsidR="00943E5C" w:rsidRDefault="00943E5C" w:rsidP="00607B8C">
            <w:pPr>
              <w:rPr>
                <w:rFonts w:ascii="Times New Roman" w:hAnsi="Times New Roman" w:cs="Times New Roman"/>
                <w:noProof/>
              </w:rPr>
            </w:pPr>
            <w:r>
              <w:rPr>
                <w:rFonts w:ascii="Times New Roman" w:hAnsi="Times New Roman" w:cs="Times New Roman"/>
                <w:noProof/>
              </w:rPr>
              <w:t>2.25</w:t>
            </w:r>
          </w:p>
          <w:p w14:paraId="44093583" w14:textId="77777777" w:rsidR="00943E5C" w:rsidRDefault="00943E5C"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3056C426" w14:textId="77777777" w:rsidR="00943E5C" w:rsidRPr="005870E2" w:rsidRDefault="00943E5C" w:rsidP="00607B8C">
            <w:pPr>
              <w:contextualSpacing/>
              <w:rPr>
                <w:rFonts w:ascii="Times New Roman" w:hAnsi="Times New Roman" w:cs="Times New Roman"/>
                <w:sz w:val="24"/>
                <w:szCs w:val="24"/>
              </w:rPr>
            </w:pPr>
            <w:r w:rsidRPr="1B4192B2">
              <w:rPr>
                <w:rFonts w:ascii="Times New Roman" w:hAnsi="Times New Roman" w:cs="Times New Roman"/>
                <w:b/>
                <w:bCs/>
                <w:sz w:val="24"/>
                <w:szCs w:val="24"/>
              </w:rPr>
              <w:t xml:space="preserve">Question: </w:t>
            </w:r>
            <w:r w:rsidRPr="00351491">
              <w:rPr>
                <w:rFonts w:ascii="Times New Roman" w:hAnsi="Times New Roman" w:cs="Times New Roman"/>
                <w:b/>
                <w:bCs/>
                <w:sz w:val="24"/>
                <w:szCs w:val="24"/>
              </w:rPr>
              <w:t>Q0421_01</w:t>
            </w:r>
            <w:r w:rsidRPr="00351491">
              <w:rPr>
                <w:b/>
                <w:bCs/>
              </w:rPr>
              <w:tab/>
            </w:r>
          </w:p>
          <w:p w14:paraId="0BAFAC51" w14:textId="77777777" w:rsidR="00943E5C" w:rsidRPr="005870E2" w:rsidRDefault="00943E5C" w:rsidP="00607B8C">
            <w:pPr>
              <w:contextualSpacing/>
              <w:rPr>
                <w:rFonts w:ascii="Times New Roman" w:hAnsi="Times New Roman" w:cs="Times New Roman"/>
                <w:sz w:val="24"/>
                <w:szCs w:val="24"/>
              </w:rPr>
            </w:pPr>
            <w:r w:rsidRPr="1B4192B2">
              <w:rPr>
                <w:rFonts w:ascii="Times New Roman" w:hAnsi="Times New Roman" w:cs="Times New Roman"/>
                <w:sz w:val="24"/>
                <w:szCs w:val="24"/>
              </w:rPr>
              <w:t>We have a site on which several homeless people appear to be living.  There are no structures on the site.  Since these people are not tenants of the landowner, does DCA consider this an occupied development and subject to the Uniform Relocation Act requirements?</w:t>
            </w:r>
          </w:p>
          <w:p w14:paraId="6D724FFA" w14:textId="77777777" w:rsidR="00943E5C" w:rsidRPr="005870E2" w:rsidRDefault="00943E5C" w:rsidP="00607B8C">
            <w:pPr>
              <w:contextualSpacing/>
              <w:rPr>
                <w:rFonts w:ascii="Times New Roman" w:hAnsi="Times New Roman" w:cs="Times New Roman"/>
                <w:b/>
                <w:bCs/>
                <w:sz w:val="24"/>
                <w:szCs w:val="24"/>
              </w:rPr>
            </w:pPr>
          </w:p>
          <w:p w14:paraId="55731EA2" w14:textId="77777777" w:rsidR="00943E5C" w:rsidRDefault="00943E5C" w:rsidP="00607B8C">
            <w:pPr>
              <w:contextualSpacing/>
              <w:rPr>
                <w:rFonts w:ascii="Times New Roman" w:hAnsi="Times New Roman" w:cs="Times New Roman"/>
                <w:b/>
                <w:bCs/>
                <w:sz w:val="24"/>
                <w:szCs w:val="24"/>
              </w:rPr>
            </w:pPr>
            <w:r w:rsidRPr="1B4192B2">
              <w:rPr>
                <w:rFonts w:ascii="Times New Roman" w:hAnsi="Times New Roman" w:cs="Times New Roman"/>
                <w:b/>
                <w:bCs/>
                <w:sz w:val="24"/>
                <w:szCs w:val="24"/>
              </w:rPr>
              <w:t xml:space="preserve">Answer: </w:t>
            </w:r>
          </w:p>
          <w:p w14:paraId="3C6B0D96" w14:textId="77777777" w:rsidR="00943E5C" w:rsidRPr="00C167BA" w:rsidRDefault="00943E5C" w:rsidP="00607B8C">
            <w:pPr>
              <w:contextualSpacing/>
              <w:rPr>
                <w:rFonts w:ascii="Times New Roman" w:hAnsi="Times New Roman" w:cs="Times New Roman"/>
                <w:b/>
                <w:bCs/>
                <w:sz w:val="24"/>
                <w:szCs w:val="24"/>
              </w:rPr>
            </w:pPr>
            <w:r w:rsidRPr="56B8D777">
              <w:rPr>
                <w:rFonts w:ascii="Times New Roman" w:eastAsia="Segoe UI" w:hAnsi="Times New Roman" w:cs="Times New Roman"/>
              </w:rPr>
              <w:t xml:space="preserve">DCA supports the health and wellness of both the housed and unhoused.  </w:t>
            </w:r>
            <w:r w:rsidRPr="56B8D777">
              <w:rPr>
                <w:rFonts w:ascii="Times New Roman" w:hAnsi="Times New Roman" w:cs="Times New Roman"/>
              </w:rPr>
              <w:t xml:space="preserve">DCA does not consider this an occupied development.  </w:t>
            </w:r>
            <w:r w:rsidRPr="56B8D777">
              <w:rPr>
                <w:rFonts w:ascii="Times New Roman" w:eastAsia="Segoe UI" w:hAnsi="Times New Roman" w:cs="Times New Roman"/>
              </w:rPr>
              <w:t xml:space="preserve">However, enlisting the support and services of your region’s Coordinated Entry Program can help minimize the impact of displacement and demonstrates effective development design.  Therefore, please provide a plan under “Applicant’s Comments and Clarifications” in Part I of DCA’s Core Application to explain your process to support the unhoused individuals currently in your development.  </w:t>
            </w:r>
          </w:p>
          <w:p w14:paraId="71F4FA12" w14:textId="77777777" w:rsidR="00943E5C" w:rsidRDefault="00943E5C" w:rsidP="00607B8C">
            <w:pPr>
              <w:rPr>
                <w:rFonts w:ascii="Times New Roman" w:eastAsia="Segoe UI" w:hAnsi="Times New Roman" w:cs="Times New Roman"/>
              </w:rPr>
            </w:pPr>
          </w:p>
          <w:p w14:paraId="5E2A88C9" w14:textId="77777777" w:rsidR="00943E5C" w:rsidRDefault="00943E5C" w:rsidP="00607B8C">
            <w:pPr>
              <w:rPr>
                <w:rFonts w:ascii="Times New Roman" w:hAnsi="Times New Roman" w:cs="Times New Roman"/>
              </w:rPr>
            </w:pPr>
            <w:r w:rsidRPr="56B8D777">
              <w:rPr>
                <w:rFonts w:ascii="Times New Roman" w:eastAsia="Segoe UI" w:hAnsi="Times New Roman" w:cs="Times New Roman"/>
              </w:rPr>
              <w:t xml:space="preserve">If you are unable to identify homeless resources for your area, please contact the Balance of State's </w:t>
            </w:r>
            <w:proofErr w:type="gramStart"/>
            <w:r w:rsidRPr="56B8D777">
              <w:rPr>
                <w:rFonts w:ascii="Times New Roman" w:eastAsia="Segoe UI" w:hAnsi="Times New Roman" w:cs="Times New Roman"/>
              </w:rPr>
              <w:t>Toll Free</w:t>
            </w:r>
            <w:proofErr w:type="gramEnd"/>
            <w:r w:rsidRPr="56B8D777">
              <w:rPr>
                <w:rFonts w:ascii="Times New Roman" w:eastAsia="Segoe UI" w:hAnsi="Times New Roman" w:cs="Times New Roman"/>
              </w:rPr>
              <w:t xml:space="preserve"> Hotline at </w:t>
            </w:r>
            <w:r w:rsidRPr="56B8D777">
              <w:rPr>
                <w:rFonts w:ascii="Times New Roman" w:eastAsia="Segoe UI" w:hAnsi="Times New Roman" w:cs="Times New Roman"/>
                <w:b/>
                <w:bCs/>
              </w:rPr>
              <w:t>1-844-249-8367</w:t>
            </w:r>
            <w:r w:rsidRPr="56B8D777">
              <w:rPr>
                <w:rFonts w:ascii="Times New Roman" w:eastAsia="Segoe UI" w:hAnsi="Times New Roman" w:cs="Times New Roman"/>
              </w:rPr>
              <w:t xml:space="preserve">, or email us </w:t>
            </w:r>
            <w:hyperlink r:id="rId19">
              <w:r w:rsidRPr="56B8D777">
                <w:rPr>
                  <w:rStyle w:val="Hyperlink"/>
                  <w:rFonts w:ascii="Times New Roman" w:eastAsia="Segoe UI" w:hAnsi="Times New Roman" w:cs="Times New Roman"/>
                  <w:b/>
                  <w:bCs/>
                </w:rPr>
                <w:t>HomelessInfo@dca.ga.gov</w:t>
              </w:r>
            </w:hyperlink>
            <w:r w:rsidRPr="56B8D777">
              <w:rPr>
                <w:rFonts w:ascii="Times New Roman" w:eastAsia="Segoe UI" w:hAnsi="Times New Roman" w:cs="Times New Roman"/>
              </w:rPr>
              <w:t>.</w:t>
            </w:r>
          </w:p>
          <w:p w14:paraId="20CE77CA" w14:textId="77777777" w:rsidR="00943E5C" w:rsidRPr="47697D6B" w:rsidRDefault="00943E5C" w:rsidP="00607B8C">
            <w:pPr>
              <w:rPr>
                <w:rFonts w:ascii="Times New Roman" w:hAnsi="Times New Roman" w:cs="Times New Roman"/>
                <w:b/>
                <w:bCs/>
              </w:rPr>
            </w:pPr>
          </w:p>
        </w:tc>
      </w:tr>
      <w:tr w:rsidR="00943E5C" w:rsidRPr="00AC6DEC" w14:paraId="1E982F1D" w14:textId="77777777" w:rsidTr="2A62FF34">
        <w:trPr>
          <w:jc w:val="center"/>
        </w:trPr>
        <w:tc>
          <w:tcPr>
            <w:tcW w:w="2157" w:type="dxa"/>
            <w:tcMar>
              <w:top w:w="72" w:type="dxa"/>
              <w:left w:w="115" w:type="dxa"/>
              <w:bottom w:w="72" w:type="dxa"/>
              <w:right w:w="115" w:type="dxa"/>
            </w:tcMar>
            <w:vAlign w:val="center"/>
          </w:tcPr>
          <w:p w14:paraId="55AF9826" w14:textId="77777777" w:rsidR="00943E5C" w:rsidRPr="003E6014" w:rsidRDefault="00943E5C" w:rsidP="00607B8C">
            <w:pPr>
              <w:rPr>
                <w:rFonts w:ascii="Times New Roman" w:hAnsi="Times New Roman" w:cs="Times New Roman"/>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4C6CDDF1" w14:textId="77777777" w:rsidR="00943E5C" w:rsidRDefault="00943E5C" w:rsidP="00607B8C">
            <w:pPr>
              <w:rPr>
                <w:rFonts w:ascii="Times New Roman" w:hAnsi="Times New Roman" w:cs="Times New Roman"/>
                <w:noProof/>
              </w:rPr>
            </w:pPr>
            <w:r>
              <w:rPr>
                <w:rFonts w:ascii="Times New Roman" w:hAnsi="Times New Roman" w:cs="Times New Roman"/>
                <w:noProof/>
              </w:rPr>
              <w:t>1.15</w:t>
            </w:r>
          </w:p>
          <w:p w14:paraId="078B5539" w14:textId="77777777" w:rsidR="00943E5C" w:rsidRPr="00AC6DEC" w:rsidRDefault="00943E5C" w:rsidP="00607B8C">
            <w:pPr>
              <w:rPr>
                <w:rFonts w:ascii="Times New Roman" w:hAnsi="Times New Roman" w:cs="Times New Roman"/>
                <w:noProof/>
              </w:rPr>
            </w:pPr>
            <w:r>
              <w:rPr>
                <w:rFonts w:ascii="Times New Roman" w:hAnsi="Times New Roman" w:cs="Times New Roman"/>
                <w:noProof/>
              </w:rPr>
              <w:t>Core; Submission Requirements and Award Limitations</w:t>
            </w:r>
          </w:p>
        </w:tc>
        <w:tc>
          <w:tcPr>
            <w:tcW w:w="9590" w:type="dxa"/>
            <w:tcMar>
              <w:top w:w="72" w:type="dxa"/>
              <w:left w:w="115" w:type="dxa"/>
              <w:bottom w:w="72" w:type="dxa"/>
              <w:right w:w="115" w:type="dxa"/>
            </w:tcMar>
            <w:vAlign w:val="center"/>
          </w:tcPr>
          <w:p w14:paraId="07512A0D" w14:textId="77777777" w:rsidR="00943E5C" w:rsidRPr="006B4AAD" w:rsidRDefault="00943E5C" w:rsidP="00607B8C">
            <w:pPr>
              <w:contextualSpacing/>
              <w:rPr>
                <w:rFonts w:ascii="Times New Roman" w:hAnsi="Times New Roman" w:cs="Times New Roman"/>
                <w:b/>
                <w:bCs/>
              </w:rPr>
            </w:pPr>
            <w:r w:rsidRPr="00835A48">
              <w:rPr>
                <w:rFonts w:ascii="Times New Roman" w:hAnsi="Times New Roman" w:cs="Times New Roman"/>
                <w:b/>
                <w:bCs/>
              </w:rPr>
              <w:t>Question: Q0426_01</w:t>
            </w:r>
          </w:p>
          <w:p w14:paraId="4FC6ECFE" w14:textId="77777777" w:rsidR="00943E5C" w:rsidRDefault="00943E5C" w:rsidP="00607B8C">
            <w:pPr>
              <w:contextualSpacing/>
              <w:rPr>
                <w:rFonts w:ascii="Times New Roman" w:hAnsi="Times New Roman" w:cs="Times New Roman"/>
              </w:rPr>
            </w:pPr>
            <w:r w:rsidRPr="00835A48">
              <w:rPr>
                <w:rFonts w:ascii="Times New Roman" w:hAnsi="Times New Roman" w:cs="Times New Roman"/>
              </w:rPr>
              <w:t>With recent increases in material costs (lumber, steel, etc.), will DCA consider increasing the 2021 award limitations or set aside additional credits for 2021 competitive awards facing a funding gap?</w:t>
            </w:r>
          </w:p>
          <w:p w14:paraId="1D7EB5ED" w14:textId="77777777" w:rsidR="00943E5C" w:rsidRPr="00835A48" w:rsidRDefault="00943E5C" w:rsidP="00607B8C">
            <w:pPr>
              <w:contextualSpacing/>
              <w:rPr>
                <w:rFonts w:ascii="Times New Roman" w:hAnsi="Times New Roman" w:cs="Times New Roman"/>
                <w:b/>
                <w:bCs/>
              </w:rPr>
            </w:pPr>
          </w:p>
          <w:p w14:paraId="2115FCEC" w14:textId="77777777" w:rsidR="00943E5C" w:rsidRPr="00743180" w:rsidRDefault="00943E5C" w:rsidP="00607B8C">
            <w:pPr>
              <w:contextualSpacing/>
              <w:rPr>
                <w:rFonts w:ascii="Times New Roman" w:hAnsi="Times New Roman" w:cs="Times New Roman"/>
                <w:b/>
                <w:bCs/>
              </w:rPr>
            </w:pPr>
            <w:r w:rsidRPr="00743180">
              <w:rPr>
                <w:rFonts w:ascii="Times New Roman" w:hAnsi="Times New Roman" w:cs="Times New Roman"/>
                <w:b/>
                <w:bCs/>
              </w:rPr>
              <w:t xml:space="preserve">Answer: </w:t>
            </w:r>
          </w:p>
          <w:p w14:paraId="6394A992" w14:textId="77777777" w:rsidR="00943E5C" w:rsidRDefault="00943E5C" w:rsidP="00607B8C">
            <w:pPr>
              <w:rPr>
                <w:rFonts w:ascii="Times New Roman" w:hAnsi="Times New Roman" w:cs="Times New Roman"/>
              </w:rPr>
            </w:pPr>
            <w:r>
              <w:rPr>
                <w:rFonts w:ascii="Times New Roman" w:hAnsi="Times New Roman" w:cs="Times New Roman"/>
              </w:rPr>
              <w:t>Regarding an additional set aside of credits: the amount of 9% Credits for the Competitive Round specified in the QAP (</w:t>
            </w:r>
            <w:r w:rsidRPr="006E7DFC">
              <w:rPr>
                <w:rFonts w:ascii="Times New Roman" w:hAnsi="Times New Roman" w:cs="Times New Roman"/>
                <w:i/>
                <w:iCs/>
              </w:rPr>
              <w:t>Core Plan, Available Resources, A. 9% Federal Credit</w:t>
            </w:r>
            <w:r>
              <w:rPr>
                <w:rFonts w:ascii="Times New Roman" w:hAnsi="Times New Roman" w:cs="Times New Roman"/>
              </w:rPr>
              <w:t xml:space="preserve">) is an estimate of what will be available and not a number that DCA can adjust based on discretion. </w:t>
            </w:r>
          </w:p>
          <w:p w14:paraId="593A3CF3" w14:textId="77777777" w:rsidR="00943E5C" w:rsidRDefault="00943E5C" w:rsidP="00607B8C">
            <w:pPr>
              <w:rPr>
                <w:rFonts w:ascii="Times New Roman" w:hAnsi="Times New Roman" w:cs="Times New Roman"/>
              </w:rPr>
            </w:pPr>
          </w:p>
          <w:p w14:paraId="2A411A3C" w14:textId="77777777" w:rsidR="00943E5C" w:rsidRPr="001B5696" w:rsidRDefault="00943E5C" w:rsidP="00607B8C">
            <w:pPr>
              <w:contextualSpacing/>
              <w:rPr>
                <w:rFonts w:ascii="Times New Roman" w:hAnsi="Times New Roman" w:cs="Times New Roman"/>
                <w:b/>
                <w:bCs/>
              </w:rPr>
            </w:pPr>
            <w:r>
              <w:rPr>
                <w:rFonts w:ascii="Times New Roman" w:hAnsi="Times New Roman" w:cs="Times New Roman"/>
              </w:rPr>
              <w:lastRenderedPageBreak/>
              <w:t xml:space="preserve">Regarding project limitations: DCA will not be increasing the project award limitations specified in </w:t>
            </w:r>
            <w:r w:rsidRPr="00D42BCB">
              <w:rPr>
                <w:rFonts w:ascii="Times New Roman" w:hAnsi="Times New Roman" w:cs="Times New Roman"/>
                <w:i/>
                <w:iCs/>
              </w:rPr>
              <w:t>Core Plan, Submission Requirements and Award Limitations, 9% Round Award Limitations, Project Limitations</w:t>
            </w:r>
            <w:r>
              <w:rPr>
                <w:rFonts w:ascii="Times New Roman" w:hAnsi="Times New Roman" w:cs="Times New Roman"/>
              </w:rPr>
              <w:t>.</w:t>
            </w:r>
          </w:p>
        </w:tc>
      </w:tr>
      <w:tr w:rsidR="00943E5C" w:rsidRPr="00AC6DEC" w14:paraId="08DF40BE" w14:textId="77777777" w:rsidTr="2A62FF34">
        <w:trPr>
          <w:jc w:val="center"/>
        </w:trPr>
        <w:tc>
          <w:tcPr>
            <w:tcW w:w="2157" w:type="dxa"/>
            <w:tcMar>
              <w:top w:w="72" w:type="dxa"/>
              <w:left w:w="115" w:type="dxa"/>
              <w:bottom w:w="72" w:type="dxa"/>
              <w:right w:w="115" w:type="dxa"/>
            </w:tcMar>
            <w:vAlign w:val="center"/>
          </w:tcPr>
          <w:p w14:paraId="4F5431AB" w14:textId="77777777" w:rsidR="00943E5C" w:rsidRDefault="00943E5C" w:rsidP="00607B8C">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6C02478F" w14:textId="77777777" w:rsidR="00943E5C" w:rsidRDefault="00943E5C" w:rsidP="00607B8C">
            <w:pPr>
              <w:rPr>
                <w:rFonts w:ascii="Times New Roman" w:hAnsi="Times New Roman" w:cs="Times New Roman"/>
                <w:noProof/>
              </w:rPr>
            </w:pPr>
            <w:r>
              <w:rPr>
                <w:rFonts w:ascii="Times New Roman" w:hAnsi="Times New Roman" w:cs="Times New Roman"/>
                <w:noProof/>
              </w:rPr>
              <w:t xml:space="preserve">2.01 </w:t>
            </w:r>
          </w:p>
          <w:p w14:paraId="2E801C01" w14:textId="77777777" w:rsidR="00943E5C" w:rsidRPr="00AC6DEC" w:rsidRDefault="00943E5C" w:rsidP="00607B8C">
            <w:pPr>
              <w:rPr>
                <w:rFonts w:ascii="Times New Roman" w:hAnsi="Times New Roman" w:cs="Times New Roman"/>
                <w:noProof/>
              </w:rPr>
            </w:pPr>
            <w:r>
              <w:rPr>
                <w:rFonts w:ascii="Times New Roman" w:hAnsi="Times New Roman" w:cs="Times New Roman"/>
                <w:noProof/>
              </w:rPr>
              <w:t>Threshold; Project Feasibility</w:t>
            </w:r>
          </w:p>
        </w:tc>
        <w:tc>
          <w:tcPr>
            <w:tcW w:w="9590" w:type="dxa"/>
            <w:tcMar>
              <w:top w:w="72" w:type="dxa"/>
              <w:left w:w="115" w:type="dxa"/>
              <w:bottom w:w="72" w:type="dxa"/>
              <w:right w:w="115" w:type="dxa"/>
            </w:tcMar>
            <w:vAlign w:val="center"/>
          </w:tcPr>
          <w:p w14:paraId="03BF314D" w14:textId="77777777" w:rsidR="00943E5C" w:rsidRDefault="00943E5C" w:rsidP="00607B8C">
            <w:pPr>
              <w:contextualSpacing/>
              <w:rPr>
                <w:rFonts w:ascii="Times New Roman" w:hAnsi="Times New Roman" w:cs="Times New Roman"/>
              </w:rPr>
            </w:pPr>
            <w:r w:rsidRPr="768691BC">
              <w:rPr>
                <w:rFonts w:ascii="Times New Roman" w:hAnsi="Times New Roman" w:cs="Times New Roman"/>
                <w:b/>
                <w:bCs/>
              </w:rPr>
              <w:t>Question:</w:t>
            </w:r>
            <w:r w:rsidRPr="768691BC">
              <w:rPr>
                <w:rFonts w:ascii="Times New Roman" w:hAnsi="Times New Roman" w:cs="Times New Roman"/>
              </w:rPr>
              <w:t xml:space="preserve"> </w:t>
            </w:r>
            <w:r w:rsidRPr="00601F57">
              <w:rPr>
                <w:rFonts w:ascii="Times New Roman" w:hAnsi="Times New Roman" w:cs="Times New Roman"/>
                <w:b/>
                <w:bCs/>
              </w:rPr>
              <w:t>Q0426_08</w:t>
            </w:r>
          </w:p>
          <w:p w14:paraId="58D30FC4" w14:textId="77777777" w:rsidR="00943E5C" w:rsidRDefault="00943E5C" w:rsidP="00607B8C">
            <w:pPr>
              <w:contextualSpacing/>
              <w:rPr>
                <w:rFonts w:ascii="Times New Roman" w:hAnsi="Times New Roman" w:cs="Times New Roman"/>
              </w:rPr>
            </w:pPr>
            <w:r w:rsidRPr="75400A49">
              <w:rPr>
                <w:rFonts w:ascii="Times New Roman" w:hAnsi="Times New Roman" w:cs="Times New Roman"/>
              </w:rPr>
              <w:t xml:space="preserve">The QAP states that "original executed preliminary commitments" are required for all </w:t>
            </w:r>
            <w:proofErr w:type="gramStart"/>
            <w:r w:rsidRPr="75400A49">
              <w:rPr>
                <w:rFonts w:ascii="Times New Roman" w:hAnsi="Times New Roman" w:cs="Times New Roman"/>
              </w:rPr>
              <w:t>financing</w:t>
            </w:r>
            <w:proofErr w:type="gramEnd"/>
            <w:r w:rsidRPr="75400A49">
              <w:rPr>
                <w:rFonts w:ascii="Times New Roman" w:hAnsi="Times New Roman" w:cs="Times New Roman"/>
              </w:rPr>
              <w:t xml:space="preserve">. </w:t>
            </w:r>
            <w:proofErr w:type="gramStart"/>
            <w:r w:rsidRPr="75400A49">
              <w:rPr>
                <w:rFonts w:ascii="Times New Roman" w:hAnsi="Times New Roman" w:cs="Times New Roman"/>
              </w:rPr>
              <w:t>I'd</w:t>
            </w:r>
            <w:proofErr w:type="gramEnd"/>
            <w:r w:rsidRPr="75400A49">
              <w:rPr>
                <w:rFonts w:ascii="Times New Roman" w:hAnsi="Times New Roman" w:cs="Times New Roman"/>
              </w:rPr>
              <w:t xml:space="preserve"> like to confirm if scanned color copies of original signatures or electronic signatures are acceptable or if Applicants need to provide original executed copies of all preliminary financing commitments as the QAP states?  Are Applicants required to also sign the executed commitments at the time of application or must they only be executed by the financing provider?</w:t>
            </w:r>
          </w:p>
          <w:p w14:paraId="3410C645" w14:textId="77777777" w:rsidR="00943E5C" w:rsidRDefault="00943E5C" w:rsidP="00607B8C">
            <w:pPr>
              <w:contextualSpacing/>
              <w:rPr>
                <w:rFonts w:ascii="Times New Roman" w:hAnsi="Times New Roman" w:cs="Times New Roman"/>
                <w:b/>
                <w:bCs/>
              </w:rPr>
            </w:pPr>
          </w:p>
          <w:p w14:paraId="02930668" w14:textId="77777777" w:rsidR="00943E5C" w:rsidRPr="00F367A3" w:rsidRDefault="00943E5C" w:rsidP="00607B8C">
            <w:pPr>
              <w:contextualSpacing/>
              <w:rPr>
                <w:rFonts w:ascii="Times New Roman" w:hAnsi="Times New Roman" w:cs="Times New Roman"/>
                <w:b/>
                <w:bCs/>
              </w:rPr>
            </w:pPr>
            <w:r w:rsidRPr="75400A49">
              <w:rPr>
                <w:rFonts w:ascii="Times New Roman" w:hAnsi="Times New Roman" w:cs="Times New Roman"/>
                <w:b/>
                <w:bCs/>
              </w:rPr>
              <w:t xml:space="preserve">Answer: </w:t>
            </w:r>
          </w:p>
          <w:p w14:paraId="5D69863E" w14:textId="77777777" w:rsidR="00943E5C" w:rsidRDefault="00943E5C" w:rsidP="00607B8C">
            <w:pPr>
              <w:rPr>
                <w:rFonts w:ascii="Times New Roman" w:hAnsi="Times New Roman" w:cs="Times New Roman"/>
              </w:rPr>
            </w:pPr>
            <w:r w:rsidRPr="1AB7E4E1">
              <w:rPr>
                <w:rFonts w:ascii="Times New Roman" w:hAnsi="Times New Roman" w:cs="Times New Roman"/>
              </w:rPr>
              <w:t xml:space="preserve">Electronic or wet signature is acceptable. All signatory lines on the commitment should be signed, whether the lender only or lender, borrower, etc. such that the commitment is considered fully executed. Scanned copies of these original documents are acceptable. </w:t>
            </w:r>
          </w:p>
          <w:p w14:paraId="344FD6C9" w14:textId="77777777" w:rsidR="00943E5C" w:rsidRDefault="00943E5C" w:rsidP="00607B8C">
            <w:pPr>
              <w:rPr>
                <w:rFonts w:ascii="Times New Roman" w:hAnsi="Times New Roman" w:cs="Times New Roman"/>
              </w:rPr>
            </w:pPr>
          </w:p>
          <w:p w14:paraId="75EFBAD4" w14:textId="77777777" w:rsidR="00943E5C" w:rsidRPr="78FFE866" w:rsidRDefault="00943E5C" w:rsidP="00607B8C">
            <w:pPr>
              <w:contextualSpacing/>
              <w:rPr>
                <w:rFonts w:ascii="Times New Roman" w:hAnsi="Times New Roman" w:cs="Times New Roman"/>
                <w:b/>
                <w:bCs/>
              </w:rPr>
            </w:pPr>
          </w:p>
        </w:tc>
      </w:tr>
      <w:tr w:rsidR="00943E5C" w:rsidRPr="00AC6DEC" w14:paraId="49500982" w14:textId="77777777" w:rsidTr="2A62FF34">
        <w:trPr>
          <w:jc w:val="center"/>
        </w:trPr>
        <w:tc>
          <w:tcPr>
            <w:tcW w:w="2157" w:type="dxa"/>
            <w:tcMar>
              <w:top w:w="72" w:type="dxa"/>
              <w:left w:w="115" w:type="dxa"/>
              <w:bottom w:w="72" w:type="dxa"/>
              <w:right w:w="115" w:type="dxa"/>
            </w:tcMar>
            <w:vAlign w:val="center"/>
          </w:tcPr>
          <w:p w14:paraId="77C377E3" w14:textId="77777777" w:rsidR="00943E5C" w:rsidRPr="00862BC9" w:rsidRDefault="00943E5C"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20DB2884" w14:textId="77777777" w:rsidR="00943E5C" w:rsidRDefault="00943E5C" w:rsidP="00607B8C">
            <w:pPr>
              <w:rPr>
                <w:rFonts w:ascii="Times New Roman" w:hAnsi="Times New Roman" w:cs="Times New Roman"/>
                <w:noProof/>
              </w:rPr>
            </w:pPr>
            <w:r>
              <w:rPr>
                <w:rFonts w:ascii="Times New Roman" w:hAnsi="Times New Roman" w:cs="Times New Roman"/>
                <w:noProof/>
              </w:rPr>
              <w:t>2.02</w:t>
            </w:r>
          </w:p>
          <w:p w14:paraId="12AE1CE8" w14:textId="77777777" w:rsidR="00943E5C" w:rsidRDefault="00943E5C" w:rsidP="00607B8C">
            <w:pPr>
              <w:rPr>
                <w:rFonts w:ascii="Times New Roman" w:hAnsi="Times New Roman" w:cs="Times New Roman"/>
                <w:noProof/>
              </w:rPr>
            </w:pPr>
            <w:r>
              <w:rPr>
                <w:rFonts w:ascii="Times New Roman" w:hAnsi="Times New Roman" w:cs="Times New Roman"/>
                <w:noProof/>
              </w:rPr>
              <w:t>Threshold; Cost Limits</w:t>
            </w:r>
          </w:p>
        </w:tc>
        <w:tc>
          <w:tcPr>
            <w:tcW w:w="9590" w:type="dxa"/>
            <w:tcMar>
              <w:top w:w="72" w:type="dxa"/>
              <w:left w:w="115" w:type="dxa"/>
              <w:bottom w:w="72" w:type="dxa"/>
              <w:right w:w="115" w:type="dxa"/>
            </w:tcMar>
            <w:vAlign w:val="center"/>
          </w:tcPr>
          <w:p w14:paraId="3C97B8AA" w14:textId="77777777" w:rsidR="00943E5C" w:rsidRPr="009C1F04" w:rsidRDefault="00943E5C" w:rsidP="00607B8C">
            <w:pPr>
              <w:contextualSpacing/>
              <w:rPr>
                <w:rFonts w:ascii="Times New Roman" w:hAnsi="Times New Roman" w:cs="Times New Roman"/>
                <w:b/>
              </w:rPr>
            </w:pPr>
            <w:r w:rsidRPr="009C1F04">
              <w:rPr>
                <w:rFonts w:ascii="Times New Roman" w:hAnsi="Times New Roman" w:cs="Times New Roman"/>
                <w:b/>
                <w:bCs/>
              </w:rPr>
              <w:t>Question: Q0426_02</w:t>
            </w:r>
          </w:p>
          <w:p w14:paraId="23941712" w14:textId="77777777" w:rsidR="00943E5C" w:rsidRDefault="00943E5C" w:rsidP="00607B8C">
            <w:pPr>
              <w:contextualSpacing/>
              <w:rPr>
                <w:rFonts w:ascii="Times New Roman" w:hAnsi="Times New Roman" w:cs="Times New Roman"/>
              </w:rPr>
            </w:pPr>
            <w:r w:rsidRPr="00EF0B62">
              <w:rPr>
                <w:rFonts w:ascii="Times New Roman" w:hAnsi="Times New Roman" w:cs="Times New Roman"/>
              </w:rPr>
              <w:t>The HUD 2020 Unit Total Development Cost Limits are low considering the recent increases in material costs (lumber, steel, etc.). Will DCA consider increasing the DCA increase percentages from the 1.10, 1.15 and 1.20 percentages in the 2021 DCA cost limit testing form?</w:t>
            </w:r>
          </w:p>
          <w:p w14:paraId="0345C1B1" w14:textId="77777777" w:rsidR="00943E5C" w:rsidRPr="00EF0B62" w:rsidRDefault="00943E5C" w:rsidP="00607B8C">
            <w:pPr>
              <w:contextualSpacing/>
              <w:rPr>
                <w:rFonts w:ascii="Times New Roman" w:hAnsi="Times New Roman" w:cs="Times New Roman"/>
                <w:b/>
                <w:bCs/>
              </w:rPr>
            </w:pPr>
          </w:p>
          <w:p w14:paraId="262466F7" w14:textId="77777777" w:rsidR="00943E5C" w:rsidRPr="00EF0B62" w:rsidRDefault="00943E5C" w:rsidP="00607B8C">
            <w:pPr>
              <w:contextualSpacing/>
              <w:rPr>
                <w:rFonts w:ascii="Times New Roman" w:hAnsi="Times New Roman" w:cs="Times New Roman"/>
                <w:b/>
              </w:rPr>
            </w:pPr>
            <w:r w:rsidRPr="00EF0B62">
              <w:rPr>
                <w:rFonts w:ascii="Times New Roman" w:hAnsi="Times New Roman" w:cs="Times New Roman"/>
                <w:b/>
                <w:bCs/>
              </w:rPr>
              <w:t>Answer</w:t>
            </w:r>
            <w:r w:rsidRPr="0C19E4C7">
              <w:rPr>
                <w:rFonts w:ascii="Times New Roman" w:hAnsi="Times New Roman" w:cs="Times New Roman"/>
                <w:b/>
                <w:bCs/>
              </w:rPr>
              <w:t xml:space="preserve">: </w:t>
            </w:r>
          </w:p>
          <w:p w14:paraId="5D8EC608" w14:textId="77777777" w:rsidR="00943E5C" w:rsidRPr="005F6E72" w:rsidRDefault="00943E5C" w:rsidP="00607B8C">
            <w:pPr>
              <w:rPr>
                <w:rFonts w:ascii="Times New Roman" w:hAnsi="Times New Roman" w:cs="Times New Roman"/>
              </w:rPr>
            </w:pPr>
            <w:r w:rsidRPr="0C19E4C7">
              <w:rPr>
                <w:rFonts w:ascii="Times New Roman" w:hAnsi="Times New Roman" w:cs="Times New Roman"/>
              </w:rPr>
              <w:t xml:space="preserve">DCA will not be increasing these percentages at this time. </w:t>
            </w:r>
          </w:p>
        </w:tc>
      </w:tr>
      <w:tr w:rsidR="00943E5C" w:rsidRPr="00AC6DEC" w14:paraId="6C54552C" w14:textId="77777777" w:rsidTr="2A62FF34">
        <w:trPr>
          <w:jc w:val="center"/>
        </w:trPr>
        <w:tc>
          <w:tcPr>
            <w:tcW w:w="2157" w:type="dxa"/>
            <w:tcMar>
              <w:top w:w="72" w:type="dxa"/>
              <w:left w:w="115" w:type="dxa"/>
              <w:bottom w:w="72" w:type="dxa"/>
              <w:right w:w="115" w:type="dxa"/>
            </w:tcMar>
            <w:vAlign w:val="center"/>
          </w:tcPr>
          <w:p w14:paraId="1E898995" w14:textId="77777777" w:rsidR="00943E5C" w:rsidRDefault="00943E5C"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1D6FEC4D" w14:textId="77777777" w:rsidR="00943E5C" w:rsidRDefault="00943E5C" w:rsidP="00607B8C">
            <w:pPr>
              <w:rPr>
                <w:rFonts w:ascii="Times New Roman" w:hAnsi="Times New Roman" w:cs="Times New Roman"/>
                <w:noProof/>
              </w:rPr>
            </w:pPr>
            <w:r>
              <w:rPr>
                <w:rFonts w:ascii="Times New Roman" w:hAnsi="Times New Roman" w:cs="Times New Roman"/>
                <w:noProof/>
              </w:rPr>
              <w:t>2.06</w:t>
            </w:r>
          </w:p>
          <w:p w14:paraId="69C91146" w14:textId="77777777" w:rsidR="00943E5C" w:rsidRPr="00AC6DEC" w:rsidRDefault="00943E5C" w:rsidP="00607B8C">
            <w:pPr>
              <w:rPr>
                <w:rFonts w:ascii="Times New Roman" w:hAnsi="Times New Roman" w:cs="Times New Roman"/>
                <w:noProof/>
              </w:rPr>
            </w:pPr>
            <w:r>
              <w:rPr>
                <w:rFonts w:ascii="Times New Roman" w:hAnsi="Times New Roman" w:cs="Times New Roman"/>
                <w:noProof/>
              </w:rPr>
              <w:t>Threshold; Appraisals</w:t>
            </w:r>
          </w:p>
        </w:tc>
        <w:tc>
          <w:tcPr>
            <w:tcW w:w="9590" w:type="dxa"/>
            <w:tcMar>
              <w:top w:w="72" w:type="dxa"/>
              <w:left w:w="115" w:type="dxa"/>
              <w:bottom w:w="72" w:type="dxa"/>
              <w:right w:w="115" w:type="dxa"/>
            </w:tcMar>
            <w:vAlign w:val="center"/>
          </w:tcPr>
          <w:p w14:paraId="61A89952" w14:textId="77777777" w:rsidR="00943E5C" w:rsidRDefault="00943E5C" w:rsidP="00607B8C">
            <w:pPr>
              <w:contextualSpacing/>
              <w:rPr>
                <w:rFonts w:ascii="Times New Roman" w:hAnsi="Times New Roman" w:cs="Times New Roman"/>
              </w:rPr>
            </w:pPr>
            <w:r w:rsidRPr="11A48882">
              <w:rPr>
                <w:rFonts w:ascii="Times New Roman" w:hAnsi="Times New Roman" w:cs="Times New Roman"/>
                <w:b/>
                <w:bCs/>
              </w:rPr>
              <w:t>Question:</w:t>
            </w:r>
            <w:r w:rsidRPr="11A48882">
              <w:rPr>
                <w:rFonts w:ascii="Times New Roman" w:hAnsi="Times New Roman" w:cs="Times New Roman"/>
              </w:rPr>
              <w:t xml:space="preserve"> Q0426_05</w:t>
            </w:r>
            <w:r>
              <w:tab/>
            </w:r>
          </w:p>
          <w:p w14:paraId="1C0ED866" w14:textId="77777777" w:rsidR="00943E5C" w:rsidRDefault="00943E5C" w:rsidP="00607B8C">
            <w:pPr>
              <w:contextualSpacing/>
              <w:rPr>
                <w:rFonts w:ascii="Times New Roman" w:hAnsi="Times New Roman" w:cs="Times New Roman"/>
              </w:rPr>
            </w:pPr>
            <w:r w:rsidRPr="11A48882">
              <w:rPr>
                <w:rFonts w:ascii="Times New Roman" w:hAnsi="Times New Roman" w:cs="Times New Roman"/>
              </w:rPr>
              <w:t>For our proposed project, the Applicant will enter into an Option for a Ground Lease at a nominal value with the local housing authority, which owns the land and will also serve as one of the General Partners and developers in the project.  Although there is an identity-of-interest, the ground lease will be conveyed at a nominal value, so in previous years DCA has not required an appraisal to justify the land value.  Could DCA please confirm that this still holds true for 2021?</w:t>
            </w:r>
          </w:p>
          <w:p w14:paraId="00909355" w14:textId="77777777" w:rsidR="00943E5C" w:rsidRDefault="00943E5C" w:rsidP="00607B8C">
            <w:pPr>
              <w:contextualSpacing/>
              <w:rPr>
                <w:rFonts w:ascii="Times New Roman" w:hAnsi="Times New Roman" w:cs="Times New Roman"/>
                <w:b/>
                <w:bCs/>
              </w:rPr>
            </w:pPr>
          </w:p>
          <w:p w14:paraId="4570C1ED" w14:textId="77777777" w:rsidR="00943E5C" w:rsidRPr="0006049E" w:rsidRDefault="00943E5C" w:rsidP="00607B8C">
            <w:pPr>
              <w:contextualSpacing/>
              <w:rPr>
                <w:rFonts w:ascii="Times New Roman" w:hAnsi="Times New Roman" w:cs="Times New Roman"/>
                <w:b/>
                <w:bCs/>
              </w:rPr>
            </w:pPr>
            <w:r w:rsidRPr="39A57D0A">
              <w:rPr>
                <w:rFonts w:ascii="Times New Roman" w:hAnsi="Times New Roman" w:cs="Times New Roman"/>
                <w:b/>
                <w:bCs/>
              </w:rPr>
              <w:t xml:space="preserve">Answer: </w:t>
            </w:r>
          </w:p>
          <w:p w14:paraId="11CC74B9" w14:textId="77777777" w:rsidR="00943E5C" w:rsidRPr="00644A84" w:rsidRDefault="00943E5C" w:rsidP="00607B8C">
            <w:pPr>
              <w:rPr>
                <w:rFonts w:ascii="Times New Roman" w:hAnsi="Times New Roman" w:cs="Times New Roman"/>
              </w:rPr>
            </w:pPr>
            <w:r w:rsidRPr="00644A84">
              <w:rPr>
                <w:rFonts w:ascii="Times New Roman" w:hAnsi="Times New Roman" w:cs="Times New Roman"/>
              </w:rPr>
              <w:t xml:space="preserve">An appraisal is required if any of the below </w:t>
            </w:r>
            <w:proofErr w:type="gramStart"/>
            <w:r w:rsidRPr="00644A84">
              <w:rPr>
                <w:rFonts w:ascii="Times New Roman" w:hAnsi="Times New Roman" w:cs="Times New Roman"/>
              </w:rPr>
              <w:t>applies</w:t>
            </w:r>
            <w:r>
              <w:rPr>
                <w:rFonts w:ascii="Times New Roman" w:hAnsi="Times New Roman" w:cs="Times New Roman"/>
              </w:rPr>
              <w:t>,</w:t>
            </w:r>
            <w:r w:rsidRPr="00644A84">
              <w:rPr>
                <w:rFonts w:ascii="Times New Roman" w:hAnsi="Times New Roman" w:cs="Times New Roman"/>
              </w:rPr>
              <w:t xml:space="preserve"> unless</w:t>
            </w:r>
            <w:proofErr w:type="gramEnd"/>
            <w:r w:rsidRPr="00644A84">
              <w:rPr>
                <w:rFonts w:ascii="Times New Roman" w:hAnsi="Times New Roman" w:cs="Times New Roman"/>
              </w:rPr>
              <w:t xml:space="preserve"> a waiver was obtained.</w:t>
            </w:r>
          </w:p>
          <w:p w14:paraId="6BA6910E" w14:textId="77777777" w:rsidR="00943E5C" w:rsidRDefault="00943E5C" w:rsidP="00607B8C">
            <w:pPr>
              <w:rPr>
                <w:rFonts w:ascii="Times New Roman" w:hAnsi="Times New Roman" w:cs="Times New Roman"/>
              </w:rPr>
            </w:pPr>
          </w:p>
          <w:p w14:paraId="7017BA99" w14:textId="77777777" w:rsidR="00943E5C" w:rsidRDefault="00943E5C" w:rsidP="00607B8C">
            <w:pPr>
              <w:rPr>
                <w:rFonts w:ascii="Times New Roman" w:hAnsi="Times New Roman" w:cs="Times New Roman"/>
              </w:rPr>
            </w:pPr>
            <w:r>
              <w:rPr>
                <w:rFonts w:ascii="Times New Roman" w:hAnsi="Times New Roman" w:cs="Times New Roman"/>
              </w:rPr>
              <w:t xml:space="preserve">The </w:t>
            </w:r>
            <w:r w:rsidRPr="11A48882">
              <w:rPr>
                <w:rFonts w:ascii="Times New Roman" w:hAnsi="Times New Roman" w:cs="Times New Roman"/>
              </w:rPr>
              <w:t>QAP</w:t>
            </w:r>
            <w:r>
              <w:rPr>
                <w:rFonts w:ascii="Times New Roman" w:hAnsi="Times New Roman" w:cs="Times New Roman"/>
              </w:rPr>
              <w:t xml:space="preserve"> states:</w:t>
            </w:r>
          </w:p>
          <w:p w14:paraId="595E6ACE" w14:textId="77777777" w:rsidR="00943E5C" w:rsidRDefault="00943E5C" w:rsidP="00607B8C">
            <w:pPr>
              <w:rPr>
                <w:rFonts w:ascii="Times New Roman" w:hAnsi="Times New Roman" w:cs="Times New Roman"/>
              </w:rPr>
            </w:pPr>
          </w:p>
          <w:p w14:paraId="163437FB" w14:textId="77777777" w:rsidR="00943E5C" w:rsidRPr="000E750E" w:rsidRDefault="00943E5C" w:rsidP="00607B8C">
            <w:pPr>
              <w:ind w:left="720"/>
              <w:contextualSpacing/>
              <w:rPr>
                <w:rFonts w:ascii="Times New Roman" w:hAnsi="Times New Roman" w:cs="Times New Roman"/>
                <w:b/>
                <w:bCs/>
              </w:rPr>
            </w:pPr>
            <w:r w:rsidRPr="00414841">
              <w:rPr>
                <w:rFonts w:ascii="Times New Roman" w:hAnsi="Times New Roman" w:cs="Times New Roman"/>
                <w:b/>
                <w:bCs/>
              </w:rPr>
              <w:t>Threshold, Appraisals, Applicant-Commissioned Appraisals</w:t>
            </w:r>
            <w:r w:rsidRPr="11A48882">
              <w:rPr>
                <w:rFonts w:ascii="Times New Roman" w:hAnsi="Times New Roman" w:cs="Times New Roman"/>
              </w:rPr>
              <w:t>:</w:t>
            </w:r>
            <w:r>
              <w:rPr>
                <w:rFonts w:ascii="Times New Roman" w:hAnsi="Times New Roman" w:cs="Times New Roman"/>
              </w:rPr>
              <w:t xml:space="preserve"> </w:t>
            </w:r>
            <w:r w:rsidRPr="11A48882">
              <w:rPr>
                <w:rFonts w:ascii="Times New Roman" w:eastAsia="Times New Roman" w:hAnsi="Times New Roman" w:cs="Times New Roman"/>
              </w:rPr>
              <w:t>“DCA policy requires that the Applicant obtain an appraisal of the value of a property if there is an Identity of Interest between the buyer and the seller. This includes a seller that is a member of the proposed Project Team, including a limited partner. This appraisal must be submitted with the Application and follow the value estimates detailed in the 2021 Appraisal Manual. DCA will carefully scrutinize the sales price of land between related parties to ensure that the value has not been inflated. While the appraisal will be an indication of fair market value, DCA will consider tax values as well as the lesser of the appraised value or actual sales price established as indicative of the value of a property.”</w:t>
            </w:r>
            <w:r>
              <w:rPr>
                <w:rFonts w:ascii="Times New Roman" w:eastAsia="Times New Roman" w:hAnsi="Times New Roman" w:cs="Times New Roman"/>
              </w:rPr>
              <w:br/>
            </w:r>
          </w:p>
        </w:tc>
      </w:tr>
      <w:tr w:rsidR="00943E5C" w:rsidRPr="00AC6DEC" w14:paraId="50657BA6" w14:textId="77777777" w:rsidTr="2A62FF34">
        <w:trPr>
          <w:jc w:val="center"/>
        </w:trPr>
        <w:tc>
          <w:tcPr>
            <w:tcW w:w="2157" w:type="dxa"/>
            <w:tcMar>
              <w:top w:w="72" w:type="dxa"/>
              <w:left w:w="115" w:type="dxa"/>
              <w:bottom w:w="72" w:type="dxa"/>
              <w:right w:w="115" w:type="dxa"/>
            </w:tcMar>
            <w:vAlign w:val="center"/>
          </w:tcPr>
          <w:p w14:paraId="7A5473A4" w14:textId="77777777" w:rsidR="00943E5C" w:rsidRDefault="00943E5C" w:rsidP="00607B8C">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14E541C2" w14:textId="77777777" w:rsidR="00943E5C" w:rsidRDefault="00943E5C" w:rsidP="00607B8C">
            <w:pPr>
              <w:rPr>
                <w:rFonts w:ascii="Times New Roman" w:hAnsi="Times New Roman" w:cs="Times New Roman"/>
                <w:noProof/>
              </w:rPr>
            </w:pPr>
            <w:r>
              <w:rPr>
                <w:rFonts w:ascii="Times New Roman" w:hAnsi="Times New Roman" w:cs="Times New Roman"/>
                <w:noProof/>
              </w:rPr>
              <w:t>2.07</w:t>
            </w:r>
          </w:p>
          <w:p w14:paraId="3A186799" w14:textId="77777777" w:rsidR="00943E5C" w:rsidRPr="00AC6DEC" w:rsidRDefault="00943E5C" w:rsidP="00607B8C">
            <w:pPr>
              <w:rPr>
                <w:rFonts w:ascii="Times New Roman" w:hAnsi="Times New Roman" w:cs="Times New Roman"/>
                <w:noProof/>
              </w:rPr>
            </w:pPr>
            <w:r>
              <w:rPr>
                <w:rFonts w:ascii="Times New Roman" w:hAnsi="Times New Roman" w:cs="Times New Roman"/>
                <w:noProof/>
              </w:rPr>
              <w:t>Threshold; Environmental Requirements</w:t>
            </w:r>
          </w:p>
        </w:tc>
        <w:tc>
          <w:tcPr>
            <w:tcW w:w="9590" w:type="dxa"/>
            <w:tcMar>
              <w:top w:w="72" w:type="dxa"/>
              <w:left w:w="115" w:type="dxa"/>
              <w:bottom w:w="72" w:type="dxa"/>
              <w:right w:w="115" w:type="dxa"/>
            </w:tcMar>
            <w:vAlign w:val="center"/>
          </w:tcPr>
          <w:p w14:paraId="554B344B" w14:textId="77777777" w:rsidR="00943E5C" w:rsidRDefault="00943E5C" w:rsidP="00607B8C">
            <w:pPr>
              <w:contextualSpacing/>
              <w:rPr>
                <w:rFonts w:ascii="Times New Roman" w:hAnsi="Times New Roman" w:cs="Times New Roman"/>
              </w:rPr>
            </w:pPr>
            <w:r w:rsidRPr="1178A60A">
              <w:rPr>
                <w:rFonts w:ascii="Times New Roman" w:hAnsi="Times New Roman" w:cs="Times New Roman"/>
                <w:b/>
                <w:bCs/>
              </w:rPr>
              <w:t>Question:</w:t>
            </w:r>
            <w:r w:rsidRPr="1178A60A">
              <w:rPr>
                <w:rFonts w:ascii="Times New Roman" w:hAnsi="Times New Roman" w:cs="Times New Roman"/>
              </w:rPr>
              <w:t xml:space="preserve"> </w:t>
            </w:r>
            <w:r w:rsidRPr="003A715A">
              <w:rPr>
                <w:rFonts w:ascii="Times New Roman" w:hAnsi="Times New Roman" w:cs="Times New Roman"/>
                <w:b/>
                <w:bCs/>
              </w:rPr>
              <w:t>Q0420_03</w:t>
            </w:r>
            <w:r w:rsidRPr="003A715A">
              <w:rPr>
                <w:b/>
                <w:bCs/>
              </w:rPr>
              <w:tab/>
            </w:r>
          </w:p>
          <w:p w14:paraId="412207AC" w14:textId="77777777" w:rsidR="00943E5C" w:rsidRDefault="00943E5C" w:rsidP="00607B8C">
            <w:pPr>
              <w:contextualSpacing/>
              <w:rPr>
                <w:rFonts w:ascii="Times New Roman" w:hAnsi="Times New Roman" w:cs="Times New Roman"/>
              </w:rPr>
            </w:pPr>
            <w:r w:rsidRPr="1178A60A">
              <w:rPr>
                <w:rFonts w:ascii="Times New Roman" w:hAnsi="Times New Roman" w:cs="Times New Roman"/>
              </w:rPr>
              <w:t>If we have client that would like to go into the Brownfield program, is the Brownfield application due along with the environmental application due to you on May 21?</w:t>
            </w:r>
          </w:p>
          <w:p w14:paraId="518D36F0" w14:textId="77777777" w:rsidR="00943E5C" w:rsidRDefault="00943E5C" w:rsidP="00607B8C">
            <w:pPr>
              <w:rPr>
                <w:rFonts w:ascii="Times New Roman" w:hAnsi="Times New Roman" w:cs="Times New Roman"/>
                <w:b/>
                <w:bCs/>
              </w:rPr>
            </w:pPr>
          </w:p>
          <w:p w14:paraId="31816CC8" w14:textId="77777777" w:rsidR="00943E5C" w:rsidRDefault="00943E5C" w:rsidP="00607B8C">
            <w:pPr>
              <w:contextualSpacing/>
              <w:rPr>
                <w:rFonts w:ascii="Times New Roman" w:hAnsi="Times New Roman" w:cs="Times New Roman"/>
                <w:b/>
                <w:bCs/>
              </w:rPr>
            </w:pPr>
            <w:r w:rsidRPr="1178A60A">
              <w:rPr>
                <w:rFonts w:ascii="Times New Roman" w:hAnsi="Times New Roman" w:cs="Times New Roman"/>
                <w:b/>
                <w:bCs/>
              </w:rPr>
              <w:t xml:space="preserve">Answer: </w:t>
            </w:r>
          </w:p>
          <w:p w14:paraId="4D36F518" w14:textId="77777777" w:rsidR="00943E5C" w:rsidRPr="008D2F61" w:rsidRDefault="00943E5C" w:rsidP="00607B8C">
            <w:pPr>
              <w:rPr>
                <w:rFonts w:ascii="Times New Roman" w:hAnsi="Times New Roman" w:cs="Times New Roman"/>
              </w:rPr>
            </w:pPr>
            <w:r>
              <w:rPr>
                <w:rFonts w:ascii="Times New Roman" w:hAnsi="Times New Roman" w:cs="Times New Roman"/>
              </w:rPr>
              <w:t>The QAP does not state any requirements directly pertaining to brownfields, and thus the b</w:t>
            </w:r>
            <w:r w:rsidRPr="34439140">
              <w:rPr>
                <w:rFonts w:ascii="Times New Roman" w:hAnsi="Times New Roman" w:cs="Times New Roman"/>
              </w:rPr>
              <w:t xml:space="preserve">rownfield application is not due along with the </w:t>
            </w:r>
            <w:r w:rsidRPr="43382B47">
              <w:rPr>
                <w:rFonts w:ascii="Times New Roman" w:hAnsi="Times New Roman" w:cs="Times New Roman"/>
              </w:rPr>
              <w:t xml:space="preserve">9% Credit </w:t>
            </w:r>
            <w:r w:rsidRPr="65483920">
              <w:rPr>
                <w:rFonts w:ascii="Times New Roman" w:hAnsi="Times New Roman" w:cs="Times New Roman"/>
              </w:rPr>
              <w:t>Application on</w:t>
            </w:r>
            <w:r w:rsidRPr="627CCB53">
              <w:rPr>
                <w:rFonts w:ascii="Times New Roman" w:hAnsi="Times New Roman" w:cs="Times New Roman"/>
              </w:rPr>
              <w:t xml:space="preserve"> </w:t>
            </w:r>
            <w:r w:rsidRPr="209D9818">
              <w:rPr>
                <w:rFonts w:ascii="Times New Roman" w:hAnsi="Times New Roman" w:cs="Times New Roman"/>
              </w:rPr>
              <w:t>May 21</w:t>
            </w:r>
            <w:r>
              <w:rPr>
                <w:rFonts w:ascii="Times New Roman" w:hAnsi="Times New Roman" w:cs="Times New Roman"/>
              </w:rPr>
              <w:t>.</w:t>
            </w:r>
            <w:r w:rsidRPr="209D9818">
              <w:rPr>
                <w:rFonts w:ascii="Times New Roman" w:hAnsi="Times New Roman" w:cs="Times New Roman"/>
              </w:rPr>
              <w:t xml:space="preserve"> </w:t>
            </w:r>
            <w:r>
              <w:rPr>
                <w:rFonts w:ascii="Times New Roman" w:hAnsi="Times New Roman" w:cs="Times New Roman"/>
              </w:rPr>
              <w:t xml:space="preserve">However, </w:t>
            </w:r>
            <w:r w:rsidRPr="719EFA54">
              <w:rPr>
                <w:rFonts w:ascii="Times New Roman" w:hAnsi="Times New Roman" w:cs="Times New Roman"/>
              </w:rPr>
              <w:t>submission</w:t>
            </w:r>
            <w:r w:rsidRPr="20C933D9">
              <w:rPr>
                <w:rFonts w:ascii="Times New Roman" w:hAnsi="Times New Roman" w:cs="Times New Roman"/>
              </w:rPr>
              <w:t xml:space="preserve"> </w:t>
            </w:r>
            <w:r w:rsidRPr="209D9818">
              <w:rPr>
                <w:rFonts w:ascii="Times New Roman" w:hAnsi="Times New Roman" w:cs="Times New Roman"/>
              </w:rPr>
              <w:t xml:space="preserve">may be required as a </w:t>
            </w:r>
            <w:r w:rsidRPr="7BC482F3">
              <w:rPr>
                <w:rFonts w:ascii="Times New Roman" w:hAnsi="Times New Roman" w:cs="Times New Roman"/>
              </w:rPr>
              <w:t>condition of funding</w:t>
            </w:r>
            <w:r w:rsidRPr="755D60CB">
              <w:rPr>
                <w:rFonts w:ascii="Times New Roman" w:hAnsi="Times New Roman" w:cs="Times New Roman"/>
              </w:rPr>
              <w:t>.</w:t>
            </w:r>
          </w:p>
        </w:tc>
      </w:tr>
      <w:tr w:rsidR="00943E5C" w:rsidRPr="00AC6DEC" w14:paraId="6A9CFFBA" w14:textId="77777777" w:rsidTr="2A62FF34">
        <w:trPr>
          <w:jc w:val="center"/>
        </w:trPr>
        <w:tc>
          <w:tcPr>
            <w:tcW w:w="2157" w:type="dxa"/>
            <w:tcMar>
              <w:top w:w="72" w:type="dxa"/>
              <w:left w:w="115" w:type="dxa"/>
              <w:bottom w:w="72" w:type="dxa"/>
              <w:right w:w="115" w:type="dxa"/>
            </w:tcMar>
            <w:vAlign w:val="center"/>
          </w:tcPr>
          <w:p w14:paraId="604578A7" w14:textId="77777777" w:rsidR="00943E5C" w:rsidRDefault="00943E5C"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64328757" w14:textId="77777777" w:rsidR="00943E5C" w:rsidRDefault="00943E5C" w:rsidP="00607B8C">
            <w:pPr>
              <w:rPr>
                <w:rFonts w:ascii="Times New Roman" w:hAnsi="Times New Roman" w:cs="Times New Roman"/>
                <w:noProof/>
              </w:rPr>
            </w:pPr>
            <w:r>
              <w:rPr>
                <w:rFonts w:ascii="Times New Roman" w:hAnsi="Times New Roman" w:cs="Times New Roman"/>
                <w:noProof/>
              </w:rPr>
              <w:t>2.17</w:t>
            </w:r>
          </w:p>
          <w:p w14:paraId="017F0B4C" w14:textId="77777777" w:rsidR="00943E5C" w:rsidRDefault="00943E5C" w:rsidP="00607B8C">
            <w:pPr>
              <w:rPr>
                <w:rFonts w:ascii="Times New Roman" w:hAnsi="Times New Roman" w:cs="Times New Roman"/>
                <w:noProof/>
              </w:rPr>
            </w:pPr>
            <w:r>
              <w:rPr>
                <w:rFonts w:ascii="Times New Roman" w:hAnsi="Times New Roman" w:cs="Times New Roman"/>
                <w:noProof/>
              </w:rPr>
              <w:t>Threshold; Building Sustainability</w:t>
            </w:r>
          </w:p>
        </w:tc>
        <w:tc>
          <w:tcPr>
            <w:tcW w:w="9590" w:type="dxa"/>
            <w:tcMar>
              <w:top w:w="72" w:type="dxa"/>
              <w:left w:w="115" w:type="dxa"/>
              <w:bottom w:w="72" w:type="dxa"/>
              <w:right w:w="115" w:type="dxa"/>
            </w:tcMar>
            <w:vAlign w:val="center"/>
          </w:tcPr>
          <w:p w14:paraId="01E10B4D" w14:textId="77777777" w:rsidR="00943E5C" w:rsidRDefault="00943E5C" w:rsidP="00607B8C">
            <w:pPr>
              <w:contextualSpacing/>
              <w:rPr>
                <w:rFonts w:ascii="Times New Roman" w:hAnsi="Times New Roman" w:cs="Times New Roman"/>
              </w:rPr>
            </w:pPr>
            <w:r w:rsidRPr="2C30FBAD">
              <w:rPr>
                <w:rFonts w:ascii="Times New Roman" w:hAnsi="Times New Roman" w:cs="Times New Roman"/>
                <w:b/>
                <w:bCs/>
              </w:rPr>
              <w:t>Question:</w:t>
            </w:r>
            <w:r w:rsidRPr="2C30FBAD">
              <w:rPr>
                <w:rFonts w:ascii="Times New Roman" w:hAnsi="Times New Roman" w:cs="Times New Roman"/>
              </w:rPr>
              <w:t xml:space="preserve"> Q0426_09</w:t>
            </w:r>
            <w:r>
              <w:tab/>
            </w:r>
          </w:p>
          <w:p w14:paraId="317B2E4A" w14:textId="77777777" w:rsidR="00943E5C" w:rsidRDefault="00943E5C" w:rsidP="00607B8C">
            <w:pPr>
              <w:contextualSpacing/>
              <w:rPr>
                <w:rFonts w:ascii="Times New Roman" w:hAnsi="Times New Roman" w:cs="Times New Roman"/>
              </w:rPr>
            </w:pPr>
            <w:r w:rsidRPr="2C30FBAD">
              <w:rPr>
                <w:rFonts w:ascii="Times New Roman" w:hAnsi="Times New Roman" w:cs="Times New Roman"/>
              </w:rPr>
              <w:t>QAP - Appendix I: Threshold</w:t>
            </w:r>
            <w:r>
              <w:tab/>
            </w:r>
            <w:r w:rsidRPr="2C30FBAD">
              <w:rPr>
                <w:rFonts w:ascii="Times New Roman" w:hAnsi="Times New Roman" w:cs="Times New Roman"/>
              </w:rPr>
              <w:t>Building Sustainability</w:t>
            </w:r>
            <w:r>
              <w:tab/>
            </w:r>
          </w:p>
          <w:p w14:paraId="5DAB9D64" w14:textId="77777777" w:rsidR="00943E5C" w:rsidRDefault="00943E5C" w:rsidP="00607B8C">
            <w:pPr>
              <w:contextualSpacing/>
              <w:rPr>
                <w:rFonts w:ascii="Times New Roman" w:hAnsi="Times New Roman" w:cs="Times New Roman"/>
              </w:rPr>
            </w:pPr>
          </w:p>
          <w:p w14:paraId="1BC1E1FB" w14:textId="77777777" w:rsidR="00943E5C" w:rsidRDefault="00943E5C" w:rsidP="00607B8C">
            <w:pPr>
              <w:contextualSpacing/>
              <w:rPr>
                <w:rFonts w:ascii="Times New Roman" w:hAnsi="Times New Roman" w:cs="Times New Roman"/>
              </w:rPr>
            </w:pPr>
            <w:r w:rsidRPr="2C30FBAD">
              <w:rPr>
                <w:rFonts w:ascii="Times New Roman" w:hAnsi="Times New Roman" w:cs="Times New Roman"/>
              </w:rPr>
              <w:t xml:space="preserve">The QAP states that Applicants must complete DCA's virtual Sustainability training.  One of the QAP workshop slides gives the web address to a </w:t>
            </w:r>
            <w:proofErr w:type="spellStart"/>
            <w:r w:rsidRPr="2C30FBAD">
              <w:rPr>
                <w:rFonts w:ascii="Times New Roman" w:hAnsi="Times New Roman" w:cs="Times New Roman"/>
              </w:rPr>
              <w:t>youtube</w:t>
            </w:r>
            <w:proofErr w:type="spellEnd"/>
            <w:r w:rsidRPr="2C30FBAD">
              <w:rPr>
                <w:rFonts w:ascii="Times New Roman" w:hAnsi="Times New Roman" w:cs="Times New Roman"/>
              </w:rPr>
              <w:t xml:space="preserve"> video of a prior webinar.  Will DCA be providing a webinar this year or are applicants simply required to watch the </w:t>
            </w:r>
            <w:proofErr w:type="spellStart"/>
            <w:r w:rsidRPr="2C30FBAD">
              <w:rPr>
                <w:rFonts w:ascii="Times New Roman" w:hAnsi="Times New Roman" w:cs="Times New Roman"/>
              </w:rPr>
              <w:t>youtube</w:t>
            </w:r>
            <w:proofErr w:type="spellEnd"/>
            <w:r w:rsidRPr="2C30FBAD">
              <w:rPr>
                <w:rFonts w:ascii="Times New Roman" w:hAnsi="Times New Roman" w:cs="Times New Roman"/>
              </w:rPr>
              <w:t xml:space="preserve"> video?  Is there any sort of documentation needed for the application to meet this requirement?</w:t>
            </w:r>
          </w:p>
          <w:p w14:paraId="7807117A" w14:textId="77777777" w:rsidR="00943E5C" w:rsidRDefault="00943E5C" w:rsidP="00607B8C">
            <w:pPr>
              <w:contextualSpacing/>
              <w:rPr>
                <w:rFonts w:ascii="Times New Roman" w:hAnsi="Times New Roman" w:cs="Times New Roman"/>
                <w:b/>
                <w:bCs/>
              </w:rPr>
            </w:pPr>
          </w:p>
          <w:p w14:paraId="42367779" w14:textId="77777777" w:rsidR="00943E5C" w:rsidRDefault="00943E5C" w:rsidP="00607B8C">
            <w:pPr>
              <w:contextualSpacing/>
              <w:rPr>
                <w:rFonts w:ascii="Times New Roman" w:hAnsi="Times New Roman" w:cs="Times New Roman"/>
                <w:b/>
                <w:bCs/>
              </w:rPr>
            </w:pPr>
            <w:r w:rsidRPr="2C30FBAD">
              <w:rPr>
                <w:rFonts w:ascii="Times New Roman" w:hAnsi="Times New Roman" w:cs="Times New Roman"/>
                <w:b/>
                <w:bCs/>
              </w:rPr>
              <w:t xml:space="preserve">Answer: </w:t>
            </w:r>
          </w:p>
          <w:p w14:paraId="3E922410" w14:textId="77777777" w:rsidR="00943E5C" w:rsidRDefault="00943E5C" w:rsidP="00607B8C">
            <w:pPr>
              <w:rPr>
                <w:rFonts w:ascii="Times New Roman" w:hAnsi="Times New Roman" w:cs="Times New Roman"/>
              </w:rPr>
            </w:pPr>
            <w:r w:rsidRPr="770493D6">
              <w:rPr>
                <w:rFonts w:ascii="Times New Roman" w:hAnsi="Times New Roman" w:cs="Times New Roman"/>
              </w:rPr>
              <w:t xml:space="preserve">DCA’s Building Sustainability Training is located here: </w:t>
            </w:r>
            <w:hyperlink r:id="rId20" w:history="1">
              <w:r w:rsidRPr="000E13CD">
                <w:rPr>
                  <w:rStyle w:val="Hyperlink"/>
                  <w:rFonts w:ascii="Times New Roman" w:hAnsi="Times New Roman" w:cs="Times New Roman"/>
                </w:rPr>
                <w:t>https://www.youtube.com/watch?v=VozXGGf8Ueg&amp;t=503s</w:t>
              </w:r>
            </w:hyperlink>
            <w:r w:rsidRPr="770493D6">
              <w:rPr>
                <w:rFonts w:ascii="Times New Roman" w:hAnsi="Times New Roman" w:cs="Times New Roman"/>
              </w:rPr>
              <w:t xml:space="preserve"> </w:t>
            </w:r>
          </w:p>
          <w:p w14:paraId="077E621E" w14:textId="77777777" w:rsidR="00943E5C" w:rsidRDefault="00943E5C" w:rsidP="00607B8C">
            <w:r w:rsidRPr="770493D6">
              <w:rPr>
                <w:rFonts w:ascii="Times New Roman" w:hAnsi="Times New Roman" w:cs="Times New Roman"/>
              </w:rPr>
              <w:t xml:space="preserve"> </w:t>
            </w:r>
          </w:p>
          <w:p w14:paraId="1686C662" w14:textId="77777777" w:rsidR="00943E5C" w:rsidRDefault="00943E5C" w:rsidP="00607B8C">
            <w:r w:rsidRPr="770493D6">
              <w:rPr>
                <w:rFonts w:ascii="Times New Roman" w:hAnsi="Times New Roman" w:cs="Times New Roman"/>
              </w:rPr>
              <w:t>Please note, the YouTube video will not generate a Certificate of Participation. Applicants can demonstrate watching the webinar with a self-certify box in the Threshold Tab of the Excel Core App.</w:t>
            </w:r>
          </w:p>
          <w:p w14:paraId="4B755AE4" w14:textId="77777777" w:rsidR="00943E5C" w:rsidRDefault="00943E5C" w:rsidP="00607B8C">
            <w:r w:rsidRPr="770493D6">
              <w:rPr>
                <w:rFonts w:ascii="Times New Roman" w:hAnsi="Times New Roman" w:cs="Times New Roman"/>
              </w:rPr>
              <w:t xml:space="preserve"> </w:t>
            </w:r>
          </w:p>
          <w:p w14:paraId="702CCCFE" w14:textId="77777777" w:rsidR="00943E5C" w:rsidRDefault="00943E5C" w:rsidP="00607B8C">
            <w:r w:rsidRPr="770493D6">
              <w:rPr>
                <w:rFonts w:ascii="Times New Roman" w:hAnsi="Times New Roman" w:cs="Times New Roman"/>
              </w:rPr>
              <w:t xml:space="preserve">The following </w:t>
            </w:r>
            <w:r>
              <w:rPr>
                <w:rFonts w:ascii="Times New Roman" w:hAnsi="Times New Roman" w:cs="Times New Roman"/>
              </w:rPr>
              <w:t xml:space="preserve">is </w:t>
            </w:r>
            <w:r w:rsidRPr="770493D6">
              <w:rPr>
                <w:rFonts w:ascii="Times New Roman" w:hAnsi="Times New Roman" w:cs="Times New Roman"/>
              </w:rPr>
              <w:t>in the core app, with a link to the training as well.</w:t>
            </w:r>
          </w:p>
          <w:p w14:paraId="01C12942" w14:textId="77777777" w:rsidR="00943E5C" w:rsidRDefault="00943E5C" w:rsidP="00607B8C">
            <w:r w:rsidRPr="770493D6">
              <w:rPr>
                <w:rFonts w:ascii="Times New Roman" w:hAnsi="Times New Roman" w:cs="Times New Roman"/>
              </w:rPr>
              <w:lastRenderedPageBreak/>
              <w:t xml:space="preserve"> </w:t>
            </w:r>
          </w:p>
          <w:p w14:paraId="6A587B8D" w14:textId="77777777" w:rsidR="00943E5C" w:rsidRDefault="00943E5C" w:rsidP="00607B8C">
            <w:r>
              <w:rPr>
                <w:noProof/>
              </w:rPr>
              <w:drawing>
                <wp:inline distT="0" distB="0" distL="0" distR="0" wp14:anchorId="6EB806B9" wp14:editId="24E6DA73">
                  <wp:extent cx="5943600" cy="1321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1321435"/>
                          </a:xfrm>
                          <a:prstGeom prst="rect">
                            <a:avLst/>
                          </a:prstGeom>
                        </pic:spPr>
                      </pic:pic>
                    </a:graphicData>
                  </a:graphic>
                </wp:inline>
              </w:drawing>
            </w:r>
          </w:p>
          <w:p w14:paraId="5F88C15D" w14:textId="77777777" w:rsidR="00943E5C" w:rsidRDefault="00943E5C" w:rsidP="00607B8C">
            <w:pPr>
              <w:rPr>
                <w:rFonts w:ascii="Times New Roman" w:hAnsi="Times New Roman" w:cs="Times New Roman"/>
              </w:rPr>
            </w:pPr>
          </w:p>
          <w:p w14:paraId="1C6F0845" w14:textId="77777777" w:rsidR="00943E5C" w:rsidRPr="11A48882" w:rsidRDefault="00943E5C" w:rsidP="00607B8C">
            <w:pPr>
              <w:contextualSpacing/>
              <w:rPr>
                <w:rFonts w:ascii="Times New Roman" w:hAnsi="Times New Roman" w:cs="Times New Roman"/>
                <w:b/>
                <w:bCs/>
              </w:rPr>
            </w:pPr>
          </w:p>
        </w:tc>
      </w:tr>
      <w:tr w:rsidR="00943E5C" w:rsidRPr="00AC6DEC" w14:paraId="61B73E5D" w14:textId="77777777" w:rsidTr="2A62FF34">
        <w:trPr>
          <w:jc w:val="center"/>
        </w:trPr>
        <w:tc>
          <w:tcPr>
            <w:tcW w:w="2157" w:type="dxa"/>
            <w:tcMar>
              <w:top w:w="72" w:type="dxa"/>
              <w:left w:w="115" w:type="dxa"/>
              <w:bottom w:w="72" w:type="dxa"/>
              <w:right w:w="115" w:type="dxa"/>
            </w:tcMar>
            <w:vAlign w:val="center"/>
          </w:tcPr>
          <w:p w14:paraId="240B7969" w14:textId="77777777" w:rsidR="00943E5C" w:rsidRDefault="00943E5C" w:rsidP="00607B8C">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673D67C4"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3.04</w:t>
            </w:r>
          </w:p>
          <w:p w14:paraId="39C2B401" w14:textId="77777777" w:rsidR="00943E5C" w:rsidRDefault="00943E5C" w:rsidP="00607B8C">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7D80501E" w14:textId="77777777" w:rsidR="00943E5C" w:rsidRPr="00321709" w:rsidRDefault="00943E5C" w:rsidP="00607B8C">
            <w:pPr>
              <w:contextualSpacing/>
              <w:rPr>
                <w:rFonts w:ascii="Times New Roman" w:hAnsi="Times New Roman" w:cs="Times New Roman"/>
                <w:b/>
                <w:bCs/>
              </w:rPr>
            </w:pPr>
            <w:r w:rsidRPr="00321709">
              <w:rPr>
                <w:rFonts w:ascii="Times New Roman" w:hAnsi="Times New Roman" w:cs="Times New Roman"/>
                <w:b/>
                <w:bCs/>
              </w:rPr>
              <w:t>Question: Q0426_03</w:t>
            </w:r>
          </w:p>
          <w:p w14:paraId="3E8E9339" w14:textId="77777777" w:rsidR="00943E5C" w:rsidRPr="0098132D" w:rsidRDefault="00943E5C" w:rsidP="00607B8C">
            <w:pPr>
              <w:contextualSpacing/>
              <w:rPr>
                <w:rFonts w:ascii="Times New Roman" w:hAnsi="Times New Roman" w:cs="Times New Roman"/>
              </w:rPr>
            </w:pPr>
            <w:r w:rsidRPr="0098132D">
              <w:rPr>
                <w:rFonts w:ascii="Times New Roman" w:hAnsi="Times New Roman" w:cs="Times New Roman"/>
              </w:rPr>
              <w:t>For scoring section IV. Deeper Targeting, is it allowable to submit the application claiming points for either IV(A) Deeper Targeting Through Rent Restrictions (2 pts) or IV(B) Deeper Targeting Through New PBRA Contracts (3 pts), knowing that only one of the two sub-sections may be awarded?  The concept would be to claim 3 points for New PBRA Contracts, but to also structure the application to meet the criteria for A. Rent Restrictions as a contingency in the event DCA does not approve our claim for B. New PBRA Contracts.  Are we allowed to submit for both, with the idea that DCA would award the higher of the two determined, or is it an all or nothing type scenario for this section?</w:t>
            </w:r>
          </w:p>
          <w:p w14:paraId="7EB2C327" w14:textId="77777777" w:rsidR="00943E5C" w:rsidRPr="0098132D" w:rsidRDefault="00943E5C" w:rsidP="00607B8C">
            <w:pPr>
              <w:contextualSpacing/>
              <w:rPr>
                <w:rFonts w:ascii="Times New Roman" w:hAnsi="Times New Roman" w:cs="Times New Roman"/>
                <w:b/>
                <w:bCs/>
              </w:rPr>
            </w:pPr>
          </w:p>
          <w:p w14:paraId="2AF59A04" w14:textId="77777777" w:rsidR="00943E5C" w:rsidRPr="00FB7B0E" w:rsidRDefault="00943E5C" w:rsidP="00607B8C">
            <w:pPr>
              <w:contextualSpacing/>
              <w:rPr>
                <w:rFonts w:ascii="Times New Roman" w:hAnsi="Times New Roman" w:cs="Times New Roman"/>
                <w:b/>
                <w:bCs/>
              </w:rPr>
            </w:pPr>
            <w:r w:rsidRPr="00E32763">
              <w:rPr>
                <w:rFonts w:ascii="Times New Roman" w:hAnsi="Times New Roman" w:cs="Times New Roman"/>
                <w:b/>
                <w:bCs/>
              </w:rPr>
              <w:t xml:space="preserve">Answer: </w:t>
            </w:r>
          </w:p>
          <w:p w14:paraId="2B226631" w14:textId="77777777" w:rsidR="00943E5C" w:rsidRDefault="00943E5C" w:rsidP="00607B8C">
            <w:pPr>
              <w:contextualSpacing/>
              <w:rPr>
                <w:rFonts w:ascii="Times New Roman" w:hAnsi="Times New Roman" w:cs="Times New Roman"/>
              </w:rPr>
            </w:pPr>
            <w:r w:rsidRPr="00E32763">
              <w:rPr>
                <w:rFonts w:ascii="Times New Roman" w:hAnsi="Times New Roman" w:cs="Times New Roman"/>
              </w:rPr>
              <w:t>Under this section, t</w:t>
            </w:r>
            <w:r>
              <w:rPr>
                <w:rFonts w:ascii="Times New Roman" w:hAnsi="Times New Roman" w:cs="Times New Roman"/>
              </w:rPr>
              <w:t>he QAP states the following: “A</w:t>
            </w:r>
            <w:r w:rsidRPr="002A73DC">
              <w:rPr>
                <w:rFonts w:ascii="Times New Roman" w:hAnsi="Times New Roman" w:cs="Times New Roman"/>
              </w:rPr>
              <w:t>pplicants may claim points under either A or B.</w:t>
            </w:r>
            <w:r>
              <w:rPr>
                <w:rFonts w:ascii="Times New Roman" w:hAnsi="Times New Roman" w:cs="Times New Roman"/>
              </w:rPr>
              <w:t xml:space="preserve">” Applicants must pick one of the two subsections for points, not both.  </w:t>
            </w:r>
          </w:p>
        </w:tc>
      </w:tr>
      <w:tr w:rsidR="00943E5C" w:rsidRPr="00AC6DEC" w14:paraId="32074BA9" w14:textId="77777777" w:rsidTr="2A62FF34">
        <w:trPr>
          <w:jc w:val="center"/>
        </w:trPr>
        <w:tc>
          <w:tcPr>
            <w:tcW w:w="2157" w:type="dxa"/>
            <w:tcMar>
              <w:top w:w="72" w:type="dxa"/>
              <w:left w:w="115" w:type="dxa"/>
              <w:bottom w:w="72" w:type="dxa"/>
              <w:right w:w="115" w:type="dxa"/>
            </w:tcMar>
            <w:vAlign w:val="center"/>
          </w:tcPr>
          <w:p w14:paraId="4DE06A73" w14:textId="77777777" w:rsidR="00943E5C" w:rsidRDefault="00943E5C"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35609080"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3.05</w:t>
            </w:r>
          </w:p>
          <w:p w14:paraId="5494465B"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575BF250" w14:textId="77777777" w:rsidR="00943E5C" w:rsidRDefault="00943E5C" w:rsidP="00607B8C">
            <w:pPr>
              <w:contextualSpacing/>
              <w:rPr>
                <w:rFonts w:ascii="Times New Roman" w:hAnsi="Times New Roman" w:cs="Times New Roman"/>
              </w:rPr>
            </w:pPr>
            <w:r w:rsidRPr="5DBFF6B1">
              <w:rPr>
                <w:rFonts w:ascii="Times New Roman" w:hAnsi="Times New Roman" w:cs="Times New Roman"/>
                <w:b/>
                <w:bCs/>
              </w:rPr>
              <w:t>Question:</w:t>
            </w:r>
            <w:r w:rsidRPr="5DBFF6B1">
              <w:rPr>
                <w:rFonts w:ascii="Times New Roman" w:hAnsi="Times New Roman" w:cs="Times New Roman"/>
              </w:rPr>
              <w:t xml:space="preserve"> </w:t>
            </w:r>
            <w:r w:rsidRPr="008A3877">
              <w:rPr>
                <w:rFonts w:ascii="Times New Roman" w:hAnsi="Times New Roman" w:cs="Times New Roman"/>
                <w:b/>
                <w:bCs/>
              </w:rPr>
              <w:t>Q0426_11</w:t>
            </w:r>
          </w:p>
          <w:p w14:paraId="7D6BDE6B" w14:textId="77777777" w:rsidR="00943E5C" w:rsidRDefault="00943E5C" w:rsidP="00607B8C">
            <w:pPr>
              <w:contextualSpacing/>
              <w:rPr>
                <w:rFonts w:ascii="Times New Roman" w:hAnsi="Times New Roman" w:cs="Times New Roman"/>
                <w:b/>
                <w:bCs/>
              </w:rPr>
            </w:pPr>
            <w:r w:rsidRPr="7AE8A4F3">
              <w:rPr>
                <w:rFonts w:ascii="Times New Roman" w:hAnsi="Times New Roman" w:cs="Times New Roman"/>
              </w:rPr>
              <w:t>Can Bing Maps be used versus Google Maps for the driving or walking route? Also, can a city/public dirt road be used as a route?  It is a public graded road.  It is located in a more rural community.</w:t>
            </w:r>
          </w:p>
          <w:p w14:paraId="2E40BCA3" w14:textId="77777777" w:rsidR="00943E5C" w:rsidRDefault="00943E5C" w:rsidP="00607B8C">
            <w:pPr>
              <w:contextualSpacing/>
              <w:rPr>
                <w:rFonts w:ascii="Times New Roman" w:hAnsi="Times New Roman" w:cs="Times New Roman"/>
                <w:b/>
                <w:bCs/>
              </w:rPr>
            </w:pPr>
          </w:p>
          <w:p w14:paraId="0491862C" w14:textId="77777777" w:rsidR="00943E5C" w:rsidRDefault="00943E5C" w:rsidP="00607B8C">
            <w:pPr>
              <w:contextualSpacing/>
              <w:rPr>
                <w:rFonts w:ascii="Times New Roman" w:hAnsi="Times New Roman" w:cs="Times New Roman"/>
                <w:b/>
                <w:bCs/>
              </w:rPr>
            </w:pPr>
            <w:r>
              <w:rPr>
                <w:rFonts w:ascii="Times New Roman" w:hAnsi="Times New Roman" w:cs="Times New Roman"/>
                <w:b/>
                <w:bCs/>
              </w:rPr>
              <w:t>Answer:</w:t>
            </w:r>
          </w:p>
          <w:p w14:paraId="5DD4E800" w14:textId="77777777" w:rsidR="00943E5C" w:rsidRPr="000B536E" w:rsidRDefault="00943E5C" w:rsidP="00607B8C">
            <w:pPr>
              <w:contextualSpacing/>
              <w:rPr>
                <w:rFonts w:ascii="Times New Roman" w:eastAsia="Times New Roman" w:hAnsi="Times New Roman" w:cs="Times New Roman"/>
              </w:rPr>
            </w:pPr>
            <w:r w:rsidRPr="00022C51">
              <w:rPr>
                <w:rFonts w:ascii="Times New Roman" w:eastAsia="Times New Roman" w:hAnsi="Times New Roman" w:cs="Times New Roman"/>
              </w:rPr>
              <w:t xml:space="preserve">The QAP does not specify </w:t>
            </w:r>
            <w:r>
              <w:rPr>
                <w:rFonts w:ascii="Times New Roman" w:eastAsia="Times New Roman" w:hAnsi="Times New Roman" w:cs="Times New Roman"/>
              </w:rPr>
              <w:t xml:space="preserve">that </w:t>
            </w:r>
            <w:r w:rsidRPr="00022C51">
              <w:rPr>
                <w:rFonts w:ascii="Times New Roman" w:eastAsia="Times New Roman" w:hAnsi="Times New Roman" w:cs="Times New Roman"/>
              </w:rPr>
              <w:t xml:space="preserve">certain types of </w:t>
            </w:r>
            <w:r>
              <w:rPr>
                <w:rFonts w:ascii="Times New Roman" w:eastAsia="Times New Roman" w:hAnsi="Times New Roman" w:cs="Times New Roman"/>
              </w:rPr>
              <w:t xml:space="preserve">public-access </w:t>
            </w:r>
            <w:r w:rsidRPr="00022C51">
              <w:rPr>
                <w:rFonts w:ascii="Times New Roman" w:eastAsia="Times New Roman" w:hAnsi="Times New Roman" w:cs="Times New Roman"/>
              </w:rPr>
              <w:t>roads are ineligible.</w:t>
            </w:r>
            <w:r>
              <w:rPr>
                <w:rFonts w:ascii="Times New Roman" w:eastAsia="Times New Roman" w:hAnsi="Times New Roman" w:cs="Times New Roman"/>
              </w:rPr>
              <w:t xml:space="preserve"> Regarding Bing Maps versus Google Maps documentation, please note that the QAP states: </w:t>
            </w:r>
          </w:p>
          <w:p w14:paraId="4BD533AC" w14:textId="77777777" w:rsidR="00943E5C" w:rsidRDefault="00943E5C" w:rsidP="00607B8C">
            <w:pPr>
              <w:rPr>
                <w:rFonts w:ascii="Times New Roman" w:eastAsia="Times New Roman" w:hAnsi="Times New Roman" w:cs="Times New Roman"/>
              </w:rPr>
            </w:pPr>
          </w:p>
          <w:p w14:paraId="4D2C27FF" w14:textId="77777777" w:rsidR="00943E5C" w:rsidRPr="48832CF1" w:rsidRDefault="00943E5C" w:rsidP="00607B8C">
            <w:pPr>
              <w:ind w:left="720"/>
              <w:contextualSpacing/>
              <w:rPr>
                <w:rFonts w:ascii="Times New Roman" w:hAnsi="Times New Roman" w:cs="Times New Roman"/>
                <w:b/>
                <w:bCs/>
              </w:rPr>
            </w:pPr>
            <w:r w:rsidRPr="00DE553E">
              <w:rPr>
                <w:rFonts w:ascii="Times New Roman" w:eastAsia="Times New Roman" w:hAnsi="Times New Roman" w:cs="Times New Roman"/>
                <w:b/>
                <w:bCs/>
              </w:rPr>
              <w:t>Scoring, Documentation and Justifications, Minimum Documentation</w:t>
            </w:r>
            <w:r>
              <w:rPr>
                <w:rFonts w:ascii="Times New Roman" w:eastAsia="Times New Roman" w:hAnsi="Times New Roman" w:cs="Times New Roman"/>
              </w:rPr>
              <w:t>: “</w:t>
            </w:r>
            <w:r w:rsidRPr="00DE553E">
              <w:rPr>
                <w:rFonts w:ascii="Times New Roman" w:eastAsia="Times New Roman" w:hAnsi="Times New Roman" w:cs="Times New Roman"/>
              </w:rPr>
              <w:t xml:space="preserve">In the event the Applicant submits an alternate document to a minimum document, a thorough explanation of the </w:t>
            </w:r>
            <w:r w:rsidRPr="00DE553E">
              <w:rPr>
                <w:rFonts w:ascii="Times New Roman" w:eastAsia="Times New Roman" w:hAnsi="Times New Roman" w:cs="Times New Roman"/>
              </w:rPr>
              <w:lastRenderedPageBreak/>
              <w:t>usefulness of this alternate document should be entered into the appropriate scoring justification section.</w:t>
            </w:r>
            <w:r>
              <w:rPr>
                <w:rFonts w:ascii="Times New Roman" w:eastAsia="Times New Roman" w:hAnsi="Times New Roman" w:cs="Times New Roman"/>
              </w:rPr>
              <w:t>”</w:t>
            </w:r>
          </w:p>
        </w:tc>
      </w:tr>
      <w:tr w:rsidR="00943E5C" w:rsidRPr="00AC6DEC" w14:paraId="5F570115" w14:textId="77777777" w:rsidTr="2A62FF34">
        <w:trPr>
          <w:jc w:val="center"/>
        </w:trPr>
        <w:tc>
          <w:tcPr>
            <w:tcW w:w="2157" w:type="dxa"/>
            <w:tcMar>
              <w:top w:w="72" w:type="dxa"/>
              <w:left w:w="115" w:type="dxa"/>
              <w:bottom w:w="72" w:type="dxa"/>
              <w:right w:w="115" w:type="dxa"/>
            </w:tcMar>
            <w:vAlign w:val="center"/>
          </w:tcPr>
          <w:p w14:paraId="5CEE6D0E" w14:textId="77777777" w:rsidR="00943E5C" w:rsidRDefault="00943E5C" w:rsidP="00607B8C">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41DAAA0C"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3.07</w:t>
            </w:r>
          </w:p>
          <w:p w14:paraId="7CBA60C7" w14:textId="77777777" w:rsidR="00943E5C" w:rsidRDefault="00943E5C" w:rsidP="00607B8C">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151FAB01" w14:textId="77777777" w:rsidR="00943E5C" w:rsidRDefault="00943E5C" w:rsidP="00607B8C">
            <w:pPr>
              <w:contextualSpacing/>
              <w:rPr>
                <w:rFonts w:ascii="Times New Roman" w:hAnsi="Times New Roman" w:cs="Times New Roman"/>
              </w:rPr>
            </w:pPr>
            <w:r w:rsidRPr="48832CF1">
              <w:rPr>
                <w:rFonts w:ascii="Times New Roman" w:hAnsi="Times New Roman" w:cs="Times New Roman"/>
                <w:b/>
                <w:bCs/>
              </w:rPr>
              <w:t>Question:</w:t>
            </w:r>
            <w:r w:rsidRPr="48832CF1">
              <w:rPr>
                <w:rFonts w:ascii="Times New Roman" w:hAnsi="Times New Roman" w:cs="Times New Roman"/>
              </w:rPr>
              <w:t xml:space="preserve"> </w:t>
            </w:r>
            <w:r w:rsidRPr="006B723B">
              <w:rPr>
                <w:rFonts w:ascii="Times New Roman" w:hAnsi="Times New Roman" w:cs="Times New Roman"/>
                <w:b/>
                <w:bCs/>
              </w:rPr>
              <w:t>Q0426_14</w:t>
            </w:r>
            <w:r>
              <w:tab/>
            </w:r>
          </w:p>
          <w:p w14:paraId="7AF010D0" w14:textId="77777777" w:rsidR="00943E5C" w:rsidRDefault="00943E5C" w:rsidP="00607B8C">
            <w:pPr>
              <w:contextualSpacing/>
              <w:rPr>
                <w:rFonts w:ascii="Times New Roman" w:hAnsi="Times New Roman" w:cs="Times New Roman"/>
              </w:rPr>
            </w:pPr>
            <w:r w:rsidRPr="48832CF1">
              <w:rPr>
                <w:rFonts w:ascii="Times New Roman" w:hAnsi="Times New Roman" w:cs="Times New Roman"/>
              </w:rPr>
              <w:t xml:space="preserve">Since Quality Education Areas has its own scoring category this year, an application can score points for performing schools and still claim points in Revitalization/Redevelopment as </w:t>
            </w:r>
            <w:proofErr w:type="gramStart"/>
            <w:r w:rsidRPr="48832CF1">
              <w:rPr>
                <w:rFonts w:ascii="Times New Roman" w:hAnsi="Times New Roman" w:cs="Times New Roman"/>
              </w:rPr>
              <w:t>well</w:t>
            </w:r>
            <w:proofErr w:type="gramEnd"/>
            <w:r w:rsidRPr="48832CF1">
              <w:rPr>
                <w:rFonts w:ascii="Times New Roman" w:hAnsi="Times New Roman" w:cs="Times New Roman"/>
              </w:rPr>
              <w:t xml:space="preserve"> correct?  Last year we could not claim points for schools if you were claiming points for Revitalization.</w:t>
            </w:r>
          </w:p>
          <w:p w14:paraId="66C1F864" w14:textId="77777777" w:rsidR="00943E5C" w:rsidRDefault="00943E5C" w:rsidP="00607B8C">
            <w:pPr>
              <w:contextualSpacing/>
              <w:rPr>
                <w:rFonts w:ascii="Times New Roman" w:hAnsi="Times New Roman" w:cs="Times New Roman"/>
                <w:b/>
                <w:bCs/>
              </w:rPr>
            </w:pPr>
          </w:p>
          <w:p w14:paraId="3A6305D8" w14:textId="77777777" w:rsidR="00943E5C" w:rsidRPr="004C31FA" w:rsidRDefault="00943E5C" w:rsidP="00607B8C">
            <w:pPr>
              <w:contextualSpacing/>
              <w:rPr>
                <w:rFonts w:ascii="Times New Roman" w:hAnsi="Times New Roman" w:cs="Times New Roman"/>
                <w:b/>
                <w:bCs/>
              </w:rPr>
            </w:pPr>
            <w:r w:rsidRPr="48832CF1">
              <w:rPr>
                <w:rFonts w:ascii="Times New Roman" w:hAnsi="Times New Roman" w:cs="Times New Roman"/>
                <w:b/>
                <w:bCs/>
              </w:rPr>
              <w:t xml:space="preserve">Answer: </w:t>
            </w:r>
          </w:p>
          <w:p w14:paraId="03E4106E" w14:textId="77777777" w:rsidR="00943E5C" w:rsidRPr="00D70545" w:rsidRDefault="00943E5C" w:rsidP="00607B8C">
            <w:pPr>
              <w:rPr>
                <w:rFonts w:ascii="Times New Roman" w:hAnsi="Times New Roman" w:cs="Times New Roman"/>
              </w:rPr>
            </w:pPr>
            <w:r w:rsidRPr="32F4FDE2">
              <w:rPr>
                <w:rFonts w:ascii="Times New Roman" w:hAnsi="Times New Roman" w:cs="Times New Roman"/>
              </w:rPr>
              <w:t>Correct, Applicants may claim points in Quality Education Areas regardless of points claimed in any other sections.</w:t>
            </w:r>
          </w:p>
        </w:tc>
      </w:tr>
      <w:tr w:rsidR="00943E5C" w:rsidRPr="00AC6DEC" w14:paraId="02F68B99" w14:textId="77777777" w:rsidTr="2A62FF34">
        <w:trPr>
          <w:jc w:val="center"/>
        </w:trPr>
        <w:tc>
          <w:tcPr>
            <w:tcW w:w="2157" w:type="dxa"/>
            <w:tcMar>
              <w:top w:w="72" w:type="dxa"/>
              <w:left w:w="115" w:type="dxa"/>
              <w:bottom w:w="72" w:type="dxa"/>
              <w:right w:w="115" w:type="dxa"/>
            </w:tcMar>
            <w:vAlign w:val="center"/>
          </w:tcPr>
          <w:p w14:paraId="27D17A84" w14:textId="77777777" w:rsidR="00943E5C" w:rsidRDefault="00943E5C"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2A55E568"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3.09</w:t>
            </w:r>
          </w:p>
          <w:p w14:paraId="3C4E9D40"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Community Transformation</w:t>
            </w:r>
          </w:p>
        </w:tc>
        <w:tc>
          <w:tcPr>
            <w:tcW w:w="9590" w:type="dxa"/>
            <w:tcMar>
              <w:top w:w="72" w:type="dxa"/>
              <w:left w:w="115" w:type="dxa"/>
              <w:bottom w:w="72" w:type="dxa"/>
              <w:right w:w="115" w:type="dxa"/>
            </w:tcMar>
            <w:vAlign w:val="center"/>
          </w:tcPr>
          <w:p w14:paraId="2EF36B41" w14:textId="77777777" w:rsidR="00943E5C" w:rsidRPr="000E750E" w:rsidRDefault="00943E5C" w:rsidP="00607B8C">
            <w:pPr>
              <w:contextualSpacing/>
              <w:rPr>
                <w:rFonts w:ascii="Times New Roman" w:hAnsi="Times New Roman" w:cs="Times New Roman"/>
                <w:b/>
                <w:bCs/>
              </w:rPr>
            </w:pPr>
            <w:r w:rsidRPr="000E750E">
              <w:rPr>
                <w:rFonts w:ascii="Times New Roman" w:hAnsi="Times New Roman" w:cs="Times New Roman"/>
                <w:b/>
                <w:bCs/>
              </w:rPr>
              <w:t>Question: Q0426_04</w:t>
            </w:r>
          </w:p>
          <w:p w14:paraId="4B666FA2" w14:textId="77777777" w:rsidR="00943E5C" w:rsidRPr="00D9391D" w:rsidRDefault="00943E5C" w:rsidP="00607B8C">
            <w:pPr>
              <w:contextualSpacing/>
              <w:rPr>
                <w:rFonts w:ascii="Times New Roman" w:hAnsi="Times New Roman" w:cs="Times New Roman"/>
              </w:rPr>
            </w:pPr>
            <w:r w:rsidRPr="00D9391D">
              <w:rPr>
                <w:rFonts w:ascii="Times New Roman" w:hAnsi="Times New Roman" w:cs="Times New Roman"/>
              </w:rPr>
              <w:t>The QAP states that an Applicant is only eligible to claim points in this section if it meets the following criteria: "Each Project Team may submit only one Application for Community Transformation."</w:t>
            </w:r>
          </w:p>
          <w:p w14:paraId="33D57D95" w14:textId="77777777" w:rsidR="00943E5C" w:rsidRPr="00D9391D" w:rsidRDefault="00943E5C" w:rsidP="00607B8C">
            <w:pPr>
              <w:contextualSpacing/>
              <w:rPr>
                <w:rFonts w:ascii="Times New Roman" w:hAnsi="Times New Roman" w:cs="Times New Roman"/>
              </w:rPr>
            </w:pPr>
          </w:p>
          <w:p w14:paraId="203F8DE7" w14:textId="77777777" w:rsidR="00943E5C" w:rsidRPr="00D9391D" w:rsidRDefault="00943E5C" w:rsidP="00607B8C">
            <w:pPr>
              <w:contextualSpacing/>
              <w:rPr>
                <w:rFonts w:ascii="Times New Roman" w:hAnsi="Times New Roman" w:cs="Times New Roman"/>
              </w:rPr>
            </w:pPr>
            <w:proofErr w:type="gramStart"/>
            <w:r w:rsidRPr="00D9391D">
              <w:rPr>
                <w:rFonts w:ascii="Times New Roman" w:hAnsi="Times New Roman" w:cs="Times New Roman"/>
              </w:rPr>
              <w:t>If  Developer</w:t>
            </w:r>
            <w:proofErr w:type="gramEnd"/>
            <w:r w:rsidRPr="00D9391D">
              <w:rPr>
                <w:rFonts w:ascii="Times New Roman" w:hAnsi="Times New Roman" w:cs="Times New Roman"/>
              </w:rPr>
              <w:t xml:space="preserve"> A is part of two separate and distinct Project Team Application submissions, are both Projects eligible to receive points under this section?</w:t>
            </w:r>
          </w:p>
          <w:p w14:paraId="4133A96A" w14:textId="77777777" w:rsidR="00943E5C" w:rsidRPr="00D9391D" w:rsidRDefault="00943E5C" w:rsidP="00607B8C">
            <w:pPr>
              <w:contextualSpacing/>
              <w:rPr>
                <w:rFonts w:ascii="Times New Roman" w:hAnsi="Times New Roman" w:cs="Times New Roman"/>
                <w:b/>
                <w:bCs/>
              </w:rPr>
            </w:pPr>
          </w:p>
          <w:p w14:paraId="75F720D2" w14:textId="77777777" w:rsidR="00943E5C" w:rsidRPr="006F7895" w:rsidRDefault="00943E5C" w:rsidP="00607B8C">
            <w:pPr>
              <w:contextualSpacing/>
              <w:rPr>
                <w:rFonts w:ascii="Times New Roman" w:hAnsi="Times New Roman" w:cs="Times New Roman"/>
                <w:b/>
                <w:bCs/>
              </w:rPr>
            </w:pPr>
            <w:r w:rsidRPr="006F7895">
              <w:rPr>
                <w:rFonts w:ascii="Times New Roman" w:hAnsi="Times New Roman" w:cs="Times New Roman"/>
                <w:b/>
                <w:bCs/>
              </w:rPr>
              <w:t>Answer:</w:t>
            </w:r>
          </w:p>
          <w:p w14:paraId="24B305E9" w14:textId="77777777" w:rsidR="00943E5C" w:rsidRPr="000E750E" w:rsidRDefault="00943E5C" w:rsidP="00607B8C">
            <w:pPr>
              <w:rPr>
                <w:rFonts w:ascii="Times New Roman" w:hAnsi="Times New Roman" w:cs="Times New Roman"/>
              </w:rPr>
            </w:pPr>
            <w:r w:rsidRPr="4F8319EE">
              <w:rPr>
                <w:rFonts w:ascii="Times New Roman" w:hAnsi="Times New Roman" w:cs="Times New Roman"/>
              </w:rPr>
              <w:t xml:space="preserve">"Project Team” is defined in the 2021 QAP as “the General Partner, Developer, Consultant and Principal(s) thereof for a proposed tax credit project.” If the General Partner, Developer, Consultant, or Principal(s) thereof </w:t>
            </w:r>
            <w:r>
              <w:rPr>
                <w:rFonts w:ascii="Times New Roman" w:hAnsi="Times New Roman" w:cs="Times New Roman"/>
              </w:rPr>
              <w:t>for</w:t>
            </w:r>
            <w:r w:rsidRPr="4F8319EE">
              <w:rPr>
                <w:rFonts w:ascii="Times New Roman" w:hAnsi="Times New Roman" w:cs="Times New Roman"/>
              </w:rPr>
              <w:t xml:space="preserve"> one Application differ from another Application, these Applications have different Project </w:t>
            </w:r>
            <w:proofErr w:type="gramStart"/>
            <w:r w:rsidRPr="4F8319EE">
              <w:rPr>
                <w:rFonts w:ascii="Times New Roman" w:hAnsi="Times New Roman" w:cs="Times New Roman"/>
              </w:rPr>
              <w:t>Teams</w:t>
            </w:r>
            <w:proofErr w:type="gramEnd"/>
            <w:r>
              <w:rPr>
                <w:rFonts w:ascii="Times New Roman" w:hAnsi="Times New Roman" w:cs="Times New Roman"/>
              </w:rPr>
              <w:t xml:space="preserve"> and each are eligible to submit an Application claiming Community Transformation points. </w:t>
            </w:r>
          </w:p>
        </w:tc>
      </w:tr>
      <w:tr w:rsidR="00943E5C" w:rsidRPr="00AC6DEC" w14:paraId="240E8521" w14:textId="77777777" w:rsidTr="2A62FF34">
        <w:trPr>
          <w:jc w:val="center"/>
        </w:trPr>
        <w:tc>
          <w:tcPr>
            <w:tcW w:w="2157" w:type="dxa"/>
            <w:tcMar>
              <w:top w:w="72" w:type="dxa"/>
              <w:left w:w="115" w:type="dxa"/>
              <w:bottom w:w="72" w:type="dxa"/>
              <w:right w:w="115" w:type="dxa"/>
            </w:tcMar>
            <w:vAlign w:val="center"/>
          </w:tcPr>
          <w:p w14:paraId="475618CA" w14:textId="77777777" w:rsidR="00943E5C" w:rsidRDefault="00943E5C"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4D01DDAB"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3.14</w:t>
            </w:r>
          </w:p>
          <w:p w14:paraId="5BA1C342"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rPr>
              <w:t>Scoring; Previous Projects</w:t>
            </w:r>
          </w:p>
        </w:tc>
        <w:tc>
          <w:tcPr>
            <w:tcW w:w="9590" w:type="dxa"/>
            <w:tcMar>
              <w:top w:w="72" w:type="dxa"/>
              <w:left w:w="115" w:type="dxa"/>
              <w:bottom w:w="72" w:type="dxa"/>
              <w:right w:w="115" w:type="dxa"/>
            </w:tcMar>
            <w:vAlign w:val="center"/>
          </w:tcPr>
          <w:p w14:paraId="67CCA885" w14:textId="77777777" w:rsidR="00943E5C" w:rsidRDefault="00943E5C" w:rsidP="00607B8C">
            <w:pPr>
              <w:contextualSpacing/>
              <w:rPr>
                <w:rFonts w:ascii="Times New Roman" w:hAnsi="Times New Roman" w:cs="Times New Roman"/>
              </w:rPr>
            </w:pPr>
            <w:r w:rsidRPr="4B3D9A15">
              <w:rPr>
                <w:rFonts w:ascii="Times New Roman" w:hAnsi="Times New Roman" w:cs="Times New Roman"/>
                <w:b/>
                <w:bCs/>
              </w:rPr>
              <w:t>Question:</w:t>
            </w:r>
            <w:r w:rsidRPr="4B3D9A15">
              <w:rPr>
                <w:rFonts w:ascii="Times New Roman" w:hAnsi="Times New Roman" w:cs="Times New Roman"/>
              </w:rPr>
              <w:t xml:space="preserve"> Q0426_12</w:t>
            </w:r>
            <w:r>
              <w:tab/>
            </w:r>
          </w:p>
          <w:p w14:paraId="3169E596" w14:textId="77777777" w:rsidR="00943E5C" w:rsidRDefault="00943E5C" w:rsidP="00607B8C">
            <w:pPr>
              <w:contextualSpacing/>
              <w:rPr>
                <w:rFonts w:ascii="Times New Roman" w:hAnsi="Times New Roman" w:cs="Times New Roman"/>
                <w:b/>
                <w:bCs/>
              </w:rPr>
            </w:pPr>
            <w:r w:rsidRPr="4B3D9A15">
              <w:rPr>
                <w:rFonts w:ascii="Times New Roman" w:hAnsi="Times New Roman" w:cs="Times New Roman"/>
              </w:rPr>
              <w:t xml:space="preserve">For Previous Projects under the Four to Six Years Lookback Period:  I always have to clarify this for me every year.  Specifically for the Two Points category, the proposed development's site is not within a buffer that has received an award in the last 4 funding cycles.  We do not count the current application round of </w:t>
            </w:r>
            <w:proofErr w:type="gramStart"/>
            <w:r w:rsidRPr="4B3D9A15">
              <w:rPr>
                <w:rFonts w:ascii="Times New Roman" w:hAnsi="Times New Roman" w:cs="Times New Roman"/>
              </w:rPr>
              <w:t>2021</w:t>
            </w:r>
            <w:proofErr w:type="gramEnd"/>
            <w:r w:rsidRPr="4B3D9A15">
              <w:rPr>
                <w:rFonts w:ascii="Times New Roman" w:hAnsi="Times New Roman" w:cs="Times New Roman"/>
              </w:rPr>
              <w:t xml:space="preserve"> so the last 4 cycles are 2020, 2019, 2018, and 2017 correct?  </w:t>
            </w:r>
            <w:proofErr w:type="gramStart"/>
            <w:r w:rsidRPr="4B3D9A15">
              <w:rPr>
                <w:rFonts w:ascii="Times New Roman" w:hAnsi="Times New Roman" w:cs="Times New Roman"/>
              </w:rPr>
              <w:t>So</w:t>
            </w:r>
            <w:proofErr w:type="gramEnd"/>
            <w:r w:rsidRPr="4B3D9A15">
              <w:rPr>
                <w:rFonts w:ascii="Times New Roman" w:hAnsi="Times New Roman" w:cs="Times New Roman"/>
              </w:rPr>
              <w:t xml:space="preserve"> in order to score 2 points in this category any previous award in that buffer would have to be in the 2016 round or earlier?  And for the 3 points it would have to be the 2014 round or earlier?  Is that correct?</w:t>
            </w:r>
          </w:p>
          <w:p w14:paraId="46997B37" w14:textId="77777777" w:rsidR="00943E5C" w:rsidRDefault="00943E5C" w:rsidP="00607B8C">
            <w:pPr>
              <w:contextualSpacing/>
              <w:rPr>
                <w:rFonts w:ascii="Times New Roman" w:hAnsi="Times New Roman" w:cs="Times New Roman"/>
                <w:b/>
                <w:bCs/>
              </w:rPr>
            </w:pPr>
          </w:p>
          <w:p w14:paraId="0918D103" w14:textId="77777777" w:rsidR="00943E5C" w:rsidRDefault="00943E5C" w:rsidP="00607B8C">
            <w:pPr>
              <w:contextualSpacing/>
              <w:rPr>
                <w:rFonts w:ascii="Times New Roman" w:hAnsi="Times New Roman" w:cs="Times New Roman"/>
                <w:b/>
                <w:bCs/>
              </w:rPr>
            </w:pPr>
            <w:r w:rsidRPr="4B3D9A15">
              <w:rPr>
                <w:rFonts w:ascii="Times New Roman" w:hAnsi="Times New Roman" w:cs="Times New Roman"/>
                <w:b/>
                <w:bCs/>
              </w:rPr>
              <w:t xml:space="preserve">Answer: </w:t>
            </w:r>
          </w:p>
          <w:p w14:paraId="18172660" w14:textId="77777777" w:rsidR="00943E5C" w:rsidRDefault="00943E5C" w:rsidP="00607B8C">
            <w:pPr>
              <w:contextualSpacing/>
              <w:rPr>
                <w:rFonts w:ascii="Times New Roman" w:hAnsi="Times New Roman" w:cs="Times New Roman"/>
              </w:rPr>
            </w:pPr>
            <w:r>
              <w:rPr>
                <w:rFonts w:ascii="Times New Roman" w:hAnsi="Times New Roman" w:cs="Times New Roman"/>
              </w:rPr>
              <w:t xml:space="preserve">This interpretation is correct. </w:t>
            </w:r>
          </w:p>
          <w:p w14:paraId="4B27F2E3" w14:textId="77777777" w:rsidR="00943E5C" w:rsidRDefault="00943E5C" w:rsidP="00607B8C">
            <w:pPr>
              <w:contextualSpacing/>
              <w:rPr>
                <w:rFonts w:ascii="Times New Roman" w:hAnsi="Times New Roman" w:cs="Times New Roman"/>
              </w:rPr>
            </w:pPr>
          </w:p>
          <w:tbl>
            <w:tblPr>
              <w:tblStyle w:val="TableGrid"/>
              <w:tblW w:w="6840" w:type="dxa"/>
              <w:tblInd w:w="895" w:type="dxa"/>
              <w:tblLook w:val="04A0" w:firstRow="1" w:lastRow="0" w:firstColumn="1" w:lastColumn="0" w:noHBand="0" w:noVBand="1"/>
            </w:tblPr>
            <w:tblGrid>
              <w:gridCol w:w="2700"/>
              <w:gridCol w:w="4140"/>
            </w:tblGrid>
            <w:tr w:rsidR="00943E5C" w14:paraId="665DC8B1" w14:textId="77777777" w:rsidTr="007C62AC">
              <w:tc>
                <w:tcPr>
                  <w:tcW w:w="2700" w:type="dxa"/>
                  <w:shd w:val="clear" w:color="auto" w:fill="D9D9D9" w:themeFill="background1" w:themeFillShade="D9"/>
                  <w:tcMar>
                    <w:top w:w="72" w:type="dxa"/>
                    <w:left w:w="115" w:type="dxa"/>
                    <w:bottom w:w="72" w:type="dxa"/>
                    <w:right w:w="115" w:type="dxa"/>
                  </w:tcMar>
                  <w:vAlign w:val="center"/>
                </w:tcPr>
                <w:p w14:paraId="569DC947" w14:textId="77777777" w:rsidR="00943E5C" w:rsidRDefault="00943E5C" w:rsidP="00607B8C">
                  <w:pPr>
                    <w:contextualSpacing/>
                    <w:jc w:val="center"/>
                    <w:rPr>
                      <w:rFonts w:ascii="Times New Roman" w:hAnsi="Times New Roman" w:cs="Times New Roman"/>
                    </w:rPr>
                  </w:pPr>
                  <w:r>
                    <w:rPr>
                      <w:rFonts w:ascii="Times New Roman" w:hAnsi="Times New Roman" w:cs="Times New Roman"/>
                    </w:rPr>
                    <w:lastRenderedPageBreak/>
                    <w:t>Where the subsection says…</w:t>
                  </w:r>
                </w:p>
              </w:tc>
              <w:tc>
                <w:tcPr>
                  <w:tcW w:w="4140" w:type="dxa"/>
                  <w:shd w:val="clear" w:color="auto" w:fill="D9D9D9" w:themeFill="background1" w:themeFillShade="D9"/>
                  <w:tcMar>
                    <w:top w:w="72" w:type="dxa"/>
                    <w:left w:w="115" w:type="dxa"/>
                    <w:bottom w:w="72" w:type="dxa"/>
                    <w:right w:w="115" w:type="dxa"/>
                  </w:tcMar>
                  <w:vAlign w:val="center"/>
                </w:tcPr>
                <w:p w14:paraId="7E3F8853" w14:textId="77777777" w:rsidR="00943E5C" w:rsidRDefault="00943E5C" w:rsidP="00607B8C">
                  <w:pPr>
                    <w:contextualSpacing/>
                    <w:jc w:val="center"/>
                    <w:rPr>
                      <w:rFonts w:ascii="Times New Roman" w:hAnsi="Times New Roman" w:cs="Times New Roman"/>
                    </w:rPr>
                  </w:pPr>
                  <w:r>
                    <w:rPr>
                      <w:rFonts w:ascii="Times New Roman" w:hAnsi="Times New Roman" w:cs="Times New Roman"/>
                    </w:rPr>
                    <w:t>To be eligible, any previous award within the buffer must have been under the…</w:t>
                  </w:r>
                </w:p>
              </w:tc>
            </w:tr>
            <w:tr w:rsidR="00943E5C" w14:paraId="6949E6C7" w14:textId="77777777" w:rsidTr="007C62AC">
              <w:tc>
                <w:tcPr>
                  <w:tcW w:w="2700" w:type="dxa"/>
                  <w:tcMar>
                    <w:top w:w="72" w:type="dxa"/>
                    <w:left w:w="115" w:type="dxa"/>
                    <w:bottom w:w="72" w:type="dxa"/>
                    <w:right w:w="115" w:type="dxa"/>
                  </w:tcMar>
                  <w:vAlign w:val="center"/>
                </w:tcPr>
                <w:p w14:paraId="36E927E9" w14:textId="77777777" w:rsidR="00943E5C" w:rsidRPr="002367CC" w:rsidRDefault="00943E5C" w:rsidP="00607B8C">
                  <w:pPr>
                    <w:contextualSpacing/>
                    <w:jc w:val="center"/>
                    <w:rPr>
                      <w:rFonts w:ascii="Times New Roman" w:hAnsi="Times New Roman" w:cs="Times New Roman"/>
                    </w:rPr>
                  </w:pPr>
                  <w:r w:rsidRPr="002367CC">
                    <w:rPr>
                      <w:rFonts w:ascii="Times New Roman" w:hAnsi="Times New Roman" w:cs="Times New Roman"/>
                    </w:rPr>
                    <w:t xml:space="preserve">“Last </w:t>
                  </w:r>
                  <w:r w:rsidRPr="002367CC">
                    <w:rPr>
                      <w:rFonts w:ascii="Times New Roman" w:hAnsi="Times New Roman" w:cs="Times New Roman"/>
                      <w:b/>
                      <w:bCs/>
                    </w:rPr>
                    <w:t>15</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29ACE7EB" w14:textId="77777777" w:rsidR="00943E5C" w:rsidRDefault="00943E5C" w:rsidP="00607B8C">
                  <w:pPr>
                    <w:contextualSpacing/>
                    <w:jc w:val="center"/>
                    <w:rPr>
                      <w:rFonts w:ascii="Times New Roman" w:hAnsi="Times New Roman" w:cs="Times New Roman"/>
                    </w:rPr>
                  </w:pPr>
                  <w:r w:rsidRPr="00596F71">
                    <w:rPr>
                      <w:rFonts w:ascii="Times New Roman" w:hAnsi="Times New Roman" w:cs="Times New Roman"/>
                      <w:b/>
                      <w:bCs/>
                    </w:rPr>
                    <w:t>2005</w:t>
                  </w:r>
                  <w:r>
                    <w:rPr>
                      <w:rFonts w:ascii="Times New Roman" w:hAnsi="Times New Roman" w:cs="Times New Roman"/>
                    </w:rPr>
                    <w:t xml:space="preserve"> Round or prior</w:t>
                  </w:r>
                </w:p>
              </w:tc>
            </w:tr>
            <w:tr w:rsidR="00943E5C" w14:paraId="6AE9BEA9" w14:textId="77777777" w:rsidTr="007C62AC">
              <w:tc>
                <w:tcPr>
                  <w:tcW w:w="2700" w:type="dxa"/>
                  <w:tcMar>
                    <w:top w:w="72" w:type="dxa"/>
                    <w:left w:w="115" w:type="dxa"/>
                    <w:bottom w:w="72" w:type="dxa"/>
                    <w:right w:w="115" w:type="dxa"/>
                  </w:tcMar>
                  <w:vAlign w:val="center"/>
                </w:tcPr>
                <w:p w14:paraId="53275A46" w14:textId="77777777" w:rsidR="00943E5C" w:rsidRPr="002367CC" w:rsidRDefault="00943E5C" w:rsidP="00607B8C">
                  <w:pPr>
                    <w:contextualSpacing/>
                    <w:jc w:val="center"/>
                    <w:rPr>
                      <w:rFonts w:ascii="Times New Roman" w:hAnsi="Times New Roman" w:cs="Times New Roman"/>
                    </w:rPr>
                  </w:pPr>
                  <w:r w:rsidRPr="002367CC">
                    <w:rPr>
                      <w:rFonts w:ascii="Times New Roman" w:hAnsi="Times New Roman" w:cs="Times New Roman"/>
                    </w:rPr>
                    <w:t xml:space="preserve">“Last </w:t>
                  </w:r>
                  <w:r w:rsidRPr="002367CC">
                    <w:rPr>
                      <w:rFonts w:ascii="Times New Roman" w:hAnsi="Times New Roman" w:cs="Times New Roman"/>
                      <w:b/>
                      <w:bCs/>
                    </w:rPr>
                    <w:t>6</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27BF248B" w14:textId="77777777" w:rsidR="00943E5C" w:rsidRDefault="00943E5C" w:rsidP="00607B8C">
                  <w:pPr>
                    <w:contextualSpacing/>
                    <w:jc w:val="center"/>
                    <w:rPr>
                      <w:rFonts w:ascii="Times New Roman" w:hAnsi="Times New Roman" w:cs="Times New Roman"/>
                    </w:rPr>
                  </w:pPr>
                  <w:r w:rsidRPr="00167A01">
                    <w:rPr>
                      <w:rFonts w:ascii="Times New Roman" w:hAnsi="Times New Roman" w:cs="Times New Roman"/>
                      <w:b/>
                      <w:bCs/>
                    </w:rPr>
                    <w:t>2014</w:t>
                  </w:r>
                  <w:r>
                    <w:rPr>
                      <w:rFonts w:ascii="Times New Roman" w:hAnsi="Times New Roman" w:cs="Times New Roman"/>
                    </w:rPr>
                    <w:t xml:space="preserve"> Round or prior</w:t>
                  </w:r>
                </w:p>
              </w:tc>
            </w:tr>
            <w:tr w:rsidR="00943E5C" w14:paraId="1FDABD38" w14:textId="77777777" w:rsidTr="007C62AC">
              <w:tc>
                <w:tcPr>
                  <w:tcW w:w="2700" w:type="dxa"/>
                  <w:tcMar>
                    <w:top w:w="72" w:type="dxa"/>
                    <w:left w:w="115" w:type="dxa"/>
                    <w:bottom w:w="72" w:type="dxa"/>
                    <w:right w:w="115" w:type="dxa"/>
                  </w:tcMar>
                  <w:vAlign w:val="center"/>
                </w:tcPr>
                <w:p w14:paraId="24445541" w14:textId="77777777" w:rsidR="00943E5C" w:rsidRPr="002367CC" w:rsidRDefault="00943E5C" w:rsidP="00607B8C">
                  <w:pPr>
                    <w:contextualSpacing/>
                    <w:jc w:val="center"/>
                    <w:rPr>
                      <w:rFonts w:ascii="Times New Roman" w:hAnsi="Times New Roman" w:cs="Times New Roman"/>
                    </w:rPr>
                  </w:pPr>
                  <w:r w:rsidRPr="002367CC">
                    <w:rPr>
                      <w:rFonts w:ascii="Times New Roman" w:hAnsi="Times New Roman" w:cs="Times New Roman"/>
                    </w:rPr>
                    <w:t xml:space="preserve">“Last </w:t>
                  </w:r>
                  <w:r w:rsidRPr="002367CC">
                    <w:rPr>
                      <w:rFonts w:ascii="Times New Roman" w:hAnsi="Times New Roman" w:cs="Times New Roman"/>
                      <w:b/>
                      <w:bCs/>
                    </w:rPr>
                    <w:t>4</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6C875BD4" w14:textId="77777777" w:rsidR="00943E5C" w:rsidRDefault="00943E5C" w:rsidP="00607B8C">
                  <w:pPr>
                    <w:contextualSpacing/>
                    <w:jc w:val="center"/>
                    <w:rPr>
                      <w:rFonts w:ascii="Times New Roman" w:hAnsi="Times New Roman" w:cs="Times New Roman"/>
                    </w:rPr>
                  </w:pPr>
                  <w:r w:rsidRPr="00AD2D3E">
                    <w:rPr>
                      <w:rFonts w:ascii="Times New Roman" w:hAnsi="Times New Roman" w:cs="Times New Roman"/>
                      <w:b/>
                      <w:bCs/>
                    </w:rPr>
                    <w:t>2016</w:t>
                  </w:r>
                  <w:r>
                    <w:rPr>
                      <w:rFonts w:ascii="Times New Roman" w:hAnsi="Times New Roman" w:cs="Times New Roman"/>
                    </w:rPr>
                    <w:t xml:space="preserve"> Round or prior</w:t>
                  </w:r>
                </w:p>
              </w:tc>
            </w:tr>
            <w:tr w:rsidR="00943E5C" w14:paraId="00E2F273" w14:textId="77777777" w:rsidTr="007C62AC">
              <w:tc>
                <w:tcPr>
                  <w:tcW w:w="2700" w:type="dxa"/>
                  <w:tcMar>
                    <w:top w:w="72" w:type="dxa"/>
                    <w:left w:w="115" w:type="dxa"/>
                    <w:bottom w:w="72" w:type="dxa"/>
                    <w:right w:w="115" w:type="dxa"/>
                  </w:tcMar>
                  <w:vAlign w:val="center"/>
                </w:tcPr>
                <w:p w14:paraId="2599C1B8" w14:textId="77777777" w:rsidR="00943E5C" w:rsidRPr="002367CC" w:rsidRDefault="00943E5C" w:rsidP="00607B8C">
                  <w:pPr>
                    <w:contextualSpacing/>
                    <w:jc w:val="center"/>
                    <w:rPr>
                      <w:rFonts w:ascii="Times New Roman" w:hAnsi="Times New Roman" w:cs="Times New Roman"/>
                    </w:rPr>
                  </w:pPr>
                  <w:r w:rsidRPr="002367CC">
                    <w:rPr>
                      <w:rFonts w:ascii="Times New Roman" w:hAnsi="Times New Roman" w:cs="Times New Roman"/>
                    </w:rPr>
                    <w:t xml:space="preserve">“Last </w:t>
                  </w:r>
                  <w:r w:rsidRPr="002367CC">
                    <w:rPr>
                      <w:rFonts w:ascii="Times New Roman" w:hAnsi="Times New Roman" w:cs="Times New Roman"/>
                      <w:b/>
                      <w:bCs/>
                    </w:rPr>
                    <w:t>3</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16A98869" w14:textId="77777777" w:rsidR="00943E5C" w:rsidRDefault="00943E5C" w:rsidP="00607B8C">
                  <w:pPr>
                    <w:contextualSpacing/>
                    <w:jc w:val="center"/>
                    <w:rPr>
                      <w:rFonts w:ascii="Times New Roman" w:hAnsi="Times New Roman" w:cs="Times New Roman"/>
                    </w:rPr>
                  </w:pPr>
                  <w:r w:rsidRPr="00B320B7">
                    <w:rPr>
                      <w:rFonts w:ascii="Times New Roman" w:hAnsi="Times New Roman" w:cs="Times New Roman"/>
                      <w:b/>
                      <w:bCs/>
                    </w:rPr>
                    <w:t>2017</w:t>
                  </w:r>
                  <w:r>
                    <w:rPr>
                      <w:rFonts w:ascii="Times New Roman" w:hAnsi="Times New Roman" w:cs="Times New Roman"/>
                    </w:rPr>
                    <w:t xml:space="preserve"> Round or prior</w:t>
                  </w:r>
                </w:p>
              </w:tc>
            </w:tr>
            <w:tr w:rsidR="00943E5C" w14:paraId="5BD4DDCC" w14:textId="77777777" w:rsidTr="007C62AC">
              <w:tc>
                <w:tcPr>
                  <w:tcW w:w="2700" w:type="dxa"/>
                  <w:tcMar>
                    <w:top w:w="72" w:type="dxa"/>
                    <w:left w:w="115" w:type="dxa"/>
                    <w:bottom w:w="72" w:type="dxa"/>
                    <w:right w:w="115" w:type="dxa"/>
                  </w:tcMar>
                  <w:vAlign w:val="center"/>
                </w:tcPr>
                <w:p w14:paraId="1D7BD223" w14:textId="77777777" w:rsidR="00943E5C" w:rsidRPr="002367CC" w:rsidRDefault="00943E5C" w:rsidP="00607B8C">
                  <w:pPr>
                    <w:contextualSpacing/>
                    <w:jc w:val="center"/>
                    <w:rPr>
                      <w:rFonts w:ascii="Times New Roman" w:hAnsi="Times New Roman" w:cs="Times New Roman"/>
                    </w:rPr>
                  </w:pPr>
                  <w:r w:rsidRPr="002367CC">
                    <w:rPr>
                      <w:rFonts w:ascii="Times New Roman" w:hAnsi="Times New Roman" w:cs="Times New Roman"/>
                    </w:rPr>
                    <w:t xml:space="preserve">“Last </w:t>
                  </w:r>
                  <w:r w:rsidRPr="002367CC">
                    <w:rPr>
                      <w:rFonts w:ascii="Times New Roman" w:hAnsi="Times New Roman" w:cs="Times New Roman"/>
                      <w:b/>
                      <w:bCs/>
                    </w:rPr>
                    <w:t>2</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32395093" w14:textId="77777777" w:rsidR="00943E5C" w:rsidRDefault="00943E5C" w:rsidP="00607B8C">
                  <w:pPr>
                    <w:contextualSpacing/>
                    <w:jc w:val="center"/>
                    <w:rPr>
                      <w:rFonts w:ascii="Times New Roman" w:hAnsi="Times New Roman" w:cs="Times New Roman"/>
                    </w:rPr>
                  </w:pPr>
                  <w:r w:rsidRPr="001D33D2">
                    <w:rPr>
                      <w:rFonts w:ascii="Times New Roman" w:hAnsi="Times New Roman" w:cs="Times New Roman"/>
                      <w:b/>
                      <w:bCs/>
                    </w:rPr>
                    <w:t>2018</w:t>
                  </w:r>
                  <w:r>
                    <w:rPr>
                      <w:rFonts w:ascii="Times New Roman" w:hAnsi="Times New Roman" w:cs="Times New Roman"/>
                    </w:rPr>
                    <w:t xml:space="preserve"> Round or prior</w:t>
                  </w:r>
                </w:p>
              </w:tc>
            </w:tr>
          </w:tbl>
          <w:p w14:paraId="104DBAC2" w14:textId="77777777" w:rsidR="00943E5C" w:rsidRPr="0097237A" w:rsidRDefault="00943E5C" w:rsidP="00607B8C">
            <w:pPr>
              <w:contextualSpacing/>
              <w:rPr>
                <w:rFonts w:ascii="Times New Roman" w:hAnsi="Times New Roman" w:cs="Times New Roman"/>
              </w:rPr>
            </w:pPr>
          </w:p>
          <w:p w14:paraId="110265F8" w14:textId="77777777" w:rsidR="00943E5C" w:rsidRPr="501BE97F" w:rsidRDefault="00943E5C" w:rsidP="00607B8C">
            <w:pPr>
              <w:contextualSpacing/>
              <w:rPr>
                <w:rFonts w:ascii="Times New Roman" w:hAnsi="Times New Roman" w:cs="Times New Roman"/>
                <w:b/>
                <w:bCs/>
              </w:rPr>
            </w:pPr>
          </w:p>
        </w:tc>
      </w:tr>
      <w:tr w:rsidR="00943E5C" w:rsidRPr="00AC6DEC" w14:paraId="144786D0" w14:textId="77777777" w:rsidTr="2A62FF34">
        <w:trPr>
          <w:jc w:val="center"/>
        </w:trPr>
        <w:tc>
          <w:tcPr>
            <w:tcW w:w="2157" w:type="dxa"/>
            <w:tcMar>
              <w:top w:w="72" w:type="dxa"/>
              <w:left w:w="115" w:type="dxa"/>
              <w:bottom w:w="72" w:type="dxa"/>
              <w:right w:w="115" w:type="dxa"/>
            </w:tcMar>
            <w:vAlign w:val="center"/>
          </w:tcPr>
          <w:p w14:paraId="5C161901" w14:textId="77777777" w:rsidR="00943E5C" w:rsidRDefault="00943E5C" w:rsidP="00607B8C">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56CA2948"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3.18</w:t>
            </w:r>
          </w:p>
          <w:p w14:paraId="249E9AE8" w14:textId="77777777" w:rsidR="00943E5C" w:rsidRPr="00AC6DEC" w:rsidRDefault="00943E5C" w:rsidP="00607B8C">
            <w:pPr>
              <w:rPr>
                <w:rFonts w:ascii="Times New Roman" w:hAnsi="Times New Roman" w:cs="Times New Roman"/>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73A97166" w14:textId="77777777" w:rsidR="00943E5C" w:rsidRDefault="00943E5C" w:rsidP="00607B8C">
            <w:pPr>
              <w:contextualSpacing/>
              <w:rPr>
                <w:rFonts w:ascii="Times New Roman" w:hAnsi="Times New Roman" w:cs="Times New Roman"/>
              </w:rPr>
            </w:pPr>
            <w:r w:rsidRPr="78FFE866">
              <w:rPr>
                <w:rFonts w:ascii="Times New Roman" w:hAnsi="Times New Roman" w:cs="Times New Roman"/>
                <w:b/>
                <w:bCs/>
              </w:rPr>
              <w:t>Question:</w:t>
            </w:r>
            <w:r w:rsidRPr="78FFE866">
              <w:rPr>
                <w:rFonts w:ascii="Times New Roman" w:hAnsi="Times New Roman" w:cs="Times New Roman"/>
              </w:rPr>
              <w:t xml:space="preserve"> </w:t>
            </w:r>
            <w:r w:rsidRPr="00DA1705">
              <w:rPr>
                <w:rFonts w:ascii="Times New Roman" w:hAnsi="Times New Roman" w:cs="Times New Roman"/>
                <w:b/>
                <w:bCs/>
              </w:rPr>
              <w:t>Q0426_13</w:t>
            </w:r>
            <w:r>
              <w:tab/>
            </w:r>
            <w:r>
              <w:tab/>
            </w:r>
          </w:p>
          <w:p w14:paraId="46703BF5" w14:textId="77777777" w:rsidR="00943E5C" w:rsidRDefault="00943E5C" w:rsidP="00607B8C">
            <w:pPr>
              <w:contextualSpacing/>
              <w:rPr>
                <w:rFonts w:ascii="Times New Roman" w:hAnsi="Times New Roman" w:cs="Times New Roman"/>
              </w:rPr>
            </w:pPr>
            <w:r w:rsidRPr="78FFE866">
              <w:rPr>
                <w:rFonts w:ascii="Times New Roman" w:hAnsi="Times New Roman" w:cs="Times New Roman"/>
              </w:rPr>
              <w:t>Can a private individual who is totally unrelated to the development or any parties of the development provide a loan to the development and be allowable under the no. 11 "Other" category for Favorable Financing?  Provided that the loan meets all Favorable Financing requirements.</w:t>
            </w:r>
          </w:p>
          <w:p w14:paraId="5AB9010A" w14:textId="77777777" w:rsidR="00943E5C" w:rsidRDefault="00943E5C" w:rsidP="00607B8C">
            <w:pPr>
              <w:contextualSpacing/>
              <w:rPr>
                <w:rFonts w:ascii="Times New Roman" w:hAnsi="Times New Roman" w:cs="Times New Roman"/>
                <w:b/>
                <w:bCs/>
              </w:rPr>
            </w:pPr>
          </w:p>
          <w:p w14:paraId="0669D113" w14:textId="77777777" w:rsidR="00943E5C" w:rsidRDefault="00943E5C" w:rsidP="00607B8C">
            <w:pPr>
              <w:contextualSpacing/>
              <w:rPr>
                <w:rFonts w:ascii="Times New Roman" w:hAnsi="Times New Roman" w:cs="Times New Roman"/>
                <w:b/>
                <w:bCs/>
              </w:rPr>
            </w:pPr>
            <w:r w:rsidRPr="78FFE866">
              <w:rPr>
                <w:rFonts w:ascii="Times New Roman" w:hAnsi="Times New Roman" w:cs="Times New Roman"/>
                <w:b/>
                <w:bCs/>
              </w:rPr>
              <w:t xml:space="preserve">Answer: </w:t>
            </w:r>
          </w:p>
          <w:p w14:paraId="248683B8" w14:textId="77777777" w:rsidR="00943E5C" w:rsidRDefault="00943E5C" w:rsidP="00607B8C">
            <w:pPr>
              <w:contextualSpacing/>
              <w:rPr>
                <w:rFonts w:ascii="Times New Roman" w:hAnsi="Times New Roman" w:cs="Times New Roman"/>
              </w:rPr>
            </w:pPr>
            <w:r>
              <w:rPr>
                <w:rFonts w:ascii="Times New Roman" w:hAnsi="Times New Roman" w:cs="Times New Roman"/>
              </w:rPr>
              <w:t xml:space="preserve">Category 11 under </w:t>
            </w:r>
            <w:r w:rsidRPr="00AD48CB">
              <w:rPr>
                <w:rFonts w:ascii="Times New Roman" w:hAnsi="Times New Roman" w:cs="Times New Roman"/>
                <w:i/>
                <w:iCs/>
              </w:rPr>
              <w:t>Favorable Financing</w:t>
            </w:r>
            <w:r>
              <w:rPr>
                <w:rFonts w:ascii="Times New Roman" w:hAnsi="Times New Roman" w:cs="Times New Roman"/>
              </w:rPr>
              <w:t xml:space="preserve">, subsection </w:t>
            </w:r>
            <w:r w:rsidRPr="00AD48CB">
              <w:rPr>
                <w:rFonts w:ascii="Times New Roman" w:hAnsi="Times New Roman" w:cs="Times New Roman"/>
                <w:i/>
                <w:iCs/>
              </w:rPr>
              <w:t>A. Qualifying Sources</w:t>
            </w:r>
            <w:r>
              <w:rPr>
                <w:rFonts w:ascii="Times New Roman" w:hAnsi="Times New Roman" w:cs="Times New Roman"/>
              </w:rPr>
              <w:t xml:space="preserve"> </w:t>
            </w:r>
            <w:r w:rsidRPr="00FF68B7">
              <w:rPr>
                <w:rFonts w:ascii="Times New Roman" w:hAnsi="Times New Roman" w:cs="Times New Roman"/>
                <w:i/>
                <w:iCs/>
              </w:rPr>
              <w:t>for Favorable Financing</w:t>
            </w:r>
            <w:r>
              <w:rPr>
                <w:rFonts w:ascii="Times New Roman" w:hAnsi="Times New Roman" w:cs="Times New Roman"/>
              </w:rPr>
              <w:t xml:space="preserve"> states the following: “</w:t>
            </w:r>
            <w:r w:rsidRPr="00157A19">
              <w:rPr>
                <w:rFonts w:ascii="Times New Roman" w:hAnsi="Times New Roman" w:cs="Times New Roman"/>
              </w:rPr>
              <w:t>Other Federal, State, or local grant funds or loans.</w:t>
            </w:r>
            <w:r>
              <w:rPr>
                <w:rFonts w:ascii="Times New Roman" w:hAnsi="Times New Roman" w:cs="Times New Roman"/>
              </w:rPr>
              <w:t>”</w:t>
            </w:r>
          </w:p>
          <w:p w14:paraId="5777FE10" w14:textId="77777777" w:rsidR="00943E5C" w:rsidRDefault="00943E5C" w:rsidP="00607B8C">
            <w:pPr>
              <w:contextualSpacing/>
              <w:rPr>
                <w:rFonts w:ascii="Times New Roman" w:hAnsi="Times New Roman" w:cs="Times New Roman"/>
              </w:rPr>
            </w:pPr>
          </w:p>
          <w:p w14:paraId="315A8BF2" w14:textId="77777777" w:rsidR="00943E5C" w:rsidRPr="00462E78" w:rsidRDefault="00943E5C" w:rsidP="00607B8C">
            <w:pPr>
              <w:contextualSpacing/>
              <w:rPr>
                <w:rFonts w:ascii="Times New Roman" w:hAnsi="Times New Roman" w:cs="Times New Roman"/>
              </w:rPr>
            </w:pPr>
            <w:r>
              <w:rPr>
                <w:rFonts w:ascii="Times New Roman" w:hAnsi="Times New Roman" w:cs="Times New Roman"/>
              </w:rPr>
              <w:t>A private individual does not constitute a federal, state, or local entity.</w:t>
            </w:r>
          </w:p>
          <w:p w14:paraId="79B79E79" w14:textId="77777777" w:rsidR="00943E5C" w:rsidRPr="4B3D9A15" w:rsidRDefault="00943E5C" w:rsidP="00607B8C">
            <w:pPr>
              <w:contextualSpacing/>
              <w:rPr>
                <w:rFonts w:ascii="Times New Roman" w:hAnsi="Times New Roman" w:cs="Times New Roman"/>
                <w:b/>
                <w:bCs/>
              </w:rPr>
            </w:pPr>
          </w:p>
        </w:tc>
      </w:tr>
      <w:tr w:rsidR="00943E5C" w:rsidRPr="00AC6DEC" w14:paraId="353DF633" w14:textId="77777777" w:rsidTr="2A62FF34">
        <w:trPr>
          <w:jc w:val="center"/>
        </w:trPr>
        <w:tc>
          <w:tcPr>
            <w:tcW w:w="2157" w:type="dxa"/>
            <w:tcMar>
              <w:top w:w="72" w:type="dxa"/>
              <w:left w:w="115" w:type="dxa"/>
              <w:bottom w:w="72" w:type="dxa"/>
              <w:right w:w="115" w:type="dxa"/>
            </w:tcMar>
            <w:vAlign w:val="center"/>
          </w:tcPr>
          <w:p w14:paraId="170BA0F9" w14:textId="77777777" w:rsidR="00943E5C" w:rsidRDefault="00943E5C"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342B27E8"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3.18</w:t>
            </w:r>
          </w:p>
          <w:p w14:paraId="76A6B2A4" w14:textId="77777777" w:rsidR="00943E5C" w:rsidRDefault="00943E5C"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742022BA" w14:textId="77777777" w:rsidR="00943E5C" w:rsidRDefault="00943E5C" w:rsidP="00607B8C">
            <w:pPr>
              <w:contextualSpacing/>
              <w:rPr>
                <w:rFonts w:ascii="Times New Roman" w:hAnsi="Times New Roman" w:cs="Times New Roman"/>
              </w:rPr>
            </w:pPr>
            <w:r w:rsidRPr="501BE97F">
              <w:rPr>
                <w:rFonts w:ascii="Times New Roman" w:hAnsi="Times New Roman" w:cs="Times New Roman"/>
                <w:b/>
                <w:bCs/>
              </w:rPr>
              <w:t>Question:</w:t>
            </w:r>
            <w:r w:rsidRPr="501BE97F">
              <w:rPr>
                <w:rFonts w:ascii="Times New Roman" w:hAnsi="Times New Roman" w:cs="Times New Roman"/>
              </w:rPr>
              <w:t xml:space="preserve"> </w:t>
            </w:r>
            <w:r w:rsidRPr="00440A29">
              <w:rPr>
                <w:rFonts w:ascii="Times New Roman" w:hAnsi="Times New Roman" w:cs="Times New Roman"/>
                <w:b/>
                <w:bCs/>
              </w:rPr>
              <w:t>Q0426_10</w:t>
            </w:r>
            <w:r>
              <w:tab/>
            </w:r>
          </w:p>
          <w:p w14:paraId="0FE1422B" w14:textId="77777777" w:rsidR="00943E5C" w:rsidRDefault="00943E5C" w:rsidP="00607B8C">
            <w:pPr>
              <w:contextualSpacing/>
              <w:rPr>
                <w:rFonts w:ascii="Times New Roman" w:hAnsi="Times New Roman" w:cs="Times New Roman"/>
                <w:b/>
                <w:bCs/>
              </w:rPr>
            </w:pPr>
            <w:r w:rsidRPr="501BE97F">
              <w:rPr>
                <w:rFonts w:ascii="Times New Roman" w:hAnsi="Times New Roman" w:cs="Times New Roman"/>
              </w:rPr>
              <w:t xml:space="preserve">I remember hearing in one of the online listening sessions that owner financing of the land was allowable under favorable financing.  It really </w:t>
            </w:r>
            <w:proofErr w:type="gramStart"/>
            <w:r w:rsidRPr="501BE97F">
              <w:rPr>
                <w:rFonts w:ascii="Times New Roman" w:hAnsi="Times New Roman" w:cs="Times New Roman"/>
              </w:rPr>
              <w:t>doesn't</w:t>
            </w:r>
            <w:proofErr w:type="gramEnd"/>
            <w:r w:rsidRPr="501BE97F">
              <w:rPr>
                <w:rFonts w:ascii="Times New Roman" w:hAnsi="Times New Roman" w:cs="Times New Roman"/>
              </w:rPr>
              <w:t xml:space="preserve"> appear to be allowable because the only way for it qualify is for the owner to loan a substantial amount over the sales price of the land.  I have a seller of the land who is an unrelated party to the development willing to owner finance the sale of the land at or below AFR and meeting all of the other favorable financing requirements.   The sales price is $520000 so the financing would be $520000.  Units proposed in the development are 50.  Under that scenario that loan would not qualify for favorable financing points because the sales price has to be subtracted from the loan which in this case would be $0 allowable for consideration.  Under this scenario the seller would have to loan the development $500000 more than the sales price of the land or $1020000 for the loan to qualify for points under favorable financing.  Is that correct?   </w:t>
            </w:r>
          </w:p>
          <w:p w14:paraId="4FB42431" w14:textId="77777777" w:rsidR="00943E5C" w:rsidRDefault="00943E5C" w:rsidP="00607B8C">
            <w:pPr>
              <w:contextualSpacing/>
              <w:rPr>
                <w:rFonts w:ascii="Times New Roman" w:hAnsi="Times New Roman" w:cs="Times New Roman"/>
                <w:b/>
                <w:bCs/>
              </w:rPr>
            </w:pPr>
          </w:p>
          <w:p w14:paraId="4CDD4AF6" w14:textId="77777777" w:rsidR="00943E5C" w:rsidRPr="00C5713D" w:rsidRDefault="00943E5C" w:rsidP="00607B8C">
            <w:pPr>
              <w:contextualSpacing/>
              <w:rPr>
                <w:rFonts w:ascii="Times New Roman" w:hAnsi="Times New Roman" w:cs="Times New Roman"/>
                <w:b/>
                <w:bCs/>
              </w:rPr>
            </w:pPr>
            <w:r w:rsidRPr="501BE97F">
              <w:rPr>
                <w:rFonts w:ascii="Times New Roman" w:hAnsi="Times New Roman" w:cs="Times New Roman"/>
                <w:b/>
                <w:bCs/>
              </w:rPr>
              <w:t xml:space="preserve">Answer: </w:t>
            </w:r>
          </w:p>
          <w:p w14:paraId="60918D11" w14:textId="77777777" w:rsidR="00943E5C" w:rsidRPr="00DA5C9F" w:rsidRDefault="00943E5C" w:rsidP="00607B8C">
            <w:pPr>
              <w:rPr>
                <w:rFonts w:ascii="Times New Roman" w:hAnsi="Times New Roman" w:cs="Times New Roman"/>
              </w:rPr>
            </w:pPr>
            <w:r w:rsidRPr="00DA5C9F">
              <w:rPr>
                <w:rFonts w:ascii="Times New Roman" w:hAnsi="Times New Roman" w:cs="Times New Roman"/>
              </w:rPr>
              <w:t>Correct. As the QAP states</w:t>
            </w:r>
            <w:r>
              <w:rPr>
                <w:rFonts w:ascii="Times New Roman" w:hAnsi="Times New Roman" w:cs="Times New Roman"/>
              </w:rPr>
              <w:t>:</w:t>
            </w:r>
            <w:r w:rsidRPr="00DA5C9F">
              <w:rPr>
                <w:rFonts w:ascii="Times New Roman" w:hAnsi="Times New Roman" w:cs="Times New Roman"/>
              </w:rPr>
              <w:t xml:space="preserve"> </w:t>
            </w:r>
            <w:r>
              <w:rPr>
                <w:rFonts w:ascii="Times New Roman" w:hAnsi="Times New Roman" w:cs="Times New Roman"/>
              </w:rPr>
              <w:t>“</w:t>
            </w:r>
            <w:r w:rsidRPr="00DA5C9F">
              <w:rPr>
                <w:rFonts w:ascii="Times New Roman" w:hAnsi="Times New Roman" w:cs="Times New Roman"/>
              </w:rPr>
              <w:t>If the seller of the land/property (or any related party) is providing funds to finance the development and claiming these points, the sales price will be reduced from the total funds provided, to calculate the favorable financing points allowable.</w:t>
            </w:r>
            <w:r>
              <w:rPr>
                <w:rFonts w:ascii="Times New Roman" w:hAnsi="Times New Roman" w:cs="Times New Roman"/>
              </w:rPr>
              <w:t>”</w:t>
            </w:r>
          </w:p>
          <w:p w14:paraId="4ADDACE0" w14:textId="77777777" w:rsidR="00943E5C" w:rsidRPr="2C30FBAD" w:rsidRDefault="00943E5C" w:rsidP="00607B8C">
            <w:pPr>
              <w:contextualSpacing/>
              <w:rPr>
                <w:rFonts w:ascii="Times New Roman" w:hAnsi="Times New Roman" w:cs="Times New Roman"/>
                <w:b/>
                <w:bCs/>
              </w:rPr>
            </w:pPr>
          </w:p>
        </w:tc>
      </w:tr>
      <w:tr w:rsidR="00943E5C" w:rsidRPr="00AC6DEC" w14:paraId="77AC2187" w14:textId="77777777" w:rsidTr="2A62FF34">
        <w:trPr>
          <w:jc w:val="center"/>
        </w:trPr>
        <w:tc>
          <w:tcPr>
            <w:tcW w:w="2157" w:type="dxa"/>
            <w:tcMar>
              <w:top w:w="72" w:type="dxa"/>
              <w:left w:w="115" w:type="dxa"/>
              <w:bottom w:w="72" w:type="dxa"/>
              <w:right w:w="115" w:type="dxa"/>
            </w:tcMar>
            <w:vAlign w:val="center"/>
          </w:tcPr>
          <w:p w14:paraId="251AE0CA" w14:textId="77777777" w:rsidR="00943E5C" w:rsidRDefault="00943E5C" w:rsidP="00607B8C">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132E6C31" w14:textId="77777777" w:rsidR="00943E5C" w:rsidRDefault="00943E5C" w:rsidP="00607B8C">
            <w:pPr>
              <w:rPr>
                <w:rFonts w:ascii="Times New Roman" w:hAnsi="Times New Roman" w:cs="Times New Roman"/>
                <w:noProof/>
              </w:rPr>
            </w:pPr>
            <w:r>
              <w:rPr>
                <w:rFonts w:ascii="Times New Roman" w:hAnsi="Times New Roman" w:cs="Times New Roman"/>
                <w:noProof/>
              </w:rPr>
              <w:t xml:space="preserve">7.00 </w:t>
            </w:r>
          </w:p>
          <w:p w14:paraId="76F9603A" w14:textId="77777777" w:rsidR="00943E5C" w:rsidRDefault="00943E5C" w:rsidP="00607B8C">
            <w:pPr>
              <w:rPr>
                <w:rFonts w:ascii="Times New Roman" w:hAnsi="Times New Roman" w:cs="Times New Roman"/>
                <w:noProof/>
              </w:rPr>
            </w:pPr>
            <w:r>
              <w:rPr>
                <w:rFonts w:ascii="Times New Roman" w:hAnsi="Times New Roman" w:cs="Times New Roman"/>
                <w:noProof/>
              </w:rPr>
              <w:t>Application Materials</w:t>
            </w:r>
          </w:p>
          <w:p w14:paraId="57ED7566" w14:textId="77777777" w:rsidR="00943E5C" w:rsidRDefault="00943E5C" w:rsidP="00607B8C">
            <w:pPr>
              <w:rPr>
                <w:rFonts w:ascii="Times New Roman" w:hAnsi="Times New Roman" w:cs="Times New Roman"/>
                <w:noProof/>
              </w:rPr>
            </w:pPr>
          </w:p>
        </w:tc>
        <w:tc>
          <w:tcPr>
            <w:tcW w:w="9590" w:type="dxa"/>
            <w:tcMar>
              <w:top w:w="72" w:type="dxa"/>
              <w:left w:w="115" w:type="dxa"/>
              <w:bottom w:w="72" w:type="dxa"/>
              <w:right w:w="115" w:type="dxa"/>
            </w:tcMar>
            <w:vAlign w:val="center"/>
          </w:tcPr>
          <w:p w14:paraId="4BBDAC49" w14:textId="77777777" w:rsidR="00943E5C" w:rsidRDefault="00943E5C" w:rsidP="00607B8C">
            <w:pPr>
              <w:contextualSpacing/>
              <w:rPr>
                <w:rFonts w:ascii="Times New Roman" w:hAnsi="Times New Roman" w:cs="Times New Roman"/>
              </w:rPr>
            </w:pPr>
            <w:r w:rsidRPr="64468429">
              <w:rPr>
                <w:rFonts w:ascii="Times New Roman" w:hAnsi="Times New Roman" w:cs="Times New Roman"/>
                <w:b/>
                <w:bCs/>
              </w:rPr>
              <w:t>Question:</w:t>
            </w:r>
            <w:r w:rsidRPr="64468429">
              <w:rPr>
                <w:rFonts w:ascii="Times New Roman" w:hAnsi="Times New Roman" w:cs="Times New Roman"/>
              </w:rPr>
              <w:t xml:space="preserve"> </w:t>
            </w:r>
            <w:r w:rsidRPr="001B3E3C">
              <w:rPr>
                <w:rFonts w:ascii="Times New Roman" w:hAnsi="Times New Roman" w:cs="Times New Roman"/>
                <w:b/>
                <w:bCs/>
              </w:rPr>
              <w:t>Q0428_02</w:t>
            </w:r>
            <w:r>
              <w:tab/>
            </w:r>
            <w:r>
              <w:tab/>
            </w:r>
          </w:p>
          <w:p w14:paraId="46874B61" w14:textId="77777777" w:rsidR="00943E5C" w:rsidRDefault="00943E5C" w:rsidP="00607B8C">
            <w:pPr>
              <w:contextualSpacing/>
              <w:rPr>
                <w:rFonts w:ascii="Times New Roman" w:hAnsi="Times New Roman" w:cs="Times New Roman"/>
              </w:rPr>
            </w:pPr>
            <w:r w:rsidRPr="64468429">
              <w:rPr>
                <w:rFonts w:ascii="Times New Roman" w:hAnsi="Times New Roman" w:cs="Times New Roman"/>
              </w:rPr>
              <w:t>The Desirable Certification excel rounds the total score up. See cells X11 vs. X42.</w:t>
            </w:r>
          </w:p>
          <w:p w14:paraId="4F63A06E" w14:textId="77777777" w:rsidR="00943E5C" w:rsidRDefault="00943E5C" w:rsidP="00607B8C">
            <w:pPr>
              <w:rPr>
                <w:rFonts w:ascii="Times New Roman" w:hAnsi="Times New Roman" w:cs="Times New Roman"/>
                <w:b/>
                <w:bCs/>
              </w:rPr>
            </w:pPr>
          </w:p>
          <w:p w14:paraId="3C0E6DC8" w14:textId="77777777" w:rsidR="00943E5C" w:rsidRDefault="00943E5C" w:rsidP="00607B8C">
            <w:pPr>
              <w:contextualSpacing/>
              <w:rPr>
                <w:rFonts w:ascii="Times New Roman" w:hAnsi="Times New Roman" w:cs="Times New Roman"/>
                <w:b/>
                <w:bCs/>
              </w:rPr>
            </w:pPr>
            <w:r w:rsidRPr="64468429">
              <w:rPr>
                <w:rFonts w:ascii="Times New Roman" w:hAnsi="Times New Roman" w:cs="Times New Roman"/>
                <w:b/>
                <w:bCs/>
              </w:rPr>
              <w:t xml:space="preserve">Answer: </w:t>
            </w:r>
          </w:p>
          <w:p w14:paraId="109678FC" w14:textId="77777777" w:rsidR="00943E5C" w:rsidRPr="1178A60A" w:rsidRDefault="00943E5C" w:rsidP="00607B8C">
            <w:pPr>
              <w:contextualSpacing/>
              <w:rPr>
                <w:rFonts w:ascii="Times New Roman" w:hAnsi="Times New Roman" w:cs="Times New Roman"/>
                <w:b/>
                <w:bCs/>
              </w:rPr>
            </w:pPr>
            <w:r w:rsidRPr="7F329261">
              <w:rPr>
                <w:rFonts w:ascii="Times New Roman" w:hAnsi="Times New Roman" w:cs="Times New Roman"/>
              </w:rPr>
              <w:t>The Desirable Certification form that was available on the DCA website prior to April 28 has a formatting error. The form has since been replaced with an updated version in which the formatting error has been fixed. Applicants using the form posted prior to April 28 must use the score in cell X42 as their final score for Desirable Activities.</w:t>
            </w:r>
          </w:p>
        </w:tc>
      </w:tr>
      <w:tr w:rsidR="00943E5C" w:rsidRPr="00AC6DEC" w14:paraId="35F20AC4" w14:textId="77777777" w:rsidTr="2A62FF34">
        <w:trPr>
          <w:jc w:val="center"/>
        </w:trPr>
        <w:tc>
          <w:tcPr>
            <w:tcW w:w="2157" w:type="dxa"/>
            <w:tcMar>
              <w:top w:w="72" w:type="dxa"/>
              <w:left w:w="115" w:type="dxa"/>
              <w:bottom w:w="72" w:type="dxa"/>
              <w:right w:w="115" w:type="dxa"/>
            </w:tcMar>
            <w:vAlign w:val="center"/>
          </w:tcPr>
          <w:p w14:paraId="218F2AE9" w14:textId="77777777" w:rsidR="00943E5C" w:rsidRDefault="00943E5C"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0C6DF1A8"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1.23</w:t>
            </w:r>
          </w:p>
          <w:p w14:paraId="70DC78AB" w14:textId="77777777" w:rsidR="00943E5C" w:rsidRDefault="00943E5C" w:rsidP="00607B8C">
            <w:pPr>
              <w:rPr>
                <w:rFonts w:ascii="Times New Roman" w:hAnsi="Times New Roman" w:cs="Times New Roman"/>
                <w:noProof/>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550E32A1" w14:textId="77777777" w:rsidR="00943E5C" w:rsidRPr="001B5696" w:rsidRDefault="00943E5C" w:rsidP="00607B8C">
            <w:pPr>
              <w:contextualSpacing/>
              <w:rPr>
                <w:rFonts w:ascii="Times New Roman" w:hAnsi="Times New Roman" w:cs="Times New Roman"/>
              </w:rPr>
            </w:pPr>
            <w:r w:rsidRPr="001B5696">
              <w:rPr>
                <w:rFonts w:ascii="Times New Roman" w:hAnsi="Times New Roman" w:cs="Times New Roman"/>
                <w:b/>
                <w:bCs/>
              </w:rPr>
              <w:t xml:space="preserve">Question:  </w:t>
            </w:r>
            <w:r w:rsidRPr="001B5696">
              <w:rPr>
                <w:rFonts w:ascii="Times New Roman" w:hAnsi="Times New Roman" w:cs="Times New Roman"/>
              </w:rPr>
              <w:t>Q0420_01</w:t>
            </w:r>
            <w:r w:rsidRPr="001B5696">
              <w:tab/>
            </w:r>
          </w:p>
          <w:p w14:paraId="1CB923BB" w14:textId="77777777" w:rsidR="00943E5C" w:rsidRPr="001B5696" w:rsidRDefault="00943E5C" w:rsidP="00607B8C">
            <w:pPr>
              <w:contextualSpacing/>
              <w:rPr>
                <w:rFonts w:ascii="Times New Roman" w:hAnsi="Times New Roman" w:cs="Times New Roman"/>
                <w:b/>
                <w:bCs/>
              </w:rPr>
            </w:pPr>
            <w:r w:rsidRPr="001B5696">
              <w:rPr>
                <w:rFonts w:ascii="Times New Roman" w:hAnsi="Times New Roman" w:cs="Times New Roman"/>
              </w:rPr>
              <w:t>The QAP Core Plan, Exhibit A (DCA Pre-Application Fees and Deadline Schedules) states the Qualification Determination (Required for all Deals) as $1,000.</w:t>
            </w:r>
          </w:p>
          <w:p w14:paraId="059C7D3A" w14:textId="77777777" w:rsidR="00943E5C" w:rsidRPr="001B5696" w:rsidRDefault="00943E5C" w:rsidP="00607B8C">
            <w:pPr>
              <w:contextualSpacing/>
              <w:rPr>
                <w:rFonts w:ascii="Times New Roman" w:hAnsi="Times New Roman" w:cs="Times New Roman"/>
              </w:rPr>
            </w:pPr>
          </w:p>
          <w:p w14:paraId="5F7CC7B3" w14:textId="77777777" w:rsidR="00943E5C" w:rsidRPr="001B5696" w:rsidRDefault="00943E5C" w:rsidP="00607B8C">
            <w:pPr>
              <w:contextualSpacing/>
              <w:rPr>
                <w:rFonts w:ascii="Times New Roman" w:hAnsi="Times New Roman" w:cs="Times New Roman"/>
              </w:rPr>
            </w:pPr>
            <w:r w:rsidRPr="001B5696">
              <w:rPr>
                <w:rFonts w:ascii="Times New Roman" w:hAnsi="Times New Roman" w:cs="Times New Roman"/>
              </w:rPr>
              <w:t xml:space="preserve">Is the $1,000 Qualification Application Fee still due with the full application May 21, 2021 if the project is grandfathered in for qualifications and exempt from submitting experience for the 2021 round?  </w:t>
            </w:r>
          </w:p>
          <w:p w14:paraId="51060F9E" w14:textId="77777777" w:rsidR="00943E5C" w:rsidRPr="001B5696" w:rsidRDefault="00943E5C" w:rsidP="00607B8C">
            <w:pPr>
              <w:contextualSpacing/>
              <w:rPr>
                <w:rFonts w:ascii="Times New Roman" w:hAnsi="Times New Roman" w:cs="Times New Roman"/>
              </w:rPr>
            </w:pPr>
          </w:p>
          <w:p w14:paraId="70920852" w14:textId="77777777" w:rsidR="00943E5C" w:rsidRPr="001B5696" w:rsidRDefault="00943E5C" w:rsidP="00607B8C">
            <w:pPr>
              <w:contextualSpacing/>
              <w:rPr>
                <w:rFonts w:ascii="Times New Roman" w:hAnsi="Times New Roman" w:cs="Times New Roman"/>
                <w:b/>
                <w:bCs/>
              </w:rPr>
            </w:pPr>
            <w:r w:rsidRPr="001B5696">
              <w:rPr>
                <w:rFonts w:ascii="Times New Roman" w:hAnsi="Times New Roman" w:cs="Times New Roman"/>
                <w:b/>
                <w:bCs/>
              </w:rPr>
              <w:t xml:space="preserve">Answer: </w:t>
            </w:r>
          </w:p>
          <w:p w14:paraId="2D562F85" w14:textId="77777777" w:rsidR="00943E5C" w:rsidRDefault="00943E5C" w:rsidP="00607B8C">
            <w:pPr>
              <w:contextualSpacing/>
              <w:rPr>
                <w:rFonts w:ascii="Times New Roman" w:hAnsi="Times New Roman" w:cs="Times New Roman"/>
              </w:rPr>
            </w:pPr>
            <w:r>
              <w:rPr>
                <w:rFonts w:ascii="Times New Roman" w:hAnsi="Times New Roman" w:cs="Times New Roman"/>
              </w:rPr>
              <w:t xml:space="preserve">The </w:t>
            </w:r>
            <w:r w:rsidRPr="001B5696">
              <w:rPr>
                <w:rFonts w:ascii="Times New Roman" w:hAnsi="Times New Roman" w:cs="Times New Roman"/>
              </w:rPr>
              <w:t xml:space="preserve">QAP </w:t>
            </w:r>
            <w:r>
              <w:rPr>
                <w:rFonts w:ascii="Times New Roman" w:hAnsi="Times New Roman" w:cs="Times New Roman"/>
              </w:rPr>
              <w:t xml:space="preserve">states: </w:t>
            </w:r>
          </w:p>
          <w:p w14:paraId="5E69D35D" w14:textId="77777777" w:rsidR="00943E5C" w:rsidRDefault="00943E5C" w:rsidP="00607B8C">
            <w:pPr>
              <w:contextualSpacing/>
              <w:rPr>
                <w:rFonts w:ascii="Times New Roman" w:hAnsi="Times New Roman" w:cs="Times New Roman"/>
              </w:rPr>
            </w:pPr>
          </w:p>
          <w:p w14:paraId="1CDE6CA8" w14:textId="77777777" w:rsidR="00943E5C" w:rsidRPr="001B5696" w:rsidRDefault="00943E5C" w:rsidP="00607B8C">
            <w:pPr>
              <w:ind w:left="720"/>
              <w:contextualSpacing/>
              <w:rPr>
                <w:rFonts w:ascii="Times New Roman" w:hAnsi="Times New Roman" w:cs="Times New Roman"/>
              </w:rPr>
            </w:pPr>
            <w:r w:rsidRPr="00FD3BAA">
              <w:rPr>
                <w:rFonts w:ascii="Times New Roman" w:hAnsi="Times New Roman" w:cs="Times New Roman"/>
                <w:b/>
                <w:bCs/>
              </w:rPr>
              <w:t>Threshold, Experience, Capacity, and Performance Requirements, Requirements for Experience (Certifying Entity)</w:t>
            </w:r>
            <w:r w:rsidRPr="001B5696">
              <w:rPr>
                <w:rFonts w:ascii="Times New Roman" w:hAnsi="Times New Roman" w:cs="Times New Roman"/>
              </w:rPr>
              <w:t xml:space="preserve">: “A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‘Qualified’ in the 2020 round will be deemed to qualify under grandfathering.” </w:t>
            </w:r>
          </w:p>
          <w:p w14:paraId="1BFB22A7" w14:textId="77777777" w:rsidR="00943E5C" w:rsidRPr="001B5696" w:rsidRDefault="00943E5C" w:rsidP="00607B8C">
            <w:pPr>
              <w:contextualSpacing/>
              <w:rPr>
                <w:rFonts w:ascii="Times New Roman" w:hAnsi="Times New Roman" w:cs="Times New Roman"/>
              </w:rPr>
            </w:pPr>
          </w:p>
          <w:p w14:paraId="0C6D2E4C" w14:textId="77777777" w:rsidR="00943E5C" w:rsidRPr="001B5696" w:rsidRDefault="00943E5C" w:rsidP="00607B8C">
            <w:pPr>
              <w:contextualSpacing/>
              <w:rPr>
                <w:rFonts w:ascii="Times New Roman" w:hAnsi="Times New Roman" w:cs="Times New Roman"/>
              </w:rPr>
            </w:pPr>
            <w:r w:rsidRPr="001B5696">
              <w:rPr>
                <w:rFonts w:ascii="Times New Roman" w:hAnsi="Times New Roman" w:cs="Times New Roman"/>
              </w:rPr>
              <w:t>The Qualification Application Fee is due with the full application as the project team must still receive a qualification determination to satisfy the requirements of QAP Threshold Section XX.</w:t>
            </w:r>
          </w:p>
          <w:p w14:paraId="5395D3FA" w14:textId="77777777" w:rsidR="00943E5C" w:rsidRPr="001B5696" w:rsidRDefault="00943E5C" w:rsidP="00607B8C">
            <w:pPr>
              <w:contextualSpacing/>
              <w:rPr>
                <w:rFonts w:ascii="Times New Roman" w:hAnsi="Times New Roman" w:cs="Times New Roman"/>
                <w:b/>
                <w:bCs/>
              </w:rPr>
            </w:pPr>
          </w:p>
        </w:tc>
      </w:tr>
      <w:tr w:rsidR="00943E5C" w:rsidRPr="00AC6DEC" w14:paraId="537795C6" w14:textId="77777777" w:rsidTr="2A62FF34">
        <w:trPr>
          <w:jc w:val="center"/>
        </w:trPr>
        <w:tc>
          <w:tcPr>
            <w:tcW w:w="2157" w:type="dxa"/>
            <w:tcMar>
              <w:top w:w="72" w:type="dxa"/>
              <w:left w:w="115" w:type="dxa"/>
              <w:bottom w:w="72" w:type="dxa"/>
              <w:right w:w="115" w:type="dxa"/>
            </w:tcMar>
            <w:vAlign w:val="center"/>
          </w:tcPr>
          <w:p w14:paraId="2193DF17" w14:textId="77777777" w:rsidR="00943E5C" w:rsidRDefault="00943E5C" w:rsidP="00607B8C">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40E23FAF" w14:textId="77777777" w:rsidR="00943E5C" w:rsidRDefault="00943E5C" w:rsidP="00607B8C">
            <w:pPr>
              <w:rPr>
                <w:rFonts w:ascii="Times New Roman" w:hAnsi="Times New Roman" w:cs="Times New Roman"/>
                <w:noProof/>
              </w:rPr>
            </w:pPr>
            <w:r>
              <w:rPr>
                <w:rFonts w:ascii="Times New Roman" w:hAnsi="Times New Roman" w:cs="Times New Roman"/>
                <w:noProof/>
              </w:rPr>
              <w:t xml:space="preserve">2.01 </w:t>
            </w:r>
          </w:p>
          <w:p w14:paraId="42B1FD9B" w14:textId="77777777" w:rsidR="00943E5C" w:rsidRDefault="00943E5C" w:rsidP="00607B8C">
            <w:pPr>
              <w:rPr>
                <w:rFonts w:ascii="Times New Roman" w:hAnsi="Times New Roman" w:cs="Times New Roman"/>
                <w:noProof/>
              </w:rPr>
            </w:pPr>
            <w:r>
              <w:rPr>
                <w:rFonts w:ascii="Times New Roman" w:hAnsi="Times New Roman" w:cs="Times New Roman"/>
                <w:noProof/>
              </w:rPr>
              <w:t xml:space="preserve">Threshold; Project Feasibility </w:t>
            </w:r>
          </w:p>
        </w:tc>
        <w:tc>
          <w:tcPr>
            <w:tcW w:w="9590" w:type="dxa"/>
            <w:tcMar>
              <w:top w:w="72" w:type="dxa"/>
              <w:left w:w="115" w:type="dxa"/>
              <w:bottom w:w="72" w:type="dxa"/>
              <w:right w:w="115" w:type="dxa"/>
            </w:tcMar>
            <w:vAlign w:val="center"/>
          </w:tcPr>
          <w:p w14:paraId="415B05C4" w14:textId="77777777" w:rsidR="00943E5C" w:rsidRPr="008B21E9" w:rsidRDefault="00943E5C" w:rsidP="00607B8C">
            <w:pPr>
              <w:contextualSpacing/>
              <w:rPr>
                <w:rFonts w:ascii="Times New Roman" w:hAnsi="Times New Roman" w:cs="Times New Roman"/>
              </w:rPr>
            </w:pPr>
            <w:r w:rsidRPr="008B21E9">
              <w:rPr>
                <w:rFonts w:ascii="Times New Roman" w:hAnsi="Times New Roman" w:cs="Times New Roman"/>
                <w:b/>
                <w:bCs/>
              </w:rPr>
              <w:t>Question: Q0422_04</w:t>
            </w:r>
            <w:r w:rsidRPr="008B21E9">
              <w:tab/>
            </w:r>
          </w:p>
          <w:p w14:paraId="5BF8FD9A" w14:textId="77777777" w:rsidR="00943E5C" w:rsidRPr="008B21E9" w:rsidRDefault="00943E5C" w:rsidP="00607B8C">
            <w:pPr>
              <w:contextualSpacing/>
              <w:rPr>
                <w:rFonts w:ascii="Times New Roman" w:hAnsi="Times New Roman" w:cs="Times New Roman"/>
              </w:rPr>
            </w:pPr>
            <w:r w:rsidRPr="008B21E9">
              <w:rPr>
                <w:rFonts w:ascii="Times New Roman" w:hAnsi="Times New Roman" w:cs="Times New Roman"/>
              </w:rPr>
              <w:t>Regarding Project Feasibility and Market Units, can DCA clarify what is considered "unrestricted financing" in this regard?  What attributes of a specific source would cause the financing to be restricted?  Would a loan from a housing authority be considered restricted if the source of the loan is from HUD, for instance PHA capital funds, DDTF, RAD, etc.?  Conversely, would a loan from a housing authority be considered restricted if the source of the loan is from operating cash or developer fees earned?"</w:t>
            </w:r>
          </w:p>
          <w:p w14:paraId="7A25EF22" w14:textId="77777777" w:rsidR="00943E5C" w:rsidRPr="008B21E9" w:rsidRDefault="00943E5C" w:rsidP="00607B8C">
            <w:pPr>
              <w:contextualSpacing/>
              <w:rPr>
                <w:rFonts w:ascii="Times New Roman" w:hAnsi="Times New Roman" w:cs="Times New Roman"/>
                <w:b/>
                <w:bCs/>
              </w:rPr>
            </w:pPr>
          </w:p>
          <w:p w14:paraId="1C53E4AA" w14:textId="77777777" w:rsidR="00943E5C" w:rsidRPr="008B21E9" w:rsidRDefault="00943E5C" w:rsidP="00607B8C">
            <w:pPr>
              <w:contextualSpacing/>
              <w:rPr>
                <w:rFonts w:ascii="Times New Roman" w:hAnsi="Times New Roman" w:cs="Times New Roman"/>
                <w:b/>
                <w:bCs/>
              </w:rPr>
            </w:pPr>
            <w:r w:rsidRPr="008B21E9">
              <w:rPr>
                <w:rFonts w:ascii="Times New Roman" w:hAnsi="Times New Roman" w:cs="Times New Roman"/>
                <w:b/>
                <w:bCs/>
              </w:rPr>
              <w:t xml:space="preserve">Answer: </w:t>
            </w:r>
          </w:p>
          <w:p w14:paraId="5978043B" w14:textId="77777777" w:rsidR="00943E5C" w:rsidRPr="008B21E9" w:rsidRDefault="00943E5C" w:rsidP="00607B8C">
            <w:pPr>
              <w:contextualSpacing/>
              <w:rPr>
                <w:rFonts w:ascii="Times New Roman" w:hAnsi="Times New Roman" w:cs="Times New Roman"/>
              </w:rPr>
            </w:pPr>
            <w:r w:rsidRPr="008B21E9">
              <w:rPr>
                <w:rFonts w:ascii="Times New Roman" w:hAnsi="Times New Roman" w:cs="Times New Roman"/>
              </w:rPr>
              <w:t>The QAP states:</w:t>
            </w:r>
          </w:p>
          <w:p w14:paraId="6C47274B" w14:textId="77777777" w:rsidR="00943E5C" w:rsidRPr="008B21E9" w:rsidRDefault="00943E5C" w:rsidP="00607B8C">
            <w:pPr>
              <w:contextualSpacing/>
              <w:rPr>
                <w:rFonts w:ascii="Times New Roman" w:hAnsi="Times New Roman" w:cs="Times New Roman"/>
              </w:rPr>
            </w:pPr>
          </w:p>
          <w:p w14:paraId="00BB5C9D" w14:textId="77777777" w:rsidR="00943E5C" w:rsidRPr="008B21E9" w:rsidRDefault="00943E5C" w:rsidP="00607B8C">
            <w:pPr>
              <w:ind w:left="720"/>
              <w:contextualSpacing/>
              <w:rPr>
                <w:rFonts w:ascii="Times New Roman" w:hAnsi="Times New Roman" w:cs="Times New Roman"/>
              </w:rPr>
            </w:pPr>
            <w:r w:rsidRPr="008B21E9">
              <w:rPr>
                <w:rFonts w:ascii="Times New Roman" w:hAnsi="Times New Roman" w:cs="Times New Roman"/>
                <w:b/>
                <w:bCs/>
              </w:rPr>
              <w:t>Threshold, Project Feasibility, Feasibility Assumptions and Policies, Market Units</w:t>
            </w:r>
            <w:r w:rsidRPr="008B21E9">
              <w:rPr>
                <w:rFonts w:ascii="Times New Roman" w:hAnsi="Times New Roman" w:cs="Times New Roman"/>
              </w:rPr>
              <w:t>: “</w:t>
            </w:r>
            <w:r w:rsidRPr="008B21E9">
              <w:rPr>
                <w:rFonts w:ascii="Times New Roman" w:hAnsi="Times New Roman" w:cs="Times New Roman"/>
                <w:i/>
                <w:iCs/>
              </w:rPr>
              <w:t xml:space="preserve">Any and all costs directly associated with developing unrestricted units must be covered by unrestricted financing sources. The market rate units to total </w:t>
            </w:r>
            <w:proofErr w:type="gramStart"/>
            <w:r w:rsidRPr="008B21E9">
              <w:rPr>
                <w:rFonts w:ascii="Times New Roman" w:hAnsi="Times New Roman" w:cs="Times New Roman"/>
                <w:i/>
                <w:iCs/>
              </w:rPr>
              <w:t>units</w:t>
            </w:r>
            <w:proofErr w:type="gramEnd"/>
            <w:r w:rsidRPr="008B21E9">
              <w:rPr>
                <w:rFonts w:ascii="Times New Roman" w:hAnsi="Times New Roman" w:cs="Times New Roman"/>
                <w:i/>
                <w:iCs/>
              </w:rPr>
              <w:t xml:space="preserve"> percentage must be less than or equal to the unrestricted permanent financing to total development cost percentage. Deferred developer fee is considered an unrestricted financing source for purposes of this section.</w:t>
            </w:r>
            <w:r w:rsidRPr="008B21E9">
              <w:rPr>
                <w:rFonts w:ascii="Times New Roman" w:hAnsi="Times New Roman" w:cs="Times New Roman"/>
              </w:rPr>
              <w:t>”</w:t>
            </w:r>
          </w:p>
          <w:p w14:paraId="2EDCA9F5" w14:textId="77777777" w:rsidR="00943E5C" w:rsidRPr="008B21E9" w:rsidRDefault="00943E5C" w:rsidP="00607B8C">
            <w:pPr>
              <w:contextualSpacing/>
              <w:rPr>
                <w:rFonts w:ascii="Times New Roman" w:hAnsi="Times New Roman" w:cs="Times New Roman"/>
              </w:rPr>
            </w:pPr>
          </w:p>
          <w:p w14:paraId="6270FB50" w14:textId="77777777" w:rsidR="00943E5C" w:rsidRPr="008B21E9" w:rsidRDefault="00943E5C" w:rsidP="00607B8C">
            <w:pPr>
              <w:contextualSpacing/>
              <w:rPr>
                <w:rFonts w:ascii="Times New Roman" w:hAnsi="Times New Roman" w:cs="Times New Roman"/>
              </w:rPr>
            </w:pPr>
            <w:r w:rsidRPr="008B21E9">
              <w:rPr>
                <w:rFonts w:ascii="Times New Roman" w:hAnsi="Times New Roman" w:cs="Times New Roman"/>
              </w:rPr>
              <w:t xml:space="preserve">Unrestricted financing means financing which does not have income or rent affordability requirements associated with it. </w:t>
            </w:r>
          </w:p>
          <w:p w14:paraId="23661334" w14:textId="77777777" w:rsidR="00943E5C" w:rsidRPr="008B21E9" w:rsidRDefault="00943E5C" w:rsidP="00607B8C">
            <w:pPr>
              <w:contextualSpacing/>
              <w:rPr>
                <w:rFonts w:ascii="Times New Roman" w:hAnsi="Times New Roman" w:cs="Times New Roman"/>
              </w:rPr>
            </w:pPr>
            <w:r w:rsidRPr="008B21E9">
              <w:rPr>
                <w:rFonts w:ascii="Times New Roman" w:hAnsi="Times New Roman" w:cs="Times New Roman"/>
              </w:rPr>
              <w:t xml:space="preserve"> </w:t>
            </w:r>
          </w:p>
          <w:p w14:paraId="1DFB79AD" w14:textId="77777777" w:rsidR="00943E5C" w:rsidRPr="008B21E9" w:rsidRDefault="00943E5C" w:rsidP="00607B8C">
            <w:pPr>
              <w:contextualSpacing/>
              <w:rPr>
                <w:rFonts w:ascii="Times New Roman" w:hAnsi="Times New Roman" w:cs="Times New Roman"/>
                <w:b/>
                <w:bCs/>
              </w:rPr>
            </w:pPr>
          </w:p>
        </w:tc>
      </w:tr>
      <w:tr w:rsidR="00943E5C" w:rsidRPr="00AC6DEC" w14:paraId="4D4FABD3" w14:textId="77777777" w:rsidTr="2A62FF34">
        <w:trPr>
          <w:jc w:val="center"/>
        </w:trPr>
        <w:tc>
          <w:tcPr>
            <w:tcW w:w="2157" w:type="dxa"/>
            <w:tcMar>
              <w:top w:w="72" w:type="dxa"/>
              <w:left w:w="115" w:type="dxa"/>
              <w:bottom w:w="72" w:type="dxa"/>
              <w:right w:w="115" w:type="dxa"/>
            </w:tcMar>
            <w:vAlign w:val="center"/>
          </w:tcPr>
          <w:p w14:paraId="2DB9A20D" w14:textId="77777777" w:rsidR="00943E5C" w:rsidRDefault="00943E5C"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458A8D63" w14:textId="77777777" w:rsidR="00943E5C" w:rsidRDefault="00943E5C" w:rsidP="00607B8C">
            <w:pPr>
              <w:rPr>
                <w:rFonts w:ascii="Times New Roman" w:hAnsi="Times New Roman" w:cs="Times New Roman"/>
                <w:noProof/>
              </w:rPr>
            </w:pPr>
            <w:r>
              <w:rPr>
                <w:rFonts w:ascii="Times New Roman" w:hAnsi="Times New Roman" w:cs="Times New Roman"/>
                <w:noProof/>
              </w:rPr>
              <w:t>2.03</w:t>
            </w:r>
          </w:p>
          <w:p w14:paraId="6F5EDF6F" w14:textId="77777777" w:rsidR="00943E5C" w:rsidRDefault="00943E5C" w:rsidP="00607B8C">
            <w:pPr>
              <w:rPr>
                <w:rFonts w:ascii="Times New Roman" w:hAnsi="Times New Roman" w:cs="Times New Roman"/>
                <w:noProof/>
              </w:rPr>
            </w:pPr>
            <w:r>
              <w:rPr>
                <w:rFonts w:ascii="Times New Roman" w:hAnsi="Times New Roman" w:cs="Times New Roman"/>
                <w:noProof/>
              </w:rPr>
              <w:t>Threshold; Tenancy Characteristics</w:t>
            </w:r>
          </w:p>
        </w:tc>
        <w:tc>
          <w:tcPr>
            <w:tcW w:w="9590" w:type="dxa"/>
            <w:tcMar>
              <w:top w:w="72" w:type="dxa"/>
              <w:left w:w="115" w:type="dxa"/>
              <w:bottom w:w="72" w:type="dxa"/>
              <w:right w:w="115" w:type="dxa"/>
            </w:tcMar>
            <w:vAlign w:val="center"/>
          </w:tcPr>
          <w:p w14:paraId="25AEA8AD" w14:textId="77777777" w:rsidR="00943E5C" w:rsidRPr="001B5696" w:rsidRDefault="00943E5C" w:rsidP="00607B8C">
            <w:pPr>
              <w:contextualSpacing/>
              <w:rPr>
                <w:rFonts w:ascii="Times New Roman" w:hAnsi="Times New Roman" w:cs="Times New Roman"/>
              </w:rPr>
            </w:pPr>
            <w:r w:rsidRPr="001B5696">
              <w:rPr>
                <w:rFonts w:ascii="Times New Roman" w:hAnsi="Times New Roman" w:cs="Times New Roman"/>
                <w:b/>
                <w:bCs/>
              </w:rPr>
              <w:t xml:space="preserve">Question: </w:t>
            </w:r>
            <w:r w:rsidRPr="001B5696">
              <w:rPr>
                <w:rFonts w:ascii="Times New Roman" w:hAnsi="Times New Roman" w:cs="Times New Roman"/>
              </w:rPr>
              <w:t>Q0422_03</w:t>
            </w:r>
            <w:r w:rsidRPr="001B5696">
              <w:tab/>
            </w:r>
          </w:p>
          <w:p w14:paraId="3889B85C" w14:textId="77777777" w:rsidR="00943E5C" w:rsidRPr="001B5696" w:rsidRDefault="00943E5C" w:rsidP="00607B8C">
            <w:pPr>
              <w:contextualSpacing/>
              <w:rPr>
                <w:rFonts w:ascii="Times New Roman" w:hAnsi="Times New Roman" w:cs="Times New Roman"/>
              </w:rPr>
            </w:pPr>
            <w:r w:rsidRPr="001B5696">
              <w:rPr>
                <w:rFonts w:ascii="Times New Roman" w:hAnsi="Times New Roman" w:cs="Times New Roman"/>
              </w:rPr>
              <w:t>If a Pre-application was submitted that reflects HFOP and Income Averaging, can the applicant then change the tenancy to Senior 62+ and not use Income Averaging in their CORE application submission?</w:t>
            </w:r>
          </w:p>
          <w:p w14:paraId="16726E27" w14:textId="77777777" w:rsidR="00943E5C" w:rsidRPr="001B5696" w:rsidRDefault="00943E5C" w:rsidP="00607B8C">
            <w:pPr>
              <w:contextualSpacing/>
              <w:rPr>
                <w:rFonts w:ascii="Times New Roman" w:hAnsi="Times New Roman" w:cs="Times New Roman"/>
                <w:b/>
                <w:bCs/>
              </w:rPr>
            </w:pPr>
          </w:p>
          <w:p w14:paraId="3EF881A5" w14:textId="77777777" w:rsidR="00943E5C" w:rsidRPr="001B5696" w:rsidRDefault="00943E5C" w:rsidP="00607B8C">
            <w:pPr>
              <w:contextualSpacing/>
              <w:rPr>
                <w:rFonts w:ascii="Times New Roman" w:hAnsi="Times New Roman" w:cs="Times New Roman"/>
                <w:b/>
                <w:bCs/>
              </w:rPr>
            </w:pPr>
            <w:r w:rsidRPr="001B5696">
              <w:rPr>
                <w:rFonts w:ascii="Times New Roman" w:hAnsi="Times New Roman" w:cs="Times New Roman"/>
                <w:b/>
                <w:bCs/>
              </w:rPr>
              <w:t xml:space="preserve">Answer: </w:t>
            </w:r>
          </w:p>
          <w:p w14:paraId="5E92689D" w14:textId="77777777" w:rsidR="00943E5C" w:rsidRPr="001B5696" w:rsidRDefault="00943E5C" w:rsidP="00607B8C">
            <w:pPr>
              <w:contextualSpacing/>
              <w:rPr>
                <w:rFonts w:ascii="Times New Roman" w:hAnsi="Times New Roman" w:cs="Times New Roman"/>
              </w:rPr>
            </w:pPr>
            <w:r w:rsidRPr="001B5696">
              <w:rPr>
                <w:rFonts w:ascii="Times New Roman" w:hAnsi="Times New Roman" w:cs="Times New Roman"/>
              </w:rPr>
              <w:t xml:space="preserve">Yes. However, if waivers were obtained related to the proposed unit mix (relocation, underwriting, etc.), all waivers must be resubmitted based on the new proposed unit mix. </w:t>
            </w:r>
          </w:p>
          <w:p w14:paraId="31C4286D" w14:textId="77777777" w:rsidR="00943E5C" w:rsidRPr="001B5696" w:rsidRDefault="00943E5C" w:rsidP="00607B8C">
            <w:pPr>
              <w:contextualSpacing/>
              <w:rPr>
                <w:rFonts w:ascii="Times New Roman" w:hAnsi="Times New Roman" w:cs="Times New Roman"/>
                <w:b/>
                <w:bCs/>
              </w:rPr>
            </w:pPr>
          </w:p>
        </w:tc>
      </w:tr>
      <w:tr w:rsidR="00943E5C" w:rsidRPr="00AC6DEC" w14:paraId="75FCE8E0" w14:textId="77777777" w:rsidTr="2A62FF34">
        <w:trPr>
          <w:jc w:val="center"/>
        </w:trPr>
        <w:tc>
          <w:tcPr>
            <w:tcW w:w="2157" w:type="dxa"/>
            <w:tcMar>
              <w:top w:w="72" w:type="dxa"/>
              <w:left w:w="115" w:type="dxa"/>
              <w:bottom w:w="72" w:type="dxa"/>
              <w:right w:w="115" w:type="dxa"/>
            </w:tcMar>
            <w:vAlign w:val="center"/>
          </w:tcPr>
          <w:p w14:paraId="047F8969" w14:textId="77777777" w:rsidR="00943E5C" w:rsidRDefault="00943E5C"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2BC726C3" w14:textId="77777777" w:rsidR="00943E5C" w:rsidRDefault="00943E5C" w:rsidP="00607B8C">
            <w:pPr>
              <w:rPr>
                <w:rFonts w:ascii="Times New Roman" w:hAnsi="Times New Roman" w:cs="Times New Roman"/>
                <w:noProof/>
              </w:rPr>
            </w:pPr>
            <w:r>
              <w:rPr>
                <w:rFonts w:ascii="Times New Roman" w:hAnsi="Times New Roman" w:cs="Times New Roman"/>
                <w:noProof/>
              </w:rPr>
              <w:t>2.09</w:t>
            </w:r>
          </w:p>
          <w:p w14:paraId="1226C15D" w14:textId="77777777" w:rsidR="00943E5C" w:rsidRDefault="00943E5C" w:rsidP="00607B8C">
            <w:pPr>
              <w:rPr>
                <w:rFonts w:ascii="Times New Roman" w:hAnsi="Times New Roman" w:cs="Times New Roman"/>
                <w:noProof/>
              </w:rPr>
            </w:pPr>
            <w:r>
              <w:rPr>
                <w:rFonts w:ascii="Times New Roman" w:hAnsi="Times New Roman" w:cs="Times New Roman"/>
                <w:noProof/>
              </w:rPr>
              <w:t>Threshold; Site Access</w:t>
            </w:r>
          </w:p>
        </w:tc>
        <w:tc>
          <w:tcPr>
            <w:tcW w:w="9590" w:type="dxa"/>
            <w:tcMar>
              <w:top w:w="72" w:type="dxa"/>
              <w:left w:w="115" w:type="dxa"/>
              <w:bottom w:w="72" w:type="dxa"/>
              <w:right w:w="115" w:type="dxa"/>
            </w:tcMar>
            <w:vAlign w:val="center"/>
          </w:tcPr>
          <w:p w14:paraId="73D4BAF0" w14:textId="77777777" w:rsidR="00943E5C" w:rsidRPr="001B5696" w:rsidRDefault="00943E5C" w:rsidP="00607B8C">
            <w:pPr>
              <w:contextualSpacing/>
              <w:rPr>
                <w:rFonts w:ascii="Times New Roman" w:hAnsi="Times New Roman" w:cs="Times New Roman"/>
              </w:rPr>
            </w:pPr>
            <w:r w:rsidRPr="001B5696">
              <w:rPr>
                <w:rFonts w:ascii="Times New Roman" w:hAnsi="Times New Roman" w:cs="Times New Roman"/>
                <w:b/>
                <w:bCs/>
              </w:rPr>
              <w:t xml:space="preserve">Question: </w:t>
            </w:r>
            <w:r w:rsidRPr="001B5696">
              <w:rPr>
                <w:rFonts w:ascii="Times New Roman" w:hAnsi="Times New Roman" w:cs="Times New Roman"/>
              </w:rPr>
              <w:t>Q0420_02</w:t>
            </w:r>
            <w:r w:rsidRPr="001B5696">
              <w:tab/>
            </w:r>
          </w:p>
          <w:p w14:paraId="43148532" w14:textId="77777777" w:rsidR="00943E5C" w:rsidRPr="001B5696" w:rsidRDefault="00943E5C" w:rsidP="00607B8C">
            <w:pPr>
              <w:contextualSpacing/>
              <w:rPr>
                <w:rFonts w:ascii="Times New Roman" w:hAnsi="Times New Roman" w:cs="Times New Roman"/>
              </w:rPr>
            </w:pPr>
            <w:r w:rsidRPr="001B5696">
              <w:rPr>
                <w:rFonts w:ascii="Times New Roman" w:hAnsi="Times New Roman" w:cs="Times New Roman"/>
              </w:rPr>
              <w:t xml:space="preserve">If we have the easement agreement with all required signatures would that be enough to satisfy DCA to submit that at application submission? Then have it recorded at closing if in fact </w:t>
            </w:r>
            <w:proofErr w:type="gramStart"/>
            <w:r w:rsidRPr="001B5696">
              <w:rPr>
                <w:rFonts w:ascii="Times New Roman" w:hAnsi="Times New Roman" w:cs="Times New Roman"/>
              </w:rPr>
              <w:t>it's</w:t>
            </w:r>
            <w:proofErr w:type="gramEnd"/>
            <w:r w:rsidRPr="001B5696">
              <w:rPr>
                <w:rFonts w:ascii="Times New Roman" w:hAnsi="Times New Roman" w:cs="Times New Roman"/>
              </w:rPr>
              <w:t xml:space="preserve"> funded. The reason is the entity names that we have put into place would not be the owners of either parcel if the easements are recorded before application submission. </w:t>
            </w:r>
            <w:proofErr w:type="gramStart"/>
            <w:r w:rsidRPr="001B5696">
              <w:rPr>
                <w:rFonts w:ascii="Times New Roman" w:hAnsi="Times New Roman" w:cs="Times New Roman"/>
              </w:rPr>
              <w:t>So</w:t>
            </w:r>
            <w:proofErr w:type="gramEnd"/>
            <w:r w:rsidRPr="001B5696">
              <w:rPr>
                <w:rFonts w:ascii="Times New Roman" w:hAnsi="Times New Roman" w:cs="Times New Roman"/>
              </w:rPr>
              <w:t xml:space="preserve"> it wouldn't make sense to record them before application submission. </w:t>
            </w:r>
          </w:p>
          <w:p w14:paraId="05469A52" w14:textId="77777777" w:rsidR="00943E5C" w:rsidRPr="001B5696" w:rsidRDefault="00943E5C" w:rsidP="00607B8C">
            <w:pPr>
              <w:contextualSpacing/>
              <w:rPr>
                <w:rFonts w:ascii="Times New Roman" w:hAnsi="Times New Roman" w:cs="Times New Roman"/>
                <w:b/>
                <w:bCs/>
              </w:rPr>
            </w:pPr>
          </w:p>
          <w:p w14:paraId="009AF663" w14:textId="77777777" w:rsidR="00943E5C" w:rsidRPr="001B5696" w:rsidRDefault="00943E5C" w:rsidP="00607B8C">
            <w:pPr>
              <w:contextualSpacing/>
              <w:rPr>
                <w:rFonts w:ascii="Times New Roman" w:hAnsi="Times New Roman" w:cs="Times New Roman"/>
                <w:b/>
                <w:bCs/>
              </w:rPr>
            </w:pPr>
            <w:r w:rsidRPr="001B5696">
              <w:rPr>
                <w:rFonts w:ascii="Times New Roman" w:hAnsi="Times New Roman" w:cs="Times New Roman"/>
                <w:b/>
                <w:bCs/>
              </w:rPr>
              <w:lastRenderedPageBreak/>
              <w:t xml:space="preserve">Answer: </w:t>
            </w:r>
          </w:p>
          <w:p w14:paraId="53EAE917" w14:textId="77777777" w:rsidR="00943E5C" w:rsidRPr="001B5696" w:rsidRDefault="00943E5C" w:rsidP="00607B8C">
            <w:pPr>
              <w:contextualSpacing/>
              <w:rPr>
                <w:rFonts w:ascii="Times New Roman" w:hAnsi="Times New Roman" w:cs="Times New Roman"/>
                <w:b/>
                <w:bCs/>
              </w:rPr>
            </w:pPr>
            <w:r w:rsidRPr="001B5696">
              <w:rPr>
                <w:rFonts w:ascii="Times New Roman" w:hAnsi="Times New Roman" w:cs="Times New Roman"/>
              </w:rPr>
              <w:t>Proposed easements may be recorded at closing.</w:t>
            </w:r>
          </w:p>
        </w:tc>
      </w:tr>
      <w:tr w:rsidR="00943E5C" w:rsidRPr="00AC6DEC" w14:paraId="3455CBAB" w14:textId="77777777" w:rsidTr="2A62FF34">
        <w:trPr>
          <w:jc w:val="center"/>
        </w:trPr>
        <w:tc>
          <w:tcPr>
            <w:tcW w:w="2157" w:type="dxa"/>
            <w:tcMar>
              <w:top w:w="72" w:type="dxa"/>
              <w:left w:w="115" w:type="dxa"/>
              <w:bottom w:w="72" w:type="dxa"/>
              <w:right w:w="115" w:type="dxa"/>
            </w:tcMar>
            <w:vAlign w:val="center"/>
          </w:tcPr>
          <w:p w14:paraId="027ED6A9" w14:textId="77777777" w:rsidR="00943E5C" w:rsidRDefault="00943E5C" w:rsidP="00607B8C">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56FDB97B" w14:textId="77777777" w:rsidR="00943E5C" w:rsidRDefault="00943E5C" w:rsidP="00607B8C">
            <w:pPr>
              <w:rPr>
                <w:rFonts w:ascii="Times New Roman" w:hAnsi="Times New Roman" w:cs="Times New Roman"/>
                <w:noProof/>
              </w:rPr>
            </w:pPr>
            <w:r>
              <w:rPr>
                <w:rFonts w:ascii="Times New Roman" w:hAnsi="Times New Roman" w:cs="Times New Roman"/>
                <w:noProof/>
              </w:rPr>
              <w:t>2.25</w:t>
            </w:r>
          </w:p>
          <w:p w14:paraId="5EC18458" w14:textId="77777777" w:rsidR="00943E5C" w:rsidRDefault="00943E5C"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40FEFA96" w14:textId="77777777" w:rsidR="00943E5C" w:rsidRPr="001B5696" w:rsidRDefault="00943E5C" w:rsidP="00607B8C">
            <w:pPr>
              <w:contextualSpacing/>
              <w:rPr>
                <w:rFonts w:ascii="Times New Roman" w:hAnsi="Times New Roman" w:cs="Times New Roman"/>
                <w:b/>
                <w:bCs/>
              </w:rPr>
            </w:pPr>
            <w:r w:rsidRPr="001B5696">
              <w:rPr>
                <w:rFonts w:ascii="Times New Roman" w:hAnsi="Times New Roman" w:cs="Times New Roman"/>
                <w:b/>
                <w:bCs/>
              </w:rPr>
              <w:t>Question: Q-ReloWebinar_09</w:t>
            </w:r>
          </w:p>
          <w:p w14:paraId="10E0256F" w14:textId="77777777" w:rsidR="00943E5C" w:rsidRPr="001B5696" w:rsidRDefault="00943E5C" w:rsidP="00607B8C">
            <w:pPr>
              <w:contextualSpacing/>
              <w:rPr>
                <w:rFonts w:ascii="Times New Roman" w:hAnsi="Times New Roman" w:cs="Times New Roman"/>
              </w:rPr>
            </w:pPr>
            <w:r w:rsidRPr="001B5696">
              <w:rPr>
                <w:rFonts w:ascii="Times New Roman" w:hAnsi="Times New Roman" w:cs="Times New Roman"/>
              </w:rPr>
              <w:t>What happens if our Relocation Specialist leaves (no longer able to perform their duties) during the rehab?</w:t>
            </w:r>
          </w:p>
          <w:p w14:paraId="0208DE1B" w14:textId="77777777" w:rsidR="00943E5C" w:rsidRPr="001B5696" w:rsidRDefault="00943E5C" w:rsidP="00607B8C">
            <w:pPr>
              <w:contextualSpacing/>
              <w:rPr>
                <w:rFonts w:ascii="Times New Roman" w:hAnsi="Times New Roman" w:cs="Times New Roman"/>
                <w:b/>
                <w:bCs/>
              </w:rPr>
            </w:pPr>
          </w:p>
          <w:p w14:paraId="293D6FED" w14:textId="77777777" w:rsidR="00943E5C" w:rsidRPr="001B5696" w:rsidRDefault="00943E5C" w:rsidP="00607B8C">
            <w:pPr>
              <w:contextualSpacing/>
              <w:rPr>
                <w:rFonts w:ascii="Times New Roman" w:hAnsi="Times New Roman" w:cs="Times New Roman"/>
                <w:b/>
                <w:bCs/>
              </w:rPr>
            </w:pPr>
            <w:r w:rsidRPr="001B5696">
              <w:rPr>
                <w:rFonts w:ascii="Times New Roman" w:hAnsi="Times New Roman" w:cs="Times New Roman"/>
                <w:b/>
                <w:bCs/>
              </w:rPr>
              <w:t>Answer</w:t>
            </w:r>
            <w:r w:rsidRPr="001B5696">
              <w:rPr>
                <w:rFonts w:ascii="Times New Roman" w:hAnsi="Times New Roman" w:cs="Times New Roman"/>
              </w:rPr>
              <w:t>:</w:t>
            </w:r>
          </w:p>
          <w:p w14:paraId="34FBA0D5" w14:textId="77777777" w:rsidR="00943E5C" w:rsidRPr="001B5696" w:rsidRDefault="00943E5C" w:rsidP="00607B8C">
            <w:pPr>
              <w:contextualSpacing/>
              <w:rPr>
                <w:rFonts w:ascii="Times New Roman" w:hAnsi="Times New Roman" w:cs="Times New Roman"/>
              </w:rPr>
            </w:pPr>
            <w:r w:rsidRPr="001B5696">
              <w:rPr>
                <w:rFonts w:ascii="Times New Roman" w:hAnsi="Times New Roman" w:cs="Times New Roman"/>
              </w:rPr>
              <w:t>Hire a new specialist and be sure all the documentation is in order before the Specialist leaves the position. You will still be held accountable for what was and was not completed.  With next DCA submission, submit the new resume.</w:t>
            </w:r>
          </w:p>
        </w:tc>
      </w:tr>
      <w:tr w:rsidR="00943E5C" w:rsidRPr="00AC6DEC" w14:paraId="33C922E8" w14:textId="77777777" w:rsidTr="2A62FF34">
        <w:trPr>
          <w:jc w:val="center"/>
        </w:trPr>
        <w:tc>
          <w:tcPr>
            <w:tcW w:w="2157" w:type="dxa"/>
            <w:tcMar>
              <w:top w:w="72" w:type="dxa"/>
              <w:left w:w="115" w:type="dxa"/>
              <w:bottom w:w="72" w:type="dxa"/>
              <w:right w:w="115" w:type="dxa"/>
            </w:tcMar>
            <w:vAlign w:val="center"/>
          </w:tcPr>
          <w:p w14:paraId="5A73331D" w14:textId="77777777" w:rsidR="00943E5C" w:rsidRDefault="00943E5C"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107CD121" w14:textId="77777777" w:rsidR="00943E5C" w:rsidRDefault="00943E5C" w:rsidP="00607B8C">
            <w:pPr>
              <w:rPr>
                <w:rFonts w:ascii="Times New Roman" w:hAnsi="Times New Roman" w:cs="Times New Roman"/>
                <w:noProof/>
              </w:rPr>
            </w:pPr>
            <w:r>
              <w:rPr>
                <w:rFonts w:ascii="Times New Roman" w:hAnsi="Times New Roman" w:cs="Times New Roman"/>
                <w:noProof/>
              </w:rPr>
              <w:t>2.25</w:t>
            </w:r>
          </w:p>
          <w:p w14:paraId="1F6FA08E" w14:textId="77777777" w:rsidR="00943E5C" w:rsidRDefault="00943E5C"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186F1897" w14:textId="77777777" w:rsidR="00943E5C" w:rsidRPr="001B5696" w:rsidRDefault="00943E5C" w:rsidP="00607B8C">
            <w:pPr>
              <w:contextualSpacing/>
              <w:rPr>
                <w:rFonts w:ascii="Times New Roman" w:hAnsi="Times New Roman" w:cs="Times New Roman"/>
                <w:b/>
                <w:bCs/>
              </w:rPr>
            </w:pPr>
            <w:r w:rsidRPr="001B5696">
              <w:rPr>
                <w:rFonts w:ascii="Times New Roman" w:hAnsi="Times New Roman" w:cs="Times New Roman"/>
                <w:b/>
                <w:bCs/>
              </w:rPr>
              <w:t>Question: Q-ReloWebinar_08</w:t>
            </w:r>
          </w:p>
          <w:p w14:paraId="790F2AC0" w14:textId="77777777" w:rsidR="00943E5C" w:rsidRPr="001B5696" w:rsidRDefault="00943E5C" w:rsidP="00607B8C">
            <w:pPr>
              <w:contextualSpacing/>
              <w:rPr>
                <w:rFonts w:ascii="Times New Roman" w:hAnsi="Times New Roman" w:cs="Times New Roman"/>
              </w:rPr>
            </w:pPr>
            <w:r w:rsidRPr="001B5696">
              <w:rPr>
                <w:rFonts w:ascii="Times New Roman" w:hAnsi="Times New Roman" w:cs="Times New Roman"/>
              </w:rPr>
              <w:t>Is there flexibility when the Dev Team has not yet acquired the property and the current owner does not allow full communication with residents?</w:t>
            </w:r>
          </w:p>
          <w:p w14:paraId="55E7F60B" w14:textId="77777777" w:rsidR="00943E5C" w:rsidRPr="001B5696" w:rsidRDefault="00943E5C" w:rsidP="00607B8C">
            <w:pPr>
              <w:contextualSpacing/>
              <w:rPr>
                <w:rFonts w:ascii="Times New Roman" w:hAnsi="Times New Roman" w:cs="Times New Roman"/>
                <w:b/>
                <w:bCs/>
              </w:rPr>
            </w:pPr>
          </w:p>
          <w:p w14:paraId="3ED6EC39" w14:textId="77777777" w:rsidR="00943E5C" w:rsidRPr="001B5696" w:rsidRDefault="00943E5C" w:rsidP="00607B8C">
            <w:pPr>
              <w:contextualSpacing/>
              <w:rPr>
                <w:rFonts w:ascii="Times New Roman" w:hAnsi="Times New Roman" w:cs="Times New Roman"/>
                <w:b/>
                <w:bCs/>
              </w:rPr>
            </w:pPr>
            <w:r w:rsidRPr="001B5696">
              <w:rPr>
                <w:rFonts w:ascii="Times New Roman" w:hAnsi="Times New Roman" w:cs="Times New Roman"/>
                <w:b/>
                <w:bCs/>
              </w:rPr>
              <w:t>Answer:</w:t>
            </w:r>
          </w:p>
          <w:p w14:paraId="56311395" w14:textId="77777777" w:rsidR="00943E5C" w:rsidRPr="001B5696" w:rsidRDefault="00943E5C" w:rsidP="00607B8C">
            <w:pPr>
              <w:contextualSpacing/>
              <w:rPr>
                <w:rFonts w:ascii="Times New Roman" w:hAnsi="Times New Roman" w:cs="Times New Roman"/>
              </w:rPr>
            </w:pPr>
            <w:r w:rsidRPr="001B5696">
              <w:rPr>
                <w:rFonts w:ascii="Times New Roman" w:hAnsi="Times New Roman" w:cs="Times New Roman"/>
              </w:rPr>
              <w:t>Yes, DCA will work with you. Ensure your contingency plan is thorough to cover all the possibilities. Refer to the General Policies section of the Relocation Manual.</w:t>
            </w:r>
          </w:p>
        </w:tc>
      </w:tr>
      <w:tr w:rsidR="00943E5C" w:rsidRPr="00AC6DEC" w14:paraId="7D85BC59" w14:textId="77777777" w:rsidTr="2A62FF34">
        <w:trPr>
          <w:jc w:val="center"/>
        </w:trPr>
        <w:tc>
          <w:tcPr>
            <w:tcW w:w="2157" w:type="dxa"/>
            <w:tcMar>
              <w:top w:w="72" w:type="dxa"/>
              <w:left w:w="115" w:type="dxa"/>
              <w:bottom w:w="72" w:type="dxa"/>
              <w:right w:w="115" w:type="dxa"/>
            </w:tcMar>
            <w:vAlign w:val="center"/>
          </w:tcPr>
          <w:p w14:paraId="464CE7B6" w14:textId="77777777" w:rsidR="00943E5C" w:rsidRDefault="00943E5C"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0F620B42" w14:textId="77777777" w:rsidR="00943E5C" w:rsidRDefault="00943E5C" w:rsidP="00607B8C">
            <w:pPr>
              <w:rPr>
                <w:rFonts w:ascii="Times New Roman" w:hAnsi="Times New Roman" w:cs="Times New Roman"/>
                <w:noProof/>
              </w:rPr>
            </w:pPr>
            <w:r>
              <w:rPr>
                <w:rFonts w:ascii="Times New Roman" w:hAnsi="Times New Roman" w:cs="Times New Roman"/>
                <w:noProof/>
              </w:rPr>
              <w:t>2.25</w:t>
            </w:r>
          </w:p>
          <w:p w14:paraId="3F56AA29" w14:textId="77777777" w:rsidR="00943E5C" w:rsidRDefault="00943E5C"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7ACAAFCC" w14:textId="77777777" w:rsidR="00943E5C" w:rsidRPr="001B5696" w:rsidRDefault="00943E5C" w:rsidP="00607B8C">
            <w:pPr>
              <w:contextualSpacing/>
              <w:rPr>
                <w:rFonts w:ascii="Times New Roman" w:hAnsi="Times New Roman" w:cs="Times New Roman"/>
                <w:b/>
                <w:bCs/>
              </w:rPr>
            </w:pPr>
            <w:r w:rsidRPr="001B5696">
              <w:rPr>
                <w:rFonts w:ascii="Times New Roman" w:hAnsi="Times New Roman" w:cs="Times New Roman"/>
                <w:b/>
                <w:bCs/>
              </w:rPr>
              <w:t>Question: Q-ReloWebinar_07</w:t>
            </w:r>
          </w:p>
          <w:p w14:paraId="4CC71B32" w14:textId="77777777" w:rsidR="00943E5C" w:rsidRPr="001B5696" w:rsidRDefault="00943E5C" w:rsidP="00607B8C">
            <w:pPr>
              <w:contextualSpacing/>
              <w:rPr>
                <w:rFonts w:ascii="Times New Roman" w:hAnsi="Times New Roman" w:cs="Times New Roman"/>
              </w:rPr>
            </w:pPr>
            <w:r w:rsidRPr="001B5696">
              <w:rPr>
                <w:rFonts w:ascii="Times New Roman" w:hAnsi="Times New Roman" w:cs="Times New Roman"/>
              </w:rPr>
              <w:t>If relocation costs are being funded outside of the project budget (</w:t>
            </w:r>
            <w:proofErr w:type="gramStart"/>
            <w:r w:rsidRPr="001B5696">
              <w:rPr>
                <w:rFonts w:ascii="Times New Roman" w:hAnsi="Times New Roman" w:cs="Times New Roman"/>
              </w:rPr>
              <w:t>i.e.</w:t>
            </w:r>
            <w:proofErr w:type="gramEnd"/>
            <w:r w:rsidRPr="001B5696">
              <w:rPr>
                <w:rFonts w:ascii="Times New Roman" w:hAnsi="Times New Roman" w:cs="Times New Roman"/>
              </w:rPr>
              <w:t xml:space="preserve"> no tax credits will be used), can we speak to the cost of relocation + contingency in our relocation plan, but exclude it from the sources / uses portion of the core application? Or, do we have to show the contingency + </w:t>
            </w:r>
            <w:proofErr w:type="spellStart"/>
            <w:r w:rsidRPr="001B5696">
              <w:rPr>
                <w:rFonts w:ascii="Times New Roman" w:hAnsi="Times New Roman" w:cs="Times New Roman"/>
              </w:rPr>
              <w:t>relo</w:t>
            </w:r>
            <w:proofErr w:type="spellEnd"/>
            <w:r w:rsidRPr="001B5696">
              <w:rPr>
                <w:rFonts w:ascii="Times New Roman" w:hAnsi="Times New Roman" w:cs="Times New Roman"/>
              </w:rPr>
              <w:t xml:space="preserve"> costs as a part of the project budget but note a separate / outside source? </w:t>
            </w:r>
          </w:p>
          <w:p w14:paraId="0D6B3132" w14:textId="77777777" w:rsidR="00943E5C" w:rsidRPr="001B5696" w:rsidRDefault="00943E5C" w:rsidP="00607B8C">
            <w:pPr>
              <w:contextualSpacing/>
              <w:rPr>
                <w:rFonts w:ascii="Times New Roman" w:hAnsi="Times New Roman" w:cs="Times New Roman"/>
              </w:rPr>
            </w:pPr>
          </w:p>
          <w:p w14:paraId="644B1172" w14:textId="77777777" w:rsidR="00943E5C" w:rsidRPr="001B5696" w:rsidRDefault="00943E5C" w:rsidP="00607B8C">
            <w:pPr>
              <w:contextualSpacing/>
              <w:rPr>
                <w:rFonts w:ascii="Times New Roman" w:hAnsi="Times New Roman" w:cs="Times New Roman"/>
                <w:b/>
                <w:bCs/>
              </w:rPr>
            </w:pPr>
            <w:r w:rsidRPr="001B5696">
              <w:rPr>
                <w:rFonts w:ascii="Times New Roman" w:hAnsi="Times New Roman" w:cs="Times New Roman"/>
                <w:b/>
                <w:bCs/>
              </w:rPr>
              <w:t>Answer:</w:t>
            </w:r>
          </w:p>
          <w:p w14:paraId="2EE92ACA" w14:textId="77777777" w:rsidR="00943E5C" w:rsidRPr="001B5696" w:rsidRDefault="00943E5C" w:rsidP="00607B8C">
            <w:pPr>
              <w:contextualSpacing/>
              <w:rPr>
                <w:rFonts w:ascii="Times New Roman" w:hAnsi="Times New Roman" w:cs="Times New Roman"/>
              </w:rPr>
            </w:pPr>
            <w:r w:rsidRPr="001B5696">
              <w:rPr>
                <w:rFonts w:ascii="Times New Roman" w:hAnsi="Times New Roman" w:cs="Times New Roman"/>
              </w:rPr>
              <w:t>1. Show the contingency and relocation costs as a part of the relocation budget and plan and note the separate / outside source. This clarifies the scenario for the DCA Relocation Specialist.</w:t>
            </w:r>
          </w:p>
          <w:p w14:paraId="421B6232" w14:textId="77777777" w:rsidR="00943E5C" w:rsidRPr="001B5696" w:rsidRDefault="00943E5C" w:rsidP="00607B8C">
            <w:pPr>
              <w:contextualSpacing/>
              <w:rPr>
                <w:rFonts w:ascii="Times New Roman" w:hAnsi="Times New Roman" w:cs="Times New Roman"/>
              </w:rPr>
            </w:pPr>
          </w:p>
          <w:p w14:paraId="2F92F7B3" w14:textId="77777777" w:rsidR="00943E5C" w:rsidRPr="001B5696" w:rsidRDefault="00943E5C" w:rsidP="00607B8C">
            <w:pPr>
              <w:contextualSpacing/>
              <w:rPr>
                <w:rFonts w:ascii="Times New Roman" w:hAnsi="Times New Roman" w:cs="Times New Roman"/>
              </w:rPr>
            </w:pPr>
            <w:r w:rsidRPr="001B5696">
              <w:rPr>
                <w:rFonts w:ascii="Times New Roman" w:hAnsi="Times New Roman" w:cs="Times New Roman"/>
              </w:rPr>
              <w:t>2. Add note to Uses tab of Core Application stating why it is not included in the development budget and the alternative funding source for relocation. This describes the scenario for the DCA Underwriter.</w:t>
            </w:r>
          </w:p>
          <w:p w14:paraId="34355835" w14:textId="77777777" w:rsidR="00943E5C" w:rsidRPr="001B5696" w:rsidRDefault="00943E5C" w:rsidP="00607B8C">
            <w:pPr>
              <w:contextualSpacing/>
              <w:rPr>
                <w:rFonts w:ascii="Times New Roman" w:hAnsi="Times New Roman" w:cs="Times New Roman"/>
                <w:b/>
                <w:bCs/>
              </w:rPr>
            </w:pPr>
          </w:p>
        </w:tc>
      </w:tr>
      <w:tr w:rsidR="00943E5C" w:rsidRPr="00AC6DEC" w14:paraId="5506F4AE" w14:textId="77777777" w:rsidTr="2A62FF34">
        <w:trPr>
          <w:jc w:val="center"/>
        </w:trPr>
        <w:tc>
          <w:tcPr>
            <w:tcW w:w="2157" w:type="dxa"/>
            <w:tcMar>
              <w:top w:w="72" w:type="dxa"/>
              <w:left w:w="115" w:type="dxa"/>
              <w:bottom w:w="72" w:type="dxa"/>
              <w:right w:w="115" w:type="dxa"/>
            </w:tcMar>
            <w:vAlign w:val="center"/>
          </w:tcPr>
          <w:p w14:paraId="0E978D09" w14:textId="77777777" w:rsidR="00943E5C" w:rsidRDefault="00943E5C"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670A388E" w14:textId="77777777" w:rsidR="00943E5C" w:rsidRDefault="00943E5C" w:rsidP="00607B8C">
            <w:pPr>
              <w:rPr>
                <w:rFonts w:ascii="Times New Roman" w:hAnsi="Times New Roman" w:cs="Times New Roman"/>
                <w:noProof/>
              </w:rPr>
            </w:pPr>
            <w:r>
              <w:rPr>
                <w:rFonts w:ascii="Times New Roman" w:hAnsi="Times New Roman" w:cs="Times New Roman"/>
                <w:noProof/>
              </w:rPr>
              <w:t>2.25</w:t>
            </w:r>
          </w:p>
          <w:p w14:paraId="0E2898D3" w14:textId="77777777" w:rsidR="00943E5C" w:rsidRDefault="00943E5C" w:rsidP="00607B8C">
            <w:pPr>
              <w:rPr>
                <w:rFonts w:ascii="Times New Roman" w:hAnsi="Times New Roman" w:cs="Times New Roman"/>
                <w:noProof/>
              </w:rPr>
            </w:pPr>
            <w:r>
              <w:rPr>
                <w:rFonts w:ascii="Times New Roman" w:hAnsi="Times New Roman" w:cs="Times New Roman"/>
                <w:noProof/>
              </w:rPr>
              <w:lastRenderedPageBreak/>
              <w:t>Occupied Developments / Relocation Manual</w:t>
            </w:r>
          </w:p>
        </w:tc>
        <w:tc>
          <w:tcPr>
            <w:tcW w:w="9590" w:type="dxa"/>
            <w:tcMar>
              <w:top w:w="72" w:type="dxa"/>
              <w:left w:w="115" w:type="dxa"/>
              <w:bottom w:w="72" w:type="dxa"/>
              <w:right w:w="115" w:type="dxa"/>
            </w:tcMar>
            <w:vAlign w:val="center"/>
          </w:tcPr>
          <w:p w14:paraId="467B8615" w14:textId="77777777" w:rsidR="00943E5C" w:rsidRPr="001B5696" w:rsidRDefault="00943E5C" w:rsidP="00607B8C">
            <w:pPr>
              <w:contextualSpacing/>
              <w:rPr>
                <w:rFonts w:ascii="Times New Roman" w:hAnsi="Times New Roman" w:cs="Times New Roman"/>
                <w:b/>
                <w:bCs/>
              </w:rPr>
            </w:pPr>
            <w:r w:rsidRPr="001B5696">
              <w:rPr>
                <w:rFonts w:ascii="Times New Roman" w:hAnsi="Times New Roman" w:cs="Times New Roman"/>
                <w:b/>
                <w:bCs/>
              </w:rPr>
              <w:lastRenderedPageBreak/>
              <w:t>Question: Q-ReloWebinar_06</w:t>
            </w:r>
          </w:p>
          <w:p w14:paraId="0BD3ACA6" w14:textId="77777777" w:rsidR="00943E5C" w:rsidRPr="001B5696" w:rsidRDefault="00943E5C" w:rsidP="00607B8C">
            <w:pPr>
              <w:contextualSpacing/>
              <w:rPr>
                <w:rFonts w:ascii="Times New Roman" w:hAnsi="Times New Roman" w:cs="Times New Roman"/>
              </w:rPr>
            </w:pPr>
            <w:r w:rsidRPr="001B5696">
              <w:rPr>
                <w:rFonts w:ascii="Times New Roman" w:hAnsi="Times New Roman" w:cs="Times New Roman"/>
              </w:rPr>
              <w:t xml:space="preserve">We are able to transfer residents within our property for temporary relocation. In those cases, if a unit becomes available, we always offer it to our </w:t>
            </w:r>
            <w:proofErr w:type="spellStart"/>
            <w:r w:rsidRPr="001B5696">
              <w:rPr>
                <w:rFonts w:ascii="Times New Roman" w:hAnsi="Times New Roman" w:cs="Times New Roman"/>
              </w:rPr>
              <w:t>relocatees</w:t>
            </w:r>
            <w:proofErr w:type="spellEnd"/>
            <w:r w:rsidRPr="001B5696">
              <w:rPr>
                <w:rFonts w:ascii="Times New Roman" w:hAnsi="Times New Roman" w:cs="Times New Roman"/>
              </w:rPr>
              <w:t xml:space="preserve"> first.  If the unit will be available sooner and they </w:t>
            </w:r>
            <w:r w:rsidRPr="001B5696">
              <w:rPr>
                <w:rFonts w:ascii="Times New Roman" w:hAnsi="Times New Roman" w:cs="Times New Roman"/>
              </w:rPr>
              <w:lastRenderedPageBreak/>
              <w:t>wish to move, we ask them to sign a document saying they waive their 30 days.  Is that ok or do we need them to wait 60?</w:t>
            </w:r>
          </w:p>
          <w:p w14:paraId="529307B0" w14:textId="77777777" w:rsidR="00943E5C" w:rsidRPr="001B5696" w:rsidRDefault="00943E5C" w:rsidP="00607B8C">
            <w:pPr>
              <w:contextualSpacing/>
              <w:rPr>
                <w:rFonts w:ascii="Times New Roman" w:hAnsi="Times New Roman" w:cs="Times New Roman"/>
              </w:rPr>
            </w:pPr>
          </w:p>
          <w:p w14:paraId="6D9ACB4B" w14:textId="77777777" w:rsidR="00943E5C" w:rsidRPr="001B5696" w:rsidRDefault="00943E5C" w:rsidP="00607B8C">
            <w:pPr>
              <w:contextualSpacing/>
              <w:rPr>
                <w:rFonts w:ascii="Times New Roman" w:hAnsi="Times New Roman" w:cs="Times New Roman"/>
                <w:b/>
                <w:bCs/>
              </w:rPr>
            </w:pPr>
            <w:r w:rsidRPr="001B5696">
              <w:rPr>
                <w:rFonts w:ascii="Times New Roman" w:hAnsi="Times New Roman" w:cs="Times New Roman"/>
                <w:b/>
                <w:bCs/>
              </w:rPr>
              <w:t>Answer:</w:t>
            </w:r>
          </w:p>
          <w:p w14:paraId="6675ECB6" w14:textId="77777777" w:rsidR="00943E5C" w:rsidRPr="001B5696" w:rsidRDefault="00943E5C" w:rsidP="00607B8C">
            <w:pPr>
              <w:contextualSpacing/>
              <w:rPr>
                <w:rFonts w:ascii="Times New Roman" w:hAnsi="Times New Roman" w:cs="Times New Roman"/>
                <w:b/>
                <w:bCs/>
              </w:rPr>
            </w:pPr>
            <w:r w:rsidRPr="001B5696">
              <w:rPr>
                <w:rFonts w:ascii="Times New Roman" w:hAnsi="Times New Roman" w:cs="Times New Roman"/>
              </w:rPr>
              <w:t>Moving residents in advance of their scheduled move date is acceptable if the resident provides a Tenant Certification stating it was their choice to move. Submit the tenant certification in lieu of any following applicable Notice (60 and/or Notice of Moving Date).</w:t>
            </w:r>
          </w:p>
        </w:tc>
      </w:tr>
      <w:tr w:rsidR="00943E5C" w:rsidRPr="00AC6DEC" w14:paraId="76ADC843" w14:textId="77777777" w:rsidTr="2A62FF34">
        <w:trPr>
          <w:jc w:val="center"/>
        </w:trPr>
        <w:tc>
          <w:tcPr>
            <w:tcW w:w="2157" w:type="dxa"/>
            <w:tcMar>
              <w:top w:w="72" w:type="dxa"/>
              <w:left w:w="115" w:type="dxa"/>
              <w:bottom w:w="72" w:type="dxa"/>
              <w:right w:w="115" w:type="dxa"/>
            </w:tcMar>
            <w:vAlign w:val="center"/>
          </w:tcPr>
          <w:p w14:paraId="06E5AD01" w14:textId="77777777" w:rsidR="00943E5C" w:rsidRDefault="00943E5C" w:rsidP="00607B8C">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342AA128" w14:textId="77777777" w:rsidR="00943E5C" w:rsidRDefault="00943E5C" w:rsidP="00607B8C">
            <w:pPr>
              <w:rPr>
                <w:rFonts w:ascii="Times New Roman" w:hAnsi="Times New Roman" w:cs="Times New Roman"/>
                <w:noProof/>
              </w:rPr>
            </w:pPr>
            <w:r>
              <w:rPr>
                <w:rFonts w:ascii="Times New Roman" w:hAnsi="Times New Roman" w:cs="Times New Roman"/>
                <w:noProof/>
              </w:rPr>
              <w:t>2.25</w:t>
            </w:r>
          </w:p>
          <w:p w14:paraId="6275524C" w14:textId="77777777" w:rsidR="00943E5C" w:rsidRDefault="00943E5C"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49E3147C" w14:textId="77777777" w:rsidR="00943E5C" w:rsidRPr="001B5696" w:rsidRDefault="00943E5C" w:rsidP="00607B8C">
            <w:pPr>
              <w:contextualSpacing/>
              <w:rPr>
                <w:rFonts w:ascii="Times New Roman" w:hAnsi="Times New Roman" w:cs="Times New Roman"/>
              </w:rPr>
            </w:pPr>
            <w:r w:rsidRPr="001B5696">
              <w:rPr>
                <w:rFonts w:ascii="Times New Roman" w:hAnsi="Times New Roman" w:cs="Times New Roman"/>
                <w:b/>
                <w:bCs/>
              </w:rPr>
              <w:t>Question: Q-ReloWebinar_05</w:t>
            </w:r>
          </w:p>
          <w:p w14:paraId="2795C1F3" w14:textId="77777777" w:rsidR="00943E5C" w:rsidRPr="001B5696" w:rsidRDefault="00943E5C" w:rsidP="00607B8C">
            <w:pPr>
              <w:contextualSpacing/>
              <w:rPr>
                <w:rFonts w:ascii="Times New Roman" w:hAnsi="Times New Roman" w:cs="Times New Roman"/>
              </w:rPr>
            </w:pPr>
            <w:r w:rsidRPr="001B5696">
              <w:rPr>
                <w:rFonts w:ascii="Times New Roman" w:hAnsi="Times New Roman" w:cs="Times New Roman"/>
              </w:rPr>
              <w:t>Is the 60-day temp relocation notice in addition to the 30-day notice?</w:t>
            </w:r>
          </w:p>
          <w:p w14:paraId="373E4625" w14:textId="77777777" w:rsidR="00943E5C" w:rsidRPr="001B5696" w:rsidRDefault="00943E5C" w:rsidP="00607B8C">
            <w:pPr>
              <w:contextualSpacing/>
              <w:rPr>
                <w:rFonts w:ascii="Times New Roman" w:hAnsi="Times New Roman" w:cs="Times New Roman"/>
              </w:rPr>
            </w:pPr>
          </w:p>
          <w:p w14:paraId="6B15BC20" w14:textId="77777777" w:rsidR="00943E5C" w:rsidRPr="001B5696" w:rsidRDefault="00943E5C" w:rsidP="00607B8C">
            <w:pPr>
              <w:contextualSpacing/>
              <w:rPr>
                <w:rFonts w:ascii="Times New Roman" w:hAnsi="Times New Roman" w:cs="Times New Roman"/>
                <w:b/>
                <w:bCs/>
              </w:rPr>
            </w:pPr>
            <w:r w:rsidRPr="001B5696">
              <w:rPr>
                <w:rFonts w:ascii="Times New Roman" w:hAnsi="Times New Roman" w:cs="Times New Roman"/>
                <w:b/>
                <w:bCs/>
              </w:rPr>
              <w:t xml:space="preserve">Answer: </w:t>
            </w:r>
          </w:p>
          <w:p w14:paraId="3BDF0ACA" w14:textId="77777777" w:rsidR="00943E5C" w:rsidRPr="001B5696" w:rsidRDefault="00943E5C" w:rsidP="00607B8C">
            <w:pPr>
              <w:contextualSpacing/>
              <w:rPr>
                <w:rFonts w:ascii="Times New Roman" w:hAnsi="Times New Roman" w:cs="Times New Roman"/>
                <w:b/>
                <w:bCs/>
              </w:rPr>
            </w:pPr>
            <w:r w:rsidRPr="001B5696">
              <w:rPr>
                <w:rFonts w:ascii="Times New Roman" w:hAnsi="Times New Roman" w:cs="Times New Roman"/>
              </w:rPr>
              <w:t>The 30-day notice is the Notice of Moving Date. Two notices would need to be sent, unless the 60 Day Notice states the specific moving date for relocation.</w:t>
            </w:r>
          </w:p>
        </w:tc>
      </w:tr>
      <w:tr w:rsidR="00943E5C" w:rsidRPr="00AC6DEC" w14:paraId="5F9D59F0" w14:textId="77777777" w:rsidTr="2A62FF34">
        <w:trPr>
          <w:jc w:val="center"/>
        </w:trPr>
        <w:tc>
          <w:tcPr>
            <w:tcW w:w="2157" w:type="dxa"/>
            <w:tcMar>
              <w:top w:w="72" w:type="dxa"/>
              <w:left w:w="115" w:type="dxa"/>
              <w:bottom w:w="72" w:type="dxa"/>
              <w:right w:w="115" w:type="dxa"/>
            </w:tcMar>
            <w:vAlign w:val="center"/>
          </w:tcPr>
          <w:p w14:paraId="03E8AD3A" w14:textId="77777777" w:rsidR="00943E5C" w:rsidRPr="00AC6DEC" w:rsidRDefault="00943E5C"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104A395A" w14:textId="77777777" w:rsidR="00943E5C" w:rsidRDefault="00943E5C" w:rsidP="00607B8C">
            <w:pPr>
              <w:rPr>
                <w:rFonts w:ascii="Times New Roman" w:hAnsi="Times New Roman" w:cs="Times New Roman"/>
                <w:noProof/>
              </w:rPr>
            </w:pPr>
            <w:r>
              <w:rPr>
                <w:rFonts w:ascii="Times New Roman" w:hAnsi="Times New Roman" w:cs="Times New Roman"/>
                <w:noProof/>
              </w:rPr>
              <w:t>2.25</w:t>
            </w:r>
          </w:p>
          <w:p w14:paraId="0A86FCC7" w14:textId="77777777" w:rsidR="00943E5C" w:rsidRPr="00AC6DEC" w:rsidRDefault="00943E5C"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779C11EA" w14:textId="77777777" w:rsidR="00943E5C" w:rsidRPr="001B5696" w:rsidRDefault="00943E5C" w:rsidP="00607B8C">
            <w:pPr>
              <w:contextualSpacing/>
              <w:rPr>
                <w:rFonts w:ascii="Times New Roman" w:hAnsi="Times New Roman" w:cs="Times New Roman"/>
                <w:b/>
                <w:bCs/>
              </w:rPr>
            </w:pPr>
            <w:r w:rsidRPr="001B5696">
              <w:rPr>
                <w:rFonts w:ascii="Times New Roman" w:hAnsi="Times New Roman" w:cs="Times New Roman"/>
                <w:b/>
                <w:bCs/>
              </w:rPr>
              <w:t>Question: Q-ReloWebinar_04</w:t>
            </w:r>
          </w:p>
          <w:p w14:paraId="396843FB" w14:textId="77777777" w:rsidR="00943E5C" w:rsidRPr="001B5696" w:rsidRDefault="00943E5C" w:rsidP="00607B8C">
            <w:pPr>
              <w:contextualSpacing/>
              <w:rPr>
                <w:rFonts w:ascii="Times New Roman" w:hAnsi="Times New Roman" w:cs="Times New Roman"/>
              </w:rPr>
            </w:pPr>
            <w:r w:rsidRPr="001B5696">
              <w:rPr>
                <w:rFonts w:ascii="Times New Roman" w:hAnsi="Times New Roman" w:cs="Times New Roman"/>
              </w:rPr>
              <w:t>Please further explain the 60-day temporary relocation notice.</w:t>
            </w:r>
          </w:p>
          <w:p w14:paraId="7004C554" w14:textId="77777777" w:rsidR="00943E5C" w:rsidRPr="001B5696" w:rsidRDefault="00943E5C" w:rsidP="00607B8C">
            <w:pPr>
              <w:contextualSpacing/>
              <w:rPr>
                <w:rFonts w:ascii="Times New Roman" w:hAnsi="Times New Roman" w:cs="Times New Roman"/>
                <w:b/>
                <w:bCs/>
              </w:rPr>
            </w:pPr>
          </w:p>
          <w:p w14:paraId="02131CDC" w14:textId="77777777" w:rsidR="00943E5C" w:rsidRPr="001B5696" w:rsidRDefault="00943E5C" w:rsidP="00607B8C">
            <w:pPr>
              <w:contextualSpacing/>
              <w:rPr>
                <w:rFonts w:ascii="Times New Roman" w:hAnsi="Times New Roman" w:cs="Times New Roman"/>
                <w:b/>
                <w:bCs/>
              </w:rPr>
            </w:pPr>
            <w:r w:rsidRPr="001B5696">
              <w:rPr>
                <w:rFonts w:ascii="Times New Roman" w:hAnsi="Times New Roman" w:cs="Times New Roman"/>
                <w:b/>
                <w:bCs/>
              </w:rPr>
              <w:t>Answer:</w:t>
            </w:r>
          </w:p>
          <w:p w14:paraId="3246C26B" w14:textId="77777777" w:rsidR="00943E5C" w:rsidRPr="001B5696" w:rsidRDefault="00943E5C" w:rsidP="00607B8C">
            <w:pPr>
              <w:contextualSpacing/>
              <w:rPr>
                <w:rFonts w:ascii="Times New Roman" w:hAnsi="Times New Roman" w:cs="Times New Roman"/>
              </w:rPr>
            </w:pPr>
            <w:r w:rsidRPr="001B5696">
              <w:rPr>
                <w:rFonts w:ascii="Times New Roman" w:hAnsi="Times New Roman" w:cs="Times New Roman"/>
              </w:rPr>
              <w:t>The notice is important to use because it keeps the tenants informed regarding the relocation process which can be taxing. This notifies residents of moving date and moving logistics for temporary relocation for fewer than 12 months. It must be distributed at least 60 days before moving. If a specific moving date is not provided, the notice must state that a Notice of Moving Date will be distributed no less than 30 days before the tenant must move.</w:t>
            </w:r>
          </w:p>
        </w:tc>
      </w:tr>
      <w:tr w:rsidR="00943E5C" w:rsidRPr="00AC6DEC" w14:paraId="49CA0451" w14:textId="77777777" w:rsidTr="2A62FF34">
        <w:trPr>
          <w:jc w:val="center"/>
        </w:trPr>
        <w:tc>
          <w:tcPr>
            <w:tcW w:w="2157" w:type="dxa"/>
            <w:tcMar>
              <w:top w:w="72" w:type="dxa"/>
              <w:left w:w="115" w:type="dxa"/>
              <w:bottom w:w="72" w:type="dxa"/>
              <w:right w:w="115" w:type="dxa"/>
            </w:tcMar>
            <w:vAlign w:val="center"/>
          </w:tcPr>
          <w:p w14:paraId="32903F94" w14:textId="77777777" w:rsidR="00943E5C" w:rsidRPr="006F6F55" w:rsidRDefault="00943E5C" w:rsidP="00607B8C">
            <w:pPr>
              <w:rPr>
                <w:rFonts w:ascii="Times New Roman" w:hAnsi="Times New Roman" w:cs="Times New Roman"/>
                <w:highlight w:val="yellow"/>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62E3E01D" w14:textId="77777777" w:rsidR="00943E5C" w:rsidRDefault="00943E5C" w:rsidP="00607B8C">
            <w:pPr>
              <w:rPr>
                <w:rFonts w:ascii="Times New Roman" w:hAnsi="Times New Roman" w:cs="Times New Roman"/>
                <w:noProof/>
              </w:rPr>
            </w:pPr>
            <w:r>
              <w:rPr>
                <w:rFonts w:ascii="Times New Roman" w:hAnsi="Times New Roman" w:cs="Times New Roman"/>
                <w:noProof/>
              </w:rPr>
              <w:t>3.21</w:t>
            </w:r>
          </w:p>
          <w:p w14:paraId="5B19A016" w14:textId="77777777" w:rsidR="00943E5C" w:rsidRDefault="00943E5C" w:rsidP="00607B8C">
            <w:pPr>
              <w:rPr>
                <w:rFonts w:ascii="Times New Roman" w:hAnsi="Times New Roman" w:cs="Times New Roman"/>
                <w:noProof/>
              </w:rPr>
            </w:pPr>
            <w:r>
              <w:rPr>
                <w:rFonts w:ascii="Times New Roman" w:hAnsi="Times New Roman" w:cs="Times New Roman"/>
                <w:noProof/>
              </w:rPr>
              <w:t>Scoring; Underserved Populations</w:t>
            </w:r>
          </w:p>
        </w:tc>
        <w:tc>
          <w:tcPr>
            <w:tcW w:w="9590" w:type="dxa"/>
            <w:tcMar>
              <w:top w:w="72" w:type="dxa"/>
              <w:left w:w="115" w:type="dxa"/>
              <w:bottom w:w="72" w:type="dxa"/>
              <w:right w:w="115" w:type="dxa"/>
            </w:tcMar>
            <w:vAlign w:val="center"/>
          </w:tcPr>
          <w:p w14:paraId="011F46E2" w14:textId="77777777" w:rsidR="00943E5C" w:rsidRPr="0052267B" w:rsidRDefault="00943E5C" w:rsidP="00607B8C">
            <w:pPr>
              <w:contextualSpacing/>
              <w:rPr>
                <w:rFonts w:ascii="Times New Roman" w:hAnsi="Times New Roman" w:cs="Times New Roman"/>
              </w:rPr>
            </w:pPr>
            <w:r w:rsidRPr="0052267B">
              <w:rPr>
                <w:rFonts w:ascii="Times New Roman" w:hAnsi="Times New Roman" w:cs="Times New Roman"/>
                <w:b/>
                <w:bCs/>
              </w:rPr>
              <w:t xml:space="preserve">Question: </w:t>
            </w:r>
            <w:r w:rsidRPr="00A01DAA">
              <w:rPr>
                <w:rFonts w:ascii="Times New Roman" w:hAnsi="Times New Roman" w:cs="Times New Roman"/>
                <w:b/>
                <w:bCs/>
              </w:rPr>
              <w:t>Q0422_02</w:t>
            </w:r>
            <w:r w:rsidRPr="0052267B">
              <w:tab/>
            </w:r>
          </w:p>
          <w:p w14:paraId="27EF0C3E" w14:textId="77777777" w:rsidR="00943E5C" w:rsidRPr="0052267B" w:rsidRDefault="00943E5C" w:rsidP="00607B8C">
            <w:pPr>
              <w:contextualSpacing/>
              <w:rPr>
                <w:rFonts w:ascii="Times New Roman" w:hAnsi="Times New Roman" w:cs="Times New Roman"/>
              </w:rPr>
            </w:pPr>
            <w:r w:rsidRPr="0052267B">
              <w:rPr>
                <w:rFonts w:ascii="Times New Roman" w:hAnsi="Times New Roman" w:cs="Times New Roman"/>
              </w:rPr>
              <w:t xml:space="preserve">Criterion 1 in Underserved Populations appears to be a baseline requirement.  Can you confirm that: </w:t>
            </w:r>
          </w:p>
          <w:p w14:paraId="18B56C96" w14:textId="77777777" w:rsidR="00943E5C" w:rsidRPr="0052267B" w:rsidRDefault="00943E5C" w:rsidP="00607B8C">
            <w:pPr>
              <w:ind w:left="720"/>
              <w:contextualSpacing/>
              <w:rPr>
                <w:rFonts w:ascii="Times New Roman" w:hAnsi="Times New Roman" w:cs="Times New Roman"/>
              </w:rPr>
            </w:pPr>
            <w:r w:rsidRPr="0052267B">
              <w:rPr>
                <w:rFonts w:ascii="Times New Roman" w:hAnsi="Times New Roman" w:cs="Times New Roman"/>
              </w:rPr>
              <w:t xml:space="preserve">A) The percentage of units in Exhibit II are referring to one-bedroom units as mentioned </w:t>
            </w:r>
          </w:p>
          <w:p w14:paraId="03136F1B" w14:textId="77777777" w:rsidR="00943E5C" w:rsidRPr="0052267B" w:rsidRDefault="00943E5C" w:rsidP="00607B8C">
            <w:pPr>
              <w:ind w:left="720"/>
              <w:contextualSpacing/>
              <w:rPr>
                <w:rFonts w:ascii="Times New Roman" w:hAnsi="Times New Roman" w:cs="Times New Roman"/>
              </w:rPr>
            </w:pPr>
            <w:r w:rsidRPr="0052267B">
              <w:rPr>
                <w:rFonts w:ascii="Times New Roman" w:hAnsi="Times New Roman" w:cs="Times New Roman"/>
              </w:rPr>
              <w:t xml:space="preserve">     in the criterion; and </w:t>
            </w:r>
          </w:p>
          <w:p w14:paraId="1B9A07E9" w14:textId="77777777" w:rsidR="00943E5C" w:rsidRPr="0052267B" w:rsidRDefault="00943E5C" w:rsidP="00607B8C">
            <w:pPr>
              <w:ind w:left="720"/>
              <w:contextualSpacing/>
              <w:rPr>
                <w:rFonts w:ascii="Times New Roman" w:hAnsi="Times New Roman" w:cs="Times New Roman"/>
              </w:rPr>
            </w:pPr>
            <w:r w:rsidRPr="0052267B">
              <w:rPr>
                <w:rFonts w:ascii="Times New Roman" w:hAnsi="Times New Roman" w:cs="Times New Roman"/>
              </w:rPr>
              <w:t xml:space="preserve">B) The percentage only applies to affordable units, and any market units are not   </w:t>
            </w:r>
          </w:p>
          <w:p w14:paraId="7F2E2E1A" w14:textId="77777777" w:rsidR="00943E5C" w:rsidRPr="0052267B" w:rsidRDefault="00943E5C" w:rsidP="00607B8C">
            <w:pPr>
              <w:ind w:left="720"/>
              <w:contextualSpacing/>
              <w:rPr>
                <w:rFonts w:ascii="Times New Roman" w:hAnsi="Times New Roman" w:cs="Times New Roman"/>
              </w:rPr>
            </w:pPr>
            <w:r w:rsidRPr="0052267B">
              <w:rPr>
                <w:rFonts w:ascii="Times New Roman" w:hAnsi="Times New Roman" w:cs="Times New Roman"/>
              </w:rPr>
              <w:t xml:space="preserve">     factored into the percentage calculation? </w:t>
            </w:r>
          </w:p>
          <w:p w14:paraId="29AB9A57" w14:textId="77777777" w:rsidR="00943E5C" w:rsidRPr="0052267B" w:rsidRDefault="00943E5C" w:rsidP="00607B8C">
            <w:pPr>
              <w:contextualSpacing/>
              <w:rPr>
                <w:rFonts w:ascii="Times New Roman" w:hAnsi="Times New Roman" w:cs="Times New Roman"/>
              </w:rPr>
            </w:pPr>
          </w:p>
          <w:p w14:paraId="374CB347" w14:textId="77777777" w:rsidR="00943E5C" w:rsidRPr="0052267B" w:rsidRDefault="00943E5C" w:rsidP="00607B8C">
            <w:pPr>
              <w:contextualSpacing/>
              <w:rPr>
                <w:rFonts w:ascii="Times New Roman" w:hAnsi="Times New Roman" w:cs="Times New Roman"/>
              </w:rPr>
            </w:pPr>
            <w:r w:rsidRPr="0052267B">
              <w:rPr>
                <w:rFonts w:ascii="Times New Roman" w:hAnsi="Times New Roman" w:cs="Times New Roman"/>
              </w:rPr>
              <w:t>Example: If a project has 100 units, but 10 are market rate, then the 20% requirement on a family deal would be applied to the 90 affordable units, meaning there must be 18 affordable one-bedroom units for this project to meet the criterion?</w:t>
            </w:r>
          </w:p>
          <w:p w14:paraId="14868310" w14:textId="77777777" w:rsidR="00943E5C" w:rsidRPr="0052267B" w:rsidRDefault="00943E5C" w:rsidP="00607B8C">
            <w:pPr>
              <w:contextualSpacing/>
              <w:rPr>
                <w:rFonts w:ascii="Times New Roman" w:hAnsi="Times New Roman" w:cs="Times New Roman"/>
                <w:b/>
                <w:bCs/>
              </w:rPr>
            </w:pPr>
          </w:p>
          <w:p w14:paraId="075EAF3E" w14:textId="77777777" w:rsidR="00943E5C" w:rsidRPr="0052267B" w:rsidRDefault="00943E5C" w:rsidP="00607B8C">
            <w:pPr>
              <w:contextualSpacing/>
              <w:rPr>
                <w:rFonts w:ascii="Times New Roman" w:hAnsi="Times New Roman" w:cs="Times New Roman"/>
                <w:b/>
                <w:bCs/>
              </w:rPr>
            </w:pPr>
            <w:r w:rsidRPr="0052267B">
              <w:rPr>
                <w:rFonts w:ascii="Times New Roman" w:hAnsi="Times New Roman" w:cs="Times New Roman"/>
                <w:b/>
                <w:bCs/>
              </w:rPr>
              <w:t xml:space="preserve">Answer: </w:t>
            </w:r>
          </w:p>
          <w:p w14:paraId="56759A5D" w14:textId="77777777" w:rsidR="00943E5C" w:rsidRPr="0052267B" w:rsidRDefault="00943E5C" w:rsidP="00607B8C">
            <w:pPr>
              <w:contextualSpacing/>
              <w:rPr>
                <w:rFonts w:ascii="Times New Roman" w:hAnsi="Times New Roman" w:cs="Times New Roman"/>
              </w:rPr>
            </w:pPr>
            <w:r w:rsidRPr="0052267B">
              <w:rPr>
                <w:rFonts w:ascii="Times New Roman" w:hAnsi="Times New Roman" w:cs="Times New Roman"/>
              </w:rPr>
              <w:lastRenderedPageBreak/>
              <w:t xml:space="preserve">The </w:t>
            </w:r>
            <w:r w:rsidRPr="0052267B">
              <w:rPr>
                <w:rFonts w:ascii="Times New Roman" w:hAnsi="Times New Roman" w:cs="Times New Roman"/>
                <w:i/>
                <w:iCs/>
              </w:rPr>
              <w:t>Housing Assistance Competitive Ranking Form</w:t>
            </w:r>
            <w:r w:rsidRPr="0052267B">
              <w:rPr>
                <w:rFonts w:ascii="Times New Roman" w:hAnsi="Times New Roman" w:cs="Times New Roman"/>
              </w:rPr>
              <w:t xml:space="preserve"> (</w:t>
            </w:r>
            <w:hyperlink r:id="rId22" w:history="1">
              <w:r w:rsidRPr="0052267B">
                <w:rPr>
                  <w:rStyle w:val="Hyperlink"/>
                  <w:rFonts w:ascii="Times New Roman" w:hAnsi="Times New Roman" w:cs="Times New Roman"/>
                </w:rPr>
                <w:t>click here</w:t>
              </w:r>
            </w:hyperlink>
            <w:r w:rsidRPr="0052267B">
              <w:rPr>
                <w:rFonts w:ascii="Times New Roman" w:hAnsi="Times New Roman" w:cs="Times New Roman"/>
              </w:rPr>
              <w:t>) indicates that Unit Mix is a baseline requirement and will not be used for competitive ranking of applicants for points in this section.</w:t>
            </w:r>
          </w:p>
          <w:p w14:paraId="78AFCE81" w14:textId="77777777" w:rsidR="00943E5C" w:rsidRPr="0052267B" w:rsidRDefault="00943E5C" w:rsidP="00607B8C">
            <w:pPr>
              <w:contextualSpacing/>
              <w:rPr>
                <w:rFonts w:ascii="Times New Roman" w:hAnsi="Times New Roman" w:cs="Times New Roman"/>
              </w:rPr>
            </w:pPr>
          </w:p>
          <w:p w14:paraId="0B921A36" w14:textId="77777777" w:rsidR="00943E5C" w:rsidRPr="0052267B" w:rsidRDefault="00943E5C" w:rsidP="00607B8C">
            <w:pPr>
              <w:contextualSpacing/>
              <w:rPr>
                <w:rFonts w:ascii="Times New Roman" w:hAnsi="Times New Roman" w:cs="Times New Roman"/>
              </w:rPr>
            </w:pPr>
            <w:r w:rsidRPr="0052267B">
              <w:rPr>
                <w:rFonts w:ascii="Times New Roman" w:hAnsi="Times New Roman" w:cs="Times New Roman"/>
              </w:rPr>
              <w:t xml:space="preserve">The percentage of units stated in Exhibit B is based upon all “property units”, and therefore does not exclude market rate units:  </w:t>
            </w:r>
          </w:p>
          <w:p w14:paraId="7F043A18" w14:textId="77777777" w:rsidR="00943E5C" w:rsidRPr="0052267B" w:rsidRDefault="00943E5C" w:rsidP="00607B8C">
            <w:pPr>
              <w:contextualSpacing/>
              <w:rPr>
                <w:rFonts w:ascii="Times New Roman" w:hAnsi="Times New Roman" w:cs="Times New Roman"/>
              </w:rPr>
            </w:pPr>
          </w:p>
          <w:p w14:paraId="60359890" w14:textId="77777777" w:rsidR="00943E5C" w:rsidRPr="0052267B" w:rsidRDefault="00943E5C" w:rsidP="00607B8C">
            <w:pPr>
              <w:ind w:left="720"/>
              <w:contextualSpacing/>
              <w:rPr>
                <w:rFonts w:ascii="Times New Roman" w:hAnsi="Times New Roman" w:cs="Times New Roman"/>
              </w:rPr>
            </w:pPr>
            <w:r w:rsidRPr="0052267B">
              <w:rPr>
                <w:rFonts w:ascii="Times New Roman" w:hAnsi="Times New Roman" w:cs="Times New Roman"/>
                <w:b/>
                <w:bCs/>
              </w:rPr>
              <w:t>Exhibit B of Appendix II, DCA Housing Assistance Commitment and Eligibility</w:t>
            </w:r>
            <w:r w:rsidRPr="0052267B">
              <w:rPr>
                <w:rFonts w:ascii="Times New Roman" w:hAnsi="Times New Roman" w:cs="Times New Roman"/>
              </w:rPr>
              <w:t>: “…</w:t>
            </w:r>
            <w:r w:rsidRPr="0052267B">
              <w:rPr>
                <w:rFonts w:ascii="Times New Roman" w:hAnsi="Times New Roman" w:cs="Times New Roman"/>
                <w:i/>
                <w:iCs/>
              </w:rPr>
              <w:t>Applicant agrees to accept DCA PBRA for up to 10% of property units. Applications proposing a Family tenancy agree to contract up to 20% of units if possible given PBRA contracts on the property.</w:t>
            </w:r>
            <w:r w:rsidRPr="0052267B">
              <w:rPr>
                <w:rFonts w:ascii="Times New Roman" w:hAnsi="Times New Roman" w:cs="Times New Roman"/>
              </w:rPr>
              <w:t>”</w:t>
            </w:r>
          </w:p>
          <w:p w14:paraId="032AB13F" w14:textId="77777777" w:rsidR="00943E5C" w:rsidRPr="0052267B" w:rsidRDefault="00943E5C" w:rsidP="00607B8C">
            <w:pPr>
              <w:contextualSpacing/>
              <w:rPr>
                <w:rFonts w:ascii="Times New Roman" w:hAnsi="Times New Roman" w:cs="Times New Roman"/>
              </w:rPr>
            </w:pPr>
          </w:p>
          <w:p w14:paraId="17DE64B4" w14:textId="77777777" w:rsidR="00943E5C" w:rsidRPr="00F85768" w:rsidRDefault="00943E5C" w:rsidP="00607B8C">
            <w:pPr>
              <w:contextualSpacing/>
              <w:rPr>
                <w:rFonts w:ascii="Times New Roman" w:hAnsi="Times New Roman" w:cs="Times New Roman"/>
              </w:rPr>
            </w:pPr>
            <w:r w:rsidRPr="0052267B">
              <w:rPr>
                <w:rFonts w:ascii="Times New Roman" w:hAnsi="Times New Roman" w:cs="Times New Roman"/>
              </w:rPr>
              <w:t xml:space="preserve">In the above example, the 20% would be applied to all 100 units in the proposed development. </w:t>
            </w:r>
          </w:p>
        </w:tc>
      </w:tr>
      <w:tr w:rsidR="00943E5C" w:rsidRPr="00AC6DEC" w14:paraId="58E01192" w14:textId="77777777" w:rsidTr="2A62FF34">
        <w:trPr>
          <w:jc w:val="center"/>
        </w:trPr>
        <w:tc>
          <w:tcPr>
            <w:tcW w:w="2157" w:type="dxa"/>
            <w:tcMar>
              <w:top w:w="72" w:type="dxa"/>
              <w:left w:w="115" w:type="dxa"/>
              <w:bottom w:w="72" w:type="dxa"/>
              <w:right w:w="115" w:type="dxa"/>
            </w:tcMar>
            <w:vAlign w:val="center"/>
          </w:tcPr>
          <w:p w14:paraId="6614675F" w14:textId="77777777" w:rsidR="00943E5C" w:rsidRDefault="00943E5C" w:rsidP="00607B8C">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37CEA072" w14:textId="77777777" w:rsidR="00943E5C" w:rsidRDefault="00943E5C" w:rsidP="00607B8C">
            <w:pPr>
              <w:rPr>
                <w:rFonts w:ascii="Times New Roman" w:hAnsi="Times New Roman" w:cs="Times New Roman"/>
              </w:rPr>
            </w:pPr>
            <w:r w:rsidRPr="00D90432">
              <w:rPr>
                <w:rFonts w:ascii="Times New Roman" w:hAnsi="Times New Roman" w:cs="Times New Roman"/>
              </w:rPr>
              <w:t>7</w:t>
            </w:r>
            <w:r>
              <w:rPr>
                <w:rFonts w:ascii="Times New Roman" w:hAnsi="Times New Roman" w:cs="Times New Roman"/>
              </w:rPr>
              <w:t>.00</w:t>
            </w:r>
          </w:p>
          <w:p w14:paraId="0CEE15B3" w14:textId="77777777" w:rsidR="00943E5C" w:rsidRDefault="00943E5C" w:rsidP="00607B8C">
            <w:pPr>
              <w:rPr>
                <w:rFonts w:ascii="Times New Roman" w:hAnsi="Times New Roman" w:cs="Times New Roman"/>
                <w:noProof/>
              </w:rPr>
            </w:pPr>
            <w:r w:rsidRPr="00D90432">
              <w:rPr>
                <w:rFonts w:ascii="Times New Roman" w:hAnsi="Times New Roman" w:cs="Times New Roman"/>
              </w:rPr>
              <w:t>Application Materials</w:t>
            </w:r>
            <w:r>
              <w:rPr>
                <w:rFonts w:ascii="Times New Roman" w:hAnsi="Times New Roman" w:cs="Times New Roman"/>
              </w:rPr>
              <w:t>; Application Tabs Checklist</w:t>
            </w:r>
          </w:p>
        </w:tc>
        <w:tc>
          <w:tcPr>
            <w:tcW w:w="9590" w:type="dxa"/>
            <w:tcMar>
              <w:top w:w="72" w:type="dxa"/>
              <w:left w:w="115" w:type="dxa"/>
              <w:bottom w:w="72" w:type="dxa"/>
              <w:right w:w="115" w:type="dxa"/>
            </w:tcMar>
            <w:vAlign w:val="center"/>
          </w:tcPr>
          <w:p w14:paraId="24C3372A" w14:textId="77777777" w:rsidR="00943E5C" w:rsidRPr="001B5696" w:rsidRDefault="00943E5C" w:rsidP="00607B8C">
            <w:pPr>
              <w:contextualSpacing/>
              <w:rPr>
                <w:rFonts w:ascii="Times New Roman" w:hAnsi="Times New Roman" w:cs="Times New Roman"/>
              </w:rPr>
            </w:pPr>
            <w:r w:rsidRPr="001B5696">
              <w:rPr>
                <w:rFonts w:ascii="Times New Roman" w:hAnsi="Times New Roman" w:cs="Times New Roman"/>
                <w:b/>
                <w:bCs/>
              </w:rPr>
              <w:t xml:space="preserve">Question: </w:t>
            </w:r>
            <w:r w:rsidRPr="001B5696">
              <w:rPr>
                <w:rFonts w:ascii="Times New Roman" w:hAnsi="Times New Roman" w:cs="Times New Roman"/>
              </w:rPr>
              <w:t>Q0422_01</w:t>
            </w:r>
            <w:r w:rsidRPr="001B5696">
              <w:tab/>
            </w:r>
          </w:p>
          <w:p w14:paraId="70281681" w14:textId="77777777" w:rsidR="00943E5C" w:rsidRPr="001B5696" w:rsidRDefault="00943E5C" w:rsidP="00607B8C">
            <w:pPr>
              <w:contextualSpacing/>
              <w:rPr>
                <w:rFonts w:ascii="Times New Roman" w:hAnsi="Times New Roman" w:cs="Times New Roman"/>
              </w:rPr>
            </w:pPr>
            <w:r w:rsidRPr="001B5696">
              <w:rPr>
                <w:rFonts w:ascii="Times New Roman" w:hAnsi="Times New Roman" w:cs="Times New Roman"/>
              </w:rPr>
              <w:t>In the 2021 Application Tabs Checklist, 11. XI Operating Utilities 01 states "Letter from Local Gov. official - includes project name, address, or parcel ID and confirms zoning. Dated w/in six (6) months of App Submission."</w:t>
            </w:r>
          </w:p>
          <w:p w14:paraId="4CF4414F" w14:textId="77777777" w:rsidR="00943E5C" w:rsidRPr="001B5696" w:rsidRDefault="00943E5C" w:rsidP="00607B8C">
            <w:pPr>
              <w:contextualSpacing/>
              <w:rPr>
                <w:rFonts w:ascii="Times New Roman" w:hAnsi="Times New Roman" w:cs="Times New Roman"/>
              </w:rPr>
            </w:pPr>
          </w:p>
          <w:p w14:paraId="517A43A6" w14:textId="77777777" w:rsidR="00943E5C" w:rsidRPr="001B5696" w:rsidRDefault="00943E5C" w:rsidP="00607B8C">
            <w:pPr>
              <w:contextualSpacing/>
              <w:rPr>
                <w:rFonts w:ascii="Times New Roman" w:hAnsi="Times New Roman" w:cs="Times New Roman"/>
              </w:rPr>
            </w:pPr>
            <w:r w:rsidRPr="001B5696">
              <w:rPr>
                <w:rFonts w:ascii="Times New Roman" w:hAnsi="Times New Roman" w:cs="Times New Roman"/>
              </w:rPr>
              <w:t>We believe this is an error and should state the following: "</w:t>
            </w:r>
            <w:proofErr w:type="spellStart"/>
            <w:r w:rsidRPr="001B5696">
              <w:rPr>
                <w:rFonts w:ascii="Times New Roman" w:hAnsi="Times New Roman" w:cs="Times New Roman"/>
              </w:rPr>
              <w:t>Ltr</w:t>
            </w:r>
            <w:proofErr w:type="spellEnd"/>
            <w:r w:rsidRPr="001B5696">
              <w:rPr>
                <w:rFonts w:ascii="Times New Roman" w:hAnsi="Times New Roman" w:cs="Times New Roman"/>
              </w:rPr>
              <w:t xml:space="preserve"> from authorized authority that includes project name, address, or parcel ID and confirms utilities will be available - Dated within six (6) months of App Submission."</w:t>
            </w:r>
          </w:p>
          <w:p w14:paraId="5A8209E0" w14:textId="77777777" w:rsidR="00943E5C" w:rsidRPr="001B5696" w:rsidRDefault="00943E5C" w:rsidP="00607B8C">
            <w:pPr>
              <w:contextualSpacing/>
              <w:rPr>
                <w:rFonts w:ascii="Times New Roman" w:hAnsi="Times New Roman" w:cs="Times New Roman"/>
                <w:b/>
                <w:bCs/>
              </w:rPr>
            </w:pPr>
          </w:p>
          <w:p w14:paraId="49C1B6A8" w14:textId="77777777" w:rsidR="00943E5C" w:rsidRPr="001B5696" w:rsidRDefault="00943E5C" w:rsidP="00607B8C">
            <w:pPr>
              <w:contextualSpacing/>
              <w:rPr>
                <w:rFonts w:ascii="Times New Roman" w:hAnsi="Times New Roman" w:cs="Times New Roman"/>
                <w:b/>
                <w:bCs/>
              </w:rPr>
            </w:pPr>
            <w:r w:rsidRPr="001B5696">
              <w:rPr>
                <w:rFonts w:ascii="Times New Roman" w:hAnsi="Times New Roman" w:cs="Times New Roman"/>
                <w:b/>
                <w:bCs/>
              </w:rPr>
              <w:t xml:space="preserve">Answer: </w:t>
            </w:r>
          </w:p>
          <w:p w14:paraId="27893488" w14:textId="77777777" w:rsidR="00943E5C" w:rsidRDefault="00943E5C" w:rsidP="00607B8C">
            <w:pPr>
              <w:contextualSpacing/>
              <w:rPr>
                <w:rFonts w:ascii="Times New Roman" w:hAnsi="Times New Roman" w:cs="Times New Roman"/>
              </w:rPr>
            </w:pPr>
            <w:r w:rsidRPr="001B5696">
              <w:rPr>
                <w:rFonts w:ascii="Times New Roman" w:hAnsi="Times New Roman" w:cs="Times New Roman"/>
              </w:rPr>
              <w:t>The QAP</w:t>
            </w:r>
            <w:r>
              <w:rPr>
                <w:rFonts w:ascii="Times New Roman" w:hAnsi="Times New Roman" w:cs="Times New Roman"/>
              </w:rPr>
              <w:t xml:space="preserve"> states: </w:t>
            </w:r>
          </w:p>
          <w:p w14:paraId="55B115A7" w14:textId="77777777" w:rsidR="00943E5C" w:rsidRDefault="00943E5C" w:rsidP="00607B8C">
            <w:pPr>
              <w:contextualSpacing/>
              <w:rPr>
                <w:rFonts w:ascii="Times New Roman" w:hAnsi="Times New Roman" w:cs="Times New Roman"/>
                <w:b/>
                <w:bCs/>
              </w:rPr>
            </w:pPr>
          </w:p>
          <w:p w14:paraId="0598961E" w14:textId="77777777" w:rsidR="00943E5C" w:rsidRPr="001B5696" w:rsidRDefault="00943E5C" w:rsidP="00607B8C">
            <w:pPr>
              <w:ind w:left="720"/>
              <w:contextualSpacing/>
              <w:rPr>
                <w:rFonts w:ascii="Times New Roman" w:hAnsi="Times New Roman" w:cs="Times New Roman"/>
              </w:rPr>
            </w:pPr>
            <w:r w:rsidRPr="003F783C">
              <w:rPr>
                <w:rFonts w:ascii="Times New Roman" w:hAnsi="Times New Roman" w:cs="Times New Roman"/>
                <w:b/>
                <w:bCs/>
              </w:rPr>
              <w:t>Threshold, Operating Utilities</w:t>
            </w:r>
            <w:r>
              <w:rPr>
                <w:rFonts w:ascii="Times New Roman" w:hAnsi="Times New Roman" w:cs="Times New Roman"/>
                <w:b/>
                <w:bCs/>
              </w:rPr>
              <w:t xml:space="preserve">: </w:t>
            </w:r>
            <w:r w:rsidRPr="001B5696">
              <w:rPr>
                <w:rFonts w:ascii="Times New Roman" w:hAnsi="Times New Roman" w:cs="Times New Roman"/>
              </w:rPr>
              <w:t>“</w:t>
            </w:r>
            <w:r>
              <w:rPr>
                <w:rFonts w:ascii="Times New Roman" w:hAnsi="Times New Roman" w:cs="Times New Roman"/>
              </w:rPr>
              <w:t xml:space="preserve">Minimum Documentation: </w:t>
            </w:r>
            <w:r w:rsidRPr="001B5696">
              <w:rPr>
                <w:rFonts w:ascii="Times New Roman" w:hAnsi="Times New Roman" w:cs="Times New Roman"/>
              </w:rPr>
              <w:t>Letter(s) from authorized utility authorities that includes project name, address, or parcel ID and confirms that utilities will be available. The letter(s) must be dated within 6 months of Application Submission.”</w:t>
            </w:r>
          </w:p>
          <w:p w14:paraId="49C3A655" w14:textId="77777777" w:rsidR="00943E5C" w:rsidRDefault="00943E5C" w:rsidP="00607B8C">
            <w:pPr>
              <w:contextualSpacing/>
              <w:rPr>
                <w:rFonts w:ascii="Times New Roman" w:hAnsi="Times New Roman" w:cs="Times New Roman"/>
              </w:rPr>
            </w:pPr>
          </w:p>
          <w:p w14:paraId="71D0F5E0" w14:textId="77777777" w:rsidR="00943E5C" w:rsidRPr="001B5696" w:rsidRDefault="00943E5C" w:rsidP="00607B8C">
            <w:pPr>
              <w:contextualSpacing/>
              <w:rPr>
                <w:rFonts w:ascii="Times New Roman" w:hAnsi="Times New Roman" w:cs="Times New Roman"/>
              </w:rPr>
            </w:pPr>
            <w:r w:rsidRPr="001B5696">
              <w:rPr>
                <w:rFonts w:ascii="Times New Roman" w:hAnsi="Times New Roman" w:cs="Times New Roman"/>
              </w:rPr>
              <w:t xml:space="preserve">A letter from the appropriate utility authority satisfies the requirements of the QAP. </w:t>
            </w:r>
          </w:p>
          <w:p w14:paraId="78757AE6" w14:textId="77777777" w:rsidR="00943E5C" w:rsidRPr="001B5696" w:rsidRDefault="00943E5C" w:rsidP="00607B8C">
            <w:pPr>
              <w:rPr>
                <w:rFonts w:ascii="Times New Roman" w:hAnsi="Times New Roman" w:cs="Times New Roman"/>
              </w:rPr>
            </w:pPr>
          </w:p>
          <w:p w14:paraId="4DF8B261" w14:textId="77777777" w:rsidR="00943E5C" w:rsidRPr="001B5696" w:rsidRDefault="00943E5C" w:rsidP="00607B8C">
            <w:pPr>
              <w:contextualSpacing/>
              <w:rPr>
                <w:rFonts w:ascii="Times New Roman" w:hAnsi="Times New Roman" w:cs="Times New Roman"/>
                <w:b/>
                <w:bCs/>
              </w:rPr>
            </w:pPr>
            <w:r w:rsidRPr="001B5696">
              <w:rPr>
                <w:rFonts w:ascii="Times New Roman" w:hAnsi="Times New Roman" w:cs="Times New Roman"/>
              </w:rPr>
              <w:t>There is a typo in the checklist. With any discrepancy, please follow the QAP.</w:t>
            </w:r>
          </w:p>
        </w:tc>
      </w:tr>
      <w:tr w:rsidR="00943E5C" w:rsidRPr="00AC6DEC" w14:paraId="633F287E" w14:textId="77777777" w:rsidTr="2A62FF34">
        <w:trPr>
          <w:jc w:val="center"/>
        </w:trPr>
        <w:tc>
          <w:tcPr>
            <w:tcW w:w="2157" w:type="dxa"/>
            <w:tcMar>
              <w:top w:w="72" w:type="dxa"/>
              <w:left w:w="115" w:type="dxa"/>
              <w:bottom w:w="72" w:type="dxa"/>
              <w:right w:w="115" w:type="dxa"/>
            </w:tcMar>
            <w:vAlign w:val="center"/>
          </w:tcPr>
          <w:p w14:paraId="270F022E" w14:textId="77777777" w:rsidR="00943E5C" w:rsidRDefault="00943E5C"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05D36705" w14:textId="77777777" w:rsidR="00943E5C" w:rsidRDefault="00943E5C" w:rsidP="00607B8C">
            <w:pPr>
              <w:rPr>
                <w:rFonts w:ascii="Times New Roman" w:hAnsi="Times New Roman" w:cs="Times New Roman"/>
                <w:noProof/>
              </w:rPr>
            </w:pPr>
            <w:r>
              <w:rPr>
                <w:rFonts w:ascii="Times New Roman" w:hAnsi="Times New Roman" w:cs="Times New Roman"/>
                <w:noProof/>
              </w:rPr>
              <w:t>8.00</w:t>
            </w:r>
          </w:p>
          <w:p w14:paraId="1A23E929" w14:textId="77777777" w:rsidR="00943E5C" w:rsidRDefault="00943E5C" w:rsidP="00607B8C">
            <w:pPr>
              <w:rPr>
                <w:rFonts w:ascii="Times New Roman" w:hAnsi="Times New Roman" w:cs="Times New Roman"/>
                <w:noProof/>
              </w:rPr>
            </w:pPr>
            <w:r>
              <w:rPr>
                <w:rFonts w:ascii="Times New Roman" w:hAnsi="Times New Roman" w:cs="Times New Roman"/>
                <w:noProof/>
              </w:rPr>
              <w:t>Other</w:t>
            </w:r>
          </w:p>
        </w:tc>
        <w:tc>
          <w:tcPr>
            <w:tcW w:w="9590" w:type="dxa"/>
            <w:tcMar>
              <w:top w:w="72" w:type="dxa"/>
              <w:left w:w="115" w:type="dxa"/>
              <w:bottom w:w="72" w:type="dxa"/>
              <w:right w:w="115" w:type="dxa"/>
            </w:tcMar>
            <w:vAlign w:val="center"/>
          </w:tcPr>
          <w:p w14:paraId="6EB4822A" w14:textId="77777777" w:rsidR="00943E5C" w:rsidRPr="008B21E9" w:rsidRDefault="00943E5C" w:rsidP="00607B8C">
            <w:pPr>
              <w:contextualSpacing/>
              <w:rPr>
                <w:rFonts w:ascii="Times New Roman" w:hAnsi="Times New Roman" w:cs="Times New Roman"/>
              </w:rPr>
            </w:pPr>
            <w:r w:rsidRPr="008B21E9">
              <w:rPr>
                <w:rFonts w:ascii="Times New Roman" w:hAnsi="Times New Roman" w:cs="Times New Roman"/>
                <w:b/>
                <w:bCs/>
              </w:rPr>
              <w:t>Question: Q0423_01</w:t>
            </w:r>
            <w:r w:rsidRPr="008B21E9">
              <w:rPr>
                <w:b/>
                <w:bCs/>
              </w:rPr>
              <w:tab/>
            </w:r>
          </w:p>
          <w:p w14:paraId="1DF26EE9" w14:textId="77777777" w:rsidR="00943E5C" w:rsidRPr="008B21E9" w:rsidRDefault="00943E5C" w:rsidP="00607B8C">
            <w:pPr>
              <w:contextualSpacing/>
            </w:pPr>
            <w:r w:rsidRPr="008B21E9">
              <w:rPr>
                <w:rFonts w:ascii="Times New Roman" w:hAnsi="Times New Roman" w:cs="Times New Roman"/>
              </w:rPr>
              <w:t>1. Is the limited partnership entity (in which the General Partner would be the general partner) required to be formed or registered with the Georgia Secretary of State's Office at the time of application?</w:t>
            </w:r>
            <w:r w:rsidRPr="008B21E9">
              <w:tab/>
            </w:r>
            <w:r w:rsidRPr="008B21E9">
              <w:tab/>
            </w:r>
          </w:p>
          <w:p w14:paraId="7895989D" w14:textId="77777777" w:rsidR="00943E5C" w:rsidRPr="008B21E9" w:rsidRDefault="00943E5C" w:rsidP="00607B8C">
            <w:pPr>
              <w:contextualSpacing/>
              <w:rPr>
                <w:rFonts w:ascii="Times New Roman" w:hAnsi="Times New Roman" w:cs="Times New Roman"/>
              </w:rPr>
            </w:pPr>
          </w:p>
          <w:p w14:paraId="1E0CB32D" w14:textId="77777777" w:rsidR="00943E5C" w:rsidRPr="008B21E9" w:rsidRDefault="00943E5C" w:rsidP="00607B8C">
            <w:pPr>
              <w:contextualSpacing/>
              <w:rPr>
                <w:rFonts w:ascii="Times New Roman" w:hAnsi="Times New Roman" w:cs="Times New Roman"/>
              </w:rPr>
            </w:pPr>
            <w:r w:rsidRPr="008B21E9">
              <w:rPr>
                <w:rFonts w:ascii="Times New Roman" w:hAnsi="Times New Roman" w:cs="Times New Roman"/>
              </w:rPr>
              <w:lastRenderedPageBreak/>
              <w:t>2. It has become common practice among equity investors in LIHTC transactions that the general partner in a limited partnership be a single purpose entity.  If the Certifying Entity for the General Partner is formed and registered with the Georgia Secretary of State's Office, is the General Partner entity required to be formed or registered with the Georgia Secretary of State's Office prior to application?</w:t>
            </w:r>
          </w:p>
          <w:p w14:paraId="68428DCD" w14:textId="77777777" w:rsidR="00943E5C" w:rsidRPr="008B21E9" w:rsidRDefault="00943E5C" w:rsidP="00607B8C">
            <w:pPr>
              <w:contextualSpacing/>
              <w:rPr>
                <w:rFonts w:ascii="Times New Roman" w:hAnsi="Times New Roman" w:cs="Times New Roman"/>
              </w:rPr>
            </w:pPr>
            <w:r w:rsidRPr="008B21E9">
              <w:tab/>
            </w:r>
            <w:r w:rsidRPr="008B21E9">
              <w:tab/>
            </w:r>
            <w:r w:rsidRPr="008B21E9">
              <w:tab/>
            </w:r>
            <w:r w:rsidRPr="008B21E9">
              <w:tab/>
            </w:r>
          </w:p>
          <w:p w14:paraId="5C46E41D" w14:textId="77777777" w:rsidR="00943E5C" w:rsidRPr="008B21E9" w:rsidRDefault="00943E5C" w:rsidP="00607B8C">
            <w:pPr>
              <w:contextualSpacing/>
              <w:rPr>
                <w:rFonts w:ascii="Times New Roman" w:hAnsi="Times New Roman" w:cs="Times New Roman"/>
                <w:b/>
                <w:bCs/>
              </w:rPr>
            </w:pPr>
            <w:r w:rsidRPr="008B21E9">
              <w:rPr>
                <w:rFonts w:ascii="Times New Roman" w:hAnsi="Times New Roman" w:cs="Times New Roman"/>
                <w:b/>
                <w:bCs/>
              </w:rPr>
              <w:t xml:space="preserve">Answer: </w:t>
            </w:r>
          </w:p>
          <w:p w14:paraId="26AA02EE" w14:textId="77777777" w:rsidR="00943E5C" w:rsidRPr="008B21E9" w:rsidRDefault="00943E5C" w:rsidP="00607B8C">
            <w:pPr>
              <w:rPr>
                <w:rFonts w:ascii="Times New Roman" w:hAnsi="Times New Roman" w:cs="Times New Roman"/>
              </w:rPr>
            </w:pPr>
            <w:r w:rsidRPr="008B21E9">
              <w:rPr>
                <w:rFonts w:ascii="Times New Roman" w:hAnsi="Times New Roman" w:cs="Times New Roman"/>
              </w:rPr>
              <w:t xml:space="preserve">The QAP does not require the limited partnership </w:t>
            </w:r>
            <w:proofErr w:type="gramStart"/>
            <w:r w:rsidRPr="008B21E9">
              <w:rPr>
                <w:rFonts w:ascii="Times New Roman" w:hAnsi="Times New Roman" w:cs="Times New Roman"/>
              </w:rPr>
              <w:t>entity</w:t>
            </w:r>
            <w:proofErr w:type="gramEnd"/>
            <w:r w:rsidRPr="008B21E9">
              <w:rPr>
                <w:rFonts w:ascii="Times New Roman" w:hAnsi="Times New Roman" w:cs="Times New Roman"/>
              </w:rPr>
              <w:t xml:space="preserve"> </w:t>
            </w:r>
            <w:r>
              <w:rPr>
                <w:rFonts w:ascii="Times New Roman" w:hAnsi="Times New Roman" w:cs="Times New Roman"/>
              </w:rPr>
              <w:t xml:space="preserve">or the General Partner entity </w:t>
            </w:r>
            <w:r w:rsidRPr="008B21E9">
              <w:rPr>
                <w:rFonts w:ascii="Times New Roman" w:hAnsi="Times New Roman" w:cs="Times New Roman"/>
              </w:rPr>
              <w:t>be formed or registered with the Georgia Secretary of State’s Office at the time of application.</w:t>
            </w:r>
          </w:p>
        </w:tc>
      </w:tr>
      <w:tr w:rsidR="00943E5C" w:rsidRPr="00AC6DEC" w14:paraId="0490DFF9" w14:textId="77777777" w:rsidTr="2A62FF34">
        <w:trPr>
          <w:jc w:val="center"/>
        </w:trPr>
        <w:tc>
          <w:tcPr>
            <w:tcW w:w="2157" w:type="dxa"/>
            <w:tcMar>
              <w:top w:w="72" w:type="dxa"/>
              <w:left w:w="115" w:type="dxa"/>
              <w:bottom w:w="72" w:type="dxa"/>
              <w:right w:w="115" w:type="dxa"/>
            </w:tcMar>
            <w:vAlign w:val="center"/>
          </w:tcPr>
          <w:p w14:paraId="09016748"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15E3F227"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2.01</w:t>
            </w:r>
          </w:p>
          <w:p w14:paraId="64CD7019"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 xml:space="preserve">Threshold; Project Feasibility </w:t>
            </w:r>
          </w:p>
        </w:tc>
        <w:tc>
          <w:tcPr>
            <w:tcW w:w="9590" w:type="dxa"/>
            <w:tcMar>
              <w:top w:w="72" w:type="dxa"/>
              <w:left w:w="115" w:type="dxa"/>
              <w:bottom w:w="72" w:type="dxa"/>
              <w:right w:w="115" w:type="dxa"/>
            </w:tcMar>
            <w:vAlign w:val="center"/>
          </w:tcPr>
          <w:p w14:paraId="3852562F"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Q0331_03</w:t>
            </w:r>
          </w:p>
          <w:p w14:paraId="49C12084"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We noticed the efficiency dwelling type in the architectural standards manual, which appears to be somewhere in between a studio and a one bedroom. As it pertains to calculating the applicable maximum rent for this type of unit, are they considered to be studios (1 persons) or 1 </w:t>
            </w:r>
            <w:proofErr w:type="gramStart"/>
            <w:r w:rsidRPr="00AC6DEC">
              <w:rPr>
                <w:rFonts w:ascii="Times New Roman" w:hAnsi="Times New Roman" w:cs="Times New Roman"/>
              </w:rPr>
              <w:t>bedrooms</w:t>
            </w:r>
            <w:proofErr w:type="gramEnd"/>
            <w:r w:rsidRPr="00AC6DEC">
              <w:rPr>
                <w:rFonts w:ascii="Times New Roman" w:hAnsi="Times New Roman" w:cs="Times New Roman"/>
              </w:rPr>
              <w:t xml:space="preserve"> (1.5 persons)?  </w:t>
            </w:r>
          </w:p>
          <w:p w14:paraId="110940D2" w14:textId="77777777" w:rsidR="00943E5C" w:rsidRPr="00AC6DEC" w:rsidRDefault="00943E5C" w:rsidP="00607B8C">
            <w:pPr>
              <w:contextualSpacing/>
              <w:rPr>
                <w:rFonts w:ascii="Times New Roman" w:hAnsi="Times New Roman" w:cs="Times New Roman"/>
              </w:rPr>
            </w:pPr>
          </w:p>
          <w:p w14:paraId="2B087C1A"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7F8DB3AE"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The Architectural Manual Appendix I, Section V, Part C, sets forth Minimum Unit Sizes, and distinguishes between the different required square footage, as well as kitchen facilities, for Studio units and Efficiency units.  However, neither Studio nor Efficiency units indicate any bedrooms.</w:t>
            </w:r>
          </w:p>
          <w:p w14:paraId="7A3309ED" w14:textId="77777777" w:rsidR="00943E5C" w:rsidRPr="00AC6DEC" w:rsidRDefault="00943E5C" w:rsidP="00607B8C">
            <w:pPr>
              <w:contextualSpacing/>
              <w:rPr>
                <w:rFonts w:ascii="Times New Roman" w:hAnsi="Times New Roman" w:cs="Times New Roman"/>
              </w:rPr>
            </w:pPr>
          </w:p>
          <w:p w14:paraId="1310C2B6"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The QAP states: </w:t>
            </w:r>
          </w:p>
          <w:p w14:paraId="050A6C1B" w14:textId="77777777" w:rsidR="00943E5C" w:rsidRPr="00AC6DEC" w:rsidRDefault="00943E5C" w:rsidP="00607B8C">
            <w:pPr>
              <w:contextualSpacing/>
              <w:rPr>
                <w:rFonts w:ascii="Times New Roman" w:hAnsi="Times New Roman" w:cs="Times New Roman"/>
                <w:b/>
                <w:bCs/>
              </w:rPr>
            </w:pPr>
          </w:p>
          <w:p w14:paraId="7BE1ECD2" w14:textId="77777777" w:rsidR="00943E5C" w:rsidRPr="00AC6DEC" w:rsidRDefault="00943E5C" w:rsidP="00607B8C">
            <w:pPr>
              <w:ind w:left="720"/>
              <w:contextualSpacing/>
              <w:rPr>
                <w:rFonts w:ascii="Times New Roman" w:hAnsi="Times New Roman" w:cs="Times New Roman"/>
              </w:rPr>
            </w:pPr>
            <w:r w:rsidRPr="00AC6DEC">
              <w:rPr>
                <w:rFonts w:ascii="Times New Roman" w:hAnsi="Times New Roman" w:cs="Times New Roman"/>
                <w:b/>
                <w:bCs/>
              </w:rPr>
              <w:t xml:space="preserve">Threshold Criteria, Project Feasibility, A. Feasibility Assumptions and Policies, 6. </w:t>
            </w:r>
            <w:proofErr w:type="spellStart"/>
            <w:proofErr w:type="gramStart"/>
            <w:r w:rsidRPr="00AC6DEC">
              <w:rPr>
                <w:rFonts w:ascii="Times New Roman" w:hAnsi="Times New Roman" w:cs="Times New Roman"/>
                <w:b/>
                <w:bCs/>
              </w:rPr>
              <w:t>Rent</w:t>
            </w:r>
            <w:r w:rsidRPr="00AC6DEC">
              <w:rPr>
                <w:rFonts w:ascii="Times New Roman" w:hAnsi="Times New Roman" w:cs="Times New Roman"/>
              </w:rPr>
              <w:t>:</w:t>
            </w:r>
            <w:r w:rsidRPr="00AC6DEC">
              <w:rPr>
                <w:rFonts w:ascii="Times New Roman" w:hAnsi="Times New Roman" w:cs="Times New Roman"/>
                <w:i/>
                <w:iCs/>
              </w:rPr>
              <w:t>“</w:t>
            </w:r>
            <w:proofErr w:type="gramEnd"/>
            <w:r w:rsidRPr="00AC6DEC">
              <w:rPr>
                <w:rFonts w:ascii="Times New Roman" w:hAnsi="Times New Roman" w:cs="Times New Roman"/>
                <w:i/>
                <w:iCs/>
              </w:rPr>
              <w:t>Tax</w:t>
            </w:r>
            <w:proofErr w:type="spellEnd"/>
            <w:r w:rsidRPr="00AC6DEC">
              <w:rPr>
                <w:rFonts w:ascii="Times New Roman" w:hAnsi="Times New Roman" w:cs="Times New Roman"/>
                <w:i/>
                <w:iCs/>
              </w:rPr>
              <w:t xml:space="preserve"> Credit (only)</w:t>
            </w:r>
            <w:r w:rsidRPr="00AC6DEC">
              <w:rPr>
                <w:rFonts w:ascii="Times New Roman" w:hAnsi="Times New Roman" w:cs="Times New Roman"/>
                <w:b/>
                <w:bCs/>
                <w:i/>
                <w:iCs/>
              </w:rPr>
              <w:t xml:space="preserve">. </w:t>
            </w:r>
            <w:r w:rsidRPr="00AC6DEC">
              <w:rPr>
                <w:rFonts w:ascii="Times New Roman" w:hAnsi="Times New Roman" w:cs="Times New Roman"/>
                <w:i/>
                <w:iCs/>
              </w:rPr>
              <w:t xml:space="preserve">Gross rents may not exceed 30% of 60% of the effective AMI table for the appropriate bedroom </w:t>
            </w:r>
            <w:proofErr w:type="gramStart"/>
            <w:r w:rsidRPr="00AC6DEC">
              <w:rPr>
                <w:rFonts w:ascii="Times New Roman" w:hAnsi="Times New Roman" w:cs="Times New Roman"/>
                <w:i/>
                <w:iCs/>
              </w:rPr>
              <w:t>size, unless</w:t>
            </w:r>
            <w:proofErr w:type="gramEnd"/>
            <w:r w:rsidRPr="00AC6DEC">
              <w:rPr>
                <w:rFonts w:ascii="Times New Roman" w:hAnsi="Times New Roman" w:cs="Times New Roman"/>
                <w:i/>
                <w:iCs/>
              </w:rPr>
              <w:t xml:space="preserve"> an applicant is utilizing Income Averaging. Applicants must assume 1.5 persons per bedroom.</w:t>
            </w:r>
            <w:r w:rsidRPr="00AC6DEC">
              <w:rPr>
                <w:rFonts w:ascii="Times New Roman" w:hAnsi="Times New Roman" w:cs="Times New Roman"/>
              </w:rPr>
              <w:t>”</w:t>
            </w:r>
          </w:p>
          <w:p w14:paraId="25472A27" w14:textId="77777777" w:rsidR="00943E5C" w:rsidRPr="00AC6DEC" w:rsidRDefault="00943E5C" w:rsidP="00607B8C">
            <w:pPr>
              <w:contextualSpacing/>
              <w:rPr>
                <w:rFonts w:ascii="Times New Roman" w:hAnsi="Times New Roman" w:cs="Times New Roman"/>
              </w:rPr>
            </w:pPr>
          </w:p>
          <w:p w14:paraId="3628E95E"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Since neither Studio nor Efficiency units indicate any bedrooms, gross rents may not exceed 30% of 60% of the effective AMI for zero bedrooms/one person.</w:t>
            </w:r>
          </w:p>
          <w:p w14:paraId="5A8D94C3" w14:textId="77777777" w:rsidR="00943E5C" w:rsidRPr="00AC6DEC" w:rsidRDefault="00943E5C" w:rsidP="00607B8C">
            <w:pPr>
              <w:contextualSpacing/>
              <w:rPr>
                <w:rFonts w:ascii="Times New Roman" w:hAnsi="Times New Roman" w:cs="Times New Roman"/>
                <w:b/>
                <w:bCs/>
              </w:rPr>
            </w:pPr>
          </w:p>
        </w:tc>
      </w:tr>
      <w:tr w:rsidR="00943E5C" w:rsidRPr="00AC6DEC" w14:paraId="612ACB99" w14:textId="77777777" w:rsidTr="2A62FF34">
        <w:trPr>
          <w:jc w:val="center"/>
        </w:trPr>
        <w:tc>
          <w:tcPr>
            <w:tcW w:w="2157" w:type="dxa"/>
            <w:tcMar>
              <w:top w:w="72" w:type="dxa"/>
              <w:left w:w="115" w:type="dxa"/>
              <w:bottom w:w="72" w:type="dxa"/>
              <w:right w:w="115" w:type="dxa"/>
            </w:tcMar>
            <w:vAlign w:val="center"/>
          </w:tcPr>
          <w:p w14:paraId="44ED12D9"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55F8DBEF"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2.11</w:t>
            </w:r>
          </w:p>
          <w:p w14:paraId="471A3624"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 xml:space="preserve">Threshold; Operating Utilities </w:t>
            </w:r>
          </w:p>
          <w:p w14:paraId="539BE682" w14:textId="77777777" w:rsidR="00943E5C" w:rsidRPr="00AC6DEC" w:rsidRDefault="00943E5C" w:rsidP="00607B8C">
            <w:pPr>
              <w:rPr>
                <w:rFonts w:ascii="Times New Roman" w:hAnsi="Times New Roman" w:cs="Times New Roman"/>
                <w:noProof/>
              </w:rPr>
            </w:pPr>
          </w:p>
          <w:p w14:paraId="1EE6E47E"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&amp;</w:t>
            </w:r>
          </w:p>
          <w:p w14:paraId="1AD87265" w14:textId="77777777" w:rsidR="00943E5C" w:rsidRPr="00AC6DEC" w:rsidRDefault="00943E5C" w:rsidP="00607B8C">
            <w:pPr>
              <w:rPr>
                <w:rFonts w:ascii="Times New Roman" w:hAnsi="Times New Roman" w:cs="Times New Roman"/>
                <w:noProof/>
              </w:rPr>
            </w:pPr>
          </w:p>
          <w:p w14:paraId="7CA93E24"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2.12</w:t>
            </w:r>
          </w:p>
          <w:p w14:paraId="03C1E6CA"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lastRenderedPageBreak/>
              <w:t>Threshold; Public Water/Sanitary Sewer/Storm Sewer</w:t>
            </w:r>
          </w:p>
        </w:tc>
        <w:tc>
          <w:tcPr>
            <w:tcW w:w="9590" w:type="dxa"/>
            <w:tcMar>
              <w:top w:w="72" w:type="dxa"/>
              <w:left w:w="115" w:type="dxa"/>
              <w:bottom w:w="72" w:type="dxa"/>
              <w:right w:w="115" w:type="dxa"/>
            </w:tcMar>
            <w:vAlign w:val="center"/>
          </w:tcPr>
          <w:p w14:paraId="40BF82AA"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lastRenderedPageBreak/>
              <w:t>Question: Q0331_02</w:t>
            </w:r>
          </w:p>
          <w:p w14:paraId="0E047ED7"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If a Utility Letter from the Power Company or Water/Sewer Provider references the number of units but the development has a revised unit number will the letter be accepted so long as the proposed unit count for the development is less than or equal to the units referenced in the supporting documentation? </w:t>
            </w:r>
          </w:p>
          <w:p w14:paraId="5D82B1BB" w14:textId="77777777" w:rsidR="00943E5C" w:rsidRPr="00AC6DEC" w:rsidRDefault="00943E5C" w:rsidP="00607B8C">
            <w:pPr>
              <w:contextualSpacing/>
              <w:rPr>
                <w:rFonts w:ascii="Times New Roman" w:hAnsi="Times New Roman" w:cs="Times New Roman"/>
              </w:rPr>
            </w:pPr>
          </w:p>
          <w:p w14:paraId="79E9328A"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0244CFA6"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The QAP states the following: </w:t>
            </w:r>
          </w:p>
          <w:p w14:paraId="24DEBBFE" w14:textId="77777777" w:rsidR="00943E5C" w:rsidRPr="00AC6DEC" w:rsidRDefault="00943E5C" w:rsidP="00607B8C">
            <w:pPr>
              <w:contextualSpacing/>
              <w:rPr>
                <w:rFonts w:ascii="Times New Roman" w:hAnsi="Times New Roman" w:cs="Times New Roman"/>
              </w:rPr>
            </w:pPr>
          </w:p>
          <w:p w14:paraId="0FDECAF5" w14:textId="77777777" w:rsidR="00943E5C" w:rsidRPr="00AC6DEC" w:rsidRDefault="00943E5C" w:rsidP="00607B8C">
            <w:pPr>
              <w:ind w:left="720"/>
              <w:contextualSpacing/>
              <w:rPr>
                <w:rFonts w:ascii="Times New Roman" w:hAnsi="Times New Roman" w:cs="Times New Roman"/>
              </w:rPr>
            </w:pPr>
            <w:r w:rsidRPr="00AC6DEC">
              <w:rPr>
                <w:rFonts w:ascii="Times New Roman" w:hAnsi="Times New Roman" w:cs="Times New Roman"/>
                <w:b/>
                <w:bCs/>
              </w:rPr>
              <w:t>Threshold Criteria, Operating Utilities</w:t>
            </w:r>
            <w:r w:rsidRPr="00AC6DEC">
              <w:rPr>
                <w:rFonts w:ascii="Times New Roman" w:hAnsi="Times New Roman" w:cs="Times New Roman"/>
              </w:rPr>
              <w:t xml:space="preserve">: </w:t>
            </w:r>
          </w:p>
          <w:p w14:paraId="711CCEA6" w14:textId="77777777" w:rsidR="00943E5C" w:rsidRPr="00AC6DEC" w:rsidRDefault="00943E5C" w:rsidP="00607B8C">
            <w:pPr>
              <w:pStyle w:val="ListParagraph"/>
              <w:numPr>
                <w:ilvl w:val="0"/>
                <w:numId w:val="42"/>
              </w:numPr>
              <w:rPr>
                <w:rFonts w:ascii="Times New Roman" w:hAnsi="Times New Roman" w:cs="Times New Roman"/>
              </w:rPr>
            </w:pPr>
            <w:r w:rsidRPr="00AC6DEC">
              <w:rPr>
                <w:rFonts w:ascii="Times New Roman" w:hAnsi="Times New Roman" w:cs="Times New Roman"/>
              </w:rPr>
              <w:t>“The Application must include a letter from the appropriate authorized utility authorities confirming the availability of operating utilities at the proposed development site.”</w:t>
            </w:r>
          </w:p>
          <w:p w14:paraId="7930B89A" w14:textId="77777777" w:rsidR="00943E5C" w:rsidRPr="00AC6DEC" w:rsidRDefault="00943E5C" w:rsidP="00607B8C">
            <w:pPr>
              <w:pStyle w:val="ListParagraph"/>
              <w:numPr>
                <w:ilvl w:val="0"/>
                <w:numId w:val="42"/>
              </w:numPr>
              <w:rPr>
                <w:rFonts w:ascii="Times New Roman" w:hAnsi="Times New Roman" w:cs="Times New Roman"/>
              </w:rPr>
            </w:pPr>
            <w:r w:rsidRPr="00AC6DEC">
              <w:rPr>
                <w:rFonts w:ascii="Times New Roman" w:eastAsia="Times New Roman" w:hAnsi="Times New Roman" w:cs="Times New Roman"/>
                <w:color w:val="000000" w:themeColor="text1"/>
              </w:rPr>
              <w:t xml:space="preserve">Minimum Documentation: </w:t>
            </w:r>
            <w:r w:rsidRPr="00AC6DEC">
              <w:rPr>
                <w:rFonts w:ascii="Times New Roman" w:hAnsi="Times New Roman" w:cs="Times New Roman"/>
              </w:rPr>
              <w:t xml:space="preserve">“Letter(s) from authorized utility authorities </w:t>
            </w:r>
            <w:r w:rsidRPr="00AC6DEC">
              <w:rPr>
                <w:rFonts w:ascii="Times New Roman" w:eastAsia="Times New Roman" w:hAnsi="Times New Roman" w:cs="Times New Roman"/>
              </w:rPr>
              <w:t xml:space="preserve">that includes </w:t>
            </w:r>
            <w:r w:rsidRPr="00AC6DEC">
              <w:rPr>
                <w:rFonts w:ascii="Times New Roman" w:hAnsi="Times New Roman" w:cs="Times New Roman"/>
              </w:rPr>
              <w:t>project name, address, or parcel ID and confirms that utilities will be available. The letter(s) must be dated within 6 months of Application Submission.”</w:t>
            </w:r>
          </w:p>
          <w:p w14:paraId="5D26E75A" w14:textId="77777777" w:rsidR="00943E5C" w:rsidRPr="00AC6DEC" w:rsidRDefault="00943E5C" w:rsidP="00607B8C">
            <w:pPr>
              <w:contextualSpacing/>
              <w:rPr>
                <w:rFonts w:ascii="Times New Roman" w:hAnsi="Times New Roman" w:cs="Times New Roman"/>
              </w:rPr>
            </w:pPr>
          </w:p>
          <w:p w14:paraId="388647D4" w14:textId="77777777" w:rsidR="00943E5C" w:rsidRPr="00AC6DEC" w:rsidRDefault="00943E5C" w:rsidP="00607B8C">
            <w:pPr>
              <w:ind w:left="720"/>
              <w:rPr>
                <w:rFonts w:ascii="Times New Roman" w:hAnsi="Times New Roman" w:cs="Times New Roman"/>
              </w:rPr>
            </w:pPr>
            <w:r w:rsidRPr="00AC6DEC">
              <w:rPr>
                <w:rFonts w:ascii="Times New Roman" w:hAnsi="Times New Roman" w:cs="Times New Roman"/>
                <w:b/>
                <w:bCs/>
              </w:rPr>
              <w:t>Threshold Criteria, Public Water/Sanitary Sewer/Storm Sewer</w:t>
            </w:r>
            <w:r w:rsidRPr="00AC6DEC">
              <w:rPr>
                <w:rFonts w:ascii="Times New Roman" w:hAnsi="Times New Roman" w:cs="Times New Roman"/>
              </w:rPr>
              <w:t xml:space="preserve">: </w:t>
            </w:r>
          </w:p>
          <w:p w14:paraId="127E6B95" w14:textId="77777777" w:rsidR="00943E5C" w:rsidRPr="00AC6DEC" w:rsidRDefault="00943E5C" w:rsidP="00607B8C">
            <w:pPr>
              <w:pStyle w:val="ListParagraph"/>
              <w:numPr>
                <w:ilvl w:val="0"/>
                <w:numId w:val="43"/>
              </w:numPr>
              <w:rPr>
                <w:rFonts w:ascii="Times New Roman" w:hAnsi="Times New Roman" w:cs="Times New Roman"/>
              </w:rPr>
            </w:pPr>
            <w:r w:rsidRPr="00AC6DEC">
              <w:rPr>
                <w:rFonts w:ascii="Times New Roman" w:hAnsi="Times New Roman" w:cs="Times New Roman"/>
              </w:rPr>
              <w:t>“A commitment can be subject only to conditions within the control of the Applicant. Letter(s) from the local public water and sewer authorities must document the availability of the existing public water and sewer service to the site.”</w:t>
            </w:r>
          </w:p>
          <w:p w14:paraId="16F1E542" w14:textId="77777777" w:rsidR="00943E5C" w:rsidRPr="00AC6DEC" w:rsidRDefault="00943E5C" w:rsidP="00607B8C">
            <w:pPr>
              <w:pStyle w:val="ListParagraph"/>
              <w:numPr>
                <w:ilvl w:val="0"/>
                <w:numId w:val="43"/>
              </w:numPr>
              <w:rPr>
                <w:rFonts w:ascii="Times New Roman" w:hAnsi="Times New Roman" w:cs="Times New Roman"/>
              </w:rPr>
            </w:pPr>
            <w:r w:rsidRPr="00AC6DEC">
              <w:rPr>
                <w:rFonts w:ascii="Times New Roman" w:eastAsia="Times New Roman" w:hAnsi="Times New Roman" w:cs="Times New Roman"/>
                <w:color w:val="000000" w:themeColor="text1"/>
              </w:rPr>
              <w:t xml:space="preserve">Minimum Documentation: </w:t>
            </w:r>
            <w:r w:rsidRPr="00AC6DEC">
              <w:rPr>
                <w:rFonts w:ascii="Times New Roman" w:hAnsi="Times New Roman" w:cs="Times New Roman"/>
              </w:rPr>
              <w:t>“Letter(s) from verifiable public water/sanitary sewer/storm sewer authority</w:t>
            </w:r>
            <w:r w:rsidRPr="00AC6DEC">
              <w:rPr>
                <w:rFonts w:ascii="Times New Roman" w:eastAsia="Times New Roman" w:hAnsi="Times New Roman" w:cs="Times New Roman"/>
              </w:rPr>
              <w:t xml:space="preserve"> that includes</w:t>
            </w:r>
            <w:r w:rsidRPr="00AC6DEC">
              <w:rPr>
                <w:rFonts w:ascii="Times New Roman" w:hAnsi="Times New Roman" w:cs="Times New Roman"/>
              </w:rPr>
              <w:t xml:space="preserve"> project name, address, or parcel ID and confirms that utilities will be available. The letter(s) must be dated within 6 months of Application Submission.”</w:t>
            </w:r>
          </w:p>
          <w:p w14:paraId="58F4DC4F" w14:textId="77777777" w:rsidR="00943E5C" w:rsidRPr="00AC6DEC" w:rsidRDefault="00943E5C" w:rsidP="00607B8C">
            <w:pPr>
              <w:numPr>
                <w:ilvl w:val="1"/>
                <w:numId w:val="41"/>
              </w:numPr>
              <w:contextualSpacing/>
              <w:rPr>
                <w:rFonts w:ascii="Times New Roman" w:hAnsi="Times New Roman" w:cs="Times New Roman"/>
              </w:rPr>
            </w:pPr>
          </w:p>
          <w:p w14:paraId="44B4998B"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To meet the Minimum Documentation requirements, the letters from the utility authority and water/sewer authority must demonstrate availability to the site.  Reference to the number of units is not required; however, if an authority sets forth capacity limits regarding the availability of service(s) to the site, such will impact the evaluation of availability. </w:t>
            </w:r>
          </w:p>
          <w:p w14:paraId="5F7330FA" w14:textId="77777777" w:rsidR="00943E5C" w:rsidRPr="00AC6DEC" w:rsidRDefault="00943E5C" w:rsidP="00607B8C">
            <w:pPr>
              <w:contextualSpacing/>
              <w:rPr>
                <w:rFonts w:ascii="Times New Roman" w:hAnsi="Times New Roman" w:cs="Times New Roman"/>
                <w:b/>
                <w:bCs/>
              </w:rPr>
            </w:pPr>
          </w:p>
        </w:tc>
      </w:tr>
      <w:tr w:rsidR="00943E5C" w:rsidRPr="00AC6DEC" w14:paraId="6A50A3C5" w14:textId="77777777" w:rsidTr="2A62FF34">
        <w:trPr>
          <w:jc w:val="center"/>
        </w:trPr>
        <w:tc>
          <w:tcPr>
            <w:tcW w:w="2157" w:type="dxa"/>
            <w:tcMar>
              <w:top w:w="72" w:type="dxa"/>
              <w:left w:w="115" w:type="dxa"/>
              <w:bottom w:w="72" w:type="dxa"/>
              <w:right w:w="115" w:type="dxa"/>
            </w:tcMar>
            <w:vAlign w:val="center"/>
          </w:tcPr>
          <w:p w14:paraId="41D1922F"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1FE1FA9B"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3.04</w:t>
            </w:r>
          </w:p>
          <w:p w14:paraId="3B57C481"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311A6B8C"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Q0303_01b</w:t>
            </w:r>
          </w:p>
          <w:p w14:paraId="5D9C95CD" w14:textId="77777777" w:rsidR="00943E5C" w:rsidRPr="00AC6DEC" w:rsidRDefault="00943E5C" w:rsidP="00607B8C">
            <w:r w:rsidRPr="00AC6DEC">
              <w:rPr>
                <w:rFonts w:ascii="Times New Roman" w:hAnsi="Times New Roman" w:cs="Times New Roman"/>
              </w:rPr>
              <w:t>Would the assumption of a Housing Assistance Payment (HAP) Contract qualify for 3 points under B. Deeper Targeting Through New PBRA Contracts?</w:t>
            </w:r>
          </w:p>
          <w:p w14:paraId="5B2BBF4D" w14:textId="77777777" w:rsidR="00943E5C" w:rsidRPr="00AC6DEC" w:rsidRDefault="00943E5C" w:rsidP="00607B8C">
            <w:pPr>
              <w:contextualSpacing/>
              <w:rPr>
                <w:rFonts w:ascii="Times New Roman" w:hAnsi="Times New Roman" w:cs="Times New Roman"/>
                <w:b/>
                <w:bCs/>
              </w:rPr>
            </w:pPr>
          </w:p>
          <w:p w14:paraId="3856C10B" w14:textId="77777777" w:rsidR="00943E5C" w:rsidRPr="00AC6DEC" w:rsidRDefault="00943E5C" w:rsidP="00607B8C">
            <w:pPr>
              <w:rPr>
                <w:rFonts w:ascii="Times New Roman" w:hAnsi="Times New Roman" w:cs="Times New Roman"/>
                <w:b/>
                <w:bCs/>
              </w:rPr>
            </w:pPr>
            <w:r w:rsidRPr="00AC6DEC">
              <w:rPr>
                <w:rFonts w:ascii="Times New Roman" w:hAnsi="Times New Roman" w:cs="Times New Roman"/>
                <w:b/>
                <w:bCs/>
              </w:rPr>
              <w:t>Answer:</w:t>
            </w:r>
          </w:p>
          <w:p w14:paraId="73389531"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DCA would need to review the details of the HAP contract during application review to provide definitive guidance. </w:t>
            </w:r>
          </w:p>
          <w:p w14:paraId="5CC05C9B" w14:textId="77777777" w:rsidR="00943E5C" w:rsidRPr="00AC6DEC" w:rsidRDefault="00943E5C" w:rsidP="00607B8C">
            <w:pPr>
              <w:rPr>
                <w:rFonts w:ascii="Times New Roman" w:hAnsi="Times New Roman" w:cs="Times New Roman"/>
              </w:rPr>
            </w:pPr>
          </w:p>
          <w:p w14:paraId="5AAD7E0C" w14:textId="77777777" w:rsidR="00943E5C" w:rsidRPr="00AC6DEC" w:rsidRDefault="00943E5C" w:rsidP="00607B8C">
            <w:pPr>
              <w:rPr>
                <w:rFonts w:ascii="Times New Roman" w:hAnsi="Times New Roman" w:cs="Times New Roman"/>
                <w:b/>
                <w:bCs/>
              </w:rPr>
            </w:pPr>
            <w:r w:rsidRPr="00AC6DEC">
              <w:rPr>
                <w:rFonts w:ascii="Times New Roman" w:hAnsi="Times New Roman" w:cs="Times New Roman"/>
              </w:rPr>
              <w:t xml:space="preserve">Please note that </w:t>
            </w:r>
            <w:r w:rsidRPr="00AC6DEC">
              <w:rPr>
                <w:rFonts w:ascii="Times New Roman" w:hAnsi="Times New Roman" w:cs="Times New Roman"/>
                <w:i/>
                <w:iCs/>
              </w:rPr>
              <w:t>Deeper Targeting</w:t>
            </w:r>
            <w:r w:rsidRPr="00AC6DEC">
              <w:rPr>
                <w:rFonts w:ascii="Times New Roman" w:hAnsi="Times New Roman" w:cs="Times New Roman"/>
              </w:rPr>
              <w:t xml:space="preserve">, subsection B. states that, “New PBRA contracts do not include public housing units, bifurcation, or renewal of existing contracts. Properties with existing PBRA contracts are not eligible for these points.” </w:t>
            </w:r>
          </w:p>
          <w:p w14:paraId="4CC98719" w14:textId="77777777" w:rsidR="00943E5C" w:rsidRPr="00AC6DEC" w:rsidRDefault="00943E5C" w:rsidP="00607B8C">
            <w:pPr>
              <w:contextualSpacing/>
              <w:rPr>
                <w:rFonts w:ascii="Times New Roman" w:hAnsi="Times New Roman" w:cs="Times New Roman"/>
                <w:b/>
                <w:bCs/>
              </w:rPr>
            </w:pPr>
          </w:p>
        </w:tc>
      </w:tr>
      <w:tr w:rsidR="00943E5C" w:rsidRPr="00AC6DEC" w14:paraId="2E710276" w14:textId="77777777" w:rsidTr="2A62FF34">
        <w:trPr>
          <w:jc w:val="center"/>
        </w:trPr>
        <w:tc>
          <w:tcPr>
            <w:tcW w:w="2157" w:type="dxa"/>
            <w:tcMar>
              <w:top w:w="72" w:type="dxa"/>
              <w:left w:w="115" w:type="dxa"/>
              <w:bottom w:w="72" w:type="dxa"/>
              <w:right w:w="115" w:type="dxa"/>
            </w:tcMar>
            <w:vAlign w:val="center"/>
          </w:tcPr>
          <w:p w14:paraId="32A7A6AA"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64B1A963"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3.04</w:t>
            </w:r>
          </w:p>
          <w:p w14:paraId="0EBC2ECF"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645C67A1" w14:textId="77777777" w:rsidR="00943E5C" w:rsidRPr="00AC6DEC" w:rsidRDefault="00943E5C" w:rsidP="00607B8C">
            <w:pPr>
              <w:rPr>
                <w:rFonts w:ascii="Times New Roman" w:hAnsi="Times New Roman" w:cs="Times New Roman"/>
                <w:b/>
                <w:bCs/>
              </w:rPr>
            </w:pPr>
            <w:r w:rsidRPr="00AC6DEC">
              <w:rPr>
                <w:rFonts w:ascii="Times New Roman" w:hAnsi="Times New Roman" w:cs="Times New Roman"/>
                <w:b/>
                <w:bCs/>
              </w:rPr>
              <w:t>Question: Q0218_01</w:t>
            </w:r>
          </w:p>
          <w:p w14:paraId="480080AD" w14:textId="77777777" w:rsidR="00943E5C" w:rsidRPr="00AC6DEC" w:rsidRDefault="00943E5C" w:rsidP="00607B8C">
            <w:r w:rsidRPr="00AC6DEC">
              <w:rPr>
                <w:rFonts w:ascii="Times New Roman" w:hAnsi="Times New Roman" w:cs="Times New Roman"/>
              </w:rPr>
              <w:t>We are wondering if DCA could clarify if the specific circumstances of our 2021 9% application would potentially be eligible for the 3 scoring points applicable to Deeper Targeting Through New PBRA Contracts.</w:t>
            </w:r>
          </w:p>
          <w:p w14:paraId="565549FC" w14:textId="77777777" w:rsidR="00943E5C" w:rsidRPr="00AC6DEC" w:rsidRDefault="00943E5C" w:rsidP="00607B8C">
            <w:r w:rsidRPr="00AC6DEC">
              <w:rPr>
                <w:rFonts w:ascii="Times New Roman" w:hAnsi="Times New Roman" w:cs="Times New Roman"/>
              </w:rPr>
              <w:t xml:space="preserve"> </w:t>
            </w:r>
          </w:p>
          <w:p w14:paraId="210419EC"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We are joint-venture partners with a PHA for a planned two-phase re-development of previously existing public housing.  The PHA converted the overall property, which consists of the two planned phases, to RAD in conjunction with the first phase.  This first phase was awarded 9% credits in </w:t>
            </w:r>
            <w:proofErr w:type="gramStart"/>
            <w:r w:rsidRPr="00AC6DEC">
              <w:rPr>
                <w:rFonts w:ascii="Times New Roman" w:hAnsi="Times New Roman" w:cs="Times New Roman"/>
              </w:rPr>
              <w:t>January,</w:t>
            </w:r>
            <w:proofErr w:type="gramEnd"/>
            <w:r w:rsidRPr="00AC6DEC">
              <w:rPr>
                <w:rFonts w:ascii="Times New Roman" w:hAnsi="Times New Roman" w:cs="Times New Roman"/>
              </w:rPr>
              <w:t xml:space="preserve"> 2020 and closed its financing in Q4 2020.  The RAD HAP contract applicable to the overall </w:t>
            </w:r>
            <w:proofErr w:type="gramStart"/>
            <w:r w:rsidRPr="00AC6DEC">
              <w:rPr>
                <w:rFonts w:ascii="Times New Roman" w:hAnsi="Times New Roman" w:cs="Times New Roman"/>
              </w:rPr>
              <w:t>property, and</w:t>
            </w:r>
            <w:proofErr w:type="gramEnd"/>
            <w:r w:rsidRPr="00AC6DEC">
              <w:rPr>
                <w:rFonts w:ascii="Times New Roman" w:hAnsi="Times New Roman" w:cs="Times New Roman"/>
              </w:rPr>
              <w:t xml:space="preserve"> includes RAD units that will be applicable to both the first phase and the planned second phase, has an effective date of December 1, 2019 and has an initial term of 20 years.  HUD has initially approved of the HAP contract bifurcation between the two </w:t>
            </w:r>
            <w:proofErr w:type="gramStart"/>
            <w:r w:rsidRPr="00AC6DEC">
              <w:rPr>
                <w:rFonts w:ascii="Times New Roman" w:hAnsi="Times New Roman" w:cs="Times New Roman"/>
              </w:rPr>
              <w:t>phases,</w:t>
            </w:r>
            <w:proofErr w:type="gramEnd"/>
            <w:r w:rsidRPr="00AC6DEC">
              <w:rPr>
                <w:rFonts w:ascii="Times New Roman" w:hAnsi="Times New Roman" w:cs="Times New Roman"/>
              </w:rPr>
              <w:t xml:space="preserve"> however, the HAP contract bifurcation is not currently in place and will not be in place prior to the 2021 9% application submission for the second phase. </w:t>
            </w:r>
          </w:p>
          <w:p w14:paraId="35633040" w14:textId="77777777" w:rsidR="00943E5C" w:rsidRPr="00AC6DEC" w:rsidRDefault="00943E5C" w:rsidP="00607B8C">
            <w:r w:rsidRPr="00AC6DEC">
              <w:rPr>
                <w:rFonts w:ascii="Times New Roman" w:hAnsi="Times New Roman" w:cs="Times New Roman"/>
              </w:rPr>
              <w:t xml:space="preserve"> </w:t>
            </w:r>
          </w:p>
          <w:p w14:paraId="393EE5F6" w14:textId="77777777" w:rsidR="00943E5C" w:rsidRPr="00AC6DEC" w:rsidRDefault="00943E5C" w:rsidP="00607B8C">
            <w:r w:rsidRPr="00AC6DEC">
              <w:rPr>
                <w:rFonts w:ascii="Times New Roman" w:hAnsi="Times New Roman" w:cs="Times New Roman"/>
              </w:rPr>
              <w:t>Considering the RAD HAP contract will have a term greater than 10 years at the time of the second phase 2021 9% submission, this is not a renewal of an existing contract, RAD units will consist of at least 30% of the total units included in the 2021 9% application, and the HAP contract bifurcation will not be applicable nor in place at the time of the second phase application submission, would these scoring points for Deeper Targeting Through New PBRA be applicable to this second phase application under this scenario?"</w:t>
            </w:r>
          </w:p>
          <w:p w14:paraId="3D08D89F" w14:textId="77777777" w:rsidR="00943E5C" w:rsidRPr="00AC6DEC" w:rsidRDefault="00943E5C" w:rsidP="00607B8C">
            <w:pPr>
              <w:contextualSpacing/>
              <w:rPr>
                <w:rFonts w:ascii="Times New Roman" w:hAnsi="Times New Roman" w:cs="Times New Roman"/>
              </w:rPr>
            </w:pPr>
          </w:p>
          <w:p w14:paraId="176B25D4" w14:textId="77777777" w:rsidR="00943E5C" w:rsidRPr="00AC6DEC" w:rsidRDefault="00943E5C" w:rsidP="00607B8C">
            <w:pPr>
              <w:rPr>
                <w:rFonts w:ascii="Times New Roman" w:hAnsi="Times New Roman" w:cs="Times New Roman"/>
                <w:b/>
                <w:bCs/>
              </w:rPr>
            </w:pPr>
            <w:r w:rsidRPr="00AC6DEC">
              <w:rPr>
                <w:rFonts w:ascii="Times New Roman" w:hAnsi="Times New Roman" w:cs="Times New Roman"/>
                <w:b/>
                <w:bCs/>
              </w:rPr>
              <w:t xml:space="preserve">Answer: </w:t>
            </w:r>
          </w:p>
          <w:p w14:paraId="0496F63C"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rPr>
              <w:t>DCA cannot provide definitive guidance through the Q&amp;A process. DCA would need to review all relevant submitted documentation during Application review to finalize a determination.</w:t>
            </w:r>
          </w:p>
        </w:tc>
      </w:tr>
      <w:tr w:rsidR="00943E5C" w:rsidRPr="00AC6DEC" w14:paraId="50B83FF9" w14:textId="77777777" w:rsidTr="2A62FF34">
        <w:trPr>
          <w:jc w:val="center"/>
        </w:trPr>
        <w:tc>
          <w:tcPr>
            <w:tcW w:w="2157" w:type="dxa"/>
            <w:tcMar>
              <w:top w:w="72" w:type="dxa"/>
              <w:left w:w="115" w:type="dxa"/>
              <w:bottom w:w="72" w:type="dxa"/>
              <w:right w:w="115" w:type="dxa"/>
            </w:tcMar>
            <w:vAlign w:val="center"/>
          </w:tcPr>
          <w:p w14:paraId="40783837"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5F117D88"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3.05</w:t>
            </w:r>
          </w:p>
          <w:p w14:paraId="3D09A54B"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361714C0"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Q0419_01</w:t>
            </w:r>
          </w:p>
          <w:p w14:paraId="2E83CFCF"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Would a privately owned and operated gymnasium that is open to the public for a fee be eligible for points under "Community or recreational center"?</w:t>
            </w:r>
          </w:p>
          <w:p w14:paraId="11C80BAC" w14:textId="77777777" w:rsidR="00943E5C" w:rsidRPr="00AC6DEC" w:rsidRDefault="00943E5C" w:rsidP="00607B8C">
            <w:pPr>
              <w:contextualSpacing/>
              <w:rPr>
                <w:rFonts w:ascii="Times New Roman" w:hAnsi="Times New Roman" w:cs="Times New Roman"/>
                <w:b/>
                <w:bCs/>
              </w:rPr>
            </w:pPr>
          </w:p>
          <w:p w14:paraId="4274864C"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0B50F006"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The QAP, Appendix II: Scoring, Section V, A.2., Category ‘Community Assets’, Item (l) states, </w:t>
            </w:r>
          </w:p>
          <w:p w14:paraId="3B14C490" w14:textId="77777777" w:rsidR="00943E5C" w:rsidRPr="00AC6DEC" w:rsidRDefault="00943E5C" w:rsidP="00607B8C">
            <w:pPr>
              <w:contextualSpacing/>
              <w:rPr>
                <w:rFonts w:ascii="Times New Roman" w:hAnsi="Times New Roman" w:cs="Times New Roman"/>
              </w:rPr>
            </w:pPr>
          </w:p>
          <w:p w14:paraId="26C58C80" w14:textId="77777777" w:rsidR="00943E5C" w:rsidRPr="00AC6DEC" w:rsidRDefault="00943E5C" w:rsidP="00607B8C">
            <w:pPr>
              <w:ind w:left="720"/>
              <w:contextualSpacing/>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The following Desirable activities/characteristics are eligible for points” . . .  "Community or recreational center (</w:t>
            </w:r>
            <w:proofErr w:type="gramStart"/>
            <w:r w:rsidRPr="00AC6DEC">
              <w:rPr>
                <w:rFonts w:ascii="Times New Roman" w:hAnsi="Times New Roman" w:cs="Times New Roman"/>
                <w:i/>
                <w:iCs/>
              </w:rPr>
              <w:t>e.g.</w:t>
            </w:r>
            <w:proofErr w:type="gramEnd"/>
            <w:r w:rsidRPr="00AC6DEC">
              <w:rPr>
                <w:rFonts w:ascii="Times New Roman" w:hAnsi="Times New Roman" w:cs="Times New Roman"/>
                <w:i/>
                <w:iCs/>
              </w:rPr>
              <w:t xml:space="preserve"> YMCA, Boys &amp; Girls Club, public pool, public gymnasium, senior community or multipurpose facility)</w:t>
            </w:r>
            <w:r w:rsidRPr="00AC6DEC">
              <w:rPr>
                <w:rFonts w:ascii="Times New Roman" w:hAnsi="Times New Roman" w:cs="Times New Roman"/>
              </w:rPr>
              <w:t xml:space="preserve">” </w:t>
            </w:r>
          </w:p>
          <w:p w14:paraId="03ABC938" w14:textId="77777777" w:rsidR="00943E5C" w:rsidRPr="00AC6DEC" w:rsidRDefault="00943E5C" w:rsidP="00607B8C">
            <w:pPr>
              <w:contextualSpacing/>
              <w:rPr>
                <w:rFonts w:ascii="Times New Roman" w:hAnsi="Times New Roman" w:cs="Times New Roman"/>
              </w:rPr>
            </w:pPr>
          </w:p>
          <w:p w14:paraId="70531E17" w14:textId="77777777" w:rsidR="00943E5C" w:rsidRPr="00AC6DEC" w:rsidRDefault="00943E5C" w:rsidP="00607B8C">
            <w:pPr>
              <w:contextualSpacing/>
              <w:rPr>
                <w:rFonts w:ascii="Times New Roman" w:eastAsia="Times New Roman" w:hAnsi="Times New Roman" w:cs="Times New Roman"/>
              </w:rPr>
            </w:pPr>
            <w:r w:rsidRPr="00AC6DEC">
              <w:rPr>
                <w:rFonts w:ascii="Times New Roman" w:hAnsi="Times New Roman" w:cs="Times New Roman"/>
              </w:rPr>
              <w:lastRenderedPageBreak/>
              <w:t>A community or recreational center is understood to provide a place for social, educational, or recreational activities. Any amenity submitted under item (l) should clearly provide these activities to the community in which the proposed development is located. If the amenity information provided on the Desirable/Undesirable Certification Form does not demonstrate that it provides the aforementioned activities, the applicant should refer to QAP, Appendix II: Scoring Section I. Documentation and Justification, subsection A. Minimum Documentation, “…</w:t>
            </w:r>
            <w:r w:rsidRPr="00AC6DEC">
              <w:rPr>
                <w:rFonts w:ascii="Times New Roman" w:eastAsia="Times New Roman" w:hAnsi="Times New Roman" w:cs="Times New Roman"/>
              </w:rPr>
              <w:t>Applicants are required to submit all documents at Application Submission necessary to determine that the Application meets the criteria for points, regardless of whether they are listed in the minimum document requirements... In the event the Applicant submits an alternate document to a minimum document, a thorough explanation of the usefulness of this alternate document should be entered into the appropriate scoring justification section.”</w:t>
            </w:r>
          </w:p>
          <w:p w14:paraId="3FB653C3" w14:textId="77777777" w:rsidR="00943E5C" w:rsidRPr="00AC6DEC" w:rsidRDefault="00943E5C" w:rsidP="00607B8C">
            <w:pPr>
              <w:contextualSpacing/>
              <w:rPr>
                <w:rFonts w:ascii="Times New Roman" w:hAnsi="Times New Roman" w:cs="Times New Roman"/>
                <w:b/>
                <w:bCs/>
              </w:rPr>
            </w:pPr>
          </w:p>
        </w:tc>
      </w:tr>
      <w:tr w:rsidR="00943E5C" w:rsidRPr="00AC6DEC" w14:paraId="61352C87" w14:textId="77777777" w:rsidTr="2A62FF34">
        <w:trPr>
          <w:jc w:val="center"/>
        </w:trPr>
        <w:tc>
          <w:tcPr>
            <w:tcW w:w="2157" w:type="dxa"/>
            <w:tcMar>
              <w:top w:w="72" w:type="dxa"/>
              <w:left w:w="115" w:type="dxa"/>
              <w:bottom w:w="72" w:type="dxa"/>
              <w:right w:w="115" w:type="dxa"/>
            </w:tcMar>
            <w:vAlign w:val="center"/>
          </w:tcPr>
          <w:p w14:paraId="477B0F05"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56FC0B4E"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3.08</w:t>
            </w:r>
          </w:p>
          <w:p w14:paraId="1E4A9D09"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Revitalization / Redevelopment Plans</w:t>
            </w:r>
          </w:p>
        </w:tc>
        <w:tc>
          <w:tcPr>
            <w:tcW w:w="9590" w:type="dxa"/>
            <w:tcMar>
              <w:top w:w="72" w:type="dxa"/>
              <w:left w:w="115" w:type="dxa"/>
              <w:bottom w:w="72" w:type="dxa"/>
              <w:right w:w="115" w:type="dxa"/>
            </w:tcMar>
            <w:vAlign w:val="center"/>
          </w:tcPr>
          <w:p w14:paraId="2F7712C0"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Q0331_01</w:t>
            </w:r>
          </w:p>
          <w:p w14:paraId="0617173C"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Regarding QAP, Revitalization/Redevelopment Plans, A, #2: Does a Tax Allocation District (TAD) qualify under this category as a tax incentive?</w:t>
            </w:r>
          </w:p>
          <w:p w14:paraId="3EE31736" w14:textId="77777777" w:rsidR="00943E5C" w:rsidRPr="00AC6DEC" w:rsidRDefault="00943E5C" w:rsidP="00607B8C">
            <w:pPr>
              <w:contextualSpacing/>
              <w:rPr>
                <w:rFonts w:ascii="Times New Roman" w:hAnsi="Times New Roman" w:cs="Times New Roman"/>
              </w:rPr>
            </w:pPr>
          </w:p>
          <w:p w14:paraId="28FE5839"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408B41DF"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The QAP states:  </w:t>
            </w:r>
          </w:p>
          <w:p w14:paraId="396AE692" w14:textId="77777777" w:rsidR="00943E5C" w:rsidRPr="00AC6DEC" w:rsidRDefault="00943E5C" w:rsidP="00607B8C">
            <w:pPr>
              <w:contextualSpacing/>
              <w:rPr>
                <w:rFonts w:ascii="Times New Roman" w:hAnsi="Times New Roman" w:cs="Times New Roman"/>
              </w:rPr>
            </w:pPr>
          </w:p>
          <w:p w14:paraId="551C51B8" w14:textId="77777777" w:rsidR="00943E5C" w:rsidRPr="00AC6DEC" w:rsidRDefault="00943E5C" w:rsidP="00607B8C">
            <w:pPr>
              <w:ind w:left="720"/>
              <w:contextualSpacing/>
              <w:rPr>
                <w:rFonts w:ascii="Times New Roman" w:hAnsi="Times New Roman" w:cs="Times New Roman"/>
                <w:i/>
                <w:iCs/>
              </w:rPr>
            </w:pPr>
            <w:r w:rsidRPr="00AC6DEC">
              <w:rPr>
                <w:rFonts w:ascii="Times New Roman" w:hAnsi="Times New Roman" w:cs="Times New Roman"/>
                <w:b/>
                <w:bCs/>
              </w:rPr>
              <w:t xml:space="preserve">Scoring Criteria, Revitalization/Redevelopment Plans: </w:t>
            </w:r>
            <w:r w:rsidRPr="00AC6DEC">
              <w:rPr>
                <w:rFonts w:ascii="Times New Roman" w:hAnsi="Times New Roman" w:cs="Times New Roman"/>
              </w:rPr>
              <w:t>“</w:t>
            </w:r>
            <w:r w:rsidRPr="00AC6DEC">
              <w:rPr>
                <w:rFonts w:ascii="Times New Roman" w:hAnsi="Times New Roman" w:cs="Times New Roman"/>
                <w:i/>
                <w:iCs/>
              </w:rPr>
              <w:t>One (1) additional point</w:t>
            </w:r>
            <w:r w:rsidRPr="00AC6DEC">
              <w:rPr>
                <w:rFonts w:ascii="Times New Roman" w:hAnsi="Times New Roman" w:cs="Times New Roman"/>
                <w:b/>
                <w:bCs/>
                <w:i/>
                <w:iCs/>
              </w:rPr>
              <w:t xml:space="preserve"> </w:t>
            </w:r>
            <w:r w:rsidRPr="00AC6DEC">
              <w:rPr>
                <w:rFonts w:ascii="Times New Roman" w:hAnsi="Times New Roman" w:cs="Times New Roman"/>
                <w:i/>
                <w:iCs/>
              </w:rPr>
              <w:t xml:space="preserve">will be awarded if the Local Government demonstrates financial commitment to advancing the CRP in the form of funds raised, funds allocated, tax incentives, or local government fee waivers. </w:t>
            </w:r>
          </w:p>
          <w:p w14:paraId="3A77E226" w14:textId="77777777" w:rsidR="00943E5C" w:rsidRPr="00AC6DEC" w:rsidRDefault="00943E5C" w:rsidP="00607B8C">
            <w:pPr>
              <w:pStyle w:val="ListParagraph"/>
              <w:numPr>
                <w:ilvl w:val="0"/>
                <w:numId w:val="46"/>
              </w:numPr>
              <w:rPr>
                <w:rFonts w:ascii="Times New Roman" w:hAnsi="Times New Roman" w:cs="Times New Roman"/>
                <w:i/>
                <w:iCs/>
              </w:rPr>
            </w:pPr>
            <w:r w:rsidRPr="00AC6DEC">
              <w:rPr>
                <w:rFonts w:ascii="Times New Roman" w:hAnsi="Times New Roman" w:cs="Times New Roman"/>
                <w:i/>
                <w:iCs/>
              </w:rPr>
              <w:t>Funds raised or allocated are only eligible for this point if the amount raised would be eligible for at least one (1) point under subsection B. Third-Party Capital Investment.</w:t>
            </w:r>
            <w:r w:rsidRPr="00AC6DEC">
              <w:rPr>
                <w:rFonts w:ascii="Times New Roman" w:hAnsi="Times New Roman" w:cs="Times New Roman"/>
              </w:rPr>
              <w:t>”</w:t>
            </w:r>
          </w:p>
          <w:p w14:paraId="242BB1A2" w14:textId="77777777" w:rsidR="00943E5C" w:rsidRPr="00AC6DEC" w:rsidRDefault="00943E5C" w:rsidP="00607B8C">
            <w:pPr>
              <w:rPr>
                <w:rFonts w:ascii="Times New Roman" w:hAnsi="Times New Roman" w:cs="Times New Roman"/>
              </w:rPr>
            </w:pPr>
          </w:p>
          <w:p w14:paraId="3B4A67EC"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O.C.G.A. 36-44-3(13) (</w:t>
            </w:r>
            <w:hyperlink r:id="rId23"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states the following: </w:t>
            </w:r>
          </w:p>
          <w:p w14:paraId="30819AEF" w14:textId="77777777" w:rsidR="00943E5C" w:rsidRPr="00AC6DEC" w:rsidRDefault="00943E5C" w:rsidP="00607B8C">
            <w:pPr>
              <w:rPr>
                <w:rFonts w:ascii="Times New Roman" w:hAnsi="Times New Roman" w:cs="Times New Roman"/>
              </w:rPr>
            </w:pPr>
          </w:p>
          <w:p w14:paraId="77218043" w14:textId="77777777" w:rsidR="00943E5C" w:rsidRPr="00AC6DEC" w:rsidRDefault="00943E5C" w:rsidP="00607B8C">
            <w:pPr>
              <w:ind w:left="720"/>
              <w:rPr>
                <w:rFonts w:ascii="Times New Roman" w:hAnsi="Times New Roman" w:cs="Times New Roman"/>
                <w:i/>
                <w:iCs/>
              </w:rPr>
            </w:pPr>
            <w:proofErr w:type="gramStart"/>
            <w:r w:rsidRPr="00AC6DEC">
              <w:rPr>
                <w:rFonts w:ascii="Times New Roman" w:hAnsi="Times New Roman" w:cs="Times New Roman"/>
                <w:i/>
                <w:iCs/>
              </w:rPr>
              <w:t>“ ‘</w:t>
            </w:r>
            <w:proofErr w:type="gramEnd"/>
            <w:r w:rsidRPr="00AC6DEC">
              <w:rPr>
                <w:rFonts w:ascii="Times New Roman" w:hAnsi="Times New Roman" w:cs="Times New Roman"/>
                <w:i/>
                <w:iCs/>
              </w:rPr>
              <w:t xml:space="preserve">Tax allocation district’ means a contiguous geographic area within a redevelopment area which is defined and created by resolution of the local legislative body of a political subdivision pursuant to subparagraph (B) of paragraph (3) of Code Section 36-44-8 </w:t>
            </w:r>
            <w:r w:rsidRPr="00AC6DEC">
              <w:rPr>
                <w:rFonts w:ascii="Times New Roman" w:hAnsi="Times New Roman" w:cs="Times New Roman"/>
                <w:i/>
                <w:iCs/>
                <w:u w:val="single"/>
              </w:rPr>
              <w:t>for the purpose of issuing tax allocation bonds to finance, wholly or partly, redevelopment costs</w:t>
            </w:r>
            <w:r w:rsidRPr="00AC6DEC">
              <w:rPr>
                <w:rFonts w:ascii="Times New Roman" w:hAnsi="Times New Roman" w:cs="Times New Roman"/>
                <w:i/>
                <w:iCs/>
              </w:rPr>
              <w:t xml:space="preserve"> within the area.”</w:t>
            </w:r>
          </w:p>
          <w:p w14:paraId="5B428871" w14:textId="77777777" w:rsidR="00943E5C" w:rsidRPr="00AC6DEC" w:rsidRDefault="00943E5C" w:rsidP="00607B8C">
            <w:pPr>
              <w:rPr>
                <w:rFonts w:ascii="Times New Roman" w:hAnsi="Times New Roman" w:cs="Times New Roman"/>
              </w:rPr>
            </w:pPr>
          </w:p>
          <w:p w14:paraId="22794BDE"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TADs fund development through tax allocation bonds. This form of financial support for development constitutes “funds raised or allocated.” The funds would be eligible for points under this section provided the funding amount would be eligible for at least one point under subsection </w:t>
            </w:r>
            <w:r w:rsidRPr="00AC6DEC">
              <w:rPr>
                <w:rFonts w:ascii="Times New Roman" w:hAnsi="Times New Roman" w:cs="Times New Roman"/>
                <w:b/>
                <w:bCs/>
              </w:rPr>
              <w:t>B. Third-Party Capital Investment</w:t>
            </w:r>
            <w:r w:rsidRPr="00AC6DEC">
              <w:rPr>
                <w:rFonts w:ascii="Times New Roman" w:hAnsi="Times New Roman" w:cs="Times New Roman"/>
              </w:rPr>
              <w:t xml:space="preserve">. </w:t>
            </w:r>
          </w:p>
          <w:p w14:paraId="22603DF2" w14:textId="77777777" w:rsidR="00943E5C" w:rsidRPr="00AC6DEC" w:rsidRDefault="00943E5C" w:rsidP="00607B8C">
            <w:pPr>
              <w:pStyle w:val="paragraph"/>
              <w:spacing w:before="0" w:beforeAutospacing="0" w:after="0" w:afterAutospacing="0"/>
              <w:textAlignment w:val="baseline"/>
              <w:rPr>
                <w:rStyle w:val="normaltextrun"/>
                <w:b/>
                <w:bCs/>
                <w:sz w:val="22"/>
                <w:szCs w:val="22"/>
              </w:rPr>
            </w:pPr>
          </w:p>
        </w:tc>
      </w:tr>
      <w:tr w:rsidR="00943E5C" w:rsidRPr="00AC6DEC" w14:paraId="6C4194AD" w14:textId="77777777" w:rsidTr="2A62FF34">
        <w:trPr>
          <w:jc w:val="center"/>
        </w:trPr>
        <w:tc>
          <w:tcPr>
            <w:tcW w:w="2157" w:type="dxa"/>
            <w:tcMar>
              <w:top w:w="72" w:type="dxa"/>
              <w:left w:w="115" w:type="dxa"/>
              <w:bottom w:w="72" w:type="dxa"/>
              <w:right w:w="115" w:type="dxa"/>
            </w:tcMar>
            <w:vAlign w:val="center"/>
          </w:tcPr>
          <w:p w14:paraId="4FFA190C"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489FD1AD"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3.08</w:t>
            </w:r>
          </w:p>
          <w:p w14:paraId="363BBE67"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Revitalization / Redevelopment Plans</w:t>
            </w:r>
          </w:p>
        </w:tc>
        <w:tc>
          <w:tcPr>
            <w:tcW w:w="9590" w:type="dxa"/>
            <w:tcMar>
              <w:top w:w="72" w:type="dxa"/>
              <w:left w:w="115" w:type="dxa"/>
              <w:bottom w:w="72" w:type="dxa"/>
              <w:right w:w="115" w:type="dxa"/>
            </w:tcMar>
            <w:vAlign w:val="center"/>
          </w:tcPr>
          <w:p w14:paraId="2D04461E"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Q0413_01</w:t>
            </w:r>
          </w:p>
          <w:p w14:paraId="1802B86E"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We sent in a question (Q0226_07) which was answered. I </w:t>
            </w:r>
            <w:proofErr w:type="gramStart"/>
            <w:r w:rsidRPr="00AC6DEC">
              <w:rPr>
                <w:rFonts w:ascii="Times New Roman" w:hAnsi="Times New Roman" w:cs="Times New Roman"/>
              </w:rPr>
              <w:t>don't</w:t>
            </w:r>
            <w:proofErr w:type="gramEnd"/>
            <w:r w:rsidRPr="00AC6DEC">
              <w:rPr>
                <w:rFonts w:ascii="Times New Roman" w:hAnsi="Times New Roman" w:cs="Times New Roman"/>
              </w:rPr>
              <w:t xml:space="preserve"> think we thoroughly explained our issue, hence the answer we received was not clear to us.  This could be a project specific question, but </w:t>
            </w:r>
            <w:proofErr w:type="gramStart"/>
            <w:r w:rsidRPr="00AC6DEC">
              <w:rPr>
                <w:rFonts w:ascii="Times New Roman" w:hAnsi="Times New Roman" w:cs="Times New Roman"/>
              </w:rPr>
              <w:t>I'm</w:t>
            </w:r>
            <w:proofErr w:type="gramEnd"/>
            <w:r w:rsidRPr="00AC6DEC">
              <w:rPr>
                <w:rFonts w:ascii="Times New Roman" w:hAnsi="Times New Roman" w:cs="Times New Roman"/>
              </w:rPr>
              <w:t xml:space="preserve"> not sure that you do this anymore, so here is our situation:</w:t>
            </w:r>
          </w:p>
          <w:p w14:paraId="3B6A0B09" w14:textId="77777777" w:rsidR="00943E5C" w:rsidRPr="00AC6DEC" w:rsidRDefault="00943E5C" w:rsidP="00607B8C">
            <w:pPr>
              <w:contextualSpacing/>
              <w:rPr>
                <w:rFonts w:ascii="Times New Roman" w:hAnsi="Times New Roman" w:cs="Times New Roman"/>
              </w:rPr>
            </w:pPr>
          </w:p>
          <w:p w14:paraId="6E361F26"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We will be submitting a development in a QCT. Within 0.5 miles of our project site GDOT is finishing a $27 MM project.  We have documentation from GDOT on the over-all cost of the project, but they cannot break down their cost on a per linear foot or a per mile basis.  Our thought is that we can show DCA the documentation from GDOT on their project, show what portion of the GDOT project falls within our </w:t>
            </w:r>
            <w:proofErr w:type="gramStart"/>
            <w:r w:rsidRPr="00AC6DEC">
              <w:rPr>
                <w:rFonts w:ascii="Times New Roman" w:hAnsi="Times New Roman" w:cs="Times New Roman"/>
              </w:rPr>
              <w:t>0.5 mile</w:t>
            </w:r>
            <w:proofErr w:type="gramEnd"/>
            <w:r w:rsidRPr="00AC6DEC">
              <w:rPr>
                <w:rFonts w:ascii="Times New Roman" w:hAnsi="Times New Roman" w:cs="Times New Roman"/>
              </w:rPr>
              <w:t xml:space="preserve"> radius, breakdown the over-all cost of the GDOT project on a per foot basis and then multiply that amount by the number of feet within the 0.5 mile radius.  Will this meet the QAP guidelines?"</w:t>
            </w:r>
          </w:p>
          <w:p w14:paraId="2D55EE91" w14:textId="77777777" w:rsidR="00943E5C" w:rsidRPr="00AC6DEC" w:rsidRDefault="00943E5C" w:rsidP="00607B8C">
            <w:pPr>
              <w:contextualSpacing/>
              <w:rPr>
                <w:rFonts w:ascii="Times New Roman" w:hAnsi="Times New Roman" w:cs="Times New Roman"/>
              </w:rPr>
            </w:pPr>
          </w:p>
          <w:p w14:paraId="54ADEA98"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2F0DB2B8"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rPr>
              <w:t>The QAP states the following:</w:t>
            </w:r>
            <w:r w:rsidRPr="00AC6DEC">
              <w:rPr>
                <w:rFonts w:ascii="Times New Roman" w:hAnsi="Times New Roman" w:cs="Times New Roman"/>
                <w:b/>
                <w:bCs/>
              </w:rPr>
              <w:t xml:space="preserve"> </w:t>
            </w:r>
          </w:p>
          <w:p w14:paraId="3B8E0D18" w14:textId="77777777" w:rsidR="00943E5C" w:rsidRPr="00AC6DEC" w:rsidRDefault="00943E5C" w:rsidP="00607B8C">
            <w:pPr>
              <w:contextualSpacing/>
              <w:rPr>
                <w:rFonts w:ascii="Times New Roman" w:hAnsi="Times New Roman" w:cs="Times New Roman"/>
                <w:b/>
                <w:bCs/>
              </w:rPr>
            </w:pPr>
          </w:p>
          <w:p w14:paraId="539919CD" w14:textId="77777777" w:rsidR="00943E5C" w:rsidRPr="00AC6DEC" w:rsidRDefault="00943E5C" w:rsidP="00607B8C">
            <w:pPr>
              <w:ind w:left="720"/>
              <w:contextualSpacing/>
              <w:rPr>
                <w:rFonts w:ascii="Times New Roman" w:hAnsi="Times New Roman" w:cs="Times New Roman"/>
                <w:b/>
                <w:bCs/>
              </w:rPr>
            </w:pPr>
            <w:r w:rsidRPr="00AC6DEC">
              <w:rPr>
                <w:rFonts w:ascii="Times New Roman" w:hAnsi="Times New Roman" w:cs="Times New Roman"/>
                <w:b/>
                <w:bCs/>
              </w:rPr>
              <w:t>Scoring Criteria, Revitalization/Redevelopment Plans, B. Third-Party Capital Investment</w:t>
            </w:r>
            <w:r w:rsidRPr="00AC6DEC">
              <w:rPr>
                <w:rFonts w:ascii="Times New Roman" w:hAnsi="Times New Roman" w:cs="Times New Roman"/>
              </w:rPr>
              <w:t>:</w:t>
            </w:r>
          </w:p>
          <w:p w14:paraId="337F9D46" w14:textId="77777777" w:rsidR="00943E5C" w:rsidRPr="00AC6DEC" w:rsidRDefault="00943E5C" w:rsidP="00607B8C">
            <w:pPr>
              <w:pStyle w:val="ListParagraph"/>
              <w:numPr>
                <w:ilvl w:val="0"/>
                <w:numId w:val="45"/>
              </w:numPr>
              <w:rPr>
                <w:rFonts w:ascii="Times New Roman" w:hAnsi="Times New Roman" w:cs="Times New Roman"/>
                <w:i/>
                <w:iCs/>
              </w:rPr>
            </w:pPr>
            <w:r w:rsidRPr="00AC6DEC">
              <w:rPr>
                <w:rFonts w:ascii="Times New Roman" w:hAnsi="Times New Roman" w:cs="Times New Roman"/>
              </w:rPr>
              <w:t>“</w:t>
            </w:r>
            <w:r w:rsidRPr="00AC6DEC">
              <w:rPr>
                <w:rFonts w:ascii="Times New Roman" w:hAnsi="Times New Roman" w:cs="Times New Roman"/>
                <w:i/>
                <w:iCs/>
              </w:rPr>
              <w:t>This resulting investment must: Occur within a 0.5-mile radius of the proposed site; Be off site; and Serve the residents for the proposed development. DCA will only consider the amount invested within a 0.5-mile radius of the proposed site.</w:t>
            </w:r>
            <w:r w:rsidRPr="00AC6DEC">
              <w:rPr>
                <w:rFonts w:ascii="Times New Roman" w:hAnsi="Times New Roman" w:cs="Times New Roman"/>
              </w:rPr>
              <w:t>”</w:t>
            </w:r>
          </w:p>
          <w:p w14:paraId="41C14B10" w14:textId="77777777" w:rsidR="00943E5C" w:rsidRPr="00AC6DEC" w:rsidRDefault="00943E5C" w:rsidP="00607B8C">
            <w:pPr>
              <w:pStyle w:val="ListParagraph"/>
              <w:numPr>
                <w:ilvl w:val="0"/>
                <w:numId w:val="45"/>
              </w:numPr>
              <w:rPr>
                <w:rFonts w:ascii="Times New Roman" w:hAnsi="Times New Roman" w:cs="Times New Roman"/>
                <w:i/>
                <w:iCs/>
              </w:rPr>
            </w:pPr>
            <w:r w:rsidRPr="00AC6DEC">
              <w:rPr>
                <w:rFonts w:ascii="Times New Roman" w:hAnsi="Times New Roman" w:cs="Times New Roman"/>
              </w:rPr>
              <w:t>Relevant Minimum Documentation requirement: “</w:t>
            </w:r>
            <w:r w:rsidRPr="00AC6DEC">
              <w:rPr>
                <w:rFonts w:ascii="Times New Roman" w:hAnsi="Times New Roman" w:cs="Times New Roman"/>
                <w:i/>
                <w:iCs/>
              </w:rPr>
              <w:t>Evidence from the unrelated 3rd party demonstrating source of investment, amount of investment, and timeline for completion</w:t>
            </w:r>
            <w:r w:rsidRPr="00AC6DEC">
              <w:rPr>
                <w:rFonts w:ascii="Times New Roman" w:hAnsi="Times New Roman" w:cs="Times New Roman"/>
              </w:rPr>
              <w:t>.”</w:t>
            </w:r>
          </w:p>
          <w:p w14:paraId="2F698D57" w14:textId="77777777" w:rsidR="00943E5C" w:rsidRPr="00AC6DEC" w:rsidRDefault="00943E5C" w:rsidP="00607B8C">
            <w:pPr>
              <w:contextualSpacing/>
              <w:rPr>
                <w:rFonts w:ascii="Times New Roman" w:hAnsi="Times New Roman" w:cs="Times New Roman"/>
              </w:rPr>
            </w:pPr>
          </w:p>
          <w:p w14:paraId="7F6004FD"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rPr>
              <w:t xml:space="preserve">The proposed method of calculation is allowable but on its own does not ensure the circumstances will be eligible for points under this section. Points eligibility can only be determined by a DCA review of all documents submitted to confirm that all requirements of the section are met and that Minimum Documentation requirements are met. </w:t>
            </w:r>
          </w:p>
          <w:p w14:paraId="21AC5B91" w14:textId="77777777" w:rsidR="00943E5C" w:rsidRPr="00AC6DEC" w:rsidRDefault="00943E5C" w:rsidP="00607B8C">
            <w:pPr>
              <w:contextualSpacing/>
              <w:rPr>
                <w:rFonts w:ascii="Times New Roman" w:hAnsi="Times New Roman" w:cs="Times New Roman"/>
                <w:b/>
                <w:bCs/>
              </w:rPr>
            </w:pPr>
          </w:p>
        </w:tc>
      </w:tr>
      <w:tr w:rsidR="00943E5C" w:rsidRPr="00AC6DEC" w14:paraId="35BB20F7" w14:textId="77777777" w:rsidTr="2A62FF34">
        <w:trPr>
          <w:jc w:val="center"/>
        </w:trPr>
        <w:tc>
          <w:tcPr>
            <w:tcW w:w="2157" w:type="dxa"/>
            <w:tcMar>
              <w:top w:w="72" w:type="dxa"/>
              <w:left w:w="115" w:type="dxa"/>
              <w:bottom w:w="72" w:type="dxa"/>
              <w:right w:w="115" w:type="dxa"/>
            </w:tcMar>
            <w:vAlign w:val="center"/>
          </w:tcPr>
          <w:p w14:paraId="2AF1AA3C"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141C7D2B"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3.09</w:t>
            </w:r>
          </w:p>
          <w:p w14:paraId="23FA8508"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Community Transformation</w:t>
            </w:r>
          </w:p>
        </w:tc>
        <w:tc>
          <w:tcPr>
            <w:tcW w:w="9590" w:type="dxa"/>
            <w:tcMar>
              <w:top w:w="72" w:type="dxa"/>
              <w:left w:w="115" w:type="dxa"/>
              <w:bottom w:w="72" w:type="dxa"/>
              <w:right w:w="115" w:type="dxa"/>
            </w:tcMar>
            <w:vAlign w:val="center"/>
          </w:tcPr>
          <w:p w14:paraId="5CCE5667" w14:textId="77777777" w:rsidR="00943E5C" w:rsidRPr="00B5402B" w:rsidRDefault="00943E5C" w:rsidP="00607B8C">
            <w:pPr>
              <w:textAlignment w:val="baseline"/>
              <w:rPr>
                <w:rFonts w:ascii="Segoe UI" w:eastAsia="Times New Roman" w:hAnsi="Segoe UI" w:cs="Segoe UI"/>
              </w:rPr>
            </w:pPr>
            <w:r w:rsidRPr="00B5402B">
              <w:rPr>
                <w:rFonts w:ascii="Times New Roman" w:eastAsia="Times New Roman" w:hAnsi="Times New Roman" w:cs="Times New Roman"/>
                <w:b/>
                <w:bCs/>
              </w:rPr>
              <w:t>Question: Q0411_P01</w:t>
            </w:r>
          </w:p>
          <w:p w14:paraId="72D586BB" w14:textId="77777777" w:rsidR="00943E5C" w:rsidRPr="00B5402B" w:rsidRDefault="00943E5C" w:rsidP="00607B8C">
            <w:pPr>
              <w:textAlignment w:val="baseline"/>
              <w:rPr>
                <w:rFonts w:ascii="Segoe UI" w:eastAsia="Times New Roman" w:hAnsi="Segoe UI" w:cs="Segoe UI"/>
              </w:rPr>
            </w:pPr>
            <w:r w:rsidRPr="00B5402B">
              <w:rPr>
                <w:rFonts w:ascii="Times New Roman" w:eastAsia="Times New Roman" w:hAnsi="Times New Roman" w:cs="Times New Roman"/>
              </w:rPr>
              <w:t>The QAP states that applicants seeking points under Community Transformation will be rated less competitively if “</w:t>
            </w:r>
            <w:r w:rsidRPr="00B5402B">
              <w:rPr>
                <w:rFonts w:ascii="Times New Roman" w:eastAsia="Times New Roman" w:hAnsi="Times New Roman" w:cs="Times New Roman"/>
                <w:i/>
                <w:iCs/>
              </w:rPr>
              <w:t>The development proposed is within or overlaps a Defined Neighborhood already containing a Transformational Community initiative funded in 2018, 2019, or 2020.</w:t>
            </w:r>
            <w:r w:rsidRPr="00B5402B">
              <w:rPr>
                <w:rFonts w:ascii="Times New Roman" w:eastAsia="Times New Roman" w:hAnsi="Times New Roman" w:cs="Times New Roman"/>
              </w:rPr>
              <w:t>” How do we identify the boundaries of community transformation initiatives?   </w:t>
            </w:r>
          </w:p>
          <w:p w14:paraId="049EA18F" w14:textId="77777777" w:rsidR="00943E5C" w:rsidRPr="00B5402B" w:rsidRDefault="00943E5C" w:rsidP="00607B8C">
            <w:pPr>
              <w:textAlignment w:val="baseline"/>
              <w:rPr>
                <w:rFonts w:ascii="Segoe UI" w:eastAsia="Times New Roman" w:hAnsi="Segoe UI" w:cs="Segoe UI"/>
              </w:rPr>
            </w:pPr>
            <w:r w:rsidRPr="00B5402B">
              <w:rPr>
                <w:rFonts w:ascii="Times New Roman" w:eastAsia="Times New Roman" w:hAnsi="Times New Roman" w:cs="Times New Roman"/>
              </w:rPr>
              <w:t> </w:t>
            </w:r>
          </w:p>
          <w:p w14:paraId="54A89489" w14:textId="77777777" w:rsidR="00943E5C" w:rsidRPr="00B5402B" w:rsidRDefault="00943E5C" w:rsidP="00607B8C">
            <w:pPr>
              <w:textAlignment w:val="baseline"/>
              <w:rPr>
                <w:rFonts w:ascii="Segoe UI" w:eastAsia="Times New Roman" w:hAnsi="Segoe UI" w:cs="Segoe UI"/>
              </w:rPr>
            </w:pPr>
            <w:r w:rsidRPr="00B5402B">
              <w:rPr>
                <w:rFonts w:ascii="Times New Roman" w:eastAsia="Times New Roman" w:hAnsi="Times New Roman" w:cs="Times New Roman"/>
                <w:b/>
                <w:bCs/>
              </w:rPr>
              <w:t>Answer: </w:t>
            </w:r>
            <w:r w:rsidRPr="00B5402B">
              <w:rPr>
                <w:rFonts w:ascii="Times New Roman" w:eastAsia="Times New Roman" w:hAnsi="Times New Roman" w:cs="Times New Roman"/>
              </w:rPr>
              <w:t> </w:t>
            </w:r>
          </w:p>
          <w:p w14:paraId="62571E57" w14:textId="77777777" w:rsidR="00943E5C" w:rsidRPr="00B5402B" w:rsidRDefault="00943E5C" w:rsidP="00607B8C">
            <w:pPr>
              <w:textAlignment w:val="baseline"/>
              <w:rPr>
                <w:rFonts w:ascii="Segoe UI" w:eastAsia="Times New Roman" w:hAnsi="Segoe UI" w:cs="Segoe UI"/>
              </w:rPr>
            </w:pPr>
            <w:r w:rsidRPr="00B5402B">
              <w:rPr>
                <w:rFonts w:ascii="Times New Roman" w:eastAsia="Times New Roman" w:hAnsi="Times New Roman" w:cs="Times New Roman"/>
              </w:rPr>
              <w:lastRenderedPageBreak/>
              <w:t>The “Community Transformation List and Maps” document posted to the DCA website (</w:t>
            </w:r>
            <w:hyperlink r:id="rId24" w:tgtFrame="_blank" w:history="1">
              <w:r w:rsidRPr="00B5402B">
                <w:rPr>
                  <w:rFonts w:ascii="Times New Roman" w:eastAsia="Times New Roman" w:hAnsi="Times New Roman" w:cs="Times New Roman"/>
                  <w:color w:val="0563C1"/>
                  <w:u w:val="single"/>
                </w:rPr>
                <w:t>click here</w:t>
              </w:r>
            </w:hyperlink>
            <w:r w:rsidRPr="00B5402B">
              <w:rPr>
                <w:rFonts w:ascii="Times New Roman" w:eastAsia="Times New Roman" w:hAnsi="Times New Roman" w:cs="Times New Roman"/>
              </w:rPr>
              <w:t>) contains descriptions and maps of Defined Neighborhoods of all applications awarded points under Community Transformation since the 2018 9% Credits Competitive Round. </w:t>
            </w:r>
          </w:p>
          <w:p w14:paraId="4333CFE3" w14:textId="77777777" w:rsidR="00943E5C" w:rsidRPr="00AC6DEC" w:rsidRDefault="00943E5C" w:rsidP="00607B8C">
            <w:pPr>
              <w:contextualSpacing/>
              <w:rPr>
                <w:rFonts w:ascii="Times New Roman" w:hAnsi="Times New Roman" w:cs="Times New Roman"/>
                <w:b/>
                <w:bCs/>
              </w:rPr>
            </w:pPr>
          </w:p>
        </w:tc>
      </w:tr>
      <w:tr w:rsidR="00943E5C" w:rsidRPr="00AC6DEC" w14:paraId="0106181E" w14:textId="77777777" w:rsidTr="2A62FF34">
        <w:trPr>
          <w:jc w:val="center"/>
        </w:trPr>
        <w:tc>
          <w:tcPr>
            <w:tcW w:w="2157" w:type="dxa"/>
            <w:tcMar>
              <w:top w:w="72" w:type="dxa"/>
              <w:left w:w="115" w:type="dxa"/>
              <w:bottom w:w="72" w:type="dxa"/>
              <w:right w:w="115" w:type="dxa"/>
            </w:tcMar>
            <w:vAlign w:val="center"/>
          </w:tcPr>
          <w:p w14:paraId="66EC73FA"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182A2C44"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3.16</w:t>
            </w:r>
          </w:p>
          <w:p w14:paraId="24F0FC81"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Exceptional PHA Nonprofit/Public Housing Authority</w:t>
            </w:r>
          </w:p>
        </w:tc>
        <w:tc>
          <w:tcPr>
            <w:tcW w:w="9590" w:type="dxa"/>
            <w:tcMar>
              <w:top w:w="72" w:type="dxa"/>
              <w:left w:w="115" w:type="dxa"/>
              <w:bottom w:w="72" w:type="dxa"/>
              <w:right w:w="115" w:type="dxa"/>
            </w:tcMar>
            <w:vAlign w:val="center"/>
          </w:tcPr>
          <w:p w14:paraId="4C13A57F"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Q0406_01</w:t>
            </w:r>
          </w:p>
          <w:p w14:paraId="28C0E1AA"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Previous years’ Exceptional PHA rubrics have had the “Excellent” threshold for Operating Sustainability of the Organization include the item “The PHA’s cash and investments are at least 50% of annual operating expenses for the most current year.” This language seems to be included to ensure that a PHA will be able to pay its expenses for 6 months if all revenues stop. There are some required expenses that some PHA’s must show that are not reflective of the overall health of the organization. Some expenses are simply “pass-through” expenses. For example, a PHA may provide housing assistance payments from resources it receives from HUD to residents or landlords. These expenses are merely passed through the entity for HUD compliance purposes. They are not a true expense to the PHA nor are they reflective of the PHA health. If all revenues ceased, including HUD funding, these expenses would cease as well. There are other non-cash expenses that must be included, but are not reflective of PHA health, such as depreciation. Would the agency be willing to amend the definition of this section to something similar to “The PHA’s cash and investments are at least 50% of its annual operating expenses (excluding pass through and non-cash expenses) for the most current year?”</w:t>
            </w:r>
          </w:p>
          <w:p w14:paraId="0A9DF926" w14:textId="77777777" w:rsidR="00943E5C" w:rsidRPr="00AC6DEC" w:rsidRDefault="00943E5C" w:rsidP="00607B8C">
            <w:pPr>
              <w:contextualSpacing/>
              <w:rPr>
                <w:rFonts w:ascii="Times New Roman" w:hAnsi="Times New Roman" w:cs="Times New Roman"/>
                <w:b/>
                <w:bCs/>
              </w:rPr>
            </w:pPr>
          </w:p>
          <w:p w14:paraId="696BD7BB"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Answer:</w:t>
            </w:r>
          </w:p>
          <w:p w14:paraId="69401239"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DCA declines to make any changes to the Exceptional PHA scoring rubric at this time.</w:t>
            </w:r>
          </w:p>
          <w:p w14:paraId="5A08071F" w14:textId="77777777" w:rsidR="00943E5C" w:rsidRPr="00AC6DEC" w:rsidRDefault="00943E5C" w:rsidP="00607B8C">
            <w:pPr>
              <w:contextualSpacing/>
              <w:rPr>
                <w:rFonts w:ascii="Times New Roman" w:hAnsi="Times New Roman" w:cs="Times New Roman"/>
                <w:b/>
                <w:bCs/>
              </w:rPr>
            </w:pPr>
          </w:p>
        </w:tc>
      </w:tr>
      <w:tr w:rsidR="00943E5C" w:rsidRPr="00AC6DEC" w14:paraId="3F472BCD" w14:textId="77777777" w:rsidTr="2A62FF34">
        <w:trPr>
          <w:jc w:val="center"/>
        </w:trPr>
        <w:tc>
          <w:tcPr>
            <w:tcW w:w="2157" w:type="dxa"/>
            <w:tcMar>
              <w:top w:w="72" w:type="dxa"/>
              <w:left w:w="115" w:type="dxa"/>
              <w:bottom w:w="72" w:type="dxa"/>
              <w:right w:w="115" w:type="dxa"/>
            </w:tcMar>
            <w:vAlign w:val="center"/>
          </w:tcPr>
          <w:p w14:paraId="61D7E0EE"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31DD06D8"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3.18</w:t>
            </w:r>
          </w:p>
          <w:p w14:paraId="075C5F7E"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7DC82223"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Q0324_01</w:t>
            </w:r>
          </w:p>
          <w:p w14:paraId="01D28FDB"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The DCA website shows a June 2021 deadline for CDB Grant requests. </w:t>
            </w:r>
            <w:proofErr w:type="gramStart"/>
            <w:r w:rsidRPr="00AC6DEC">
              <w:rPr>
                <w:rFonts w:ascii="Times New Roman" w:hAnsi="Times New Roman" w:cs="Times New Roman"/>
              </w:rPr>
              <w:t>Therefore</w:t>
            </w:r>
            <w:proofErr w:type="gramEnd"/>
            <w:r w:rsidRPr="00AC6DEC">
              <w:rPr>
                <w:rFonts w:ascii="Times New Roman" w:hAnsi="Times New Roman" w:cs="Times New Roman"/>
              </w:rPr>
              <w:t xml:space="preserve"> the CDBG deadline is after the LIHTC app May deadline. So, currently there is no way to know if a LIHTC app could claim points under Favorable Financing from CDBG, if the CDBG decision comes later than the LIHTC app submission.  If a CDB Grant was applied for but not award it would also have major impact on the </w:t>
            </w:r>
            <w:proofErr w:type="spellStart"/>
            <w:r w:rsidRPr="00AC6DEC">
              <w:rPr>
                <w:rFonts w:ascii="Times New Roman" w:hAnsi="Times New Roman" w:cs="Times New Roman"/>
              </w:rPr>
              <w:t>finanical</w:t>
            </w:r>
            <w:proofErr w:type="spellEnd"/>
            <w:r w:rsidRPr="00AC6DEC">
              <w:rPr>
                <w:rFonts w:ascii="Times New Roman" w:hAnsi="Times New Roman" w:cs="Times New Roman"/>
              </w:rPr>
              <w:t xml:space="preserve"> section of the LIHTC app. So, can you tell me if the deadlines could be adjusted so that the CDBG decision would occur prior the </w:t>
            </w:r>
            <w:proofErr w:type="spellStart"/>
            <w:r w:rsidRPr="00AC6DEC">
              <w:rPr>
                <w:rFonts w:ascii="Times New Roman" w:hAnsi="Times New Roman" w:cs="Times New Roman"/>
              </w:rPr>
              <w:t>the</w:t>
            </w:r>
            <w:proofErr w:type="spellEnd"/>
            <w:r w:rsidRPr="00AC6DEC">
              <w:rPr>
                <w:rFonts w:ascii="Times New Roman" w:hAnsi="Times New Roman" w:cs="Times New Roman"/>
              </w:rPr>
              <w:t xml:space="preserve"> LIHTC deadline?</w:t>
            </w:r>
          </w:p>
          <w:p w14:paraId="05E570D8" w14:textId="77777777" w:rsidR="00943E5C" w:rsidRPr="00AC6DEC" w:rsidRDefault="00943E5C" w:rsidP="00607B8C">
            <w:pPr>
              <w:contextualSpacing/>
              <w:rPr>
                <w:rFonts w:ascii="Times New Roman" w:hAnsi="Times New Roman" w:cs="Times New Roman"/>
                <w:b/>
                <w:bCs/>
              </w:rPr>
            </w:pPr>
          </w:p>
          <w:p w14:paraId="4E26CF5C"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41EDD26E"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The decision over final approval for a grant/loan would affect the financial review of the application, so the entire financial model and due date for all financial commitments would need to be moved back, after the announcement of a CDBG award.</w:t>
            </w:r>
          </w:p>
          <w:p w14:paraId="5BAEA498" w14:textId="77777777" w:rsidR="00943E5C" w:rsidRPr="00AC6DEC" w:rsidRDefault="00943E5C" w:rsidP="00607B8C">
            <w:pPr>
              <w:rPr>
                <w:rFonts w:ascii="Times New Roman" w:hAnsi="Times New Roman" w:cs="Times New Roman"/>
              </w:rPr>
            </w:pPr>
          </w:p>
          <w:p w14:paraId="55ED44DE" w14:textId="77777777" w:rsidR="00943E5C" w:rsidRPr="00AC6DEC" w:rsidRDefault="00943E5C" w:rsidP="00607B8C">
            <w:r w:rsidRPr="00AC6DEC">
              <w:rPr>
                <w:rFonts w:ascii="Times New Roman" w:eastAsia="Times New Roman" w:hAnsi="Times New Roman" w:cs="Times New Roman"/>
              </w:rPr>
              <w:lastRenderedPageBreak/>
              <w:t>As noted in the QAP, applicants will not be allowed to make any changes to a Submitted Application prior to the announcement of awards. DCA may allow Applicants to correct deficiencies in the Application if DCA does not approve a sufficient number of Applications to use all the Credit authority or meet applicable set asides available in an Application cycle and it receives Applications that are acceptable except for minor deficiencies that the Applicant can address within a reasonable period of time (generally not to exceed 10 business days).</w:t>
            </w:r>
          </w:p>
          <w:p w14:paraId="0A77D6D6" w14:textId="77777777" w:rsidR="00943E5C" w:rsidRPr="00AC6DEC" w:rsidRDefault="00943E5C" w:rsidP="00607B8C">
            <w:pPr>
              <w:rPr>
                <w:rFonts w:ascii="Times New Roman" w:hAnsi="Times New Roman" w:cs="Times New Roman"/>
              </w:rPr>
            </w:pPr>
          </w:p>
          <w:p w14:paraId="32798F95"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As a result, the application deadline of May 21st will not be moved. Any funding source not finalized by this deadline must be finalized by the alternate financing deadline (see </w:t>
            </w:r>
            <w:r w:rsidRPr="00AC6DEC">
              <w:rPr>
                <w:rFonts w:ascii="Times New Roman" w:hAnsi="Times New Roman" w:cs="Times New Roman"/>
                <w:b/>
                <w:bCs/>
              </w:rPr>
              <w:t>Q0308_01</w:t>
            </w:r>
            <w:r w:rsidRPr="00AC6DEC">
              <w:rPr>
                <w:rFonts w:ascii="Times New Roman" w:hAnsi="Times New Roman" w:cs="Times New Roman"/>
              </w:rPr>
              <w:t xml:space="preserve"> for more information). </w:t>
            </w:r>
          </w:p>
          <w:p w14:paraId="7C8617AC" w14:textId="77777777" w:rsidR="00943E5C" w:rsidRPr="00AC6DEC" w:rsidRDefault="00943E5C" w:rsidP="00607B8C">
            <w:pPr>
              <w:rPr>
                <w:rFonts w:ascii="Times New Roman" w:hAnsi="Times New Roman" w:cs="Times New Roman"/>
                <w:b/>
                <w:bCs/>
              </w:rPr>
            </w:pPr>
          </w:p>
        </w:tc>
      </w:tr>
      <w:tr w:rsidR="00943E5C" w:rsidRPr="00AC6DEC" w14:paraId="3B4FC41F" w14:textId="77777777" w:rsidTr="2A62FF34">
        <w:trPr>
          <w:jc w:val="center"/>
        </w:trPr>
        <w:tc>
          <w:tcPr>
            <w:tcW w:w="2157" w:type="dxa"/>
            <w:tcMar>
              <w:top w:w="72" w:type="dxa"/>
              <w:left w:w="115" w:type="dxa"/>
              <w:bottom w:w="72" w:type="dxa"/>
              <w:right w:w="115" w:type="dxa"/>
            </w:tcMar>
            <w:vAlign w:val="center"/>
          </w:tcPr>
          <w:p w14:paraId="28683D4D"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4204870B"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 xml:space="preserve">3.19 </w:t>
            </w:r>
          </w:p>
          <w:p w14:paraId="42BD8331"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Historic Preservation</w:t>
            </w:r>
          </w:p>
          <w:p w14:paraId="7B5ED29A" w14:textId="77777777" w:rsidR="00943E5C" w:rsidRPr="00AC6DEC" w:rsidRDefault="00943E5C" w:rsidP="00607B8C">
            <w:pPr>
              <w:rPr>
                <w:rFonts w:ascii="Times New Roman" w:hAnsi="Times New Roman" w:cs="Times New Roman"/>
                <w:noProof/>
              </w:rPr>
            </w:pPr>
          </w:p>
          <w:p w14:paraId="7FC25C0C"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 xml:space="preserve">&amp; </w:t>
            </w:r>
          </w:p>
          <w:p w14:paraId="5E522D2C" w14:textId="77777777" w:rsidR="00943E5C" w:rsidRPr="00AC6DEC" w:rsidRDefault="00943E5C" w:rsidP="00607B8C">
            <w:pPr>
              <w:rPr>
                <w:rFonts w:ascii="Times New Roman" w:hAnsi="Times New Roman" w:cs="Times New Roman"/>
                <w:noProof/>
              </w:rPr>
            </w:pPr>
          </w:p>
          <w:p w14:paraId="119BD1B8"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3.18</w:t>
            </w:r>
          </w:p>
          <w:p w14:paraId="21C9466E"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419FA17C"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Q0308_01</w:t>
            </w:r>
          </w:p>
          <w:p w14:paraId="2402DC61"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Has DCA discussed extending the due date for Historic Part 2 and Georgia Part A documentation as they did in 2020 due to the Historic Preservation Division and National Park Service delays created by Covid 19?</w:t>
            </w:r>
          </w:p>
          <w:p w14:paraId="1CCD2FE9" w14:textId="77777777" w:rsidR="00943E5C" w:rsidRPr="00AC6DEC" w:rsidRDefault="00943E5C" w:rsidP="00607B8C">
            <w:pPr>
              <w:contextualSpacing/>
              <w:rPr>
                <w:rFonts w:ascii="Times New Roman" w:hAnsi="Times New Roman" w:cs="Times New Roman"/>
                <w:b/>
                <w:bCs/>
              </w:rPr>
            </w:pPr>
          </w:p>
          <w:p w14:paraId="06B3B9BE"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37E95510"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The QAP states the following: </w:t>
            </w:r>
          </w:p>
          <w:p w14:paraId="0D7112A5" w14:textId="77777777" w:rsidR="00943E5C" w:rsidRPr="00AC6DEC" w:rsidRDefault="00943E5C" w:rsidP="00607B8C">
            <w:pPr>
              <w:contextualSpacing/>
              <w:rPr>
                <w:rFonts w:ascii="Times New Roman" w:hAnsi="Times New Roman" w:cs="Times New Roman"/>
              </w:rPr>
            </w:pPr>
          </w:p>
          <w:p w14:paraId="45E4F086" w14:textId="77777777" w:rsidR="00943E5C" w:rsidRPr="00AC6DEC" w:rsidRDefault="00943E5C" w:rsidP="00607B8C">
            <w:pPr>
              <w:pStyle w:val="ListParagraph"/>
              <w:rPr>
                <w:rFonts w:ascii="Times New Roman" w:hAnsi="Times New Roman" w:cs="Times New Roman"/>
              </w:rPr>
            </w:pPr>
            <w:r w:rsidRPr="00AC6DEC">
              <w:rPr>
                <w:rFonts w:ascii="Times New Roman" w:hAnsi="Times New Roman" w:cs="Times New Roman"/>
                <w:b/>
                <w:bCs/>
              </w:rPr>
              <w:t xml:space="preserve">Threshold Criteria, </w:t>
            </w:r>
            <w:r w:rsidRPr="00AC6DEC">
              <w:rPr>
                <w:rFonts w:ascii="Times New Roman" w:hAnsi="Times New Roman" w:cs="Times New Roman"/>
              </w:rPr>
              <w:t>section</w:t>
            </w:r>
            <w:r w:rsidRPr="00AC6DEC">
              <w:rPr>
                <w:rFonts w:ascii="Times New Roman" w:hAnsi="Times New Roman" w:cs="Times New Roman"/>
                <w:b/>
                <w:bCs/>
              </w:rPr>
              <w:t xml:space="preserve"> Project Feasibility, Viability Analysis, &amp; Conformance with Plan, </w:t>
            </w:r>
            <w:r w:rsidRPr="00AC6DEC">
              <w:rPr>
                <w:rFonts w:ascii="Times New Roman" w:hAnsi="Times New Roman" w:cs="Times New Roman"/>
              </w:rPr>
              <w:t>subsection</w:t>
            </w:r>
            <w:r w:rsidRPr="00AC6DEC">
              <w:rPr>
                <w:rFonts w:ascii="Times New Roman" w:hAnsi="Times New Roman" w:cs="Times New Roman"/>
                <w:b/>
                <w:bCs/>
              </w:rPr>
              <w:t xml:space="preserve"> Commitments</w:t>
            </w:r>
            <w:r w:rsidRPr="00AC6DEC">
              <w:rPr>
                <w:rFonts w:ascii="Times New Roman" w:hAnsi="Times New Roman" w:cs="Times New Roman"/>
              </w:rPr>
              <w:t xml:space="preserve">: </w:t>
            </w:r>
            <w:r w:rsidRPr="00AC6DEC">
              <w:rPr>
                <w:rFonts w:ascii="Times New Roman" w:hAnsi="Times New Roman" w:cs="Times New Roman"/>
                <w:i/>
                <w:iCs/>
              </w:rPr>
              <w:t xml:space="preserve">In the case of public financing which is under final consideration at the time of Application, but is not awarded funding, the Applicant may secure alternate financing provided related Application documents are submitted to DCA on or before the date noted on Exhibit A DCA Pre-application and Pre-Award Deadlines and Fee Schedule. Failure to provide the required documentation for USDA, FHLB-AHP, HUD alternative financing, </w:t>
            </w:r>
            <w:r w:rsidRPr="00AC6DEC">
              <w:rPr>
                <w:rFonts w:ascii="Times New Roman" w:hAnsi="Times New Roman" w:cs="Times New Roman"/>
                <w:i/>
                <w:iCs/>
                <w:u w:val="single"/>
              </w:rPr>
              <w:t>and/or the National Historic designation</w:t>
            </w:r>
            <w:r w:rsidRPr="00AC6DEC">
              <w:rPr>
                <w:rFonts w:ascii="Times New Roman" w:hAnsi="Times New Roman" w:cs="Times New Roman"/>
                <w:i/>
                <w:iCs/>
              </w:rPr>
              <w:t xml:space="preserve"> as stated above may result in a Threshold failure</w:t>
            </w:r>
            <w:r w:rsidRPr="00AC6DEC">
              <w:rPr>
                <w:rFonts w:ascii="Times New Roman" w:hAnsi="Times New Roman" w:cs="Times New Roman"/>
              </w:rPr>
              <w:t>.</w:t>
            </w:r>
          </w:p>
          <w:p w14:paraId="7AEC2170" w14:textId="77777777" w:rsidR="00943E5C" w:rsidRPr="00AC6DEC" w:rsidRDefault="00943E5C" w:rsidP="00607B8C">
            <w:pPr>
              <w:contextualSpacing/>
              <w:rPr>
                <w:rFonts w:ascii="Times New Roman" w:hAnsi="Times New Roman" w:cs="Times New Roman"/>
              </w:rPr>
            </w:pPr>
          </w:p>
          <w:p w14:paraId="4FCBC0F2"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The deadline noted on Exhibit A, “</w:t>
            </w:r>
            <w:r w:rsidRPr="00AC6DEC">
              <w:rPr>
                <w:rFonts w:ascii="Times New Roman" w:hAnsi="Times New Roman" w:cs="Times New Roman"/>
                <w:i/>
                <w:iCs/>
              </w:rPr>
              <w:t>Alternate Financing Deadline, if Notification deadline has not or will not be met</w:t>
            </w:r>
            <w:r w:rsidRPr="00AC6DEC">
              <w:rPr>
                <w:rFonts w:ascii="Times New Roman" w:hAnsi="Times New Roman" w:cs="Times New Roman"/>
              </w:rPr>
              <w:t xml:space="preserve">” is </w:t>
            </w:r>
            <w:r w:rsidRPr="00AC6DEC">
              <w:rPr>
                <w:rFonts w:ascii="Times New Roman" w:hAnsi="Times New Roman" w:cs="Times New Roman"/>
                <w:b/>
                <w:bCs/>
              </w:rPr>
              <w:t>July 22</w:t>
            </w:r>
            <w:r w:rsidRPr="00AC6DEC">
              <w:rPr>
                <w:rFonts w:ascii="Times New Roman" w:hAnsi="Times New Roman" w:cs="Times New Roman"/>
                <w:b/>
                <w:bCs/>
                <w:vertAlign w:val="superscript"/>
              </w:rPr>
              <w:t>nd</w:t>
            </w:r>
            <w:r w:rsidRPr="00AC6DEC">
              <w:rPr>
                <w:rFonts w:ascii="Times New Roman" w:hAnsi="Times New Roman" w:cs="Times New Roman"/>
                <w:b/>
                <w:bCs/>
              </w:rPr>
              <w:t>, 2021</w:t>
            </w:r>
            <w:r w:rsidRPr="00AC6DEC">
              <w:rPr>
                <w:rFonts w:ascii="Times New Roman" w:hAnsi="Times New Roman" w:cs="Times New Roman"/>
              </w:rPr>
              <w:t xml:space="preserve">. This deadline is also applicable to Scoring Criteria sections that are dependent on the above-referenced funding awards, including: </w:t>
            </w:r>
          </w:p>
          <w:p w14:paraId="56B5D61C" w14:textId="77777777" w:rsidR="00943E5C" w:rsidRPr="00AC6DEC" w:rsidRDefault="00943E5C" w:rsidP="00607B8C">
            <w:pPr>
              <w:contextualSpacing/>
              <w:rPr>
                <w:rFonts w:ascii="Times New Roman" w:hAnsi="Times New Roman" w:cs="Times New Roman"/>
              </w:rPr>
            </w:pPr>
          </w:p>
          <w:p w14:paraId="18E3D3FB" w14:textId="77777777" w:rsidR="00943E5C" w:rsidRPr="00AC6DEC" w:rsidRDefault="00943E5C" w:rsidP="00607B8C">
            <w:pPr>
              <w:pStyle w:val="ListParagraph"/>
              <w:numPr>
                <w:ilvl w:val="0"/>
                <w:numId w:val="40"/>
              </w:numPr>
              <w:rPr>
                <w:rFonts w:eastAsiaTheme="minorEastAsia"/>
              </w:rPr>
            </w:pPr>
            <w:r w:rsidRPr="00AC6DEC">
              <w:rPr>
                <w:rFonts w:ascii="Times New Roman" w:hAnsi="Times New Roman" w:cs="Times New Roman"/>
                <w:b/>
                <w:bCs/>
              </w:rPr>
              <w:t>Favorable Financing</w:t>
            </w:r>
          </w:p>
          <w:p w14:paraId="7747F58F" w14:textId="77777777" w:rsidR="00943E5C" w:rsidRPr="00AC6DEC" w:rsidRDefault="00943E5C" w:rsidP="00607B8C">
            <w:pPr>
              <w:pStyle w:val="ListParagraph"/>
              <w:numPr>
                <w:ilvl w:val="0"/>
                <w:numId w:val="40"/>
              </w:numPr>
            </w:pPr>
            <w:r w:rsidRPr="00AC6DEC">
              <w:rPr>
                <w:rFonts w:ascii="Times New Roman" w:hAnsi="Times New Roman" w:cs="Times New Roman"/>
                <w:b/>
                <w:bCs/>
              </w:rPr>
              <w:t>Historic Preservation</w:t>
            </w:r>
            <w:r w:rsidRPr="00AC6DEC">
              <w:rPr>
                <w:rFonts w:ascii="Times New Roman" w:hAnsi="Times New Roman" w:cs="Times New Roman"/>
              </w:rPr>
              <w:t xml:space="preserve">, subsection </w:t>
            </w:r>
            <w:r w:rsidRPr="00AC6DEC">
              <w:rPr>
                <w:rFonts w:ascii="Times New Roman" w:hAnsi="Times New Roman" w:cs="Times New Roman"/>
                <w:b/>
                <w:bCs/>
              </w:rPr>
              <w:t>A. Historic Tax Credit Proceeds</w:t>
            </w:r>
          </w:p>
          <w:p w14:paraId="1EA463B1" w14:textId="77777777" w:rsidR="00943E5C" w:rsidRPr="00AC6DEC" w:rsidRDefault="00943E5C" w:rsidP="00607B8C">
            <w:pPr>
              <w:contextualSpacing/>
              <w:rPr>
                <w:rFonts w:ascii="Times New Roman" w:hAnsi="Times New Roman" w:cs="Times New Roman"/>
              </w:rPr>
            </w:pPr>
          </w:p>
          <w:p w14:paraId="239130C7"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lastRenderedPageBreak/>
              <w:t>Applicants seeking points based on funding sources not finalized as of the May 21</w:t>
            </w:r>
            <w:r w:rsidRPr="00AC6DEC">
              <w:rPr>
                <w:rFonts w:ascii="Times New Roman" w:hAnsi="Times New Roman" w:cs="Times New Roman"/>
                <w:vertAlign w:val="superscript"/>
              </w:rPr>
              <w:t>st</w:t>
            </w:r>
            <w:r w:rsidRPr="00AC6DEC">
              <w:rPr>
                <w:rFonts w:ascii="Times New Roman" w:hAnsi="Times New Roman" w:cs="Times New Roman"/>
              </w:rPr>
              <w:t xml:space="preserve"> 9% Credits application deadline have until July 22</w:t>
            </w:r>
            <w:r w:rsidRPr="00AC6DEC">
              <w:rPr>
                <w:rFonts w:ascii="Times New Roman" w:hAnsi="Times New Roman" w:cs="Times New Roman"/>
                <w:vertAlign w:val="superscript"/>
              </w:rPr>
              <w:t>nd</w:t>
            </w:r>
            <w:r w:rsidRPr="00AC6DEC">
              <w:rPr>
                <w:rFonts w:ascii="Times New Roman" w:hAnsi="Times New Roman" w:cs="Times New Roman"/>
              </w:rPr>
              <w:t xml:space="preserve"> to submit all relevant documentation. At this time, DCA will not be extending this deadline. </w:t>
            </w:r>
          </w:p>
          <w:p w14:paraId="140913F8" w14:textId="77777777" w:rsidR="00943E5C" w:rsidRPr="00AC6DEC" w:rsidRDefault="00943E5C" w:rsidP="00607B8C">
            <w:pPr>
              <w:contextualSpacing/>
              <w:rPr>
                <w:rFonts w:ascii="Times New Roman" w:hAnsi="Times New Roman" w:cs="Times New Roman"/>
                <w:b/>
                <w:bCs/>
              </w:rPr>
            </w:pPr>
          </w:p>
        </w:tc>
      </w:tr>
      <w:tr w:rsidR="00943E5C" w:rsidRPr="00AC6DEC" w14:paraId="35B07F86" w14:textId="77777777" w:rsidTr="2A62FF34">
        <w:trPr>
          <w:jc w:val="center"/>
        </w:trPr>
        <w:tc>
          <w:tcPr>
            <w:tcW w:w="2157" w:type="dxa"/>
            <w:tcMar>
              <w:top w:w="72" w:type="dxa"/>
              <w:left w:w="115" w:type="dxa"/>
              <w:bottom w:w="72" w:type="dxa"/>
              <w:right w:w="115" w:type="dxa"/>
            </w:tcMar>
            <w:vAlign w:val="center"/>
          </w:tcPr>
          <w:p w14:paraId="7E23A77C"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38DD322A"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3.21</w:t>
            </w:r>
          </w:p>
          <w:p w14:paraId="18DA4150"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 xml:space="preserve">Scoring; Underserved Populations </w:t>
            </w:r>
          </w:p>
        </w:tc>
        <w:tc>
          <w:tcPr>
            <w:tcW w:w="9590" w:type="dxa"/>
            <w:tcMar>
              <w:top w:w="72" w:type="dxa"/>
              <w:left w:w="115" w:type="dxa"/>
              <w:bottom w:w="72" w:type="dxa"/>
              <w:right w:w="115" w:type="dxa"/>
            </w:tcMar>
            <w:vAlign w:val="center"/>
          </w:tcPr>
          <w:p w14:paraId="08085B8E"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Q0326_02</w:t>
            </w:r>
          </w:p>
          <w:p w14:paraId="43AD009F"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My question is related to minimum documentation for Underserved Populations. This section states the following: </w:t>
            </w:r>
          </w:p>
          <w:p w14:paraId="5EFDA9C7" w14:textId="77777777" w:rsidR="00943E5C" w:rsidRPr="00AC6DEC" w:rsidRDefault="00943E5C" w:rsidP="00607B8C">
            <w:pPr>
              <w:rPr>
                <w:rFonts w:ascii="Times New Roman" w:hAnsi="Times New Roman" w:cs="Times New Roman"/>
              </w:rPr>
            </w:pPr>
          </w:p>
          <w:p w14:paraId="44672536" w14:textId="77777777" w:rsidR="00943E5C" w:rsidRPr="00AC6DEC" w:rsidRDefault="00943E5C" w:rsidP="00607B8C">
            <w:pPr>
              <w:pStyle w:val="ListParagraph"/>
              <w:rPr>
                <w:rFonts w:ascii="Times New Roman" w:hAnsi="Times New Roman" w:cs="Times New Roman"/>
              </w:rPr>
            </w:pPr>
            <w:r w:rsidRPr="00AC6DEC">
              <w:rPr>
                <w:rFonts w:ascii="Times New Roman" w:hAnsi="Times New Roman" w:cs="Times New Roman"/>
                <w:b/>
                <w:bCs/>
              </w:rPr>
              <w:t>Scoring Criteria, Underserved Populations, B. Tenant Selection Preference</w:t>
            </w:r>
            <w:r w:rsidRPr="00AC6DEC">
              <w:rPr>
                <w:rFonts w:ascii="Times New Roman" w:hAnsi="Times New Roman" w:cs="Times New Roman"/>
              </w:rPr>
              <w:t>:</w:t>
            </w:r>
            <w:r w:rsidRPr="00AC6DEC">
              <w:rPr>
                <w:rFonts w:ascii="Times New Roman" w:hAnsi="Times New Roman" w:cs="Times New Roman"/>
                <w:b/>
                <w:bCs/>
              </w:rPr>
              <w:t xml:space="preserve"> </w:t>
            </w:r>
            <w:r w:rsidRPr="00AC6DEC">
              <w:rPr>
                <w:rFonts w:ascii="Times New Roman" w:hAnsi="Times New Roman" w:cs="Times New Roman"/>
              </w:rPr>
              <w:t>“</w:t>
            </w:r>
            <w:r w:rsidRPr="00AC6DEC">
              <w:rPr>
                <w:rFonts w:ascii="Times New Roman" w:hAnsi="Times New Roman" w:cs="Times New Roman"/>
                <w:i/>
                <w:iCs/>
              </w:rPr>
              <w:t>Minimum Documentation: Documentation demonstrating HUD’s review and approval of the terms and structure of the preference</w:t>
            </w:r>
            <w:r w:rsidRPr="00AC6DEC">
              <w:rPr>
                <w:rFonts w:ascii="Times New Roman" w:hAnsi="Times New Roman" w:cs="Times New Roman"/>
              </w:rPr>
              <w:t>”</w:t>
            </w:r>
          </w:p>
          <w:p w14:paraId="440B745D" w14:textId="77777777" w:rsidR="00943E5C" w:rsidRPr="00AC6DEC" w:rsidRDefault="00943E5C" w:rsidP="00607B8C">
            <w:pPr>
              <w:rPr>
                <w:rFonts w:ascii="Times New Roman" w:hAnsi="Times New Roman" w:cs="Times New Roman"/>
              </w:rPr>
            </w:pPr>
          </w:p>
          <w:p w14:paraId="067BF545" w14:textId="77777777" w:rsidR="00943E5C" w:rsidRPr="00AC6DEC" w:rsidRDefault="00943E5C" w:rsidP="00607B8C">
            <w:r w:rsidRPr="00AC6DEC">
              <w:rPr>
                <w:rFonts w:ascii="Times New Roman" w:hAnsi="Times New Roman" w:cs="Times New Roman"/>
              </w:rPr>
              <w:t xml:space="preserve">PHAs operate their Section 8 Housing Choice Voucher Programs under an Administrative Plan. The Administrative Plan contains information and requirements that the PHA will adopt and use in the implementation of the Project Based Vouchers.  HUD does not require the submission of the Administrative Plan for review and approval. Yet, DCA is requiring PHAs to submit and request a HUD review and approval that is not required under the Housing Choice Voucher Program regulations.  We have attached verification of the program regulations and an email from the Atlanta Office of HUD that verifies that HUD approval is not required.  Our Housing Authority’s Administrative Plan is compliant with the HUD rules.  Will DCA accept the Administrative Plan with the required language and recognize that documentation of HUD approval is not required in this matter? </w:t>
            </w:r>
          </w:p>
          <w:p w14:paraId="5C7D179B" w14:textId="77777777" w:rsidR="00943E5C" w:rsidRPr="00AC6DEC" w:rsidRDefault="00943E5C" w:rsidP="00607B8C">
            <w:pPr>
              <w:contextualSpacing/>
              <w:rPr>
                <w:rFonts w:ascii="Times New Roman" w:hAnsi="Times New Roman" w:cs="Times New Roman"/>
                <w:b/>
                <w:bCs/>
              </w:rPr>
            </w:pPr>
          </w:p>
          <w:p w14:paraId="45FF7059"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7385D468"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The Minimum Documentation requirement is for approval of the tenant selection preference itself, not HUD approval of the overall Administrative Plan. This Minimum Documentation requirement, evidence that HUD has approved the tenant selection preference, is indeed required. Below is an explanation of the context based on communications from HUD associated with applicants who have received points under a similar section under prior QAPs. This explanation is for clarification of DCA policy purposes only and cannot be used as legal advice. </w:t>
            </w:r>
          </w:p>
          <w:p w14:paraId="70327DF5" w14:textId="77777777" w:rsidR="00943E5C" w:rsidRPr="00AC6DEC" w:rsidRDefault="00943E5C" w:rsidP="00607B8C">
            <w:pPr>
              <w:contextualSpacing/>
              <w:rPr>
                <w:rFonts w:ascii="Times New Roman" w:hAnsi="Times New Roman" w:cs="Times New Roman"/>
              </w:rPr>
            </w:pPr>
          </w:p>
          <w:p w14:paraId="5C171AA9"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The tenant selection preference described in the 2021 QAP contravenes 24 CFR 982.207(b)(3) and 24 CFR 983.251(d). PHAs may administer a tenant selection preference for households with disabled persons, but PHAs may not implement a preference based on </w:t>
            </w:r>
            <w:r w:rsidRPr="00AC6DEC">
              <w:rPr>
                <w:rFonts w:ascii="Times New Roman" w:hAnsi="Times New Roman" w:cs="Times New Roman"/>
                <w:i/>
                <w:iCs/>
              </w:rPr>
              <w:t>specific</w:t>
            </w:r>
            <w:r w:rsidRPr="00AC6DEC">
              <w:rPr>
                <w:rFonts w:ascii="Times New Roman" w:hAnsi="Times New Roman" w:cs="Times New Roman"/>
              </w:rPr>
              <w:t xml:space="preserve"> disabilities. In certain instances, HUD has approved waivers of these regulations on a temporary basis to counteract the circumstances resulting in the DOJ </w:t>
            </w:r>
            <w:r w:rsidRPr="00AC6DEC">
              <w:rPr>
                <w:rFonts w:ascii="Times New Roman" w:hAnsi="Times New Roman" w:cs="Times New Roman"/>
                <w:i/>
                <w:iCs/>
              </w:rPr>
              <w:t>Olmstead</w:t>
            </w:r>
            <w:r w:rsidRPr="00AC6DEC">
              <w:rPr>
                <w:rFonts w:ascii="Times New Roman" w:hAnsi="Times New Roman" w:cs="Times New Roman"/>
              </w:rPr>
              <w:t xml:space="preserve"> Settlement Agreement. </w:t>
            </w:r>
          </w:p>
          <w:p w14:paraId="7D66AC91" w14:textId="77777777" w:rsidR="00943E5C" w:rsidRPr="00AC6DEC" w:rsidRDefault="00943E5C" w:rsidP="00607B8C">
            <w:pPr>
              <w:contextualSpacing/>
              <w:rPr>
                <w:rFonts w:ascii="Times New Roman" w:hAnsi="Times New Roman" w:cs="Times New Roman"/>
              </w:rPr>
            </w:pPr>
          </w:p>
          <w:p w14:paraId="66F73B72"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rPr>
              <w:t>PHA Administrative Plans that have received such a waiver and said waiver has not expired are eligible for points under this subsection.</w:t>
            </w:r>
          </w:p>
        </w:tc>
      </w:tr>
      <w:tr w:rsidR="00943E5C" w:rsidRPr="00AC6DEC" w14:paraId="1FE687BF" w14:textId="77777777" w:rsidTr="2A62FF34">
        <w:trPr>
          <w:jc w:val="center"/>
        </w:trPr>
        <w:tc>
          <w:tcPr>
            <w:tcW w:w="2157" w:type="dxa"/>
            <w:tcMar>
              <w:top w:w="72" w:type="dxa"/>
              <w:left w:w="115" w:type="dxa"/>
              <w:bottom w:w="72" w:type="dxa"/>
              <w:right w:w="115" w:type="dxa"/>
            </w:tcMar>
            <w:vAlign w:val="center"/>
          </w:tcPr>
          <w:p w14:paraId="4F18FBDD"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0C83325E"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3.25</w:t>
            </w:r>
          </w:p>
          <w:p w14:paraId="202FF4E6"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Property Size</w:t>
            </w:r>
          </w:p>
        </w:tc>
        <w:tc>
          <w:tcPr>
            <w:tcW w:w="9590" w:type="dxa"/>
            <w:tcMar>
              <w:top w:w="72" w:type="dxa"/>
              <w:left w:w="115" w:type="dxa"/>
              <w:bottom w:w="72" w:type="dxa"/>
              <w:right w:w="115" w:type="dxa"/>
            </w:tcMar>
            <w:vAlign w:val="center"/>
          </w:tcPr>
          <w:p w14:paraId="6AD2F099" w14:textId="77777777" w:rsidR="00943E5C" w:rsidRPr="00AC6DEC" w:rsidRDefault="00943E5C" w:rsidP="00607B8C">
            <w:pPr>
              <w:pStyle w:val="paragraph"/>
              <w:spacing w:before="0" w:beforeAutospacing="0" w:after="0" w:afterAutospacing="0"/>
              <w:textAlignment w:val="baseline"/>
              <w:rPr>
                <w:rFonts w:ascii="Segoe UI" w:hAnsi="Segoe UI" w:cs="Segoe UI"/>
                <w:sz w:val="22"/>
                <w:szCs w:val="22"/>
              </w:rPr>
            </w:pPr>
            <w:r w:rsidRPr="00AC6DEC">
              <w:rPr>
                <w:rStyle w:val="normaltextrun"/>
                <w:b/>
                <w:bCs/>
                <w:sz w:val="22"/>
                <w:szCs w:val="22"/>
              </w:rPr>
              <w:t>Question: Q1209_20</w:t>
            </w:r>
            <w:r w:rsidRPr="00AC6DEC">
              <w:rPr>
                <w:rStyle w:val="eop"/>
                <w:sz w:val="22"/>
                <w:szCs w:val="22"/>
              </w:rPr>
              <w:t> </w:t>
            </w:r>
          </w:p>
          <w:p w14:paraId="3964FDA4" w14:textId="77777777" w:rsidR="00943E5C" w:rsidRPr="00AC6DEC" w:rsidRDefault="00943E5C" w:rsidP="00607B8C">
            <w:pPr>
              <w:pStyle w:val="paragraph"/>
              <w:spacing w:before="0" w:beforeAutospacing="0" w:after="0" w:afterAutospacing="0"/>
              <w:textAlignment w:val="baseline"/>
              <w:rPr>
                <w:rFonts w:ascii="Segoe UI" w:hAnsi="Segoe UI" w:cs="Segoe UI"/>
                <w:sz w:val="22"/>
                <w:szCs w:val="22"/>
              </w:rPr>
            </w:pPr>
            <w:r w:rsidRPr="00AC6DEC">
              <w:rPr>
                <w:rStyle w:val="normaltextrun"/>
                <w:sz w:val="22"/>
                <w:szCs w:val="22"/>
              </w:rPr>
              <w:t>Please confirm that manager units are not a part of the unit count that is eligible for points. For example, there are 100 units and one manager unit (101 units total). Still eligible for 70-100 units?</w:t>
            </w:r>
            <w:r w:rsidRPr="00AC6DEC">
              <w:rPr>
                <w:rStyle w:val="eop"/>
                <w:sz w:val="22"/>
                <w:szCs w:val="22"/>
              </w:rPr>
              <w:t> </w:t>
            </w:r>
          </w:p>
          <w:p w14:paraId="72635152" w14:textId="77777777" w:rsidR="00943E5C" w:rsidRPr="00AC6DEC" w:rsidRDefault="00943E5C" w:rsidP="00607B8C">
            <w:pPr>
              <w:pStyle w:val="paragraph"/>
              <w:spacing w:before="0" w:beforeAutospacing="0" w:after="0" w:afterAutospacing="0"/>
              <w:textAlignment w:val="baseline"/>
              <w:rPr>
                <w:rFonts w:ascii="Segoe UI" w:hAnsi="Segoe UI" w:cs="Segoe UI"/>
                <w:sz w:val="22"/>
                <w:szCs w:val="22"/>
              </w:rPr>
            </w:pPr>
            <w:r w:rsidRPr="00AC6DEC">
              <w:rPr>
                <w:rStyle w:val="eop"/>
                <w:sz w:val="22"/>
                <w:szCs w:val="22"/>
              </w:rPr>
              <w:t> </w:t>
            </w:r>
          </w:p>
          <w:p w14:paraId="6733A156" w14:textId="77777777" w:rsidR="00943E5C" w:rsidRPr="00AC6DEC" w:rsidRDefault="00943E5C" w:rsidP="00607B8C">
            <w:pPr>
              <w:pStyle w:val="paragraph"/>
              <w:spacing w:before="0" w:beforeAutospacing="0" w:after="0" w:afterAutospacing="0"/>
              <w:textAlignment w:val="baseline"/>
              <w:rPr>
                <w:rFonts w:ascii="Segoe UI" w:hAnsi="Segoe UI" w:cs="Segoe UI"/>
                <w:sz w:val="22"/>
                <w:szCs w:val="22"/>
              </w:rPr>
            </w:pPr>
            <w:r w:rsidRPr="00AC6DEC">
              <w:rPr>
                <w:rStyle w:val="normaltextrun"/>
                <w:b/>
                <w:bCs/>
                <w:sz w:val="22"/>
                <w:szCs w:val="22"/>
              </w:rPr>
              <w:t>Answer: </w:t>
            </w:r>
            <w:r w:rsidRPr="00AC6DEC">
              <w:rPr>
                <w:rStyle w:val="eop"/>
                <w:sz w:val="22"/>
                <w:szCs w:val="22"/>
              </w:rPr>
              <w:t> </w:t>
            </w:r>
          </w:p>
          <w:p w14:paraId="42C14578" w14:textId="77777777" w:rsidR="00943E5C" w:rsidRPr="00AC6DEC" w:rsidRDefault="00943E5C" w:rsidP="00607B8C">
            <w:pPr>
              <w:pStyle w:val="paragraph"/>
              <w:spacing w:before="0" w:beforeAutospacing="0" w:after="0" w:afterAutospacing="0"/>
              <w:textAlignment w:val="baseline"/>
              <w:rPr>
                <w:rFonts w:ascii="Segoe UI" w:hAnsi="Segoe UI" w:cs="Segoe UI"/>
                <w:sz w:val="22"/>
                <w:szCs w:val="22"/>
              </w:rPr>
            </w:pPr>
            <w:r w:rsidRPr="00AC6DEC">
              <w:rPr>
                <w:rStyle w:val="normaltextrun"/>
                <w:sz w:val="22"/>
                <w:szCs w:val="22"/>
              </w:rPr>
              <w:t>This section differentiates applications based on the size of the property, which does not vary based on unit designations. All units, including manager units, contribute towards the count of “Units at the Existing Property.” </w:t>
            </w:r>
            <w:r w:rsidRPr="00AC6DEC">
              <w:rPr>
                <w:rStyle w:val="eop"/>
                <w:sz w:val="22"/>
                <w:szCs w:val="22"/>
              </w:rPr>
              <w:t> </w:t>
            </w:r>
          </w:p>
          <w:p w14:paraId="0B92F5A6" w14:textId="77777777" w:rsidR="00943E5C" w:rsidRPr="00AC6DEC" w:rsidRDefault="00943E5C" w:rsidP="00607B8C">
            <w:pPr>
              <w:contextualSpacing/>
              <w:rPr>
                <w:rFonts w:ascii="Times New Roman" w:hAnsi="Times New Roman" w:cs="Times New Roman"/>
                <w:b/>
                <w:bCs/>
              </w:rPr>
            </w:pPr>
          </w:p>
        </w:tc>
      </w:tr>
      <w:tr w:rsidR="00943E5C" w:rsidRPr="00AC6DEC" w14:paraId="13D553C9" w14:textId="77777777" w:rsidTr="2A62FF34">
        <w:trPr>
          <w:jc w:val="center"/>
        </w:trPr>
        <w:tc>
          <w:tcPr>
            <w:tcW w:w="2157" w:type="dxa"/>
            <w:tcMar>
              <w:top w:w="72" w:type="dxa"/>
              <w:left w:w="115" w:type="dxa"/>
              <w:bottom w:w="72" w:type="dxa"/>
              <w:right w:w="115" w:type="dxa"/>
            </w:tcMar>
            <w:vAlign w:val="center"/>
          </w:tcPr>
          <w:p w14:paraId="69F264D4"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13130CEF"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5.00</w:t>
            </w:r>
          </w:p>
          <w:p w14:paraId="5CE3E039"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Manuals, Market Study Manual</w:t>
            </w:r>
          </w:p>
        </w:tc>
        <w:tc>
          <w:tcPr>
            <w:tcW w:w="9590" w:type="dxa"/>
            <w:tcMar>
              <w:top w:w="72" w:type="dxa"/>
              <w:left w:w="115" w:type="dxa"/>
              <w:bottom w:w="72" w:type="dxa"/>
              <w:right w:w="115" w:type="dxa"/>
            </w:tcMar>
            <w:vAlign w:val="center"/>
          </w:tcPr>
          <w:p w14:paraId="2D1DDBC6" w14:textId="77777777" w:rsidR="00943E5C" w:rsidRPr="000734AC" w:rsidRDefault="00943E5C" w:rsidP="00607B8C">
            <w:pPr>
              <w:textAlignment w:val="baseline"/>
              <w:rPr>
                <w:rFonts w:ascii="Segoe UI" w:eastAsia="Times New Roman" w:hAnsi="Segoe UI" w:cs="Segoe UI"/>
                <w:color w:val="FF0000"/>
              </w:rPr>
            </w:pPr>
            <w:r w:rsidRPr="000734AC">
              <w:rPr>
                <w:rFonts w:ascii="Times New Roman" w:eastAsia="Times New Roman" w:hAnsi="Times New Roman" w:cs="Times New Roman"/>
                <w:i/>
                <w:iCs/>
                <w:color w:val="FF0000"/>
              </w:rPr>
              <w:t>This Q&amp;A was originally posted on 3/29/21. Update to answer below in red.</w:t>
            </w:r>
            <w:r w:rsidRPr="000734AC">
              <w:rPr>
                <w:rFonts w:ascii="Times New Roman" w:eastAsia="Times New Roman" w:hAnsi="Times New Roman" w:cs="Times New Roman"/>
                <w:b/>
                <w:bCs/>
                <w:i/>
                <w:iCs/>
                <w:color w:val="FF0000"/>
              </w:rPr>
              <w:t> </w:t>
            </w:r>
            <w:r w:rsidRPr="000734AC">
              <w:rPr>
                <w:rFonts w:ascii="Times New Roman" w:eastAsia="Times New Roman" w:hAnsi="Times New Roman" w:cs="Times New Roman"/>
                <w:color w:val="FF0000"/>
              </w:rPr>
              <w:t> </w:t>
            </w:r>
          </w:p>
          <w:p w14:paraId="6D851870" w14:textId="77777777" w:rsidR="00943E5C" w:rsidRPr="000734AC" w:rsidRDefault="00943E5C" w:rsidP="00607B8C">
            <w:pPr>
              <w:textAlignment w:val="baseline"/>
              <w:rPr>
                <w:rFonts w:ascii="Segoe UI" w:eastAsia="Times New Roman" w:hAnsi="Segoe UI" w:cs="Segoe UI"/>
                <w:color w:val="FF0000"/>
              </w:rPr>
            </w:pPr>
            <w:r w:rsidRPr="000734AC">
              <w:rPr>
                <w:rFonts w:ascii="Times New Roman" w:eastAsia="Times New Roman" w:hAnsi="Times New Roman" w:cs="Times New Roman"/>
                <w:color w:val="FF0000"/>
              </w:rPr>
              <w:t> </w:t>
            </w:r>
          </w:p>
          <w:p w14:paraId="260774E7" w14:textId="77777777" w:rsidR="00943E5C" w:rsidRPr="000734AC" w:rsidRDefault="00943E5C" w:rsidP="00607B8C">
            <w:pPr>
              <w:textAlignment w:val="baseline"/>
              <w:rPr>
                <w:rFonts w:ascii="Segoe UI" w:eastAsia="Times New Roman" w:hAnsi="Segoe UI" w:cs="Segoe UI"/>
              </w:rPr>
            </w:pPr>
            <w:r w:rsidRPr="000734AC">
              <w:rPr>
                <w:rFonts w:ascii="Times New Roman" w:eastAsia="Times New Roman" w:hAnsi="Times New Roman" w:cs="Times New Roman"/>
                <w:b/>
                <w:bCs/>
              </w:rPr>
              <w:t>Question: Q0317_01</w:t>
            </w:r>
            <w:r w:rsidRPr="000734AC">
              <w:rPr>
                <w:rFonts w:ascii="Times New Roman" w:eastAsia="Times New Roman" w:hAnsi="Times New Roman" w:cs="Times New Roman"/>
              </w:rPr>
              <w:t> </w:t>
            </w:r>
          </w:p>
          <w:p w14:paraId="071C9145" w14:textId="77777777" w:rsidR="00943E5C" w:rsidRPr="000734AC" w:rsidRDefault="00943E5C" w:rsidP="00607B8C">
            <w:pPr>
              <w:textAlignment w:val="baseline"/>
              <w:rPr>
                <w:rFonts w:ascii="Segoe UI" w:eastAsia="Times New Roman" w:hAnsi="Segoe UI" w:cs="Segoe UI"/>
              </w:rPr>
            </w:pPr>
            <w:r w:rsidRPr="000734AC">
              <w:rPr>
                <w:rFonts w:ascii="Times New Roman" w:eastAsia="Times New Roman" w:hAnsi="Times New Roman" w:cs="Times New Roman"/>
              </w:rPr>
              <w:t>On the top of page 6 of 10 (Section F. Community Demographic Data) </w:t>
            </w:r>
          </w:p>
          <w:p w14:paraId="6DFDC540" w14:textId="77777777" w:rsidR="00943E5C" w:rsidRPr="000734AC" w:rsidRDefault="00943E5C" w:rsidP="00607B8C">
            <w:pPr>
              <w:textAlignment w:val="baseline"/>
              <w:rPr>
                <w:rFonts w:ascii="Segoe UI" w:eastAsia="Times New Roman" w:hAnsi="Segoe UI" w:cs="Segoe UI"/>
              </w:rPr>
            </w:pPr>
            <w:r w:rsidRPr="000734AC">
              <w:rPr>
                <w:rFonts w:ascii="Times New Roman" w:eastAsia="Times New Roman" w:hAnsi="Times New Roman" w:cs="Times New Roman"/>
              </w:rPr>
              <w:t>  </w:t>
            </w:r>
          </w:p>
          <w:p w14:paraId="3B852980" w14:textId="77777777" w:rsidR="00943E5C" w:rsidRPr="000734AC" w:rsidRDefault="00943E5C" w:rsidP="00607B8C">
            <w:pPr>
              <w:textAlignment w:val="baseline"/>
              <w:rPr>
                <w:rFonts w:ascii="Segoe UI" w:eastAsia="Times New Roman" w:hAnsi="Segoe UI" w:cs="Segoe UI"/>
              </w:rPr>
            </w:pPr>
            <w:r w:rsidRPr="000734AC">
              <w:rPr>
                <w:rFonts w:ascii="Times New Roman" w:eastAsia="Times New Roman" w:hAnsi="Times New Roman" w:cs="Times New Roman"/>
              </w:rPr>
              <w:t>DCA has a proposed time of market entry </w:t>
            </w:r>
            <w:proofErr w:type="gramStart"/>
            <w:r w:rsidRPr="000734AC">
              <w:rPr>
                <w:rFonts w:ascii="Times New Roman" w:eastAsia="Times New Roman" w:hAnsi="Times New Roman" w:cs="Times New Roman"/>
              </w:rPr>
              <w:t>at</w:t>
            </w:r>
            <w:proofErr w:type="gramEnd"/>
            <w:r w:rsidRPr="000734AC">
              <w:rPr>
                <w:rFonts w:ascii="Times New Roman" w:eastAsia="Times New Roman" w:hAnsi="Times New Roman" w:cs="Times New Roman"/>
              </w:rPr>
              <w:t> 2022.  It could be unlikely that a new construction award made in late 2021 will be built and open for market entry in 2022.  Should the market entry date be moved up a year to 2023? </w:t>
            </w:r>
          </w:p>
          <w:p w14:paraId="7E95FA13" w14:textId="77777777" w:rsidR="00943E5C" w:rsidRPr="000734AC" w:rsidRDefault="00943E5C" w:rsidP="00607B8C">
            <w:pPr>
              <w:textAlignment w:val="baseline"/>
              <w:rPr>
                <w:rFonts w:ascii="Segoe UI" w:eastAsia="Times New Roman" w:hAnsi="Segoe UI" w:cs="Segoe UI"/>
              </w:rPr>
            </w:pPr>
            <w:r w:rsidRPr="000734AC">
              <w:rPr>
                <w:rFonts w:ascii="Times New Roman" w:eastAsia="Times New Roman" w:hAnsi="Times New Roman" w:cs="Times New Roman"/>
              </w:rPr>
              <w:t> </w:t>
            </w:r>
          </w:p>
          <w:p w14:paraId="5AA79E4A" w14:textId="77777777" w:rsidR="00943E5C" w:rsidRPr="000734AC" w:rsidRDefault="00943E5C" w:rsidP="00607B8C">
            <w:pPr>
              <w:textAlignment w:val="baseline"/>
              <w:rPr>
                <w:rFonts w:ascii="Segoe UI" w:eastAsia="Times New Roman" w:hAnsi="Segoe UI" w:cs="Segoe UI"/>
              </w:rPr>
            </w:pPr>
            <w:r w:rsidRPr="000734AC">
              <w:rPr>
                <w:rFonts w:ascii="Times New Roman" w:eastAsia="Times New Roman" w:hAnsi="Times New Roman" w:cs="Times New Roman"/>
                <w:b/>
                <w:bCs/>
              </w:rPr>
              <w:t>Answer: </w:t>
            </w:r>
            <w:r w:rsidRPr="000734AC">
              <w:rPr>
                <w:rFonts w:ascii="Times New Roman" w:eastAsia="Times New Roman" w:hAnsi="Times New Roman" w:cs="Times New Roman"/>
              </w:rPr>
              <w:t> </w:t>
            </w:r>
          </w:p>
          <w:p w14:paraId="6B707298" w14:textId="77777777" w:rsidR="00943E5C" w:rsidRPr="000734AC" w:rsidRDefault="00943E5C" w:rsidP="00607B8C">
            <w:pPr>
              <w:textAlignment w:val="baseline"/>
              <w:rPr>
                <w:rFonts w:ascii="Segoe UI" w:eastAsia="Times New Roman" w:hAnsi="Segoe UI" w:cs="Segoe UI"/>
              </w:rPr>
            </w:pPr>
            <w:r w:rsidRPr="000734AC">
              <w:rPr>
                <w:rFonts w:ascii="Times New Roman" w:eastAsia="Times New Roman" w:hAnsi="Times New Roman" w:cs="Times New Roman"/>
              </w:rPr>
              <w:t>“The Market Study must provide the following demographic information for the PMA (historical and current data/estimates). Include data on population and households at the proposed time of market entry (i.e. 2022</w:t>
            </w:r>
            <w:proofErr w:type="gramStart"/>
            <w:r w:rsidRPr="000734AC">
              <w:rPr>
                <w:rFonts w:ascii="Times New Roman" w:eastAsia="Times New Roman" w:hAnsi="Times New Roman" w:cs="Times New Roman"/>
              </w:rPr>
              <w:t>).(</w:t>
            </w:r>
            <w:proofErr w:type="gramEnd"/>
            <w:r w:rsidRPr="000734AC">
              <w:rPr>
                <w:rFonts w:ascii="Times New Roman" w:eastAsia="Times New Roman" w:hAnsi="Times New Roman" w:cs="Times New Roman"/>
              </w:rPr>
              <w:t>p.6)” </w:t>
            </w:r>
          </w:p>
          <w:p w14:paraId="53E918C5" w14:textId="77777777" w:rsidR="00943E5C" w:rsidRPr="000734AC" w:rsidRDefault="00943E5C" w:rsidP="00607B8C">
            <w:pPr>
              <w:textAlignment w:val="baseline"/>
              <w:rPr>
                <w:rFonts w:ascii="Segoe UI" w:eastAsia="Times New Roman" w:hAnsi="Segoe UI" w:cs="Segoe UI"/>
              </w:rPr>
            </w:pPr>
            <w:r w:rsidRPr="000734AC">
              <w:rPr>
                <w:rFonts w:ascii="Times New Roman" w:eastAsia="Times New Roman" w:hAnsi="Times New Roman" w:cs="Times New Roman"/>
              </w:rPr>
              <w:t> </w:t>
            </w:r>
          </w:p>
          <w:p w14:paraId="3068189B" w14:textId="77777777" w:rsidR="00943E5C" w:rsidRPr="00AC6DEC" w:rsidRDefault="00943E5C" w:rsidP="00607B8C">
            <w:pPr>
              <w:textAlignment w:val="baseline"/>
              <w:rPr>
                <w:rFonts w:ascii="Segoe UI" w:eastAsia="Times New Roman" w:hAnsi="Segoe UI" w:cs="Segoe UI"/>
              </w:rPr>
            </w:pPr>
            <w:r w:rsidRPr="000734AC">
              <w:rPr>
                <w:rFonts w:ascii="Times New Roman" w:eastAsia="Times New Roman" w:hAnsi="Times New Roman" w:cs="Times New Roman"/>
                <w:color w:val="FF0000"/>
              </w:rPr>
              <w:t xml:space="preserve">The market entry date in the 2021 Market Study manual should reference the projected placed </w:t>
            </w:r>
            <w:proofErr w:type="gramStart"/>
            <w:r w:rsidRPr="000734AC">
              <w:rPr>
                <w:rFonts w:ascii="Times New Roman" w:eastAsia="Times New Roman" w:hAnsi="Times New Roman" w:cs="Times New Roman"/>
                <w:color w:val="FF0000"/>
              </w:rPr>
              <w:t>in service</w:t>
            </w:r>
            <w:proofErr w:type="gramEnd"/>
            <w:r w:rsidRPr="000734AC">
              <w:rPr>
                <w:rFonts w:ascii="Times New Roman" w:eastAsia="Times New Roman" w:hAnsi="Times New Roman" w:cs="Times New Roman"/>
                <w:color w:val="FF0000"/>
              </w:rPr>
              <w:t> date. The manual has been revised accordingly.  </w:t>
            </w:r>
            <w:r w:rsidRPr="00AC6DEC">
              <w:rPr>
                <w:rFonts w:ascii="Times New Roman" w:hAnsi="Times New Roman" w:cs="Times New Roman"/>
              </w:rPr>
              <w:t xml:space="preserve"> </w:t>
            </w:r>
          </w:p>
          <w:p w14:paraId="2484C063" w14:textId="77777777" w:rsidR="00943E5C" w:rsidRPr="00AC6DEC" w:rsidRDefault="00943E5C" w:rsidP="00607B8C">
            <w:pPr>
              <w:contextualSpacing/>
              <w:rPr>
                <w:rFonts w:ascii="Times New Roman" w:hAnsi="Times New Roman" w:cs="Times New Roman"/>
                <w:b/>
                <w:bCs/>
              </w:rPr>
            </w:pPr>
          </w:p>
        </w:tc>
      </w:tr>
      <w:tr w:rsidR="00943E5C" w:rsidRPr="00AC6DEC" w14:paraId="1087E868" w14:textId="77777777" w:rsidTr="2A62FF34">
        <w:trPr>
          <w:jc w:val="center"/>
        </w:trPr>
        <w:tc>
          <w:tcPr>
            <w:tcW w:w="2157" w:type="dxa"/>
            <w:tcMar>
              <w:top w:w="72" w:type="dxa"/>
              <w:left w:w="115" w:type="dxa"/>
              <w:bottom w:w="72" w:type="dxa"/>
              <w:right w:w="115" w:type="dxa"/>
            </w:tcMar>
            <w:vAlign w:val="center"/>
          </w:tcPr>
          <w:p w14:paraId="79FBF3DF"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51C7B882"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2.07</w:t>
            </w:r>
          </w:p>
          <w:p w14:paraId="75FE2EDC"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Threshold; Environmental Requirements</w:t>
            </w:r>
          </w:p>
        </w:tc>
        <w:tc>
          <w:tcPr>
            <w:tcW w:w="9590" w:type="dxa"/>
            <w:tcMar>
              <w:top w:w="72" w:type="dxa"/>
              <w:left w:w="115" w:type="dxa"/>
              <w:bottom w:w="72" w:type="dxa"/>
              <w:right w:w="115" w:type="dxa"/>
            </w:tcMar>
            <w:vAlign w:val="center"/>
          </w:tcPr>
          <w:p w14:paraId="3358B3BF"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Q1106_01</w:t>
            </w:r>
          </w:p>
          <w:p w14:paraId="6CF469BF"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If an applicant is already going through the 8-step process with HUD, does DCA impose any additional requirements regarding the 8-step process? Is it satisfactory to just provide documentation to DCA evidencing that we are completing the full 8-step process with HUD separately, or do we need to complete any of the same steps </w:t>
            </w:r>
            <w:proofErr w:type="spellStart"/>
            <w:r w:rsidRPr="00AC6DEC">
              <w:rPr>
                <w:rFonts w:ascii="Times New Roman" w:hAnsi="Times New Roman" w:cs="Times New Roman"/>
              </w:rPr>
              <w:t>duplicatively</w:t>
            </w:r>
            <w:proofErr w:type="spellEnd"/>
            <w:r w:rsidRPr="00AC6DEC">
              <w:rPr>
                <w:rFonts w:ascii="Times New Roman" w:hAnsi="Times New Roman" w:cs="Times New Roman"/>
              </w:rPr>
              <w:t xml:space="preserve"> with both HUD and DCA? </w:t>
            </w:r>
          </w:p>
          <w:p w14:paraId="7789A989" w14:textId="77777777" w:rsidR="00943E5C" w:rsidRPr="00AC6DEC" w:rsidRDefault="00943E5C" w:rsidP="00607B8C">
            <w:pPr>
              <w:contextualSpacing/>
              <w:rPr>
                <w:rFonts w:ascii="Times New Roman" w:hAnsi="Times New Roman" w:cs="Times New Roman"/>
              </w:rPr>
            </w:pPr>
          </w:p>
          <w:p w14:paraId="7739F55C"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0586CFB9"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DCA still requires applicants to undergo the 8-step process if the applicant is currently going through the process with HUD if the project is new construction or substantial improvement to a property located in a 100-year floodplain. The 8-step process is also required if the project will impact wetlands, and federal funds are included in the financing. </w:t>
            </w:r>
          </w:p>
          <w:p w14:paraId="1FDBA514" w14:textId="77777777" w:rsidR="00943E5C" w:rsidRPr="00AC6DEC" w:rsidRDefault="00943E5C" w:rsidP="00607B8C">
            <w:pPr>
              <w:contextualSpacing/>
              <w:rPr>
                <w:rFonts w:ascii="Times New Roman" w:hAnsi="Times New Roman" w:cs="Times New Roman"/>
              </w:rPr>
            </w:pPr>
          </w:p>
          <w:p w14:paraId="4858C4EF"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rPr>
              <w:t xml:space="preserve">However, applicants may not need to repeat all of the steps and may be able to instead submit documentation regarding steps already completed. These situations will be handled on a case-by-case basis. Applicants should email </w:t>
            </w:r>
            <w:hyperlink r:id="rId25" w:history="1">
              <w:r w:rsidRPr="00AC6DEC">
                <w:rPr>
                  <w:rStyle w:val="Hyperlink"/>
                  <w:rFonts w:ascii="Times New Roman" w:hAnsi="Times New Roman" w:cs="Times New Roman"/>
                </w:rPr>
                <w:t>HFDround@dca.ga.gov</w:t>
              </w:r>
            </w:hyperlink>
            <w:r w:rsidRPr="00AC6DEC">
              <w:rPr>
                <w:rFonts w:ascii="Times New Roman" w:hAnsi="Times New Roman" w:cs="Times New Roman"/>
              </w:rPr>
              <w:t xml:space="preserve"> with project-specific questions regarding the 8-step process and DCA staff will request the necessary documentation.</w:t>
            </w:r>
          </w:p>
        </w:tc>
      </w:tr>
      <w:tr w:rsidR="00943E5C" w:rsidRPr="00AC6DEC" w14:paraId="4E55613F" w14:textId="77777777" w:rsidTr="2A62FF34">
        <w:trPr>
          <w:jc w:val="center"/>
        </w:trPr>
        <w:tc>
          <w:tcPr>
            <w:tcW w:w="2157" w:type="dxa"/>
            <w:tcMar>
              <w:top w:w="72" w:type="dxa"/>
              <w:left w:w="115" w:type="dxa"/>
              <w:bottom w:w="72" w:type="dxa"/>
              <w:right w:w="115" w:type="dxa"/>
            </w:tcMar>
            <w:vAlign w:val="center"/>
          </w:tcPr>
          <w:p w14:paraId="48EBA09E"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127DA824"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2.17</w:t>
            </w:r>
          </w:p>
          <w:p w14:paraId="79A81F47"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Threshold; Building Sustainability </w:t>
            </w:r>
          </w:p>
        </w:tc>
        <w:tc>
          <w:tcPr>
            <w:tcW w:w="9590" w:type="dxa"/>
            <w:tcMar>
              <w:top w:w="72" w:type="dxa"/>
              <w:left w:w="115" w:type="dxa"/>
              <w:bottom w:w="72" w:type="dxa"/>
              <w:right w:w="115" w:type="dxa"/>
            </w:tcMar>
            <w:vAlign w:val="center"/>
          </w:tcPr>
          <w:p w14:paraId="41C4DB75"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Q0310_01</w:t>
            </w:r>
          </w:p>
          <w:p w14:paraId="3823EA4D"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The QAP requires 20% improvement in duct and envelope leakage after pre-testing.</w:t>
            </w:r>
          </w:p>
          <w:p w14:paraId="54E05ACC" w14:textId="77777777" w:rsidR="00943E5C" w:rsidRPr="00AC6DEC" w:rsidRDefault="00943E5C" w:rsidP="00607B8C">
            <w:pPr>
              <w:rPr>
                <w:rFonts w:ascii="Times New Roman" w:hAnsi="Times New Roman" w:cs="Times New Roman"/>
              </w:rPr>
            </w:pPr>
          </w:p>
          <w:p w14:paraId="3E08213F" w14:textId="77777777" w:rsidR="00943E5C" w:rsidRPr="00AC6DEC" w:rsidRDefault="00943E5C" w:rsidP="00607B8C">
            <w:pPr>
              <w:pStyle w:val="ListParagraph"/>
              <w:rPr>
                <w:rFonts w:ascii="Times New Roman" w:hAnsi="Times New Roman" w:cs="Times New Roman"/>
                <w:i/>
                <w:iCs/>
              </w:rPr>
            </w:pPr>
            <w:r w:rsidRPr="00AC6DEC">
              <w:rPr>
                <w:rFonts w:ascii="Times New Roman" w:hAnsi="Times New Roman" w:cs="Times New Roman"/>
                <w:u w:val="single"/>
              </w:rPr>
              <w:t>Threshold, Building Sustainability</w:t>
            </w:r>
            <w:r w:rsidRPr="00AC6DEC">
              <w:rPr>
                <w:rFonts w:ascii="Times New Roman" w:hAnsi="Times New Roman" w:cs="Times New Roman"/>
              </w:rPr>
              <w:t>: “</w:t>
            </w:r>
            <w:r w:rsidRPr="00AC6DEC">
              <w:rPr>
                <w:rFonts w:ascii="Times New Roman" w:hAnsi="Times New Roman" w:cs="Times New Roman"/>
                <w:i/>
                <w:iCs/>
              </w:rPr>
              <w:t>Rehab units are required to achieve a 20% improvement over existing conditions based upon pre-rehabilitation ‘duct leakage’ and ‘dwelling unit air filtration’ rates, or the above specified duct and envelope leakage rates.</w:t>
            </w:r>
            <w:r w:rsidRPr="00AC6DEC">
              <w:rPr>
                <w:rFonts w:ascii="Times New Roman" w:hAnsi="Times New Roman" w:cs="Times New Roman"/>
              </w:rPr>
              <w:t>”</w:t>
            </w:r>
          </w:p>
          <w:p w14:paraId="58F03F42" w14:textId="77777777" w:rsidR="00943E5C" w:rsidRPr="00AC6DEC" w:rsidRDefault="00943E5C" w:rsidP="00607B8C">
            <w:pPr>
              <w:rPr>
                <w:rFonts w:ascii="Times New Roman" w:hAnsi="Times New Roman" w:cs="Times New Roman"/>
              </w:rPr>
            </w:pPr>
          </w:p>
          <w:p w14:paraId="13B7AADC"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My question is if we are not able to pre-test, is it harder to meet the code maximum of 8% of floor area leakage?</w:t>
            </w:r>
          </w:p>
          <w:p w14:paraId="08227246" w14:textId="77777777" w:rsidR="00943E5C" w:rsidRPr="00AC6DEC" w:rsidRDefault="00943E5C" w:rsidP="00607B8C">
            <w:pPr>
              <w:contextualSpacing/>
              <w:rPr>
                <w:rFonts w:ascii="Times New Roman" w:hAnsi="Times New Roman" w:cs="Times New Roman"/>
                <w:b/>
                <w:bCs/>
              </w:rPr>
            </w:pPr>
          </w:p>
          <w:p w14:paraId="2C868B52" w14:textId="77777777" w:rsidR="00943E5C" w:rsidRPr="00AC6DEC" w:rsidRDefault="00943E5C" w:rsidP="00607B8C">
            <w:pPr>
              <w:rPr>
                <w:rFonts w:ascii="Times New Roman" w:eastAsia="Times New Roman" w:hAnsi="Times New Roman" w:cs="Times New Roman"/>
              </w:rPr>
            </w:pPr>
            <w:r w:rsidRPr="00AC6DEC">
              <w:rPr>
                <w:rFonts w:ascii="Times New Roman" w:hAnsi="Times New Roman" w:cs="Times New Roman"/>
                <w:b/>
                <w:bCs/>
              </w:rPr>
              <w:t xml:space="preserve">Answer: </w:t>
            </w:r>
            <w:r w:rsidRPr="00AC6DEC">
              <w:rPr>
                <w:rFonts w:ascii="Times New Roman" w:eastAsia="Times New Roman" w:hAnsi="Times New Roman" w:cs="Times New Roman"/>
              </w:rPr>
              <w:t xml:space="preserve">  </w:t>
            </w:r>
          </w:p>
          <w:p w14:paraId="409BA2DA" w14:textId="77777777" w:rsidR="00943E5C" w:rsidRPr="00AC6DEC" w:rsidRDefault="00943E5C" w:rsidP="00607B8C">
            <w:pPr>
              <w:contextualSpacing/>
              <w:rPr>
                <w:rFonts w:ascii="Calibri" w:eastAsia="Calibri" w:hAnsi="Calibri" w:cs="Calibri"/>
              </w:rPr>
            </w:pPr>
            <w:r w:rsidRPr="00AC6DEC">
              <w:rPr>
                <w:rFonts w:ascii="Times New Roman" w:eastAsia="Times New Roman" w:hAnsi="Times New Roman" w:cs="Times New Roman"/>
              </w:rPr>
              <w:t xml:space="preserve">If for some reason pre-testing is not able to occur to determine a baseline, then you would need to follow the measured duct and building envelope leakage requirements for new construction.  </w:t>
            </w:r>
          </w:p>
          <w:p w14:paraId="2DC36BC6" w14:textId="77777777" w:rsidR="00943E5C" w:rsidRPr="00AC6DEC" w:rsidRDefault="00943E5C" w:rsidP="00607B8C">
            <w:pPr>
              <w:rPr>
                <w:rFonts w:ascii="Times New Roman" w:eastAsia="Times New Roman" w:hAnsi="Times New Roman" w:cs="Times New Roman"/>
              </w:rPr>
            </w:pPr>
          </w:p>
          <w:p w14:paraId="3D0A57F5" w14:textId="77777777" w:rsidR="00943E5C" w:rsidRPr="00AC6DEC" w:rsidRDefault="00943E5C" w:rsidP="00607B8C">
            <w:pPr>
              <w:rPr>
                <w:rFonts w:ascii="Times New Roman" w:eastAsia="Times New Roman" w:hAnsi="Times New Roman" w:cs="Times New Roman"/>
              </w:rPr>
            </w:pPr>
            <w:r w:rsidRPr="00AC6DEC">
              <w:rPr>
                <w:rFonts w:ascii="Times New Roman" w:eastAsia="Times New Roman" w:hAnsi="Times New Roman" w:cs="Times New Roman"/>
              </w:rPr>
              <w:t>For the “harder to meet the code maximum” question, that is a determination better answered by your Architect and Sustainability Consultant.</w:t>
            </w:r>
          </w:p>
          <w:p w14:paraId="50DD215A" w14:textId="77777777" w:rsidR="00943E5C" w:rsidRPr="00AC6DEC" w:rsidRDefault="00943E5C" w:rsidP="00607B8C">
            <w:pPr>
              <w:contextualSpacing/>
              <w:rPr>
                <w:rFonts w:ascii="Times New Roman" w:hAnsi="Times New Roman" w:cs="Times New Roman"/>
                <w:b/>
                <w:bCs/>
              </w:rPr>
            </w:pPr>
          </w:p>
        </w:tc>
      </w:tr>
      <w:tr w:rsidR="00943E5C" w:rsidRPr="00AC6DEC" w14:paraId="492E8CC3" w14:textId="77777777" w:rsidTr="2A62FF34">
        <w:trPr>
          <w:jc w:val="center"/>
        </w:trPr>
        <w:tc>
          <w:tcPr>
            <w:tcW w:w="2157" w:type="dxa"/>
            <w:tcMar>
              <w:top w:w="72" w:type="dxa"/>
              <w:left w:w="115" w:type="dxa"/>
              <w:bottom w:w="72" w:type="dxa"/>
              <w:right w:w="115" w:type="dxa"/>
            </w:tcMar>
            <w:vAlign w:val="center"/>
          </w:tcPr>
          <w:p w14:paraId="3C8088C6"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2A0BFA6F"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3.04</w:t>
            </w:r>
          </w:p>
          <w:p w14:paraId="28933A62"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33339513"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Q0312_01</w:t>
            </w:r>
          </w:p>
          <w:p w14:paraId="5CEABAB7"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Under </w:t>
            </w:r>
            <w:r w:rsidRPr="00AC6DEC">
              <w:rPr>
                <w:rFonts w:ascii="Times New Roman" w:hAnsi="Times New Roman" w:cs="Times New Roman"/>
                <w:i/>
                <w:iCs/>
              </w:rPr>
              <w:t>Deeper Targeting/Rent/Income Restrictions</w:t>
            </w:r>
            <w:r w:rsidRPr="00AC6DEC">
              <w:rPr>
                <w:rFonts w:ascii="Times New Roman" w:hAnsi="Times New Roman" w:cs="Times New Roman"/>
              </w:rPr>
              <w:t xml:space="preserve">, the QAP states "the overall AMI percentage will be calculated based on the total residential units. (Common spaces and employee units will not be included in the total residential units.)"  Should the overall AMI percentage as it relates to Deeper Targeting Subsection A instead be based off "total affordable units" rather than "total residential units?" </w:t>
            </w:r>
            <w:proofErr w:type="gramStart"/>
            <w:r w:rsidRPr="00AC6DEC">
              <w:rPr>
                <w:rFonts w:ascii="Times New Roman" w:hAnsi="Times New Roman" w:cs="Times New Roman"/>
              </w:rPr>
              <w:t>Otherwise</w:t>
            </w:r>
            <w:proofErr w:type="gramEnd"/>
            <w:r w:rsidRPr="00AC6DEC">
              <w:rPr>
                <w:rFonts w:ascii="Times New Roman" w:hAnsi="Times New Roman" w:cs="Times New Roman"/>
              </w:rPr>
              <w:t xml:space="preserve"> it seems impossible to provide at least 10% market unrestricted units for Section XI. Mixed Income </w:t>
            </w:r>
            <w:r w:rsidRPr="00AC6DEC">
              <w:rPr>
                <w:rFonts w:ascii="Times New Roman" w:hAnsi="Times New Roman" w:cs="Times New Roman"/>
              </w:rPr>
              <w:lastRenderedPageBreak/>
              <w:t>Development while also meeting the 58% Deeper Targeting threshold if the calculation is based on "total residential units" vs. "total affordable units."</w:t>
            </w:r>
          </w:p>
          <w:p w14:paraId="3409DCE4" w14:textId="77777777" w:rsidR="00943E5C" w:rsidRPr="00AC6DEC" w:rsidRDefault="00943E5C" w:rsidP="00607B8C">
            <w:pPr>
              <w:contextualSpacing/>
              <w:rPr>
                <w:rFonts w:ascii="Times New Roman" w:hAnsi="Times New Roman" w:cs="Times New Roman"/>
                <w:b/>
                <w:bCs/>
              </w:rPr>
            </w:pPr>
          </w:p>
          <w:p w14:paraId="796BEB92"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b/>
                <w:bCs/>
              </w:rPr>
              <w:t xml:space="preserve">Answer: </w:t>
            </w:r>
          </w:p>
          <w:p w14:paraId="3C392A96"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Affordable units determine the overall AMI. As stated in subsection </w:t>
            </w:r>
            <w:r w:rsidRPr="00AC6DEC">
              <w:rPr>
                <w:rFonts w:ascii="Times New Roman" w:hAnsi="Times New Roman" w:cs="Times New Roman"/>
                <w:i/>
                <w:iCs/>
              </w:rPr>
              <w:t>A.</w:t>
            </w:r>
            <w:r w:rsidRPr="00AC6DEC">
              <w:rPr>
                <w:rFonts w:ascii="Times New Roman" w:eastAsia="Times New Roman" w:hAnsi="Times New Roman" w:cs="Times New Roman"/>
                <w:i/>
                <w:iCs/>
              </w:rPr>
              <w:t xml:space="preserve"> Deeper Targeting Through Rent Restrictions</w:t>
            </w:r>
            <w:r w:rsidRPr="00AC6DEC">
              <w:rPr>
                <w:rFonts w:ascii="Times New Roman" w:eastAsia="Times New Roman" w:hAnsi="Times New Roman" w:cs="Times New Roman"/>
              </w:rPr>
              <w:t>:</w:t>
            </w:r>
          </w:p>
          <w:p w14:paraId="7823A1B8" w14:textId="77777777" w:rsidR="00943E5C" w:rsidRPr="00AC6DEC" w:rsidRDefault="00943E5C" w:rsidP="00607B8C">
            <w:pPr>
              <w:rPr>
                <w:rFonts w:ascii="Times New Roman" w:hAnsi="Times New Roman" w:cs="Times New Roman"/>
              </w:rPr>
            </w:pPr>
          </w:p>
          <w:p w14:paraId="09FFF8E6" w14:textId="77777777" w:rsidR="00943E5C" w:rsidRPr="00AC6DEC" w:rsidRDefault="00943E5C" w:rsidP="00607B8C">
            <w:pPr>
              <w:ind w:left="720"/>
              <w:rPr>
                <w:rFonts w:ascii="Times New Roman" w:eastAsia="Times New Roman" w:hAnsi="Times New Roman" w:cs="Times New Roman"/>
                <w:i/>
                <w:iCs/>
              </w:rPr>
            </w:pPr>
            <w:r w:rsidRPr="00AC6DEC">
              <w:rPr>
                <w:rFonts w:ascii="Times New Roman" w:eastAsia="Times New Roman" w:hAnsi="Times New Roman" w:cs="Times New Roman"/>
              </w:rPr>
              <w:t>“</w:t>
            </w:r>
            <w:r w:rsidRPr="00AC6DEC">
              <w:rPr>
                <w:rFonts w:ascii="Times New Roman" w:eastAsia="Times New Roman" w:hAnsi="Times New Roman" w:cs="Times New Roman"/>
                <w:i/>
                <w:iCs/>
              </w:rPr>
              <w:t xml:space="preserve">Two (2) points will be awarded to Applications with an overall property area median income, </w:t>
            </w:r>
            <w:r w:rsidRPr="00AC6DEC">
              <w:rPr>
                <w:rFonts w:ascii="Times New Roman" w:eastAsia="Times New Roman" w:hAnsi="Times New Roman" w:cs="Times New Roman"/>
                <w:i/>
                <w:iCs/>
                <w:u w:val="single"/>
              </w:rPr>
              <w:t>calculated based on the imputed income and rent limitations</w:t>
            </w:r>
            <w:r w:rsidRPr="00AC6DEC">
              <w:rPr>
                <w:rFonts w:ascii="Times New Roman" w:eastAsia="Times New Roman" w:hAnsi="Times New Roman" w:cs="Times New Roman"/>
                <w:i/>
                <w:iCs/>
              </w:rPr>
              <w:t xml:space="preserve"> (20%, 30%, 40%, 50%, 60%, 70%, 80%) for each affordable unit, equal to or less than 58%. </w:t>
            </w:r>
          </w:p>
          <w:p w14:paraId="3BFC3625" w14:textId="77777777" w:rsidR="00943E5C" w:rsidRPr="00AC6DEC" w:rsidRDefault="00943E5C" w:rsidP="00607B8C">
            <w:pPr>
              <w:rPr>
                <w:rFonts w:ascii="Times New Roman" w:eastAsia="Times New Roman" w:hAnsi="Times New Roman" w:cs="Times New Roman"/>
                <w:i/>
                <w:iCs/>
              </w:rPr>
            </w:pPr>
          </w:p>
          <w:p w14:paraId="55B5F1D2" w14:textId="77777777" w:rsidR="00943E5C" w:rsidRPr="00AC6DEC" w:rsidRDefault="00943E5C" w:rsidP="00607B8C">
            <w:pPr>
              <w:ind w:left="720"/>
              <w:rPr>
                <w:rFonts w:ascii="Times New Roman" w:eastAsia="Times New Roman" w:hAnsi="Times New Roman" w:cs="Times New Roman"/>
                <w:i/>
                <w:iCs/>
              </w:rPr>
            </w:pPr>
            <w:r w:rsidRPr="00AC6DEC">
              <w:rPr>
                <w:rFonts w:ascii="Times New Roman" w:eastAsia="Times New Roman" w:hAnsi="Times New Roman" w:cs="Times New Roman"/>
                <w:i/>
                <w:iCs/>
              </w:rPr>
              <w:t xml:space="preserve">Applicants may do so by utilizing </w:t>
            </w:r>
            <w:proofErr w:type="gramStart"/>
            <w:r w:rsidRPr="00AC6DEC">
              <w:rPr>
                <w:rFonts w:ascii="Times New Roman" w:eastAsia="Times New Roman" w:hAnsi="Times New Roman" w:cs="Times New Roman"/>
                <w:i/>
                <w:iCs/>
              </w:rPr>
              <w:t>either</w:t>
            </w:r>
            <w:proofErr w:type="gramEnd"/>
            <w:r w:rsidRPr="00AC6DEC">
              <w:rPr>
                <w:rFonts w:ascii="Times New Roman" w:eastAsia="Times New Roman" w:hAnsi="Times New Roman" w:cs="Times New Roman"/>
                <w:i/>
                <w:iCs/>
              </w:rPr>
              <w:t xml:space="preserve"> </w:t>
            </w:r>
          </w:p>
          <w:p w14:paraId="400AF0F6" w14:textId="77777777" w:rsidR="00943E5C" w:rsidRPr="00AC6DEC" w:rsidRDefault="00943E5C" w:rsidP="00607B8C">
            <w:pPr>
              <w:pStyle w:val="ListParagraph"/>
              <w:numPr>
                <w:ilvl w:val="0"/>
                <w:numId w:val="39"/>
              </w:numPr>
              <w:rPr>
                <w:i/>
                <w:iCs/>
              </w:rPr>
            </w:pPr>
            <w:r w:rsidRPr="00AC6DEC">
              <w:rPr>
                <w:rFonts w:ascii="Times New Roman" w:eastAsia="Times New Roman" w:hAnsi="Times New Roman" w:cs="Times New Roman"/>
                <w:i/>
                <w:iCs/>
              </w:rPr>
              <w:t xml:space="preserve">income averaging, or </w:t>
            </w:r>
          </w:p>
          <w:p w14:paraId="7ECAE7E1" w14:textId="77777777" w:rsidR="00943E5C" w:rsidRPr="00AC6DEC" w:rsidRDefault="00943E5C" w:rsidP="00607B8C">
            <w:pPr>
              <w:pStyle w:val="ListParagraph"/>
              <w:numPr>
                <w:ilvl w:val="0"/>
                <w:numId w:val="39"/>
              </w:numPr>
              <w:rPr>
                <w:i/>
                <w:iCs/>
              </w:rPr>
            </w:pPr>
            <w:r w:rsidRPr="00AC6DEC">
              <w:rPr>
                <w:rFonts w:ascii="Times New Roman" w:eastAsia="Times New Roman" w:hAnsi="Times New Roman" w:cs="Times New Roman"/>
                <w:i/>
                <w:iCs/>
              </w:rPr>
              <w:t>the 40% at 60% minimum set-asides and targeting units at lower levels.</w:t>
            </w:r>
            <w:r w:rsidRPr="00AC6DEC">
              <w:rPr>
                <w:rFonts w:ascii="Times New Roman" w:eastAsia="Times New Roman" w:hAnsi="Times New Roman" w:cs="Times New Roman"/>
              </w:rPr>
              <w:t>”</w:t>
            </w:r>
          </w:p>
        </w:tc>
      </w:tr>
      <w:tr w:rsidR="00943E5C" w:rsidRPr="00AC6DEC" w14:paraId="7718857E" w14:textId="77777777" w:rsidTr="2A62FF34">
        <w:trPr>
          <w:jc w:val="center"/>
        </w:trPr>
        <w:tc>
          <w:tcPr>
            <w:tcW w:w="2157" w:type="dxa"/>
            <w:tcMar>
              <w:top w:w="72" w:type="dxa"/>
              <w:left w:w="115" w:type="dxa"/>
              <w:bottom w:w="72" w:type="dxa"/>
              <w:right w:w="115" w:type="dxa"/>
            </w:tcMar>
            <w:vAlign w:val="center"/>
          </w:tcPr>
          <w:p w14:paraId="19DAEF95"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7F25D954"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3.05</w:t>
            </w:r>
          </w:p>
          <w:p w14:paraId="6A0F602D" w14:textId="77777777" w:rsidR="00943E5C" w:rsidRPr="00AC6DEC" w:rsidRDefault="00943E5C" w:rsidP="00607B8C">
            <w:pPr>
              <w:rPr>
                <w:rFonts w:ascii="Times New Roman" w:hAnsi="Times New Roman" w:cs="Times New Roman"/>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6AE99781"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Q0304_01</w:t>
            </w:r>
          </w:p>
          <w:p w14:paraId="1E66250E" w14:textId="77777777" w:rsidR="00943E5C" w:rsidRPr="00AC6DEC" w:rsidRDefault="00943E5C" w:rsidP="00607B8C">
            <w:pPr>
              <w:rPr>
                <w:rFonts w:ascii="Times New Roman" w:hAnsi="Times New Roman" w:cs="Times New Roman"/>
              </w:rPr>
            </w:pPr>
            <w:proofErr w:type="gramStart"/>
            <w:r w:rsidRPr="00AC6DEC">
              <w:rPr>
                <w:rFonts w:ascii="Times New Roman" w:hAnsi="Times New Roman" w:cs="Times New Roman"/>
              </w:rPr>
              <w:t>Do</w:t>
            </w:r>
            <w:proofErr w:type="gramEnd"/>
            <w:r w:rsidRPr="00AC6DEC">
              <w:rPr>
                <w:rFonts w:ascii="Times New Roman" w:hAnsi="Times New Roman" w:cs="Times New Roman"/>
              </w:rPr>
              <w:t xml:space="preserve"> "Goodwill" qualify as "Retail/clothing/department store? Is it an issue that the items are </w:t>
            </w:r>
            <w:proofErr w:type="gramStart"/>
            <w:r w:rsidRPr="00AC6DEC">
              <w:rPr>
                <w:rFonts w:ascii="Times New Roman" w:hAnsi="Times New Roman" w:cs="Times New Roman"/>
              </w:rPr>
              <w:t>pre-owned</w:t>
            </w:r>
            <w:proofErr w:type="gramEnd"/>
            <w:r w:rsidRPr="00AC6DEC">
              <w:rPr>
                <w:rFonts w:ascii="Times New Roman" w:hAnsi="Times New Roman" w:cs="Times New Roman"/>
              </w:rPr>
              <w:t>?</w:t>
            </w:r>
          </w:p>
          <w:p w14:paraId="4FA840DC" w14:textId="77777777" w:rsidR="00943E5C" w:rsidRPr="00AC6DEC" w:rsidRDefault="00943E5C" w:rsidP="00607B8C">
            <w:pPr>
              <w:contextualSpacing/>
              <w:rPr>
                <w:rFonts w:ascii="Times New Roman" w:hAnsi="Times New Roman" w:cs="Times New Roman"/>
                <w:b/>
                <w:bCs/>
              </w:rPr>
            </w:pPr>
          </w:p>
          <w:p w14:paraId="04CD094C"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48EA6620" w14:textId="77777777" w:rsidR="00943E5C" w:rsidRPr="00AC6DEC" w:rsidRDefault="00943E5C" w:rsidP="00607B8C">
            <w:pPr>
              <w:pStyle w:val="ListParagraph"/>
              <w:ind w:left="0"/>
              <w:rPr>
                <w:rFonts w:ascii="Times New Roman" w:hAnsi="Times New Roman" w:cs="Times New Roman"/>
                <w:strike/>
                <w:highlight w:val="yellow"/>
              </w:rPr>
            </w:pPr>
            <w:r w:rsidRPr="00AC6DEC">
              <w:rPr>
                <w:rFonts w:ascii="Times New Roman" w:hAnsi="Times New Roman" w:cs="Times New Roman"/>
              </w:rPr>
              <w:t xml:space="preserve">The QAP does not exclude stores selling </w:t>
            </w:r>
            <w:proofErr w:type="gramStart"/>
            <w:r w:rsidRPr="00AC6DEC">
              <w:rPr>
                <w:rFonts w:ascii="Times New Roman" w:hAnsi="Times New Roman" w:cs="Times New Roman"/>
              </w:rPr>
              <w:t>pre-owned</w:t>
            </w:r>
            <w:proofErr w:type="gramEnd"/>
            <w:r w:rsidRPr="00AC6DEC">
              <w:rPr>
                <w:rFonts w:ascii="Times New Roman" w:hAnsi="Times New Roman" w:cs="Times New Roman"/>
              </w:rPr>
              <w:t xml:space="preserve"> items from the “Retail/clothing/department store” category in Desirable/Undesirable Activities.</w:t>
            </w:r>
          </w:p>
          <w:p w14:paraId="635CB855" w14:textId="77777777" w:rsidR="00943E5C" w:rsidRPr="00AC6DEC" w:rsidRDefault="00943E5C" w:rsidP="00607B8C">
            <w:pPr>
              <w:contextualSpacing/>
              <w:rPr>
                <w:rFonts w:ascii="Times New Roman" w:hAnsi="Times New Roman" w:cs="Times New Roman"/>
                <w:b/>
                <w:bCs/>
              </w:rPr>
            </w:pPr>
          </w:p>
        </w:tc>
      </w:tr>
      <w:tr w:rsidR="00943E5C" w:rsidRPr="00AC6DEC" w14:paraId="0D8A577D" w14:textId="77777777" w:rsidTr="2A62FF34">
        <w:trPr>
          <w:jc w:val="center"/>
        </w:trPr>
        <w:tc>
          <w:tcPr>
            <w:tcW w:w="2157" w:type="dxa"/>
            <w:tcMar>
              <w:top w:w="72" w:type="dxa"/>
              <w:left w:w="115" w:type="dxa"/>
              <w:bottom w:w="72" w:type="dxa"/>
              <w:right w:w="115" w:type="dxa"/>
            </w:tcMar>
            <w:vAlign w:val="center"/>
          </w:tcPr>
          <w:p w14:paraId="02C63334"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08A71242"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3.14</w:t>
            </w:r>
          </w:p>
          <w:p w14:paraId="0C742295"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rPr>
              <w:t>Scoring; Previous Projects</w:t>
            </w:r>
          </w:p>
        </w:tc>
        <w:tc>
          <w:tcPr>
            <w:tcW w:w="9590" w:type="dxa"/>
            <w:tcMar>
              <w:top w:w="72" w:type="dxa"/>
              <w:left w:w="115" w:type="dxa"/>
              <w:bottom w:w="72" w:type="dxa"/>
              <w:right w:w="115" w:type="dxa"/>
            </w:tcMar>
            <w:vAlign w:val="center"/>
          </w:tcPr>
          <w:p w14:paraId="5E5F65DD"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Q0309_02</w:t>
            </w:r>
          </w:p>
          <w:p w14:paraId="0CD3C5A1" w14:textId="77777777" w:rsidR="00943E5C" w:rsidRPr="00AC6DEC" w:rsidRDefault="00943E5C" w:rsidP="00607B8C">
            <w:r w:rsidRPr="00AC6DEC">
              <w:rPr>
                <w:rFonts w:ascii="Times New Roman" w:hAnsi="Times New Roman" w:cs="Times New Roman"/>
              </w:rPr>
              <w:t xml:space="preserve">In previous years DCA posted a list of previous projects within the past 6 years. Will DCA publish this list again? The GIS map of previously funded deals has various errors </w:t>
            </w:r>
            <w:proofErr w:type="gramStart"/>
            <w:r w:rsidRPr="00AC6DEC">
              <w:rPr>
                <w:rFonts w:ascii="Times New Roman" w:hAnsi="Times New Roman" w:cs="Times New Roman"/>
              </w:rPr>
              <w:t>in regards to</w:t>
            </w:r>
            <w:proofErr w:type="gramEnd"/>
            <w:r w:rsidRPr="00AC6DEC">
              <w:rPr>
                <w:rFonts w:ascii="Times New Roman" w:hAnsi="Times New Roman" w:cs="Times New Roman"/>
              </w:rPr>
              <w:t xml:space="preserve"> site jurisdiction (i.e. within or outside of city limits) as well as how the development was funded (i.e. competitive cycle or not). The list would help eliminate this confusion.</w:t>
            </w:r>
          </w:p>
          <w:p w14:paraId="3351651D" w14:textId="77777777" w:rsidR="00943E5C" w:rsidRPr="00AC6DEC" w:rsidRDefault="00943E5C" w:rsidP="00607B8C">
            <w:pPr>
              <w:contextualSpacing/>
              <w:rPr>
                <w:rFonts w:ascii="Times New Roman" w:hAnsi="Times New Roman" w:cs="Times New Roman"/>
                <w:b/>
                <w:bCs/>
              </w:rPr>
            </w:pPr>
          </w:p>
          <w:p w14:paraId="54A0E925"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3C1D0197"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The 9% Selection lists are located on DCA’s website here </w:t>
            </w:r>
            <w:hyperlink r:id="rId26">
              <w:r w:rsidRPr="00AC6DEC">
                <w:rPr>
                  <w:rStyle w:val="Hyperlink"/>
                  <w:rFonts w:ascii="Times New Roman" w:hAnsi="Times New Roman" w:cs="Times New Roman"/>
                </w:rPr>
                <w:t>https://www.dca.ga.gov/node/3814</w:t>
              </w:r>
            </w:hyperlink>
            <w:r w:rsidRPr="00AC6DEC">
              <w:rPr>
                <w:rFonts w:ascii="Times New Roman" w:hAnsi="Times New Roman" w:cs="Times New Roman"/>
              </w:rPr>
              <w:t xml:space="preserve"> </w:t>
            </w:r>
          </w:p>
          <w:p w14:paraId="3FD2CCD5" w14:textId="77777777" w:rsidR="00943E5C" w:rsidRPr="00AC6DEC" w:rsidRDefault="00943E5C" w:rsidP="00607B8C">
            <w:pPr>
              <w:rPr>
                <w:rFonts w:ascii="Times New Roman" w:hAnsi="Times New Roman" w:cs="Times New Roman"/>
              </w:rPr>
            </w:pPr>
          </w:p>
          <w:p w14:paraId="1508CC17" w14:textId="77777777" w:rsidR="00943E5C" w:rsidRPr="00AC6DEC" w:rsidRDefault="00943E5C" w:rsidP="00607B8C">
            <w:pPr>
              <w:rPr>
                <w:rFonts w:ascii="Times New Roman" w:hAnsi="Times New Roman" w:cs="Times New Roman"/>
                <w:b/>
                <w:bCs/>
              </w:rPr>
            </w:pPr>
            <w:r w:rsidRPr="00AC6DEC">
              <w:rPr>
                <w:rFonts w:ascii="Times New Roman" w:hAnsi="Times New Roman" w:cs="Times New Roman"/>
              </w:rPr>
              <w:t xml:space="preserve">The Housing Tax Credit Properties Map reflects the information on our lists. Please submit details and screenshots of any errors you encounter through the Q&amp;A Survey so we may assess and revise any posted resources accordingly. </w:t>
            </w:r>
          </w:p>
        </w:tc>
      </w:tr>
      <w:tr w:rsidR="00943E5C" w:rsidRPr="00AC6DEC" w14:paraId="30FD4484" w14:textId="77777777" w:rsidTr="2A62FF34">
        <w:trPr>
          <w:jc w:val="center"/>
        </w:trPr>
        <w:tc>
          <w:tcPr>
            <w:tcW w:w="2157" w:type="dxa"/>
            <w:tcMar>
              <w:top w:w="72" w:type="dxa"/>
              <w:left w:w="115" w:type="dxa"/>
              <w:bottom w:w="72" w:type="dxa"/>
              <w:right w:w="115" w:type="dxa"/>
            </w:tcMar>
            <w:vAlign w:val="center"/>
          </w:tcPr>
          <w:p w14:paraId="0F4B14AE"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4E650883"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3.18</w:t>
            </w:r>
          </w:p>
          <w:p w14:paraId="1504775D"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lastRenderedPageBreak/>
              <w:t>Scoring; Favorable Financing</w:t>
            </w:r>
          </w:p>
        </w:tc>
        <w:tc>
          <w:tcPr>
            <w:tcW w:w="9590" w:type="dxa"/>
            <w:tcMar>
              <w:top w:w="72" w:type="dxa"/>
              <w:left w:w="115" w:type="dxa"/>
              <w:bottom w:w="72" w:type="dxa"/>
              <w:right w:w="115" w:type="dxa"/>
            </w:tcMar>
            <w:vAlign w:val="center"/>
          </w:tcPr>
          <w:p w14:paraId="6763E23B"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lastRenderedPageBreak/>
              <w:t>Question: Q0309_01</w:t>
            </w:r>
          </w:p>
          <w:p w14:paraId="7DEADB27"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 xml:space="preserve">DCA recently had a question about seller financing qualifying for Favorable Financing points (Q1030_02), and DCA's answer has led to some confusion for us.  I would like to make sure I understand how DCA will calculate favorable financing points when the source of those funds is also the seller of the property.  Here is our scenario: </w:t>
            </w:r>
          </w:p>
          <w:p w14:paraId="35E672AF" w14:textId="77777777" w:rsidR="00943E5C" w:rsidRPr="00AC6DEC" w:rsidRDefault="00943E5C" w:rsidP="00607B8C">
            <w:r w:rsidRPr="00AC6DEC">
              <w:rPr>
                <w:rFonts w:ascii="Times New Roman" w:hAnsi="Times New Roman" w:cs="Times New Roman"/>
              </w:rPr>
              <w:t xml:space="preserve"> </w:t>
            </w:r>
          </w:p>
          <w:p w14:paraId="64CA85CE" w14:textId="77777777" w:rsidR="00943E5C" w:rsidRPr="00AC6DEC" w:rsidRDefault="00943E5C" w:rsidP="00607B8C">
            <w:r w:rsidRPr="00AC6DEC">
              <w:rPr>
                <w:rFonts w:ascii="Times New Roman" w:hAnsi="Times New Roman" w:cs="Times New Roman"/>
              </w:rPr>
              <w:t xml:space="preserve">The seller of the property would like to offer the partnership a loan for the acquisition and rehab of the property in the amount of $5MM.  The sales price for the property will be $2MM.  It is our understanding that DCA will subtract the $2MM sale price from the $5MM loan amount and calculate the favorable financing points based on $3MM ($5MM - $2MM = $3MM).  Is that correct?  </w:t>
            </w:r>
          </w:p>
          <w:p w14:paraId="487C0EB2" w14:textId="77777777" w:rsidR="00943E5C" w:rsidRPr="00AC6DEC" w:rsidRDefault="00943E5C" w:rsidP="00607B8C">
            <w:pPr>
              <w:contextualSpacing/>
              <w:rPr>
                <w:rFonts w:ascii="Times New Roman" w:hAnsi="Times New Roman" w:cs="Times New Roman"/>
                <w:b/>
                <w:bCs/>
              </w:rPr>
            </w:pPr>
          </w:p>
          <w:p w14:paraId="5A4C9ADA"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47DD9561"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Correct. See below, assuming hypothetical proposed development of 80 units: </w:t>
            </w:r>
          </w:p>
          <w:p w14:paraId="1AB89191" w14:textId="77777777" w:rsidR="00943E5C" w:rsidRPr="00AC6DEC" w:rsidRDefault="00943E5C" w:rsidP="00607B8C">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4320"/>
              <w:gridCol w:w="1980"/>
            </w:tblGrid>
            <w:tr w:rsidR="00943E5C" w:rsidRPr="00AC6DEC" w14:paraId="211BD47E" w14:textId="77777777" w:rsidTr="00BA35D9">
              <w:trPr>
                <w:jc w:val="center"/>
              </w:trPr>
              <w:tc>
                <w:tcPr>
                  <w:tcW w:w="4320" w:type="dxa"/>
                </w:tcPr>
                <w:p w14:paraId="35B52DA9" w14:textId="77777777" w:rsidR="00943E5C" w:rsidRPr="00AC6DEC" w:rsidRDefault="00943E5C" w:rsidP="00607B8C">
                  <w:pPr>
                    <w:contextualSpacing/>
                    <w:jc w:val="right"/>
                    <w:rPr>
                      <w:rFonts w:ascii="Times New Roman" w:hAnsi="Times New Roman" w:cs="Times New Roman"/>
                    </w:rPr>
                  </w:pPr>
                  <w:r w:rsidRPr="00AC6DEC">
                    <w:rPr>
                      <w:rFonts w:ascii="Times New Roman" w:hAnsi="Times New Roman" w:cs="Times New Roman"/>
                    </w:rPr>
                    <w:t>Sales price</w:t>
                  </w:r>
                </w:p>
              </w:tc>
              <w:tc>
                <w:tcPr>
                  <w:tcW w:w="1980" w:type="dxa"/>
                </w:tcPr>
                <w:p w14:paraId="02A578E6"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$2M</w:t>
                  </w:r>
                </w:p>
              </w:tc>
            </w:tr>
            <w:tr w:rsidR="00943E5C" w:rsidRPr="00AC6DEC" w14:paraId="4F95C24C" w14:textId="77777777" w:rsidTr="00BA35D9">
              <w:trPr>
                <w:jc w:val="center"/>
              </w:trPr>
              <w:tc>
                <w:tcPr>
                  <w:tcW w:w="4320" w:type="dxa"/>
                </w:tcPr>
                <w:p w14:paraId="43B39D73" w14:textId="77777777" w:rsidR="00943E5C" w:rsidRPr="00AC6DEC" w:rsidRDefault="00943E5C" w:rsidP="00607B8C">
                  <w:pPr>
                    <w:contextualSpacing/>
                    <w:jc w:val="right"/>
                    <w:rPr>
                      <w:rFonts w:ascii="Times New Roman" w:hAnsi="Times New Roman" w:cs="Times New Roman"/>
                    </w:rPr>
                  </w:pPr>
                  <w:r w:rsidRPr="00AC6DEC">
                    <w:rPr>
                      <w:rFonts w:ascii="Times New Roman" w:hAnsi="Times New Roman" w:cs="Times New Roman"/>
                    </w:rPr>
                    <w:t xml:space="preserve">Loan from seller  </w:t>
                  </w:r>
                </w:p>
              </w:tc>
              <w:tc>
                <w:tcPr>
                  <w:tcW w:w="1980" w:type="dxa"/>
                </w:tcPr>
                <w:p w14:paraId="5CAC0DAE"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$5M</w:t>
                  </w:r>
                </w:p>
              </w:tc>
            </w:tr>
            <w:tr w:rsidR="00943E5C" w:rsidRPr="00AC6DEC" w14:paraId="21ECBE4D" w14:textId="77777777" w:rsidTr="00BA35D9">
              <w:trPr>
                <w:jc w:val="center"/>
              </w:trPr>
              <w:tc>
                <w:tcPr>
                  <w:tcW w:w="4320" w:type="dxa"/>
                </w:tcPr>
                <w:p w14:paraId="3F4BC1A4" w14:textId="77777777" w:rsidR="00943E5C" w:rsidRPr="00AC6DEC" w:rsidRDefault="00943E5C" w:rsidP="00607B8C">
                  <w:pPr>
                    <w:contextualSpacing/>
                    <w:jc w:val="right"/>
                    <w:rPr>
                      <w:rFonts w:ascii="Times New Roman" w:hAnsi="Times New Roman" w:cs="Times New Roman"/>
                    </w:rPr>
                  </w:pPr>
                  <w:r w:rsidRPr="00AC6DEC">
                    <w:rPr>
                      <w:rFonts w:ascii="Times New Roman" w:hAnsi="Times New Roman" w:cs="Times New Roman"/>
                    </w:rPr>
                    <w:t>Loan amount eligible for points consideration</w:t>
                  </w:r>
                </w:p>
              </w:tc>
              <w:tc>
                <w:tcPr>
                  <w:tcW w:w="1980" w:type="dxa"/>
                </w:tcPr>
                <w:p w14:paraId="585076DC"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$5M - $2M = $3M</w:t>
                  </w:r>
                </w:p>
              </w:tc>
            </w:tr>
            <w:tr w:rsidR="00943E5C" w:rsidRPr="00AC6DEC" w14:paraId="6AAAC9BE" w14:textId="77777777" w:rsidTr="00BA35D9">
              <w:trPr>
                <w:jc w:val="center"/>
              </w:trPr>
              <w:tc>
                <w:tcPr>
                  <w:tcW w:w="4320" w:type="dxa"/>
                </w:tcPr>
                <w:p w14:paraId="124D446D" w14:textId="77777777" w:rsidR="00943E5C" w:rsidRPr="00AC6DEC" w:rsidRDefault="00943E5C" w:rsidP="00607B8C">
                  <w:pPr>
                    <w:contextualSpacing/>
                    <w:jc w:val="right"/>
                    <w:rPr>
                      <w:rFonts w:ascii="Times New Roman" w:hAnsi="Times New Roman" w:cs="Times New Roman"/>
                    </w:rPr>
                  </w:pPr>
                  <w:r w:rsidRPr="00AC6DEC">
                    <w:rPr>
                      <w:rFonts w:ascii="Times New Roman" w:hAnsi="Times New Roman" w:cs="Times New Roman"/>
                    </w:rPr>
                    <w:t>Units in proposed development</w:t>
                  </w:r>
                </w:p>
              </w:tc>
              <w:tc>
                <w:tcPr>
                  <w:tcW w:w="1980" w:type="dxa"/>
                </w:tcPr>
                <w:p w14:paraId="3946C2C5"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80</w:t>
                  </w:r>
                </w:p>
              </w:tc>
            </w:tr>
            <w:tr w:rsidR="00943E5C" w:rsidRPr="00AC6DEC" w14:paraId="44C74041" w14:textId="77777777" w:rsidTr="00BA35D9">
              <w:trPr>
                <w:jc w:val="center"/>
              </w:trPr>
              <w:tc>
                <w:tcPr>
                  <w:tcW w:w="4320" w:type="dxa"/>
                </w:tcPr>
                <w:p w14:paraId="350A777C" w14:textId="77777777" w:rsidR="00943E5C" w:rsidRPr="00AC6DEC" w:rsidRDefault="00943E5C" w:rsidP="00607B8C">
                  <w:pPr>
                    <w:contextualSpacing/>
                    <w:jc w:val="right"/>
                    <w:rPr>
                      <w:rFonts w:ascii="Times New Roman" w:hAnsi="Times New Roman" w:cs="Times New Roman"/>
                    </w:rPr>
                  </w:pPr>
                  <w:r w:rsidRPr="00AC6DEC">
                    <w:rPr>
                      <w:rFonts w:ascii="Times New Roman" w:hAnsi="Times New Roman" w:cs="Times New Roman"/>
                    </w:rPr>
                    <w:t>Favorable financing per unit, for points consideration*</w:t>
                  </w:r>
                </w:p>
              </w:tc>
              <w:tc>
                <w:tcPr>
                  <w:tcW w:w="1980" w:type="dxa"/>
                </w:tcPr>
                <w:p w14:paraId="6D969461"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$3M / 80 = $37,500</w:t>
                  </w:r>
                </w:p>
              </w:tc>
            </w:tr>
          </w:tbl>
          <w:p w14:paraId="2AF8D08F" w14:textId="77777777" w:rsidR="00943E5C" w:rsidRPr="00AC6DEC" w:rsidRDefault="00943E5C" w:rsidP="00607B8C">
            <w:pPr>
              <w:contextualSpacing/>
              <w:rPr>
                <w:rFonts w:ascii="Times New Roman" w:hAnsi="Times New Roman" w:cs="Times New Roman"/>
              </w:rPr>
            </w:pPr>
          </w:p>
          <w:p w14:paraId="2665DAB6"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 This assumes that the seller loan meets all </w:t>
            </w:r>
            <w:r w:rsidRPr="00AC6DEC">
              <w:rPr>
                <w:rFonts w:ascii="Times New Roman" w:hAnsi="Times New Roman" w:cs="Times New Roman"/>
                <w:b/>
                <w:bCs/>
              </w:rPr>
              <w:t>Favorable Financing</w:t>
            </w:r>
            <w:r w:rsidRPr="00AC6DEC">
              <w:rPr>
                <w:rFonts w:ascii="Times New Roman" w:hAnsi="Times New Roman" w:cs="Times New Roman"/>
              </w:rPr>
              <w:t xml:space="preserve"> </w:t>
            </w:r>
            <w:proofErr w:type="gramStart"/>
            <w:r w:rsidRPr="00AC6DEC">
              <w:rPr>
                <w:rFonts w:ascii="Times New Roman" w:hAnsi="Times New Roman" w:cs="Times New Roman"/>
              </w:rPr>
              <w:t>requirements</w:t>
            </w:r>
            <w:proofErr w:type="gramEnd"/>
            <w:r w:rsidRPr="00AC6DEC">
              <w:rPr>
                <w:rFonts w:ascii="Times New Roman" w:hAnsi="Times New Roman" w:cs="Times New Roman"/>
              </w:rPr>
              <w:t xml:space="preserve"> and the seller-financing is the only source of funds under consideration for </w:t>
            </w:r>
            <w:r w:rsidRPr="00AC6DEC">
              <w:rPr>
                <w:rFonts w:ascii="Times New Roman" w:hAnsi="Times New Roman" w:cs="Times New Roman"/>
                <w:b/>
                <w:bCs/>
              </w:rPr>
              <w:t>Favorable Financing</w:t>
            </w:r>
            <w:r w:rsidRPr="00AC6DEC">
              <w:rPr>
                <w:rFonts w:ascii="Times New Roman" w:hAnsi="Times New Roman" w:cs="Times New Roman"/>
              </w:rPr>
              <w:t xml:space="preserve"> points.  </w:t>
            </w:r>
          </w:p>
          <w:p w14:paraId="2C844D03" w14:textId="77777777" w:rsidR="00943E5C" w:rsidRPr="00AC6DEC" w:rsidRDefault="00943E5C" w:rsidP="00607B8C">
            <w:pPr>
              <w:contextualSpacing/>
              <w:rPr>
                <w:rFonts w:ascii="Times New Roman" w:hAnsi="Times New Roman" w:cs="Times New Roman"/>
              </w:rPr>
            </w:pPr>
          </w:p>
          <w:p w14:paraId="6A8B3E35"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The QAP states the following: </w:t>
            </w:r>
            <w:r w:rsidRPr="00AC6DEC">
              <w:rPr>
                <w:rFonts w:ascii="Times New Roman" w:hAnsi="Times New Roman" w:cs="Times New Roman"/>
              </w:rPr>
              <w:br/>
            </w:r>
          </w:p>
          <w:p w14:paraId="7ADE7A73" w14:textId="77777777" w:rsidR="00943E5C" w:rsidRPr="00AC6DEC" w:rsidRDefault="00943E5C" w:rsidP="00607B8C">
            <w:pPr>
              <w:ind w:left="720"/>
              <w:contextualSpacing/>
              <w:rPr>
                <w:rFonts w:ascii="Times New Roman" w:hAnsi="Times New Roman" w:cs="Times New Roman"/>
                <w:i/>
                <w:iCs/>
              </w:rPr>
            </w:pPr>
            <w:r w:rsidRPr="00AC6DEC">
              <w:rPr>
                <w:rFonts w:ascii="Times New Roman" w:hAnsi="Times New Roman" w:cs="Times New Roman"/>
                <w:i/>
                <w:iCs/>
              </w:rPr>
              <w:t>“</w:t>
            </w:r>
            <w:r w:rsidRPr="00AC6DEC">
              <w:rPr>
                <w:rFonts w:ascii="Times New Roman" w:eastAsia="Times New Roman" w:hAnsi="Times New Roman" w:cs="Times New Roman"/>
                <w:i/>
                <w:iCs/>
              </w:rPr>
              <w:t>If the seller of the land/property (or any related party) is providing funds to finance the development and claiming these points, the sales price will be reduced from the total funds provided, to calculate the favorable financing points allowable.”</w:t>
            </w:r>
          </w:p>
          <w:p w14:paraId="440C9001" w14:textId="77777777" w:rsidR="00943E5C" w:rsidRPr="00AC6DEC" w:rsidRDefault="00943E5C" w:rsidP="00607B8C">
            <w:pPr>
              <w:contextualSpacing/>
              <w:rPr>
                <w:rFonts w:ascii="Times New Roman" w:hAnsi="Times New Roman" w:cs="Times New Roman"/>
                <w:b/>
                <w:bCs/>
              </w:rPr>
            </w:pPr>
          </w:p>
        </w:tc>
      </w:tr>
      <w:tr w:rsidR="00943E5C" w:rsidRPr="00AC6DEC" w14:paraId="3E37815B" w14:textId="77777777" w:rsidTr="2A62FF34">
        <w:trPr>
          <w:jc w:val="center"/>
        </w:trPr>
        <w:tc>
          <w:tcPr>
            <w:tcW w:w="2157" w:type="dxa"/>
            <w:tcMar>
              <w:top w:w="72" w:type="dxa"/>
              <w:left w:w="115" w:type="dxa"/>
              <w:bottom w:w="72" w:type="dxa"/>
              <w:right w:w="115" w:type="dxa"/>
            </w:tcMar>
            <w:vAlign w:val="center"/>
          </w:tcPr>
          <w:p w14:paraId="7F3A40BC"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78D262C1"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3.18</w:t>
            </w:r>
          </w:p>
          <w:p w14:paraId="3A238D0F"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00E7578A"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Q0303_01c</w:t>
            </w:r>
          </w:p>
          <w:p w14:paraId="4615E980"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Does the funding from a HAP Contract fall into one of the Qualifying Sources for Favorable Financing?</w:t>
            </w:r>
          </w:p>
          <w:p w14:paraId="51ABBF52" w14:textId="77777777" w:rsidR="00943E5C" w:rsidRPr="00AC6DEC" w:rsidRDefault="00943E5C" w:rsidP="00607B8C">
            <w:pPr>
              <w:contextualSpacing/>
              <w:rPr>
                <w:rFonts w:ascii="Times New Roman" w:hAnsi="Times New Roman" w:cs="Times New Roman"/>
                <w:b/>
                <w:bCs/>
              </w:rPr>
            </w:pPr>
          </w:p>
          <w:p w14:paraId="44D7A0B4"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1F3CF328"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Housing Assistance Payment contracts do not qualify for points under </w:t>
            </w:r>
            <w:r w:rsidRPr="00AC6DEC">
              <w:rPr>
                <w:rFonts w:ascii="Times New Roman" w:hAnsi="Times New Roman" w:cs="Times New Roman"/>
                <w:i/>
                <w:iCs/>
              </w:rPr>
              <w:t>Favorable Financing</w:t>
            </w:r>
            <w:r w:rsidRPr="00AC6DEC">
              <w:rPr>
                <w:rFonts w:ascii="Times New Roman" w:hAnsi="Times New Roman" w:cs="Times New Roman"/>
              </w:rPr>
              <w:t xml:space="preserve">. This section states the following: </w:t>
            </w:r>
          </w:p>
          <w:p w14:paraId="0049103D" w14:textId="77777777" w:rsidR="00943E5C" w:rsidRPr="00AC6DEC" w:rsidRDefault="00943E5C" w:rsidP="00607B8C">
            <w:pPr>
              <w:contextualSpacing/>
              <w:rPr>
                <w:rFonts w:ascii="Times New Roman" w:hAnsi="Times New Roman" w:cs="Times New Roman"/>
              </w:rPr>
            </w:pPr>
          </w:p>
          <w:p w14:paraId="0E00AB50" w14:textId="77777777" w:rsidR="00943E5C" w:rsidRPr="00AC6DEC" w:rsidRDefault="00943E5C" w:rsidP="00607B8C">
            <w:pPr>
              <w:contextualSpacing/>
              <w:rPr>
                <w:rFonts w:ascii="Times New Roman" w:hAnsi="Times New Roman" w:cs="Times New Roman"/>
                <w:b/>
                <w:bCs/>
                <w:i/>
                <w:iCs/>
                <w:u w:val="single"/>
              </w:rPr>
            </w:pPr>
            <w:r w:rsidRPr="00AC6DEC">
              <w:rPr>
                <w:rFonts w:ascii="Times New Roman" w:hAnsi="Times New Roman" w:cs="Times New Roman"/>
                <w:i/>
                <w:iCs/>
              </w:rPr>
              <w:t>“New loans or new grants from the following sources that will provide new</w:t>
            </w:r>
            <w:r w:rsidRPr="00AC6DEC">
              <w:rPr>
                <w:rFonts w:ascii="Times New Roman" w:hAnsi="Times New Roman" w:cs="Times New Roman"/>
                <w:b/>
                <w:bCs/>
                <w:i/>
                <w:iCs/>
              </w:rPr>
              <w:t xml:space="preserve"> capital funding</w:t>
            </w:r>
            <w:r w:rsidRPr="00AC6DEC">
              <w:rPr>
                <w:rFonts w:ascii="Times New Roman" w:hAnsi="Times New Roman" w:cs="Times New Roman"/>
                <w:i/>
                <w:iCs/>
              </w:rPr>
              <w:t xml:space="preserve"> will qualify for points under this category.” </w:t>
            </w:r>
          </w:p>
          <w:p w14:paraId="4AB8C38D" w14:textId="77777777" w:rsidR="00943E5C" w:rsidRPr="00AC6DEC" w:rsidRDefault="00943E5C" w:rsidP="00607B8C">
            <w:pPr>
              <w:contextualSpacing/>
              <w:rPr>
                <w:rFonts w:ascii="Times New Roman" w:hAnsi="Times New Roman" w:cs="Times New Roman"/>
              </w:rPr>
            </w:pPr>
          </w:p>
          <w:p w14:paraId="2D32D5DE"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HAP contracts financially support a property’s operating expenses, not capital expenses. </w:t>
            </w:r>
          </w:p>
          <w:p w14:paraId="124362F1" w14:textId="77777777" w:rsidR="00943E5C" w:rsidRPr="00AC6DEC" w:rsidRDefault="00943E5C" w:rsidP="00607B8C">
            <w:pPr>
              <w:contextualSpacing/>
              <w:rPr>
                <w:rFonts w:ascii="Times New Roman" w:hAnsi="Times New Roman" w:cs="Times New Roman"/>
                <w:b/>
                <w:bCs/>
              </w:rPr>
            </w:pPr>
          </w:p>
        </w:tc>
      </w:tr>
      <w:tr w:rsidR="00943E5C" w:rsidRPr="00AC6DEC" w14:paraId="7E498D5A" w14:textId="77777777" w:rsidTr="2A62FF34">
        <w:trPr>
          <w:jc w:val="center"/>
        </w:trPr>
        <w:tc>
          <w:tcPr>
            <w:tcW w:w="2157" w:type="dxa"/>
            <w:tcMar>
              <w:top w:w="72" w:type="dxa"/>
              <w:left w:w="115" w:type="dxa"/>
              <w:bottom w:w="72" w:type="dxa"/>
              <w:right w:w="115" w:type="dxa"/>
            </w:tcMar>
            <w:vAlign w:val="center"/>
          </w:tcPr>
          <w:p w14:paraId="726A56AC"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748C03C9"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1.12</w:t>
            </w:r>
          </w:p>
          <w:p w14:paraId="3A7A273D"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Core Plan; 4% Federal Credit – Bond Financed Projects</w:t>
            </w:r>
          </w:p>
        </w:tc>
        <w:tc>
          <w:tcPr>
            <w:tcW w:w="9590" w:type="dxa"/>
            <w:tcMar>
              <w:top w:w="72" w:type="dxa"/>
              <w:left w:w="115" w:type="dxa"/>
              <w:bottom w:w="72" w:type="dxa"/>
              <w:right w:w="115" w:type="dxa"/>
            </w:tcMar>
            <w:vAlign w:val="center"/>
          </w:tcPr>
          <w:p w14:paraId="7B401451"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Q0222_03b</w:t>
            </w:r>
          </w:p>
          <w:p w14:paraId="64585A5D" w14:textId="77777777" w:rsidR="00943E5C" w:rsidRPr="00AC6DEC" w:rsidRDefault="00943E5C" w:rsidP="00607B8C">
            <w:r w:rsidRPr="00AC6DEC">
              <w:rPr>
                <w:rFonts w:ascii="Times New Roman" w:hAnsi="Times New Roman" w:cs="Times New Roman"/>
              </w:rPr>
              <w:t>When the bond application is available is there a review process for all applications similar to the 9% round or is it first come, first serve? We are trying to create a timeline and understand the needed preparation.</w:t>
            </w:r>
          </w:p>
          <w:p w14:paraId="2C8F9434" w14:textId="77777777" w:rsidR="00943E5C" w:rsidRPr="00AC6DEC" w:rsidRDefault="00943E5C" w:rsidP="00607B8C">
            <w:pPr>
              <w:contextualSpacing/>
              <w:rPr>
                <w:rFonts w:ascii="Times New Roman" w:hAnsi="Times New Roman" w:cs="Times New Roman"/>
                <w:b/>
                <w:bCs/>
              </w:rPr>
            </w:pPr>
          </w:p>
          <w:p w14:paraId="1B355061"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675969A2" w14:textId="77777777" w:rsidR="00943E5C" w:rsidRPr="00AC6DEC" w:rsidRDefault="00943E5C" w:rsidP="00607B8C">
            <w:pPr>
              <w:rPr>
                <w:rFonts w:ascii="Times New Roman" w:hAnsi="Times New Roman" w:cs="Times New Roman"/>
                <w:lang w:val="fr-FR"/>
              </w:rPr>
            </w:pPr>
            <w:r w:rsidRPr="00AC6DEC">
              <w:rPr>
                <w:rFonts w:ascii="Times New Roman" w:hAnsi="Times New Roman" w:cs="Times New Roman"/>
              </w:rPr>
              <w:t xml:space="preserve">Applications will be competitive and not first come first serve. Application documentation required will be announced in advance of any submission deadline, when DCA has resources available. </w:t>
            </w:r>
            <w:proofErr w:type="spellStart"/>
            <w:r w:rsidRPr="00AC6DEC">
              <w:rPr>
                <w:rFonts w:ascii="Times New Roman" w:hAnsi="Times New Roman" w:cs="Times New Roman"/>
                <w:lang w:val="fr-FR"/>
              </w:rPr>
              <w:t>Please</w:t>
            </w:r>
            <w:proofErr w:type="spellEnd"/>
            <w:r w:rsidRPr="00AC6DEC">
              <w:rPr>
                <w:rFonts w:ascii="Times New Roman" w:hAnsi="Times New Roman" w:cs="Times New Roman"/>
                <w:lang w:val="fr-FR"/>
              </w:rPr>
              <w:t xml:space="preserve"> </w:t>
            </w:r>
            <w:proofErr w:type="spellStart"/>
            <w:r w:rsidRPr="00AC6DEC">
              <w:rPr>
                <w:rFonts w:ascii="Times New Roman" w:hAnsi="Times New Roman" w:cs="Times New Roman"/>
                <w:lang w:val="fr-FR"/>
              </w:rPr>
              <w:t>see</w:t>
            </w:r>
            <w:proofErr w:type="spellEnd"/>
            <w:r w:rsidRPr="00AC6DEC">
              <w:rPr>
                <w:rFonts w:ascii="Times New Roman" w:hAnsi="Times New Roman" w:cs="Times New Roman"/>
                <w:lang w:val="fr-FR"/>
              </w:rPr>
              <w:t xml:space="preserve"> 2021 </w:t>
            </w:r>
            <w:r w:rsidRPr="00AC6DEC">
              <w:rPr>
                <w:rFonts w:ascii="Times New Roman" w:hAnsi="Times New Roman" w:cs="Times New Roman"/>
                <w:i/>
                <w:iCs/>
                <w:lang w:val="fr-FR"/>
              </w:rPr>
              <w:t>QAP</w:t>
            </w:r>
            <w:r w:rsidRPr="00AC6DEC">
              <w:rPr>
                <w:rFonts w:ascii="Times New Roman" w:hAnsi="Times New Roman" w:cs="Times New Roman"/>
                <w:lang w:val="fr-FR"/>
              </w:rPr>
              <w:t xml:space="preserve"> for applicable </w:t>
            </w:r>
            <w:proofErr w:type="spellStart"/>
            <w:r w:rsidRPr="00AC6DEC">
              <w:rPr>
                <w:rFonts w:ascii="Times New Roman" w:hAnsi="Times New Roman" w:cs="Times New Roman"/>
                <w:lang w:val="fr-FR"/>
              </w:rPr>
              <w:t>Threshold</w:t>
            </w:r>
            <w:proofErr w:type="spellEnd"/>
            <w:r w:rsidRPr="00AC6DEC">
              <w:rPr>
                <w:rFonts w:ascii="Times New Roman" w:hAnsi="Times New Roman" w:cs="Times New Roman"/>
                <w:lang w:val="fr-FR"/>
              </w:rPr>
              <w:t xml:space="preserve"> and </w:t>
            </w:r>
            <w:proofErr w:type="spellStart"/>
            <w:r w:rsidRPr="00AC6DEC">
              <w:rPr>
                <w:rFonts w:ascii="Times New Roman" w:hAnsi="Times New Roman" w:cs="Times New Roman"/>
                <w:lang w:val="fr-FR"/>
              </w:rPr>
              <w:t>Scoring</w:t>
            </w:r>
            <w:proofErr w:type="spellEnd"/>
            <w:r w:rsidRPr="00AC6DEC">
              <w:rPr>
                <w:rFonts w:ascii="Times New Roman" w:hAnsi="Times New Roman" w:cs="Times New Roman"/>
                <w:lang w:val="fr-FR"/>
              </w:rPr>
              <w:t xml:space="preserve"> </w:t>
            </w:r>
            <w:proofErr w:type="spellStart"/>
            <w:r w:rsidRPr="00AC6DEC">
              <w:rPr>
                <w:rFonts w:ascii="Times New Roman" w:hAnsi="Times New Roman" w:cs="Times New Roman"/>
                <w:lang w:val="fr-FR"/>
              </w:rPr>
              <w:t>criteria</w:t>
            </w:r>
            <w:proofErr w:type="spellEnd"/>
            <w:r w:rsidRPr="00AC6DEC">
              <w:rPr>
                <w:rFonts w:ascii="Times New Roman" w:hAnsi="Times New Roman" w:cs="Times New Roman"/>
                <w:lang w:val="fr-FR"/>
              </w:rPr>
              <w:t>.</w:t>
            </w:r>
          </w:p>
          <w:p w14:paraId="6C36683B" w14:textId="77777777" w:rsidR="00943E5C" w:rsidRPr="00AC6DEC" w:rsidRDefault="00943E5C" w:rsidP="00607B8C">
            <w:pPr>
              <w:contextualSpacing/>
              <w:rPr>
                <w:rFonts w:ascii="Times New Roman" w:hAnsi="Times New Roman" w:cs="Times New Roman"/>
                <w:b/>
                <w:bCs/>
              </w:rPr>
            </w:pPr>
          </w:p>
        </w:tc>
      </w:tr>
      <w:tr w:rsidR="00943E5C" w:rsidRPr="00AC6DEC" w14:paraId="5F1E1169" w14:textId="77777777" w:rsidTr="2A62FF34">
        <w:trPr>
          <w:jc w:val="center"/>
        </w:trPr>
        <w:tc>
          <w:tcPr>
            <w:tcW w:w="2157" w:type="dxa"/>
            <w:tcMar>
              <w:top w:w="72" w:type="dxa"/>
              <w:left w:w="115" w:type="dxa"/>
              <w:bottom w:w="72" w:type="dxa"/>
              <w:right w:w="115" w:type="dxa"/>
            </w:tcMar>
            <w:vAlign w:val="center"/>
          </w:tcPr>
          <w:p w14:paraId="66C0A184"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07012D7B"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 xml:space="preserve">1.18 </w:t>
            </w:r>
          </w:p>
          <w:p w14:paraId="533A8A12"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Core Plan; Evaluation of 9% Tax Credit Competitive Applications</w:t>
            </w:r>
          </w:p>
        </w:tc>
        <w:tc>
          <w:tcPr>
            <w:tcW w:w="9590" w:type="dxa"/>
            <w:tcMar>
              <w:top w:w="72" w:type="dxa"/>
              <w:left w:w="115" w:type="dxa"/>
              <w:bottom w:w="72" w:type="dxa"/>
              <w:right w:w="115" w:type="dxa"/>
            </w:tcMar>
            <w:vAlign w:val="center"/>
          </w:tcPr>
          <w:p w14:paraId="07CFABD6"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Q0224_04</w:t>
            </w:r>
          </w:p>
          <w:p w14:paraId="44FFD54F" w14:textId="77777777" w:rsidR="00943E5C" w:rsidRPr="00AC6DEC" w:rsidRDefault="00943E5C" w:rsidP="00607B8C">
            <w:r w:rsidRPr="00AC6DEC">
              <w:rPr>
                <w:rFonts w:ascii="Times New Roman" w:hAnsi="Times New Roman" w:cs="Times New Roman"/>
              </w:rPr>
              <w:t>Will DCA fund two applications in the same City in DeKalb County if both are the highest scoring projects in the county and the market will support both projects?</w:t>
            </w:r>
          </w:p>
          <w:p w14:paraId="25A703C1" w14:textId="77777777" w:rsidR="00943E5C" w:rsidRPr="00AC6DEC" w:rsidRDefault="00943E5C" w:rsidP="00607B8C">
            <w:pPr>
              <w:contextualSpacing/>
              <w:rPr>
                <w:rFonts w:ascii="Times New Roman" w:hAnsi="Times New Roman" w:cs="Times New Roman"/>
                <w:b/>
                <w:bCs/>
              </w:rPr>
            </w:pPr>
          </w:p>
          <w:p w14:paraId="1347C49B" w14:textId="77777777" w:rsidR="00943E5C" w:rsidRPr="00AC6DEC" w:rsidRDefault="00943E5C" w:rsidP="00607B8C">
            <w:pPr>
              <w:rPr>
                <w:rFonts w:ascii="Times New Roman" w:hAnsi="Times New Roman" w:cs="Times New Roman"/>
                <w:b/>
                <w:bCs/>
              </w:rPr>
            </w:pPr>
            <w:r w:rsidRPr="00AC6DEC">
              <w:rPr>
                <w:rFonts w:ascii="Times New Roman" w:hAnsi="Times New Roman" w:cs="Times New Roman"/>
                <w:b/>
                <w:bCs/>
              </w:rPr>
              <w:t xml:space="preserve">Answer: </w:t>
            </w:r>
          </w:p>
          <w:p w14:paraId="434E1858" w14:textId="77777777" w:rsidR="00943E5C" w:rsidRPr="00AC6DEC" w:rsidRDefault="00943E5C" w:rsidP="00607B8C">
            <w:r w:rsidRPr="00AC6DEC">
              <w:rPr>
                <w:rFonts w:ascii="Times New Roman" w:hAnsi="Times New Roman" w:cs="Times New Roman"/>
              </w:rPr>
              <w:t>It is possible, but not a guarantee, both will be funded.</w:t>
            </w:r>
          </w:p>
          <w:p w14:paraId="2608BDFD" w14:textId="77777777" w:rsidR="00943E5C" w:rsidRPr="00AC6DEC" w:rsidRDefault="00943E5C" w:rsidP="00607B8C">
            <w:pPr>
              <w:rPr>
                <w:rFonts w:ascii="Times New Roman" w:hAnsi="Times New Roman" w:cs="Times New Roman"/>
              </w:rPr>
            </w:pPr>
          </w:p>
          <w:p w14:paraId="386D5A78" w14:textId="77777777" w:rsidR="00943E5C" w:rsidRPr="00AC6DEC" w:rsidRDefault="00943E5C" w:rsidP="00607B8C">
            <w:pPr>
              <w:rPr>
                <w:rFonts w:ascii="Times New Roman" w:eastAsia="Times New Roman" w:hAnsi="Times New Roman" w:cs="Times New Roman"/>
              </w:rPr>
            </w:pPr>
            <w:r w:rsidRPr="00AC6DEC">
              <w:rPr>
                <w:rFonts w:ascii="Times New Roman" w:eastAsia="Times New Roman" w:hAnsi="Times New Roman" w:cs="Times New Roman"/>
              </w:rPr>
              <w:t xml:space="preserve">“DCA will select up to two Metro Pool Applications located in the same Local Government </w:t>
            </w:r>
            <w:proofErr w:type="gramStart"/>
            <w:r w:rsidRPr="00AC6DEC">
              <w:rPr>
                <w:rFonts w:ascii="Times New Roman" w:eastAsia="Times New Roman" w:hAnsi="Times New Roman" w:cs="Times New Roman"/>
              </w:rPr>
              <w:t>Boundary”  (</w:t>
            </w:r>
            <w:proofErr w:type="gramEnd"/>
            <w:r w:rsidRPr="00AC6DEC">
              <w:rPr>
                <w:rFonts w:ascii="Times New Roman" w:eastAsia="Times New Roman" w:hAnsi="Times New Roman" w:cs="Times New Roman"/>
              </w:rPr>
              <w:t>Core 27).</w:t>
            </w:r>
          </w:p>
          <w:p w14:paraId="563472FA" w14:textId="77777777" w:rsidR="00943E5C" w:rsidRPr="00AC6DEC" w:rsidRDefault="00943E5C" w:rsidP="00607B8C">
            <w:pPr>
              <w:rPr>
                <w:rFonts w:ascii="Times New Roman" w:eastAsia="Times New Roman" w:hAnsi="Times New Roman" w:cs="Times New Roman"/>
              </w:rPr>
            </w:pPr>
          </w:p>
          <w:p w14:paraId="352BC24E" w14:textId="77777777" w:rsidR="00943E5C" w:rsidRPr="00AC6DEC" w:rsidRDefault="00943E5C" w:rsidP="00607B8C">
            <w:pPr>
              <w:rPr>
                <w:rFonts w:ascii="Times New Roman" w:eastAsia="Times New Roman" w:hAnsi="Times New Roman" w:cs="Times New Roman"/>
              </w:rPr>
            </w:pPr>
            <w:r w:rsidRPr="00AC6DEC">
              <w:rPr>
                <w:rFonts w:ascii="Times New Roman" w:eastAsia="Times New Roman" w:hAnsi="Times New Roman" w:cs="Times New Roman"/>
              </w:rPr>
              <w:t xml:space="preserve">“Applications with the highest DCA score and favorable market studies will be allocated resources provided that only </w:t>
            </w:r>
            <w:r w:rsidRPr="00AC6DEC">
              <w:rPr>
                <w:rFonts w:ascii="Times New Roman" w:eastAsia="Times New Roman" w:hAnsi="Times New Roman" w:cs="Times New Roman"/>
                <w:b/>
                <w:bCs/>
                <w:u w:val="single"/>
              </w:rPr>
              <w:t>one Application</w:t>
            </w:r>
            <w:r w:rsidRPr="00AC6DEC">
              <w:rPr>
                <w:rFonts w:ascii="Times New Roman" w:eastAsia="Times New Roman" w:hAnsi="Times New Roman" w:cs="Times New Roman"/>
              </w:rPr>
              <w:t xml:space="preserve"> is submitted in the market area and provided all set asides have been met. If more than one project receives a competitive score in the same market area and will serve the same tenancy, DCA will </w:t>
            </w:r>
            <w:r w:rsidRPr="00AC6DEC">
              <w:rPr>
                <w:rFonts w:ascii="Times New Roman" w:eastAsia="Times New Roman" w:hAnsi="Times New Roman" w:cs="Times New Roman"/>
                <w:b/>
                <w:bCs/>
                <w:u w:val="single"/>
              </w:rPr>
              <w:t>select the higher scoring Application</w:t>
            </w:r>
            <w:r w:rsidRPr="00AC6DEC">
              <w:rPr>
                <w:rFonts w:ascii="Times New Roman" w:eastAsia="Times New Roman" w:hAnsi="Times New Roman" w:cs="Times New Roman"/>
              </w:rPr>
              <w:t xml:space="preserve">. For purposes of this subsection, Family, Elderly, HFOP, and Other are each distinct </w:t>
            </w:r>
            <w:proofErr w:type="gramStart"/>
            <w:r w:rsidRPr="00AC6DEC">
              <w:rPr>
                <w:rFonts w:ascii="Times New Roman" w:eastAsia="Times New Roman" w:hAnsi="Times New Roman" w:cs="Times New Roman"/>
              </w:rPr>
              <w:t>tenancies</w:t>
            </w:r>
            <w:proofErr w:type="gramEnd"/>
            <w:r w:rsidRPr="00AC6DEC">
              <w:rPr>
                <w:rFonts w:ascii="Times New Roman" w:eastAsia="Times New Roman" w:hAnsi="Times New Roman" w:cs="Times New Roman"/>
              </w:rPr>
              <w:t>.” (Core 26)</w:t>
            </w:r>
          </w:p>
          <w:p w14:paraId="6AC9E9DF" w14:textId="77777777" w:rsidR="00943E5C" w:rsidRPr="00AC6DEC" w:rsidRDefault="00943E5C" w:rsidP="00607B8C">
            <w:pPr>
              <w:contextualSpacing/>
              <w:rPr>
                <w:rFonts w:ascii="Times New Roman" w:hAnsi="Times New Roman" w:cs="Times New Roman"/>
                <w:b/>
                <w:bCs/>
              </w:rPr>
            </w:pPr>
          </w:p>
        </w:tc>
      </w:tr>
      <w:tr w:rsidR="00943E5C" w:rsidRPr="00AC6DEC" w14:paraId="721582F7" w14:textId="77777777" w:rsidTr="2A62FF34">
        <w:trPr>
          <w:jc w:val="center"/>
        </w:trPr>
        <w:tc>
          <w:tcPr>
            <w:tcW w:w="2157" w:type="dxa"/>
            <w:tcMar>
              <w:top w:w="72" w:type="dxa"/>
              <w:left w:w="115" w:type="dxa"/>
              <w:bottom w:w="72" w:type="dxa"/>
              <w:right w:w="115" w:type="dxa"/>
            </w:tcMar>
            <w:vAlign w:val="center"/>
          </w:tcPr>
          <w:p w14:paraId="1F8EDDA9"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46DA612E"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3.05</w:t>
            </w:r>
          </w:p>
          <w:p w14:paraId="42CEF1CF"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lastRenderedPageBreak/>
              <w:t>Scoring; Desirable/Undesirable Activities</w:t>
            </w:r>
          </w:p>
        </w:tc>
        <w:tc>
          <w:tcPr>
            <w:tcW w:w="9590" w:type="dxa"/>
            <w:tcMar>
              <w:top w:w="72" w:type="dxa"/>
              <w:left w:w="115" w:type="dxa"/>
              <w:bottom w:w="72" w:type="dxa"/>
              <w:right w:w="115" w:type="dxa"/>
            </w:tcMar>
            <w:vAlign w:val="center"/>
          </w:tcPr>
          <w:p w14:paraId="181F72B6"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Q0226_05</w:t>
            </w:r>
          </w:p>
          <w:p w14:paraId="098061CC" w14:textId="77777777" w:rsidR="00943E5C" w:rsidRPr="00AC6DEC" w:rsidRDefault="00943E5C" w:rsidP="00607B8C">
            <w:r w:rsidRPr="00AC6DEC">
              <w:rPr>
                <w:rFonts w:ascii="Times New Roman" w:hAnsi="Times New Roman" w:cs="Times New Roman"/>
              </w:rPr>
              <w:lastRenderedPageBreak/>
              <w:t xml:space="preserve">The QAP defines a food desert as "a low-income census tract where a significant number or share of residents is more than 2 miles (USDA urban) or 20 miles (USDA rural) from the nearest supermarket." (Scoring, Page 7). However, the USDA definition for food deserts is based on a 1-mile rather than 2-mile distance, measured in terms of radius. If a site is within a 2-mile radius of a supermarket and therefore meets the QAP definition for being outside of a food desert, but is over a </w:t>
            </w:r>
            <w:proofErr w:type="gramStart"/>
            <w:r w:rsidRPr="00AC6DEC">
              <w:rPr>
                <w:rFonts w:ascii="Times New Roman" w:hAnsi="Times New Roman" w:cs="Times New Roman"/>
              </w:rPr>
              <w:t>1 mile</w:t>
            </w:r>
            <w:proofErr w:type="gramEnd"/>
            <w:r w:rsidRPr="00AC6DEC">
              <w:rPr>
                <w:rFonts w:ascii="Times New Roman" w:hAnsi="Times New Roman" w:cs="Times New Roman"/>
              </w:rPr>
              <w:t xml:space="preserve"> radius and therefore shows as being within a food desert according to the USDA definition, would it be considered within a food desert and therefore subject to the Undesirables point deduction?</w:t>
            </w:r>
          </w:p>
          <w:p w14:paraId="1D3492FF" w14:textId="77777777" w:rsidR="00943E5C" w:rsidRPr="00AC6DEC" w:rsidRDefault="00943E5C" w:rsidP="00607B8C">
            <w:pPr>
              <w:contextualSpacing/>
              <w:rPr>
                <w:rFonts w:ascii="Times New Roman" w:hAnsi="Times New Roman" w:cs="Times New Roman"/>
                <w:b/>
                <w:bCs/>
              </w:rPr>
            </w:pPr>
          </w:p>
          <w:p w14:paraId="04F809D8" w14:textId="77777777" w:rsidR="00943E5C" w:rsidRPr="00AC6DEC" w:rsidRDefault="00943E5C" w:rsidP="00607B8C">
            <w:pPr>
              <w:rPr>
                <w:rFonts w:ascii="Times New Roman" w:hAnsi="Times New Roman" w:cs="Times New Roman"/>
                <w:b/>
                <w:bCs/>
              </w:rPr>
            </w:pPr>
            <w:r w:rsidRPr="00AC6DEC">
              <w:rPr>
                <w:rFonts w:ascii="Times New Roman" w:hAnsi="Times New Roman" w:cs="Times New Roman"/>
                <w:b/>
                <w:bCs/>
              </w:rPr>
              <w:t xml:space="preserve">Answer: </w:t>
            </w:r>
          </w:p>
          <w:p w14:paraId="3A9E68B4"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This section will be scored using the QAP definition of food desert. Applicants must submit all required minimum documentation. </w:t>
            </w:r>
          </w:p>
          <w:p w14:paraId="6A2394EF" w14:textId="77777777" w:rsidR="00943E5C" w:rsidRPr="00AC6DEC" w:rsidRDefault="00943E5C" w:rsidP="00607B8C">
            <w:pPr>
              <w:contextualSpacing/>
              <w:rPr>
                <w:rFonts w:ascii="Times New Roman" w:hAnsi="Times New Roman" w:cs="Times New Roman"/>
                <w:b/>
                <w:bCs/>
              </w:rPr>
            </w:pPr>
          </w:p>
        </w:tc>
      </w:tr>
      <w:tr w:rsidR="00943E5C" w:rsidRPr="00AC6DEC" w14:paraId="44BF0722" w14:textId="77777777" w:rsidTr="2A62FF34">
        <w:trPr>
          <w:jc w:val="center"/>
        </w:trPr>
        <w:tc>
          <w:tcPr>
            <w:tcW w:w="2157" w:type="dxa"/>
            <w:tcMar>
              <w:top w:w="72" w:type="dxa"/>
              <w:left w:w="115" w:type="dxa"/>
              <w:bottom w:w="72" w:type="dxa"/>
              <w:right w:w="115" w:type="dxa"/>
            </w:tcMar>
            <w:vAlign w:val="center"/>
          </w:tcPr>
          <w:p w14:paraId="3E4E3E62"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5ABC0ACB"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3.05</w:t>
            </w:r>
          </w:p>
          <w:p w14:paraId="7AF6FBBD"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7024745F"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Q0204_01</w:t>
            </w:r>
          </w:p>
          <w:p w14:paraId="41916450"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Would a UPS Store/FedEx or similar count as a "post office" and if </w:t>
            </w:r>
            <w:proofErr w:type="gramStart"/>
            <w:r w:rsidRPr="00AC6DEC">
              <w:rPr>
                <w:rFonts w:ascii="Times New Roman" w:hAnsi="Times New Roman" w:cs="Times New Roman"/>
              </w:rPr>
              <w:t>not</w:t>
            </w:r>
            <w:proofErr w:type="gramEnd"/>
            <w:r w:rsidRPr="00AC6DEC">
              <w:rPr>
                <w:rFonts w:ascii="Times New Roman" w:hAnsi="Times New Roman" w:cs="Times New Roman"/>
              </w:rPr>
              <w:t xml:space="preserve"> what is the justification for not including them? It would appear that these businesses are able to provide the same services as a USPS office. </w:t>
            </w:r>
          </w:p>
          <w:p w14:paraId="01C21806" w14:textId="77777777" w:rsidR="00943E5C" w:rsidRPr="00AC6DEC" w:rsidRDefault="00943E5C" w:rsidP="00607B8C">
            <w:pPr>
              <w:contextualSpacing/>
              <w:rPr>
                <w:rFonts w:ascii="Times New Roman" w:hAnsi="Times New Roman" w:cs="Times New Roman"/>
                <w:b/>
                <w:bCs/>
              </w:rPr>
            </w:pPr>
          </w:p>
          <w:p w14:paraId="0E20522F"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08FD8ACE"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The 2021 QAP list of Desirable Activities specifies post office. Post offices are branches of a public agency that administers mail. UPS and FedEx are not considered post offices. </w:t>
            </w:r>
          </w:p>
          <w:p w14:paraId="01C2AE06" w14:textId="77777777" w:rsidR="00943E5C" w:rsidRPr="00AC6DEC" w:rsidRDefault="00943E5C" w:rsidP="00607B8C">
            <w:pPr>
              <w:contextualSpacing/>
              <w:rPr>
                <w:rFonts w:ascii="Times New Roman" w:hAnsi="Times New Roman" w:cs="Times New Roman"/>
              </w:rPr>
            </w:pPr>
          </w:p>
          <w:p w14:paraId="249ABD9A"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Individuals who believe that branches of UPS, FedEx, or other similar companies should be eligible for points under this category for a future QAP should submit the comment and supporting arguments to the year-round QAP online survey (</w:t>
            </w:r>
            <w:hyperlink r:id="rId27"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5F6870DF" w14:textId="77777777" w:rsidR="00943E5C" w:rsidRPr="00AC6DEC" w:rsidRDefault="00943E5C" w:rsidP="00607B8C">
            <w:pPr>
              <w:contextualSpacing/>
              <w:rPr>
                <w:rFonts w:ascii="Times New Roman" w:hAnsi="Times New Roman" w:cs="Times New Roman"/>
                <w:b/>
                <w:bCs/>
              </w:rPr>
            </w:pPr>
          </w:p>
        </w:tc>
      </w:tr>
      <w:tr w:rsidR="00943E5C" w:rsidRPr="00AC6DEC" w14:paraId="3769C914" w14:textId="77777777" w:rsidTr="2A62FF34">
        <w:trPr>
          <w:jc w:val="center"/>
        </w:trPr>
        <w:tc>
          <w:tcPr>
            <w:tcW w:w="2157" w:type="dxa"/>
            <w:tcMar>
              <w:top w:w="72" w:type="dxa"/>
              <w:left w:w="115" w:type="dxa"/>
              <w:bottom w:w="72" w:type="dxa"/>
              <w:right w:w="115" w:type="dxa"/>
            </w:tcMar>
            <w:vAlign w:val="center"/>
          </w:tcPr>
          <w:p w14:paraId="6F81814F"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564AAB5C"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3.06</w:t>
            </w:r>
          </w:p>
          <w:p w14:paraId="099CC569"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Community Transportation Options</w:t>
            </w:r>
          </w:p>
        </w:tc>
        <w:tc>
          <w:tcPr>
            <w:tcW w:w="9590" w:type="dxa"/>
            <w:tcMar>
              <w:top w:w="72" w:type="dxa"/>
              <w:left w:w="115" w:type="dxa"/>
              <w:bottom w:w="72" w:type="dxa"/>
              <w:right w:w="115" w:type="dxa"/>
            </w:tcMar>
            <w:vAlign w:val="center"/>
          </w:tcPr>
          <w:p w14:paraId="5E4E1094"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Q0226_06</w:t>
            </w:r>
          </w:p>
          <w:p w14:paraId="73DEE9E2" w14:textId="77777777" w:rsidR="00943E5C" w:rsidRPr="00AC6DEC" w:rsidRDefault="00943E5C" w:rsidP="00607B8C">
            <w:r w:rsidRPr="00AC6DEC">
              <w:rPr>
                <w:rFonts w:ascii="Times New Roman" w:hAnsi="Times New Roman" w:cs="Times New Roman"/>
              </w:rPr>
              <w:t xml:space="preserve">Under </w:t>
            </w:r>
            <w:r w:rsidRPr="00AC6DEC">
              <w:rPr>
                <w:rFonts w:ascii="Times New Roman" w:hAnsi="Times New Roman" w:cs="Times New Roman"/>
                <w:i/>
                <w:iCs/>
              </w:rPr>
              <w:t>Community Transportation Options, A. Transit-Orientated Development</w:t>
            </w:r>
            <w:r w:rsidRPr="00AC6DEC">
              <w:rPr>
                <w:rFonts w:ascii="Times New Roman" w:hAnsi="Times New Roman" w:cs="Times New Roman"/>
              </w:rPr>
              <w:t>, the QAP states that "a transit hub is a station that has three or more bus routes, rail options, and/or other affordable mass transit options." My question is, what qualifies as a station? Is it any stop that has three or more routes/rail options? Or does it need to be a large structure owned by a transit authority?</w:t>
            </w:r>
          </w:p>
          <w:p w14:paraId="49BF876D" w14:textId="77777777" w:rsidR="00943E5C" w:rsidRPr="00AC6DEC" w:rsidRDefault="00943E5C" w:rsidP="00607B8C">
            <w:pPr>
              <w:contextualSpacing/>
              <w:rPr>
                <w:rFonts w:ascii="Times New Roman" w:hAnsi="Times New Roman" w:cs="Times New Roman"/>
                <w:b/>
                <w:bCs/>
              </w:rPr>
            </w:pPr>
          </w:p>
          <w:p w14:paraId="53BB320B" w14:textId="77777777" w:rsidR="00943E5C" w:rsidRPr="00AC6DEC" w:rsidRDefault="00943E5C" w:rsidP="00607B8C">
            <w:pPr>
              <w:rPr>
                <w:rFonts w:ascii="Times New Roman" w:hAnsi="Times New Roman" w:cs="Times New Roman"/>
                <w:b/>
                <w:bCs/>
              </w:rPr>
            </w:pPr>
            <w:r w:rsidRPr="00AC6DEC">
              <w:rPr>
                <w:rFonts w:ascii="Times New Roman" w:hAnsi="Times New Roman" w:cs="Times New Roman"/>
                <w:b/>
                <w:bCs/>
              </w:rPr>
              <w:t xml:space="preserve">Answer: </w:t>
            </w:r>
          </w:p>
          <w:p w14:paraId="4F7BBAD8"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The QAP does not define the term station. The definition of transit hub in this subsection is based on the number of bus routes, rail options, and/or other affordable mass transit options.</w:t>
            </w:r>
          </w:p>
          <w:p w14:paraId="58BBCB0E" w14:textId="77777777" w:rsidR="00943E5C" w:rsidRPr="00AC6DEC" w:rsidRDefault="00943E5C" w:rsidP="00607B8C">
            <w:pPr>
              <w:contextualSpacing/>
              <w:rPr>
                <w:rFonts w:ascii="Times New Roman" w:hAnsi="Times New Roman" w:cs="Times New Roman"/>
                <w:b/>
                <w:bCs/>
              </w:rPr>
            </w:pPr>
          </w:p>
        </w:tc>
      </w:tr>
      <w:tr w:rsidR="00943E5C" w:rsidRPr="00AC6DEC" w14:paraId="6E63B82E" w14:textId="77777777" w:rsidTr="2A62FF34">
        <w:trPr>
          <w:jc w:val="center"/>
        </w:trPr>
        <w:tc>
          <w:tcPr>
            <w:tcW w:w="2157" w:type="dxa"/>
            <w:tcMar>
              <w:top w:w="72" w:type="dxa"/>
              <w:left w:w="115" w:type="dxa"/>
              <w:bottom w:w="72" w:type="dxa"/>
              <w:right w:w="115" w:type="dxa"/>
            </w:tcMar>
            <w:vAlign w:val="center"/>
          </w:tcPr>
          <w:p w14:paraId="7053DACE"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5BFE092B"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3.06</w:t>
            </w:r>
          </w:p>
          <w:p w14:paraId="3BB2AC09"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Community Transportation Options</w:t>
            </w:r>
          </w:p>
        </w:tc>
        <w:tc>
          <w:tcPr>
            <w:tcW w:w="9590" w:type="dxa"/>
            <w:tcMar>
              <w:top w:w="72" w:type="dxa"/>
              <w:left w:w="115" w:type="dxa"/>
              <w:bottom w:w="72" w:type="dxa"/>
              <w:right w:w="115" w:type="dxa"/>
            </w:tcMar>
            <w:vAlign w:val="center"/>
          </w:tcPr>
          <w:p w14:paraId="507EA0F2"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Q0205_03</w:t>
            </w:r>
          </w:p>
          <w:p w14:paraId="24F14F4A"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One of the </w:t>
            </w:r>
            <w:r w:rsidRPr="00AC6DEC">
              <w:rPr>
                <w:rFonts w:ascii="Times New Roman" w:hAnsi="Times New Roman" w:cs="Times New Roman"/>
                <w:i/>
                <w:iCs/>
              </w:rPr>
              <w:t>Community Transportation Options</w:t>
            </w:r>
            <w:r w:rsidRPr="00AC6DEC">
              <w:rPr>
                <w:rFonts w:ascii="Times New Roman" w:hAnsi="Times New Roman" w:cs="Times New Roman"/>
              </w:rPr>
              <w:t xml:space="preserve"> Minimum Documentation requirements is the following:</w:t>
            </w:r>
          </w:p>
          <w:p w14:paraId="587B8886" w14:textId="77777777" w:rsidR="00943E5C" w:rsidRPr="00AC6DEC" w:rsidRDefault="00943E5C" w:rsidP="00607B8C">
            <w:pPr>
              <w:contextualSpacing/>
              <w:rPr>
                <w:rFonts w:ascii="Times New Roman" w:hAnsi="Times New Roman" w:cs="Times New Roman"/>
              </w:rPr>
            </w:pPr>
          </w:p>
          <w:p w14:paraId="163150D4" w14:textId="77777777" w:rsidR="00943E5C" w:rsidRPr="00AC6DEC" w:rsidRDefault="00943E5C" w:rsidP="00607B8C">
            <w:pPr>
              <w:pStyle w:val="ListParagraph"/>
              <w:numPr>
                <w:ilvl w:val="0"/>
                <w:numId w:val="37"/>
              </w:numPr>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Walking distance route obtained from Google Maps from the geo-coordinates of the pedestrian site entrance to the transit stop.</w:t>
            </w:r>
            <w:r w:rsidRPr="00AC6DEC">
              <w:rPr>
                <w:rFonts w:ascii="Times New Roman" w:hAnsi="Times New Roman" w:cs="Times New Roman"/>
              </w:rPr>
              <w:t>”</w:t>
            </w:r>
          </w:p>
          <w:p w14:paraId="7CF687D0" w14:textId="77777777" w:rsidR="00943E5C" w:rsidRPr="00AC6DEC" w:rsidRDefault="00943E5C" w:rsidP="00607B8C">
            <w:pPr>
              <w:contextualSpacing/>
              <w:rPr>
                <w:rFonts w:ascii="Times New Roman" w:hAnsi="Times New Roman" w:cs="Times New Roman"/>
              </w:rPr>
            </w:pPr>
          </w:p>
          <w:p w14:paraId="18C53C9D"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We have an approval letter for a proposed crosswalk from the county. Our Project Team is responsible for constructing the crosswalk as part of the development. The proposed crosswalk is to give our residents better access to the existing bus stop. </w:t>
            </w:r>
          </w:p>
          <w:p w14:paraId="61B304DC" w14:textId="77777777" w:rsidR="00943E5C" w:rsidRPr="00AC6DEC" w:rsidRDefault="00943E5C" w:rsidP="00607B8C">
            <w:pPr>
              <w:contextualSpacing/>
              <w:rPr>
                <w:rFonts w:ascii="Times New Roman" w:hAnsi="Times New Roman" w:cs="Times New Roman"/>
              </w:rPr>
            </w:pPr>
          </w:p>
          <w:p w14:paraId="2BCE641C"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Google maps won't recognize that route to the transit stop because it's a new crosswalk and Google Maps won't be </w:t>
            </w:r>
            <w:proofErr w:type="gramStart"/>
            <w:r w:rsidRPr="00AC6DEC">
              <w:rPr>
                <w:rFonts w:ascii="Times New Roman" w:hAnsi="Times New Roman" w:cs="Times New Roman"/>
              </w:rPr>
              <w:t>up-to-date</w:t>
            </w:r>
            <w:proofErr w:type="gramEnd"/>
            <w:r w:rsidRPr="00AC6DEC">
              <w:rPr>
                <w:rFonts w:ascii="Times New Roman" w:hAnsi="Times New Roman" w:cs="Times New Roman"/>
              </w:rPr>
              <w:t xml:space="preserve"> regarding this at the time of application submission. As alternate documentation, could we show the existing route we are taking via Google Maps, with Geo Coordinates and add in a in map showing the alternative route with new proposed crosswalk and Geo Coordinates? We would also include the letter from the county. </w:t>
            </w:r>
          </w:p>
          <w:p w14:paraId="27E34723" w14:textId="77777777" w:rsidR="00943E5C" w:rsidRPr="00AC6DEC" w:rsidRDefault="00943E5C" w:rsidP="00607B8C">
            <w:pPr>
              <w:contextualSpacing/>
              <w:rPr>
                <w:rFonts w:ascii="Times New Roman" w:hAnsi="Times New Roman" w:cs="Times New Roman"/>
                <w:b/>
                <w:bCs/>
              </w:rPr>
            </w:pPr>
          </w:p>
          <w:p w14:paraId="552CCFB2" w14:textId="77777777" w:rsidR="00943E5C" w:rsidRPr="00AC6DEC" w:rsidRDefault="00943E5C" w:rsidP="00607B8C">
            <w:pPr>
              <w:rPr>
                <w:rFonts w:ascii="Times New Roman" w:hAnsi="Times New Roman" w:cs="Times New Roman"/>
                <w:b/>
                <w:bCs/>
              </w:rPr>
            </w:pPr>
            <w:r w:rsidRPr="00AC6DEC">
              <w:rPr>
                <w:rFonts w:ascii="Times New Roman" w:hAnsi="Times New Roman" w:cs="Times New Roman"/>
                <w:b/>
                <w:bCs/>
              </w:rPr>
              <w:t xml:space="preserve">Answer: </w:t>
            </w:r>
          </w:p>
          <w:p w14:paraId="3328D288" w14:textId="77777777" w:rsidR="00943E5C" w:rsidRPr="00AC6DEC" w:rsidRDefault="00943E5C" w:rsidP="00607B8C">
            <w:pPr>
              <w:rPr>
                <w:rFonts w:ascii="Times New Roman" w:hAnsi="Times New Roman" w:cs="Times New Roman"/>
              </w:rPr>
            </w:pPr>
            <w:r w:rsidRPr="00AC6DEC">
              <w:rPr>
                <w:rFonts w:ascii="Times New Roman" w:hAnsi="Times New Roman" w:cs="Times New Roman"/>
                <w:i/>
                <w:iCs/>
              </w:rPr>
              <w:t>Scoring Criteria</w:t>
            </w:r>
            <w:r w:rsidRPr="00AC6DEC">
              <w:rPr>
                <w:rFonts w:ascii="Times New Roman" w:hAnsi="Times New Roman" w:cs="Times New Roman"/>
              </w:rPr>
              <w:t xml:space="preserve">, </w:t>
            </w:r>
            <w:r w:rsidRPr="00AC6DEC">
              <w:rPr>
                <w:rFonts w:ascii="Times New Roman" w:hAnsi="Times New Roman" w:cs="Times New Roman"/>
                <w:i/>
                <w:iCs/>
              </w:rPr>
              <w:t>Documentation and Justifications</w:t>
            </w:r>
            <w:r w:rsidRPr="00AC6DEC">
              <w:rPr>
                <w:rFonts w:ascii="Times New Roman" w:hAnsi="Times New Roman" w:cs="Times New Roman"/>
              </w:rPr>
              <w:t xml:space="preserve"> in the QAP states the following: </w:t>
            </w:r>
          </w:p>
          <w:p w14:paraId="40217057" w14:textId="77777777" w:rsidR="00943E5C" w:rsidRPr="00AC6DEC" w:rsidRDefault="00943E5C" w:rsidP="00607B8C">
            <w:pPr>
              <w:rPr>
                <w:rFonts w:ascii="Times New Roman" w:hAnsi="Times New Roman" w:cs="Times New Roman"/>
              </w:rPr>
            </w:pPr>
          </w:p>
          <w:p w14:paraId="5DDF97A4" w14:textId="77777777" w:rsidR="00943E5C" w:rsidRPr="00AC6DEC" w:rsidRDefault="00943E5C" w:rsidP="00607B8C">
            <w:pPr>
              <w:rPr>
                <w:rFonts w:ascii="Times New Roman" w:hAnsi="Times New Roman" w:cs="Times New Roman"/>
                <w:i/>
                <w:iCs/>
              </w:rPr>
            </w:pPr>
            <w:r w:rsidRPr="00AC6DEC">
              <w:rPr>
                <w:rFonts w:ascii="Times New Roman" w:hAnsi="Times New Roman" w:cs="Times New Roman"/>
                <w:i/>
                <w:iCs/>
              </w:rPr>
              <w:t>“</w:t>
            </w:r>
            <w:r w:rsidRPr="00AC6DEC">
              <w:rPr>
                <w:rFonts w:ascii="Times New Roman" w:hAnsi="Times New Roman" w:cs="Times New Roman"/>
              </w:rPr>
              <w:t>Applicants are required to submit all documents at Application Submission necessary to determine that the Application meets the criteria for points, regardless of whether they are listed in the minimum document requirements...</w:t>
            </w:r>
            <w:r w:rsidRPr="00AC6DEC">
              <w:rPr>
                <w:rFonts w:ascii="Times New Roman" w:hAnsi="Times New Roman" w:cs="Times New Roman"/>
                <w:u w:val="single"/>
              </w:rPr>
              <w:t>In the event the Applicant submits an alternate document to a minimum document</w:t>
            </w:r>
            <w:r w:rsidRPr="00AC6DEC">
              <w:rPr>
                <w:rFonts w:ascii="Times New Roman" w:hAnsi="Times New Roman" w:cs="Times New Roman"/>
              </w:rPr>
              <w:t>, a thorough explanation of the usefulness of this alternate document should be entered into the appropriate scoring justification section.</w:t>
            </w:r>
            <w:r w:rsidRPr="00AC6DEC">
              <w:rPr>
                <w:rFonts w:ascii="Times New Roman" w:hAnsi="Times New Roman" w:cs="Times New Roman"/>
                <w:i/>
                <w:iCs/>
              </w:rPr>
              <w:t>”</w:t>
            </w:r>
          </w:p>
          <w:p w14:paraId="65C946D7" w14:textId="77777777" w:rsidR="00943E5C" w:rsidRPr="00AC6DEC" w:rsidRDefault="00943E5C" w:rsidP="00607B8C">
            <w:pPr>
              <w:rPr>
                <w:rFonts w:ascii="Times New Roman" w:hAnsi="Times New Roman" w:cs="Times New Roman"/>
                <w:i/>
                <w:iCs/>
              </w:rPr>
            </w:pPr>
          </w:p>
          <w:p w14:paraId="75AFA541"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rPr>
              <w:t>This guidance applies to Community Transportation Options as it does to all Scoring sections.</w:t>
            </w:r>
          </w:p>
        </w:tc>
      </w:tr>
      <w:tr w:rsidR="00943E5C" w:rsidRPr="00AC6DEC" w14:paraId="7D40D4D0" w14:textId="77777777" w:rsidTr="2A62FF34">
        <w:trPr>
          <w:jc w:val="center"/>
        </w:trPr>
        <w:tc>
          <w:tcPr>
            <w:tcW w:w="2157" w:type="dxa"/>
            <w:tcMar>
              <w:top w:w="72" w:type="dxa"/>
              <w:left w:w="115" w:type="dxa"/>
              <w:bottom w:w="72" w:type="dxa"/>
              <w:right w:w="115" w:type="dxa"/>
            </w:tcMar>
            <w:vAlign w:val="center"/>
          </w:tcPr>
          <w:p w14:paraId="029DA970"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7579D060"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3.07</w:t>
            </w:r>
          </w:p>
          <w:p w14:paraId="5D3BF6E6"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607BC86B"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Q0222_03a</w:t>
            </w:r>
          </w:p>
          <w:p w14:paraId="07C49C2C"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rPr>
              <w:t>The Middle and High school (typical grade clusters) are above CCRPI average. But the Elementary School, grades 3-5, averages 77.75 (above avg) for 2018 &amp; 2019 and then the Primary School, K-2, averages 77.4 (below avg) for 2018 &amp; 2019. Would the elementary school, grades 3-5 be eligible to take all 3 points for this section?</w:t>
            </w:r>
          </w:p>
          <w:p w14:paraId="1CA7FBA9" w14:textId="77777777" w:rsidR="00943E5C" w:rsidRPr="00AC6DEC" w:rsidRDefault="00943E5C" w:rsidP="00607B8C">
            <w:pPr>
              <w:contextualSpacing/>
              <w:rPr>
                <w:rFonts w:ascii="Times New Roman" w:hAnsi="Times New Roman" w:cs="Times New Roman"/>
                <w:b/>
                <w:bCs/>
              </w:rPr>
            </w:pPr>
          </w:p>
          <w:p w14:paraId="736E344B"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65D92066"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Points are determined by the number of grades within qualifying schools, not by the number of qualifying schools. This captures the difference between, for example, a qualifying school serving 6 elementary </w:t>
            </w:r>
            <w:r w:rsidRPr="00AC6DEC">
              <w:rPr>
                <w:rFonts w:ascii="Times New Roman" w:hAnsi="Times New Roman" w:cs="Times New Roman"/>
              </w:rPr>
              <w:lastRenderedPageBreak/>
              <w:t>grades (K-5) versus a qualifying school serving two elementary grades (e.g., 1</w:t>
            </w:r>
            <w:r w:rsidRPr="00AC6DEC">
              <w:rPr>
                <w:rFonts w:ascii="Times New Roman" w:hAnsi="Times New Roman" w:cs="Times New Roman"/>
                <w:vertAlign w:val="superscript"/>
              </w:rPr>
              <w:t>st</w:t>
            </w:r>
            <w:r w:rsidRPr="00AC6DEC">
              <w:rPr>
                <w:rFonts w:ascii="Times New Roman" w:hAnsi="Times New Roman" w:cs="Times New Roman"/>
              </w:rPr>
              <w:t xml:space="preserve"> and 2</w:t>
            </w:r>
            <w:r w:rsidRPr="00AC6DEC">
              <w:rPr>
                <w:rFonts w:ascii="Times New Roman" w:hAnsi="Times New Roman" w:cs="Times New Roman"/>
                <w:vertAlign w:val="superscript"/>
              </w:rPr>
              <w:t>nd</w:t>
            </w:r>
            <w:r w:rsidRPr="00AC6DEC">
              <w:rPr>
                <w:rFonts w:ascii="Times New Roman" w:hAnsi="Times New Roman" w:cs="Times New Roman"/>
              </w:rPr>
              <w:t xml:space="preserve"> grades only). “Qualified” is based on CCRPI scores or BTO designations as described in the QAP.  </w:t>
            </w:r>
          </w:p>
          <w:p w14:paraId="55BCCC55" w14:textId="77777777" w:rsidR="00943E5C" w:rsidRPr="00AC6DEC" w:rsidRDefault="00943E5C" w:rsidP="00607B8C">
            <w:pPr>
              <w:contextualSpacing/>
              <w:rPr>
                <w:rFonts w:ascii="Times New Roman" w:hAnsi="Times New Roman" w:cs="Times New Roman"/>
              </w:rPr>
            </w:pPr>
          </w:p>
          <w:p w14:paraId="46F7CC91"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Applicants are only eligible for all 3 points in this section if all grades K-12 qualify and the property has a Family tenancy. The below table illustrates the qualifying grades for this hypothetical application: </w:t>
            </w:r>
          </w:p>
          <w:p w14:paraId="2B6FC1E6" w14:textId="77777777" w:rsidR="00943E5C" w:rsidRPr="00AC6DEC" w:rsidRDefault="00943E5C" w:rsidP="00607B8C">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980"/>
              <w:gridCol w:w="990"/>
              <w:gridCol w:w="1184"/>
              <w:gridCol w:w="2430"/>
            </w:tblGrid>
            <w:tr w:rsidR="00943E5C" w:rsidRPr="00AC6DEC" w14:paraId="220E5B65"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96E6B9E" w14:textId="77777777" w:rsidR="00943E5C" w:rsidRPr="00AC6DEC" w:rsidRDefault="00943E5C" w:rsidP="00607B8C">
                  <w:pPr>
                    <w:contextualSpacing/>
                    <w:jc w:val="center"/>
                    <w:rPr>
                      <w:rFonts w:ascii="Times New Roman" w:hAnsi="Times New Roman" w:cs="Times New Roman"/>
                      <w:b/>
                      <w:bCs/>
                    </w:rPr>
                  </w:pPr>
                  <w:r w:rsidRPr="00AC6DEC">
                    <w:rPr>
                      <w:rFonts w:ascii="Times New Roman" w:hAnsi="Times New Roman" w:cs="Times New Roman"/>
                      <w:b/>
                      <w:bCs/>
                    </w:rPr>
                    <w:t>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C238F27" w14:textId="77777777" w:rsidR="00943E5C" w:rsidRPr="00AC6DEC" w:rsidRDefault="00943E5C" w:rsidP="00607B8C">
                  <w:pPr>
                    <w:contextualSpacing/>
                    <w:jc w:val="center"/>
                    <w:rPr>
                      <w:rFonts w:ascii="Times New Roman" w:hAnsi="Times New Roman" w:cs="Times New Roman"/>
                      <w:b/>
                      <w:bCs/>
                    </w:rPr>
                  </w:pPr>
                  <w:r w:rsidRPr="00AC6DEC">
                    <w:rPr>
                      <w:rFonts w:ascii="Times New Roman" w:hAnsi="Times New Roman" w:cs="Times New Roman"/>
                      <w:b/>
                      <w:bCs/>
                    </w:rPr>
                    <w:t>Grades</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B377D4C" w14:textId="77777777" w:rsidR="00943E5C" w:rsidRPr="00AC6DEC" w:rsidRDefault="00943E5C" w:rsidP="00607B8C">
                  <w:pPr>
                    <w:contextualSpacing/>
                    <w:jc w:val="center"/>
                    <w:rPr>
                      <w:rFonts w:ascii="Times New Roman" w:hAnsi="Times New Roman" w:cs="Times New Roman"/>
                      <w:b/>
                      <w:bCs/>
                    </w:rPr>
                  </w:pPr>
                  <w:r w:rsidRPr="00AC6DEC">
                    <w:rPr>
                      <w:rFonts w:ascii="Times New Roman" w:hAnsi="Times New Roman" w:cs="Times New Roman"/>
                      <w:b/>
                      <w:bCs/>
                    </w:rPr>
                    <w:t>School Qualifies?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ACE93F1" w14:textId="77777777" w:rsidR="00943E5C" w:rsidRPr="00AC6DEC" w:rsidRDefault="00943E5C" w:rsidP="00607B8C">
                  <w:pPr>
                    <w:contextualSpacing/>
                    <w:jc w:val="center"/>
                    <w:rPr>
                      <w:rFonts w:ascii="Times New Roman" w:hAnsi="Times New Roman" w:cs="Times New Roman"/>
                      <w:b/>
                      <w:bCs/>
                    </w:rPr>
                  </w:pPr>
                  <w:r w:rsidRPr="00AC6DEC">
                    <w:rPr>
                      <w:rFonts w:ascii="Times New Roman" w:hAnsi="Times New Roman" w:cs="Times New Roman"/>
                      <w:b/>
                      <w:bCs/>
                    </w:rPr>
                    <w:t>Grades Eligible for Points Consideration</w:t>
                  </w:r>
                </w:p>
              </w:tc>
            </w:tr>
            <w:tr w:rsidR="00943E5C" w:rsidRPr="00AC6DEC" w14:paraId="2DF85354"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BD4F92D"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Primary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467F1C3" w14:textId="77777777" w:rsidR="00943E5C" w:rsidRPr="00AC6DEC" w:rsidRDefault="00943E5C" w:rsidP="00607B8C">
                  <w:pPr>
                    <w:contextualSpacing/>
                    <w:jc w:val="center"/>
                    <w:rPr>
                      <w:rFonts w:ascii="Times New Roman" w:hAnsi="Times New Roman" w:cs="Times New Roman"/>
                    </w:rPr>
                  </w:pPr>
                  <w:r w:rsidRPr="00AC6DEC">
                    <w:rPr>
                      <w:rFonts w:ascii="Times New Roman" w:hAnsi="Times New Roman" w:cs="Times New Roman"/>
                    </w:rPr>
                    <w:t>K-2</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2B2AB72" w14:textId="77777777" w:rsidR="00943E5C" w:rsidRPr="00AC6DEC" w:rsidRDefault="00943E5C" w:rsidP="00607B8C">
                  <w:pPr>
                    <w:contextualSpacing/>
                    <w:jc w:val="center"/>
                    <w:rPr>
                      <w:rFonts w:ascii="Times New Roman" w:hAnsi="Times New Roman" w:cs="Times New Roman"/>
                    </w:rPr>
                  </w:pPr>
                  <w:r w:rsidRPr="00AC6DEC">
                    <w:rPr>
                      <w:rFonts w:ascii="Times New Roman" w:hAnsi="Times New Roman" w:cs="Times New Roman"/>
                    </w:rPr>
                    <w:t>No</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B67F395" w14:textId="77777777" w:rsidR="00943E5C" w:rsidRPr="00AC6DEC" w:rsidRDefault="00943E5C" w:rsidP="00607B8C">
                  <w:pPr>
                    <w:contextualSpacing/>
                    <w:jc w:val="center"/>
                    <w:rPr>
                      <w:rFonts w:ascii="Times New Roman" w:hAnsi="Times New Roman" w:cs="Times New Roman"/>
                    </w:rPr>
                  </w:pPr>
                  <w:r w:rsidRPr="00AC6DEC">
                    <w:rPr>
                      <w:rFonts w:ascii="Times New Roman" w:hAnsi="Times New Roman" w:cs="Times New Roman"/>
                    </w:rPr>
                    <w:t>0</w:t>
                  </w:r>
                </w:p>
              </w:tc>
            </w:tr>
            <w:tr w:rsidR="00943E5C" w:rsidRPr="00AC6DEC" w14:paraId="5F7B059B"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2AA179D6"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Elementary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FCBC2B0" w14:textId="77777777" w:rsidR="00943E5C" w:rsidRPr="00AC6DEC" w:rsidRDefault="00943E5C" w:rsidP="00607B8C">
                  <w:pPr>
                    <w:contextualSpacing/>
                    <w:jc w:val="center"/>
                    <w:rPr>
                      <w:rFonts w:ascii="Times New Roman" w:hAnsi="Times New Roman" w:cs="Times New Roman"/>
                    </w:rPr>
                  </w:pPr>
                  <w:r w:rsidRPr="00AC6DEC">
                    <w:rPr>
                      <w:rFonts w:ascii="Times New Roman" w:hAnsi="Times New Roman" w:cs="Times New Roman"/>
                    </w:rPr>
                    <w:t>3-5</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6F89968" w14:textId="77777777" w:rsidR="00943E5C" w:rsidRPr="00AC6DEC" w:rsidRDefault="00943E5C" w:rsidP="00607B8C">
                  <w:pPr>
                    <w:contextualSpacing/>
                    <w:jc w:val="center"/>
                    <w:rPr>
                      <w:rFonts w:ascii="Times New Roman" w:hAnsi="Times New Roman" w:cs="Times New Roman"/>
                    </w:rPr>
                  </w:pPr>
                  <w:r w:rsidRPr="00AC6DEC">
                    <w:rPr>
                      <w:rFonts w:ascii="Times New Roman" w:hAnsi="Times New Roman" w:cs="Times New Roman"/>
                    </w:rPr>
                    <w:t>Yes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A21D87C" w14:textId="77777777" w:rsidR="00943E5C" w:rsidRPr="00AC6DEC" w:rsidRDefault="00943E5C" w:rsidP="00607B8C">
                  <w:pPr>
                    <w:contextualSpacing/>
                    <w:jc w:val="center"/>
                    <w:rPr>
                      <w:rFonts w:ascii="Times New Roman" w:hAnsi="Times New Roman" w:cs="Times New Roman"/>
                    </w:rPr>
                  </w:pPr>
                  <w:r w:rsidRPr="00AC6DEC">
                    <w:rPr>
                      <w:rFonts w:ascii="Times New Roman" w:hAnsi="Times New Roman" w:cs="Times New Roman"/>
                    </w:rPr>
                    <w:t>3</w:t>
                  </w:r>
                </w:p>
              </w:tc>
            </w:tr>
            <w:tr w:rsidR="00943E5C" w:rsidRPr="00AC6DEC" w14:paraId="08C390E0"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D92EF1E"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Middle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8EC0346" w14:textId="77777777" w:rsidR="00943E5C" w:rsidRPr="00AC6DEC" w:rsidRDefault="00943E5C" w:rsidP="00607B8C">
                  <w:pPr>
                    <w:contextualSpacing/>
                    <w:jc w:val="center"/>
                    <w:rPr>
                      <w:rFonts w:ascii="Times New Roman" w:hAnsi="Times New Roman" w:cs="Times New Roman"/>
                    </w:rPr>
                  </w:pPr>
                  <w:r w:rsidRPr="00AC6DEC">
                    <w:rPr>
                      <w:rFonts w:ascii="Times New Roman" w:hAnsi="Times New Roman" w:cs="Times New Roman"/>
                    </w:rPr>
                    <w:t>6-8</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146892A" w14:textId="77777777" w:rsidR="00943E5C" w:rsidRPr="00AC6DEC" w:rsidRDefault="00943E5C" w:rsidP="00607B8C">
                  <w:pPr>
                    <w:contextualSpacing/>
                    <w:jc w:val="center"/>
                    <w:rPr>
                      <w:rFonts w:ascii="Times New Roman" w:hAnsi="Times New Roman" w:cs="Times New Roman"/>
                    </w:rPr>
                  </w:pPr>
                  <w:r w:rsidRPr="00AC6DEC">
                    <w:rPr>
                      <w:rFonts w:ascii="Times New Roman" w:hAnsi="Times New Roman" w:cs="Times New Roman"/>
                    </w:rPr>
                    <w:t>Yes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A091050" w14:textId="77777777" w:rsidR="00943E5C" w:rsidRPr="00AC6DEC" w:rsidRDefault="00943E5C" w:rsidP="00607B8C">
                  <w:pPr>
                    <w:contextualSpacing/>
                    <w:jc w:val="center"/>
                    <w:rPr>
                      <w:rFonts w:ascii="Times New Roman" w:hAnsi="Times New Roman" w:cs="Times New Roman"/>
                    </w:rPr>
                  </w:pPr>
                  <w:r w:rsidRPr="00AC6DEC">
                    <w:rPr>
                      <w:rFonts w:ascii="Times New Roman" w:hAnsi="Times New Roman" w:cs="Times New Roman"/>
                    </w:rPr>
                    <w:t>3</w:t>
                  </w:r>
                </w:p>
              </w:tc>
            </w:tr>
            <w:tr w:rsidR="00943E5C" w:rsidRPr="00AC6DEC" w14:paraId="1BA04672"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199A39C"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High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E268765" w14:textId="77777777" w:rsidR="00943E5C" w:rsidRPr="00AC6DEC" w:rsidRDefault="00943E5C" w:rsidP="00607B8C">
                  <w:pPr>
                    <w:contextualSpacing/>
                    <w:jc w:val="center"/>
                    <w:rPr>
                      <w:rFonts w:ascii="Times New Roman" w:hAnsi="Times New Roman" w:cs="Times New Roman"/>
                    </w:rPr>
                  </w:pPr>
                  <w:r w:rsidRPr="00AC6DEC">
                    <w:rPr>
                      <w:rFonts w:ascii="Times New Roman" w:hAnsi="Times New Roman" w:cs="Times New Roman"/>
                    </w:rPr>
                    <w:t>9-12</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724DA7F" w14:textId="77777777" w:rsidR="00943E5C" w:rsidRPr="00AC6DEC" w:rsidRDefault="00943E5C" w:rsidP="00607B8C">
                  <w:pPr>
                    <w:contextualSpacing/>
                    <w:jc w:val="center"/>
                    <w:rPr>
                      <w:rFonts w:ascii="Times New Roman" w:hAnsi="Times New Roman" w:cs="Times New Roman"/>
                    </w:rPr>
                  </w:pPr>
                  <w:r w:rsidRPr="00AC6DEC">
                    <w:rPr>
                      <w:rFonts w:ascii="Times New Roman" w:hAnsi="Times New Roman" w:cs="Times New Roman"/>
                    </w:rPr>
                    <w:t>Yes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BDF2BCD" w14:textId="77777777" w:rsidR="00943E5C" w:rsidRPr="00AC6DEC" w:rsidRDefault="00943E5C" w:rsidP="00607B8C">
                  <w:pPr>
                    <w:contextualSpacing/>
                    <w:jc w:val="center"/>
                    <w:rPr>
                      <w:rFonts w:ascii="Times New Roman" w:hAnsi="Times New Roman" w:cs="Times New Roman"/>
                    </w:rPr>
                  </w:pPr>
                  <w:r w:rsidRPr="00AC6DEC">
                    <w:rPr>
                      <w:rFonts w:ascii="Times New Roman" w:hAnsi="Times New Roman" w:cs="Times New Roman"/>
                    </w:rPr>
                    <w:t>4</w:t>
                  </w:r>
                </w:p>
              </w:tc>
            </w:tr>
            <w:tr w:rsidR="00943E5C" w:rsidRPr="00AC6DEC" w14:paraId="0DD50B6C" w14:textId="77777777" w:rsidTr="0066556E">
              <w:trPr>
                <w:jc w:val="center"/>
              </w:trPr>
              <w:tc>
                <w:tcPr>
                  <w:tcW w:w="4154" w:type="dxa"/>
                  <w:gridSpan w:val="3"/>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EBB3743" w14:textId="77777777" w:rsidR="00943E5C" w:rsidRPr="00AC6DEC" w:rsidRDefault="00943E5C" w:rsidP="00607B8C">
                  <w:pPr>
                    <w:contextualSpacing/>
                    <w:jc w:val="right"/>
                    <w:rPr>
                      <w:rFonts w:ascii="Times New Roman" w:hAnsi="Times New Roman" w:cs="Times New Roman"/>
                      <w:b/>
                      <w:bCs/>
                      <w:i/>
                      <w:iCs/>
                    </w:rPr>
                  </w:pPr>
                  <w:r w:rsidRPr="00AC6DEC">
                    <w:rPr>
                      <w:rFonts w:ascii="Times New Roman" w:hAnsi="Times New Roman" w:cs="Times New Roman"/>
                      <w:b/>
                      <w:bCs/>
                      <w:i/>
                      <w:iCs/>
                    </w:rPr>
                    <w:t>Total Qualifying Grades: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F43F9DB" w14:textId="77777777" w:rsidR="00943E5C" w:rsidRPr="00AC6DEC" w:rsidRDefault="00943E5C" w:rsidP="00607B8C">
                  <w:pPr>
                    <w:contextualSpacing/>
                    <w:jc w:val="center"/>
                    <w:rPr>
                      <w:rFonts w:ascii="Times New Roman" w:hAnsi="Times New Roman" w:cs="Times New Roman"/>
                      <w:b/>
                      <w:bCs/>
                      <w:i/>
                      <w:iCs/>
                    </w:rPr>
                  </w:pPr>
                  <w:r w:rsidRPr="00AC6DEC">
                    <w:rPr>
                      <w:rFonts w:ascii="Times New Roman" w:hAnsi="Times New Roman" w:cs="Times New Roman"/>
                      <w:b/>
                      <w:bCs/>
                      <w:i/>
                      <w:iCs/>
                    </w:rPr>
                    <w:t>10</w:t>
                  </w:r>
                </w:p>
              </w:tc>
            </w:tr>
          </w:tbl>
          <w:p w14:paraId="4123DEF0" w14:textId="77777777" w:rsidR="00943E5C" w:rsidRPr="00AC6DEC" w:rsidRDefault="00943E5C" w:rsidP="00607B8C">
            <w:pPr>
              <w:contextualSpacing/>
              <w:rPr>
                <w:rFonts w:ascii="Times New Roman" w:hAnsi="Times New Roman" w:cs="Times New Roman"/>
              </w:rPr>
            </w:pPr>
          </w:p>
          <w:p w14:paraId="182C7994" w14:textId="77777777" w:rsidR="00943E5C" w:rsidRPr="00AC6DEC" w:rsidRDefault="00943E5C" w:rsidP="00607B8C">
            <w:pPr>
              <w:contextualSpacing/>
              <w:rPr>
                <w:rFonts w:ascii="Times New Roman" w:hAnsi="Times New Roman" w:cs="Times New Roman"/>
                <w:b/>
              </w:rPr>
            </w:pPr>
            <w:r w:rsidRPr="00AC6DEC">
              <w:rPr>
                <w:rFonts w:ascii="Times New Roman" w:hAnsi="Times New Roman" w:cs="Times New Roman"/>
              </w:rPr>
              <w:t>This application has more than 7 but less than 12 qualifying grades. Therefore, this application would be eligible for 1.5 points, per the points table from this section.</w:t>
            </w:r>
          </w:p>
        </w:tc>
      </w:tr>
      <w:tr w:rsidR="00943E5C" w:rsidRPr="00AC6DEC" w14:paraId="63A2B8F9" w14:textId="77777777" w:rsidTr="2A62FF34">
        <w:trPr>
          <w:jc w:val="center"/>
        </w:trPr>
        <w:tc>
          <w:tcPr>
            <w:tcW w:w="2157" w:type="dxa"/>
            <w:tcMar>
              <w:top w:w="72" w:type="dxa"/>
              <w:left w:w="115" w:type="dxa"/>
              <w:bottom w:w="72" w:type="dxa"/>
              <w:right w:w="115" w:type="dxa"/>
            </w:tcMar>
            <w:vAlign w:val="center"/>
          </w:tcPr>
          <w:p w14:paraId="3B313CA7"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6AF0ADB4"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3.08</w:t>
            </w:r>
          </w:p>
          <w:p w14:paraId="2E44C6D5"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Revitalization / Redevelopment Plans</w:t>
            </w:r>
          </w:p>
        </w:tc>
        <w:tc>
          <w:tcPr>
            <w:tcW w:w="9590" w:type="dxa"/>
            <w:tcMar>
              <w:top w:w="72" w:type="dxa"/>
              <w:left w:w="115" w:type="dxa"/>
              <w:bottom w:w="72" w:type="dxa"/>
              <w:right w:w="115" w:type="dxa"/>
            </w:tcMar>
            <w:vAlign w:val="center"/>
          </w:tcPr>
          <w:p w14:paraId="1F8C9759" w14:textId="77777777" w:rsidR="00943E5C" w:rsidRPr="00AC6DEC" w:rsidRDefault="00943E5C" w:rsidP="00607B8C">
            <w:pPr>
              <w:contextualSpacing/>
              <w:rPr>
                <w:rFonts w:ascii="Times New Roman" w:hAnsi="Times New Roman" w:cs="Times New Roman"/>
                <w:b/>
              </w:rPr>
            </w:pPr>
            <w:r w:rsidRPr="00AC6DEC">
              <w:rPr>
                <w:rFonts w:ascii="Times New Roman" w:hAnsi="Times New Roman" w:cs="Times New Roman"/>
                <w:b/>
              </w:rPr>
              <w:t>Question: Q0226_07</w:t>
            </w:r>
          </w:p>
          <w:p w14:paraId="6F96ED1F" w14:textId="77777777" w:rsidR="00943E5C" w:rsidRPr="00AC6DEC" w:rsidRDefault="00943E5C" w:rsidP="00607B8C">
            <w:r w:rsidRPr="00AC6DEC">
              <w:rPr>
                <w:rFonts w:ascii="Times New Roman" w:hAnsi="Times New Roman" w:cs="Times New Roman"/>
              </w:rPr>
              <w:t xml:space="preserve">If a City and/or Transportation Authority, who is performing the work, will not provide/calculate a breakdown for each capital investment within a </w:t>
            </w:r>
            <w:proofErr w:type="gramStart"/>
            <w:r w:rsidRPr="00AC6DEC">
              <w:rPr>
                <w:rFonts w:ascii="Times New Roman" w:hAnsi="Times New Roman" w:cs="Times New Roman"/>
              </w:rPr>
              <w:t>0.5 mile</w:t>
            </w:r>
            <w:proofErr w:type="gramEnd"/>
            <w:r w:rsidRPr="00AC6DEC">
              <w:rPr>
                <w:rFonts w:ascii="Times New Roman" w:hAnsi="Times New Roman" w:cs="Times New Roman"/>
              </w:rPr>
              <w:t xml:space="preserve"> radius, how should we calculate the capital improvement costs to meet DCA's standards?</w:t>
            </w:r>
          </w:p>
          <w:p w14:paraId="0C13BC85" w14:textId="77777777" w:rsidR="00943E5C" w:rsidRPr="00AC6DEC" w:rsidRDefault="00943E5C" w:rsidP="00607B8C">
            <w:pPr>
              <w:contextualSpacing/>
              <w:rPr>
                <w:rFonts w:ascii="Times New Roman" w:hAnsi="Times New Roman" w:cs="Times New Roman"/>
                <w:b/>
                <w:bCs/>
              </w:rPr>
            </w:pPr>
          </w:p>
          <w:p w14:paraId="6C33F056" w14:textId="77777777" w:rsidR="00943E5C" w:rsidRPr="00AC6DEC" w:rsidRDefault="00943E5C" w:rsidP="00607B8C">
            <w:pPr>
              <w:rPr>
                <w:rFonts w:ascii="Times New Roman" w:hAnsi="Times New Roman" w:cs="Times New Roman"/>
                <w:b/>
                <w:bCs/>
              </w:rPr>
            </w:pPr>
            <w:r w:rsidRPr="00AC6DEC">
              <w:rPr>
                <w:rFonts w:ascii="Times New Roman" w:hAnsi="Times New Roman" w:cs="Times New Roman"/>
                <w:b/>
                <w:bCs/>
              </w:rPr>
              <w:t xml:space="preserve">Answer: </w:t>
            </w:r>
          </w:p>
          <w:p w14:paraId="1F981206"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Minimum Documentation for subsection </w:t>
            </w:r>
            <w:r w:rsidRPr="00AC6DEC">
              <w:rPr>
                <w:rFonts w:ascii="Times New Roman" w:hAnsi="Times New Roman" w:cs="Times New Roman"/>
                <w:i/>
                <w:iCs/>
              </w:rPr>
              <w:t>B. Third-Party Capital Investment</w:t>
            </w:r>
            <w:r w:rsidRPr="00AC6DEC">
              <w:rPr>
                <w:rFonts w:ascii="Times New Roman" w:hAnsi="Times New Roman" w:cs="Times New Roman"/>
              </w:rPr>
              <w:t xml:space="preserve"> requires “evidence from the unrelated 3rd party demonstrating source of investment, amount of investment, and timeline for completion.” </w:t>
            </w:r>
          </w:p>
          <w:p w14:paraId="27F8308B" w14:textId="77777777" w:rsidR="00943E5C" w:rsidRPr="00AC6DEC" w:rsidRDefault="00943E5C" w:rsidP="00607B8C">
            <w:pPr>
              <w:rPr>
                <w:rFonts w:ascii="Times New Roman" w:hAnsi="Times New Roman" w:cs="Times New Roman"/>
              </w:rPr>
            </w:pPr>
          </w:p>
          <w:p w14:paraId="776B1F75"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Without this documentation from the unrelated 3rd party responsible for the investment, applicants cannot receive points in this subsection. </w:t>
            </w:r>
          </w:p>
        </w:tc>
      </w:tr>
      <w:tr w:rsidR="00943E5C" w:rsidRPr="00AC6DEC" w14:paraId="430C4C34" w14:textId="77777777" w:rsidTr="2A62FF34">
        <w:trPr>
          <w:jc w:val="center"/>
        </w:trPr>
        <w:tc>
          <w:tcPr>
            <w:tcW w:w="2157" w:type="dxa"/>
            <w:tcMar>
              <w:top w:w="72" w:type="dxa"/>
              <w:left w:w="115" w:type="dxa"/>
              <w:bottom w:w="72" w:type="dxa"/>
              <w:right w:w="115" w:type="dxa"/>
            </w:tcMar>
            <w:vAlign w:val="center"/>
          </w:tcPr>
          <w:p w14:paraId="749F10D4"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15559632"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3.10</w:t>
            </w:r>
          </w:p>
          <w:p w14:paraId="0F6FB556"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4B8C6E6C"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eastAsia="Times New Roman" w:hAnsi="Times New Roman" w:cs="Times New Roman"/>
                <w:b/>
                <w:bCs/>
              </w:rPr>
              <w:t>Q0209_02</w:t>
            </w:r>
          </w:p>
          <w:p w14:paraId="6574F854"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In Section B. Local Health and Economic Indicators which metric is metric 1, 2, 3 out of Life Expectancy, Health Insurance Rate, Unemployment Rate?</w:t>
            </w:r>
          </w:p>
          <w:p w14:paraId="53679936" w14:textId="77777777" w:rsidR="00943E5C" w:rsidRPr="00AC6DEC" w:rsidRDefault="00943E5C" w:rsidP="00607B8C">
            <w:pPr>
              <w:contextualSpacing/>
              <w:rPr>
                <w:rFonts w:ascii="Times New Roman" w:hAnsi="Times New Roman" w:cs="Times New Roman"/>
                <w:b/>
                <w:bCs/>
              </w:rPr>
            </w:pPr>
          </w:p>
          <w:p w14:paraId="486D9FA2"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3091DCB9"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The metrics in subsection </w:t>
            </w:r>
            <w:r w:rsidRPr="00AC6DEC">
              <w:rPr>
                <w:rFonts w:ascii="Times New Roman" w:hAnsi="Times New Roman" w:cs="Times New Roman"/>
                <w:i/>
                <w:iCs/>
              </w:rPr>
              <w:t>B. Local Health and Economic Indicators</w:t>
            </w:r>
            <w:r w:rsidRPr="00AC6DEC">
              <w:rPr>
                <w:rFonts w:ascii="Times New Roman" w:hAnsi="Times New Roman" w:cs="Times New Roman"/>
              </w:rPr>
              <w:t xml:space="preserve"> are not numbered. Points are calculated based on the number of indicators for which census tracts have values above 60</w:t>
            </w:r>
            <w:r w:rsidRPr="00AC6DEC">
              <w:rPr>
                <w:rFonts w:ascii="Times New Roman" w:hAnsi="Times New Roman" w:cs="Times New Roman"/>
                <w:vertAlign w:val="superscript"/>
              </w:rPr>
              <w:t>th</w:t>
            </w:r>
            <w:r w:rsidRPr="00AC6DEC">
              <w:rPr>
                <w:rFonts w:ascii="Times New Roman" w:hAnsi="Times New Roman" w:cs="Times New Roman"/>
              </w:rPr>
              <w:t xml:space="preserve"> percentile (for Median Income, 60</w:t>
            </w:r>
            <w:r w:rsidRPr="00AC6DEC">
              <w:rPr>
                <w:rFonts w:ascii="Times New Roman" w:hAnsi="Times New Roman" w:cs="Times New Roman"/>
                <w:vertAlign w:val="superscript"/>
              </w:rPr>
              <w:t>th</w:t>
            </w:r>
            <w:r w:rsidRPr="00AC6DEC">
              <w:rPr>
                <w:rFonts w:ascii="Times New Roman" w:hAnsi="Times New Roman" w:cs="Times New Roman"/>
              </w:rPr>
              <w:t xml:space="preserve"> percentile or 80</w:t>
            </w:r>
            <w:r w:rsidRPr="00AC6DEC">
              <w:rPr>
                <w:rFonts w:ascii="Times New Roman" w:hAnsi="Times New Roman" w:cs="Times New Roman"/>
                <w:vertAlign w:val="superscript"/>
              </w:rPr>
              <w:t>th</w:t>
            </w:r>
            <w:r w:rsidRPr="00AC6DEC">
              <w:rPr>
                <w:rFonts w:ascii="Times New Roman" w:hAnsi="Times New Roman" w:cs="Times New Roman"/>
              </w:rPr>
              <w:t xml:space="preserve"> percentile), as displayed in the Local Indicator Points table and Housing Tax Credit Properties Map posted to the DCA website (</w:t>
            </w:r>
            <w:hyperlink r:id="rId28"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66CD7AFF" w14:textId="77777777" w:rsidR="00943E5C" w:rsidRPr="00AC6DEC" w:rsidRDefault="00943E5C" w:rsidP="00607B8C">
            <w:pPr>
              <w:rPr>
                <w:rFonts w:ascii="Times New Roman" w:hAnsi="Times New Roman" w:cs="Times New Roman"/>
              </w:rPr>
            </w:pPr>
          </w:p>
          <w:p w14:paraId="73F48803"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For example, consider the following two census tracts:</w:t>
            </w:r>
          </w:p>
          <w:p w14:paraId="0712D334" w14:textId="77777777" w:rsidR="00943E5C" w:rsidRPr="00AC6DEC" w:rsidRDefault="00943E5C" w:rsidP="00607B8C">
            <w:pPr>
              <w:rPr>
                <w:rFonts w:ascii="Times New Roman" w:hAnsi="Times New Roman" w:cs="Times New Roman"/>
              </w:rPr>
            </w:pPr>
          </w:p>
          <w:p w14:paraId="783D2BF5" w14:textId="77777777" w:rsidR="00943E5C" w:rsidRPr="00AC6DEC" w:rsidRDefault="00943E5C" w:rsidP="00607B8C">
            <w:pPr>
              <w:pStyle w:val="ListParagraph"/>
              <w:numPr>
                <w:ilvl w:val="0"/>
                <w:numId w:val="38"/>
              </w:numPr>
              <w:rPr>
                <w:rFonts w:ascii="Times New Roman" w:hAnsi="Times New Roman" w:cs="Times New Roman"/>
              </w:rPr>
            </w:pPr>
            <w:r w:rsidRPr="00AC6DEC">
              <w:rPr>
                <w:rFonts w:ascii="Times New Roman" w:hAnsi="Times New Roman" w:cs="Times New Roman"/>
              </w:rPr>
              <w:t>Census Tract A: the only qualifying metrics are that Employment Rate and Health Insurance Coverage are both above the 60</w:t>
            </w:r>
            <w:r w:rsidRPr="00AC6DEC">
              <w:rPr>
                <w:rFonts w:ascii="Times New Roman" w:hAnsi="Times New Roman" w:cs="Times New Roman"/>
                <w:vertAlign w:val="superscript"/>
              </w:rPr>
              <w:t>th</w:t>
            </w:r>
            <w:r w:rsidRPr="00AC6DEC">
              <w:rPr>
                <w:rFonts w:ascii="Times New Roman" w:hAnsi="Times New Roman" w:cs="Times New Roman"/>
              </w:rPr>
              <w:t xml:space="preserve"> </w:t>
            </w:r>
            <w:proofErr w:type="gramStart"/>
            <w:r w:rsidRPr="00AC6DEC">
              <w:rPr>
                <w:rFonts w:ascii="Times New Roman" w:hAnsi="Times New Roman" w:cs="Times New Roman"/>
              </w:rPr>
              <w:t>percentile</w:t>
            </w:r>
            <w:proofErr w:type="gramEnd"/>
          </w:p>
          <w:p w14:paraId="5DCC4D70" w14:textId="77777777" w:rsidR="00943E5C" w:rsidRPr="00AC6DEC" w:rsidRDefault="00943E5C" w:rsidP="00607B8C">
            <w:pPr>
              <w:pStyle w:val="ListParagraph"/>
              <w:numPr>
                <w:ilvl w:val="0"/>
                <w:numId w:val="38"/>
              </w:numPr>
              <w:rPr>
                <w:rFonts w:ascii="Times New Roman" w:hAnsi="Times New Roman" w:cs="Times New Roman"/>
              </w:rPr>
            </w:pPr>
            <w:r w:rsidRPr="00AC6DEC">
              <w:rPr>
                <w:rFonts w:ascii="Times New Roman" w:hAnsi="Times New Roman" w:cs="Times New Roman"/>
              </w:rPr>
              <w:t>Census Tract B: The only qualifying metrics are that Median Income is between the 60</w:t>
            </w:r>
            <w:r w:rsidRPr="00AC6DEC">
              <w:rPr>
                <w:rFonts w:ascii="Times New Roman" w:hAnsi="Times New Roman" w:cs="Times New Roman"/>
                <w:vertAlign w:val="superscript"/>
              </w:rPr>
              <w:t>th</w:t>
            </w:r>
            <w:r w:rsidRPr="00AC6DEC">
              <w:rPr>
                <w:rFonts w:ascii="Times New Roman" w:hAnsi="Times New Roman" w:cs="Times New Roman"/>
              </w:rPr>
              <w:t xml:space="preserve"> and 80</w:t>
            </w:r>
            <w:r w:rsidRPr="00AC6DEC">
              <w:rPr>
                <w:rFonts w:ascii="Times New Roman" w:hAnsi="Times New Roman" w:cs="Times New Roman"/>
                <w:vertAlign w:val="superscript"/>
              </w:rPr>
              <w:t>th</w:t>
            </w:r>
            <w:r w:rsidRPr="00AC6DEC">
              <w:rPr>
                <w:rFonts w:ascii="Times New Roman" w:hAnsi="Times New Roman" w:cs="Times New Roman"/>
              </w:rPr>
              <w:t xml:space="preserve"> percentiles and Life Expectancy is above the 60</w:t>
            </w:r>
            <w:r w:rsidRPr="00AC6DEC">
              <w:rPr>
                <w:rFonts w:ascii="Times New Roman" w:hAnsi="Times New Roman" w:cs="Times New Roman"/>
                <w:vertAlign w:val="superscript"/>
              </w:rPr>
              <w:t>th</w:t>
            </w:r>
            <w:r w:rsidRPr="00AC6DEC">
              <w:rPr>
                <w:rFonts w:ascii="Times New Roman" w:hAnsi="Times New Roman" w:cs="Times New Roman"/>
              </w:rPr>
              <w:t xml:space="preserve"> </w:t>
            </w:r>
            <w:proofErr w:type="gramStart"/>
            <w:r w:rsidRPr="00AC6DEC">
              <w:rPr>
                <w:rFonts w:ascii="Times New Roman" w:hAnsi="Times New Roman" w:cs="Times New Roman"/>
              </w:rPr>
              <w:t>percentile</w:t>
            </w:r>
            <w:proofErr w:type="gramEnd"/>
            <w:r w:rsidRPr="00AC6DEC">
              <w:rPr>
                <w:rFonts w:ascii="Times New Roman" w:hAnsi="Times New Roman" w:cs="Times New Roman"/>
              </w:rPr>
              <w:t xml:space="preserve"> </w:t>
            </w:r>
          </w:p>
          <w:p w14:paraId="01C3B036" w14:textId="77777777" w:rsidR="00943E5C" w:rsidRPr="00AC6DEC" w:rsidRDefault="00943E5C" w:rsidP="00607B8C">
            <w:pPr>
              <w:rPr>
                <w:rFonts w:ascii="Times New Roman" w:hAnsi="Times New Roman" w:cs="Times New Roman"/>
              </w:rPr>
            </w:pPr>
          </w:p>
          <w:p w14:paraId="4B4BB805"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In both instances, the applications are eligible for 2 points under this section. </w:t>
            </w:r>
          </w:p>
          <w:p w14:paraId="32DF7EB2" w14:textId="77777777" w:rsidR="00943E5C" w:rsidRPr="00AC6DEC" w:rsidRDefault="00943E5C" w:rsidP="00607B8C">
            <w:pPr>
              <w:contextualSpacing/>
              <w:rPr>
                <w:rFonts w:ascii="Times New Roman" w:hAnsi="Times New Roman" w:cs="Times New Roman"/>
                <w:b/>
                <w:bCs/>
              </w:rPr>
            </w:pPr>
          </w:p>
        </w:tc>
      </w:tr>
      <w:tr w:rsidR="00943E5C" w:rsidRPr="00AC6DEC" w14:paraId="79631FB9" w14:textId="77777777" w:rsidTr="2A62FF34">
        <w:trPr>
          <w:jc w:val="center"/>
        </w:trPr>
        <w:tc>
          <w:tcPr>
            <w:tcW w:w="2157" w:type="dxa"/>
            <w:tcMar>
              <w:top w:w="72" w:type="dxa"/>
              <w:left w:w="115" w:type="dxa"/>
              <w:bottom w:w="72" w:type="dxa"/>
              <w:right w:w="115" w:type="dxa"/>
            </w:tcMar>
            <w:vAlign w:val="center"/>
          </w:tcPr>
          <w:p w14:paraId="49D4430D"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3/24/21</w:t>
            </w:r>
          </w:p>
        </w:tc>
        <w:tc>
          <w:tcPr>
            <w:tcW w:w="2198" w:type="dxa"/>
            <w:tcMar>
              <w:top w:w="72" w:type="dxa"/>
              <w:left w:w="115" w:type="dxa"/>
              <w:bottom w:w="72" w:type="dxa"/>
              <w:right w:w="115" w:type="dxa"/>
            </w:tcMar>
            <w:vAlign w:val="center"/>
          </w:tcPr>
          <w:p w14:paraId="6F1D3398"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2.07</w:t>
            </w:r>
          </w:p>
          <w:p w14:paraId="4E51414F"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Threshold;</w:t>
            </w:r>
          </w:p>
          <w:p w14:paraId="1E434D8A"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Environmental Requirements</w:t>
            </w:r>
          </w:p>
        </w:tc>
        <w:tc>
          <w:tcPr>
            <w:tcW w:w="9590" w:type="dxa"/>
            <w:tcMar>
              <w:top w:w="72" w:type="dxa"/>
              <w:left w:w="115" w:type="dxa"/>
              <w:bottom w:w="72" w:type="dxa"/>
              <w:right w:w="115" w:type="dxa"/>
            </w:tcMar>
            <w:vAlign w:val="center"/>
          </w:tcPr>
          <w:p w14:paraId="170278CF"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Q1209_01</w:t>
            </w:r>
          </w:p>
          <w:p w14:paraId="54E15039"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Are the requirements of Threshold, Section VII (</w:t>
            </w:r>
            <w:r w:rsidRPr="00AC6DEC">
              <w:rPr>
                <w:rFonts w:ascii="Times New Roman" w:hAnsi="Times New Roman" w:cs="Times New Roman"/>
                <w:i/>
                <w:iCs/>
              </w:rPr>
              <w:t>Environmental Requirements</w:t>
            </w:r>
            <w:r w:rsidRPr="00AC6DEC">
              <w:rPr>
                <w:rFonts w:ascii="Times New Roman" w:hAnsi="Times New Roman" w:cs="Times New Roman"/>
              </w:rPr>
              <w:t>) subsection B2 (</w:t>
            </w:r>
            <w:r w:rsidRPr="00AC6DEC">
              <w:rPr>
                <w:rFonts w:ascii="Times New Roman" w:hAnsi="Times New Roman" w:cs="Times New Roman"/>
                <w:i/>
                <w:iCs/>
              </w:rPr>
              <w:t xml:space="preserve">Additional Environmental Requirements for HOME/HUD-funded Projects, </w:t>
            </w:r>
            <w:proofErr w:type="gramStart"/>
            <w:r w:rsidRPr="00AC6DEC">
              <w:rPr>
                <w:rFonts w:ascii="Times New Roman" w:hAnsi="Times New Roman" w:cs="Times New Roman"/>
                <w:i/>
                <w:iCs/>
              </w:rPr>
              <w:t>Including</w:t>
            </w:r>
            <w:proofErr w:type="gramEnd"/>
            <w:r w:rsidRPr="00AC6DEC">
              <w:rPr>
                <w:rFonts w:ascii="Times New Roman" w:hAnsi="Times New Roman" w:cs="Times New Roman"/>
                <w:i/>
                <w:iCs/>
              </w:rPr>
              <w:t xml:space="preserve"> but not Limited to PBRA</w:t>
            </w:r>
            <w:r w:rsidRPr="00AC6DEC">
              <w:rPr>
                <w:rFonts w:ascii="Times New Roman" w:hAnsi="Times New Roman" w:cs="Times New Roman"/>
              </w:rPr>
              <w:t xml:space="preserve">) triggered only if the PBRA is new and provided by DCA? Does this apply to projects with existing PBRA provided by HUD?  </w:t>
            </w:r>
          </w:p>
          <w:p w14:paraId="62CF8F4B" w14:textId="77777777" w:rsidR="00943E5C" w:rsidRPr="00AC6DEC" w:rsidRDefault="00943E5C" w:rsidP="00607B8C">
            <w:pPr>
              <w:contextualSpacing/>
              <w:rPr>
                <w:rFonts w:ascii="Times New Roman" w:hAnsi="Times New Roman" w:cs="Times New Roman"/>
              </w:rPr>
            </w:pPr>
          </w:p>
          <w:p w14:paraId="4FB9225C"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Answer:</w:t>
            </w:r>
          </w:p>
          <w:p w14:paraId="0C6815C4"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These requirements are related to DCA-administered HUD funding. They do not apply to projects with existing PBRA provided by HUD.   </w:t>
            </w:r>
          </w:p>
          <w:p w14:paraId="1017BABA" w14:textId="77777777" w:rsidR="00943E5C" w:rsidRPr="00AC6DEC" w:rsidRDefault="00943E5C" w:rsidP="00607B8C">
            <w:pPr>
              <w:contextualSpacing/>
              <w:rPr>
                <w:rFonts w:ascii="Times New Roman" w:hAnsi="Times New Roman" w:cs="Times New Roman"/>
                <w:b/>
                <w:bCs/>
              </w:rPr>
            </w:pPr>
          </w:p>
        </w:tc>
      </w:tr>
      <w:tr w:rsidR="00943E5C" w:rsidRPr="00AC6DEC" w14:paraId="01C1F9BE" w14:textId="77777777" w:rsidTr="2A62FF34">
        <w:trPr>
          <w:jc w:val="center"/>
        </w:trPr>
        <w:tc>
          <w:tcPr>
            <w:tcW w:w="2157" w:type="dxa"/>
            <w:tcMar>
              <w:top w:w="72" w:type="dxa"/>
              <w:left w:w="115" w:type="dxa"/>
              <w:bottom w:w="72" w:type="dxa"/>
              <w:right w:w="115" w:type="dxa"/>
            </w:tcMar>
            <w:vAlign w:val="center"/>
          </w:tcPr>
          <w:p w14:paraId="6AC4F836"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21732123"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2.08</w:t>
            </w:r>
          </w:p>
          <w:p w14:paraId="58CAF662"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Threshold;</w:t>
            </w:r>
          </w:p>
          <w:p w14:paraId="7D5AF00E"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Site Control</w:t>
            </w:r>
          </w:p>
        </w:tc>
        <w:tc>
          <w:tcPr>
            <w:tcW w:w="9590" w:type="dxa"/>
            <w:tcMar>
              <w:top w:w="72" w:type="dxa"/>
              <w:left w:w="115" w:type="dxa"/>
              <w:bottom w:w="72" w:type="dxa"/>
              <w:right w:w="115" w:type="dxa"/>
            </w:tcMar>
            <w:vAlign w:val="center"/>
          </w:tcPr>
          <w:p w14:paraId="24B83CDA"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Q0205_01</w:t>
            </w:r>
          </w:p>
          <w:p w14:paraId="4B034319"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Is an option contract that is digitally signed by the current owner valid for demonstrating site control? Electronic signatures are legally binding under Georgia law, but </w:t>
            </w:r>
            <w:proofErr w:type="gramStart"/>
            <w:r w:rsidRPr="00AC6DEC">
              <w:rPr>
                <w:rFonts w:ascii="Times New Roman" w:hAnsi="Times New Roman" w:cs="Times New Roman"/>
              </w:rPr>
              <w:t>we'd</w:t>
            </w:r>
            <w:proofErr w:type="gramEnd"/>
            <w:r w:rsidRPr="00AC6DEC">
              <w:rPr>
                <w:rFonts w:ascii="Times New Roman" w:hAnsi="Times New Roman" w:cs="Times New Roman"/>
              </w:rPr>
              <w:t xml:space="preserve"> like to confirm any documentation requirements for electronic signatures for the 2021 round.</w:t>
            </w:r>
          </w:p>
          <w:p w14:paraId="5731EFFF" w14:textId="77777777" w:rsidR="00943E5C" w:rsidRPr="00AC6DEC" w:rsidRDefault="00943E5C" w:rsidP="00607B8C">
            <w:pPr>
              <w:contextualSpacing/>
              <w:rPr>
                <w:rFonts w:ascii="Times New Roman" w:hAnsi="Times New Roman" w:cs="Times New Roman"/>
                <w:b/>
                <w:bCs/>
              </w:rPr>
            </w:pPr>
          </w:p>
          <w:p w14:paraId="31D0E247"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35859310" w14:textId="77777777" w:rsidR="00943E5C" w:rsidRPr="00AC6DEC" w:rsidRDefault="00943E5C" w:rsidP="00607B8C">
            <w:r w:rsidRPr="00AC6DEC">
              <w:rPr>
                <w:rFonts w:ascii="Times New Roman" w:hAnsi="Times New Roman" w:cs="Times New Roman"/>
              </w:rPr>
              <w:t xml:space="preserve">Electronic signatures are acceptable. </w:t>
            </w:r>
          </w:p>
          <w:p w14:paraId="60679B69" w14:textId="77777777" w:rsidR="00943E5C" w:rsidRPr="00AC6DEC" w:rsidRDefault="00943E5C" w:rsidP="00607B8C">
            <w:pPr>
              <w:contextualSpacing/>
              <w:rPr>
                <w:rFonts w:ascii="Times New Roman" w:hAnsi="Times New Roman" w:cs="Times New Roman"/>
                <w:b/>
                <w:bCs/>
              </w:rPr>
            </w:pPr>
          </w:p>
        </w:tc>
      </w:tr>
      <w:tr w:rsidR="00943E5C" w:rsidRPr="00AC6DEC" w14:paraId="113CF9D2" w14:textId="77777777" w:rsidTr="2A62FF34">
        <w:trPr>
          <w:jc w:val="center"/>
        </w:trPr>
        <w:tc>
          <w:tcPr>
            <w:tcW w:w="2157" w:type="dxa"/>
            <w:tcMar>
              <w:top w:w="72" w:type="dxa"/>
              <w:left w:w="115" w:type="dxa"/>
              <w:bottom w:w="72" w:type="dxa"/>
              <w:right w:w="115" w:type="dxa"/>
            </w:tcMar>
            <w:vAlign w:val="center"/>
          </w:tcPr>
          <w:p w14:paraId="0996A566"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3/24/21</w:t>
            </w:r>
          </w:p>
        </w:tc>
        <w:tc>
          <w:tcPr>
            <w:tcW w:w="2198" w:type="dxa"/>
            <w:tcMar>
              <w:top w:w="72" w:type="dxa"/>
              <w:left w:w="115" w:type="dxa"/>
              <w:bottom w:w="72" w:type="dxa"/>
              <w:right w:w="115" w:type="dxa"/>
            </w:tcMar>
            <w:vAlign w:val="center"/>
          </w:tcPr>
          <w:p w14:paraId="7353F672"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 xml:space="preserve">2.10 </w:t>
            </w:r>
          </w:p>
          <w:p w14:paraId="772273AE"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Threshold;</w:t>
            </w:r>
          </w:p>
          <w:p w14:paraId="7FBCCA13"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Site Zoning</w:t>
            </w:r>
          </w:p>
        </w:tc>
        <w:tc>
          <w:tcPr>
            <w:tcW w:w="9590" w:type="dxa"/>
            <w:tcMar>
              <w:top w:w="72" w:type="dxa"/>
              <w:left w:w="115" w:type="dxa"/>
              <w:bottom w:w="72" w:type="dxa"/>
              <w:right w:w="115" w:type="dxa"/>
            </w:tcMar>
            <w:vAlign w:val="center"/>
          </w:tcPr>
          <w:p w14:paraId="08A14274"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Q0201_03A</w:t>
            </w:r>
          </w:p>
          <w:p w14:paraId="2D7EFFE2"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With COVID continuing to keep local government office closed or employees working remotely, many items are being pushed back to allow more pressing local government business to occur.  Rezoning property continues to be pushed.  Will DCA consider having an extended deadline for providing DCA the required zoning verification documentation, similar to last year?  With the QAP being finalized in December, the timeline for rezoning a property, due to scheduling, continues to be extremely challenging during this continued pandemic.   </w:t>
            </w:r>
          </w:p>
          <w:p w14:paraId="7C2B4D3A" w14:textId="77777777" w:rsidR="00943E5C" w:rsidRPr="00AC6DEC" w:rsidRDefault="00943E5C" w:rsidP="00607B8C">
            <w:pPr>
              <w:contextualSpacing/>
              <w:rPr>
                <w:rFonts w:ascii="Times New Roman" w:hAnsi="Times New Roman" w:cs="Times New Roman"/>
                <w:b/>
                <w:bCs/>
              </w:rPr>
            </w:pPr>
          </w:p>
          <w:p w14:paraId="243E98E4"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107C2F2F" w14:textId="77777777" w:rsidR="00943E5C" w:rsidRPr="00AC6DEC" w:rsidRDefault="00943E5C" w:rsidP="00607B8C">
            <w:r w:rsidRPr="00AC6DEC">
              <w:rPr>
                <w:rFonts w:ascii="Times New Roman" w:hAnsi="Times New Roman" w:cs="Times New Roman"/>
              </w:rPr>
              <w:t xml:space="preserve">DCA will not grant such extensions at this time. </w:t>
            </w:r>
          </w:p>
          <w:p w14:paraId="072AD513" w14:textId="77777777" w:rsidR="00943E5C" w:rsidRPr="00AC6DEC" w:rsidRDefault="00943E5C" w:rsidP="00607B8C">
            <w:pPr>
              <w:contextualSpacing/>
              <w:rPr>
                <w:rFonts w:ascii="Times New Roman" w:hAnsi="Times New Roman" w:cs="Times New Roman"/>
                <w:b/>
                <w:bCs/>
              </w:rPr>
            </w:pPr>
          </w:p>
        </w:tc>
      </w:tr>
      <w:tr w:rsidR="00943E5C" w:rsidRPr="00AC6DEC" w14:paraId="6E3BF280" w14:textId="77777777" w:rsidTr="2A62FF34">
        <w:trPr>
          <w:jc w:val="center"/>
        </w:trPr>
        <w:tc>
          <w:tcPr>
            <w:tcW w:w="2157" w:type="dxa"/>
            <w:tcMar>
              <w:top w:w="72" w:type="dxa"/>
              <w:left w:w="115" w:type="dxa"/>
              <w:bottom w:w="72" w:type="dxa"/>
              <w:right w:w="115" w:type="dxa"/>
            </w:tcMar>
            <w:vAlign w:val="center"/>
          </w:tcPr>
          <w:p w14:paraId="6B489E71"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5BF334E2"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3.18</w:t>
            </w:r>
          </w:p>
          <w:p w14:paraId="1C40A83B"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7782A903"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Q0222_02</w:t>
            </w:r>
          </w:p>
          <w:p w14:paraId="6A9AC02A" w14:textId="77777777" w:rsidR="00943E5C" w:rsidRPr="00AC6DEC" w:rsidRDefault="00943E5C" w:rsidP="00607B8C">
            <w:r w:rsidRPr="00AC6DEC">
              <w:rPr>
                <w:rFonts w:ascii="Times New Roman" w:hAnsi="Times New Roman" w:cs="Times New Roman"/>
              </w:rPr>
              <w:t>Please clarify whether Capital Magnet Funding provided by a conventional bank that is also a CDFI will be considered an eligible source under the Favorable Financing scoring category.</w:t>
            </w:r>
          </w:p>
          <w:p w14:paraId="4DCAF0A3" w14:textId="77777777" w:rsidR="00943E5C" w:rsidRPr="00AC6DEC" w:rsidRDefault="00943E5C" w:rsidP="00607B8C">
            <w:pPr>
              <w:contextualSpacing/>
              <w:rPr>
                <w:rFonts w:ascii="Times New Roman" w:hAnsi="Times New Roman" w:cs="Times New Roman"/>
                <w:b/>
                <w:bCs/>
              </w:rPr>
            </w:pPr>
          </w:p>
          <w:p w14:paraId="7D7E6DD6"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764895A9"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CMF constitutes “Other Federal, State, or local grant funds or loans” (option eleven under </w:t>
            </w:r>
            <w:r w:rsidRPr="00AC6DEC">
              <w:rPr>
                <w:rFonts w:ascii="Times New Roman" w:hAnsi="Times New Roman" w:cs="Times New Roman"/>
                <w:i/>
                <w:iCs/>
              </w:rPr>
              <w:t>Favorable Financing</w:t>
            </w:r>
            <w:r w:rsidRPr="00AC6DEC">
              <w:rPr>
                <w:rFonts w:ascii="Times New Roman" w:hAnsi="Times New Roman" w:cs="Times New Roman"/>
              </w:rPr>
              <w:t xml:space="preserve">, subsection </w:t>
            </w:r>
            <w:r w:rsidRPr="00AC6DEC">
              <w:rPr>
                <w:rFonts w:ascii="Times New Roman" w:hAnsi="Times New Roman" w:cs="Times New Roman"/>
                <w:i/>
                <w:iCs/>
              </w:rPr>
              <w:t>A. Qualifying Sources</w:t>
            </w:r>
            <w:r w:rsidRPr="00AC6DEC">
              <w:rPr>
                <w:rFonts w:ascii="Times New Roman" w:hAnsi="Times New Roman" w:cs="Times New Roman"/>
              </w:rPr>
              <w:t>). Further, a financial institution eligible to administer such funds is certified as a CDFI and is therefore not purely a “conventional bank” (</w:t>
            </w:r>
            <w:hyperlink r:id="rId29"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59A27C63" w14:textId="77777777" w:rsidR="00943E5C" w:rsidRPr="00AC6DEC" w:rsidRDefault="00943E5C" w:rsidP="00607B8C">
            <w:pPr>
              <w:rPr>
                <w:rFonts w:ascii="Times New Roman" w:hAnsi="Times New Roman" w:cs="Times New Roman"/>
              </w:rPr>
            </w:pPr>
          </w:p>
          <w:p w14:paraId="498AD5E1"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rPr>
              <w:t xml:space="preserve">Please note that </w:t>
            </w:r>
            <w:r w:rsidRPr="00AC6DEC">
              <w:rPr>
                <w:rFonts w:ascii="Times New Roman" w:hAnsi="Times New Roman" w:cs="Times New Roman"/>
                <w:i/>
                <w:iCs/>
              </w:rPr>
              <w:t>both</w:t>
            </w:r>
            <w:r w:rsidRPr="00AC6DEC">
              <w:rPr>
                <w:rFonts w:ascii="Times New Roman" w:hAnsi="Times New Roman" w:cs="Times New Roman"/>
              </w:rPr>
              <w:t xml:space="preserve"> the funding source and the institution certification tied to the qualifying source influence eligibility determination. CDFI certification on its own does not qualify a source of funds under this section.</w:t>
            </w:r>
          </w:p>
        </w:tc>
      </w:tr>
      <w:tr w:rsidR="00943E5C" w:rsidRPr="00AC6DEC" w14:paraId="0FFB8764" w14:textId="77777777" w:rsidTr="2A62FF34">
        <w:trPr>
          <w:jc w:val="center"/>
        </w:trPr>
        <w:tc>
          <w:tcPr>
            <w:tcW w:w="2157" w:type="dxa"/>
            <w:tcMar>
              <w:top w:w="72" w:type="dxa"/>
              <w:left w:w="115" w:type="dxa"/>
              <w:bottom w:w="72" w:type="dxa"/>
              <w:right w:w="115" w:type="dxa"/>
            </w:tcMar>
            <w:vAlign w:val="center"/>
          </w:tcPr>
          <w:p w14:paraId="0CD30992"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1722DD44"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3.18</w:t>
            </w:r>
          </w:p>
          <w:p w14:paraId="2F8F2829"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2204780D"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Q0212_01</w:t>
            </w:r>
          </w:p>
          <w:p w14:paraId="207E4552"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For the Favorable Financing per unit calculation, do you divide the amount of favorable financing by total units or just LIHTC units, </w:t>
            </w:r>
            <w:proofErr w:type="gramStart"/>
            <w:r w:rsidRPr="00AC6DEC">
              <w:rPr>
                <w:rFonts w:ascii="Times New Roman" w:hAnsi="Times New Roman" w:cs="Times New Roman"/>
              </w:rPr>
              <w:t>i.e.</w:t>
            </w:r>
            <w:proofErr w:type="gramEnd"/>
            <w:r w:rsidRPr="00AC6DEC">
              <w:rPr>
                <w:rFonts w:ascii="Times New Roman" w:hAnsi="Times New Roman" w:cs="Times New Roman"/>
              </w:rPr>
              <w:t xml:space="preserve"> exclude market rate units from the calculation?</w:t>
            </w:r>
          </w:p>
          <w:p w14:paraId="27360FEA" w14:textId="77777777" w:rsidR="00943E5C" w:rsidRPr="00AC6DEC" w:rsidRDefault="00943E5C" w:rsidP="00607B8C">
            <w:pPr>
              <w:contextualSpacing/>
              <w:rPr>
                <w:rFonts w:ascii="Times New Roman" w:hAnsi="Times New Roman" w:cs="Times New Roman"/>
                <w:b/>
                <w:bCs/>
              </w:rPr>
            </w:pPr>
          </w:p>
          <w:p w14:paraId="600D5587"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7A970DDB"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Per unit means total units on the property to be developed.</w:t>
            </w:r>
          </w:p>
        </w:tc>
      </w:tr>
      <w:tr w:rsidR="00943E5C" w:rsidRPr="00AC6DEC" w14:paraId="5BFF417D" w14:textId="77777777" w:rsidTr="2A62FF34">
        <w:trPr>
          <w:jc w:val="center"/>
        </w:trPr>
        <w:tc>
          <w:tcPr>
            <w:tcW w:w="2157" w:type="dxa"/>
            <w:tcMar>
              <w:top w:w="72" w:type="dxa"/>
              <w:left w:w="115" w:type="dxa"/>
              <w:bottom w:w="72" w:type="dxa"/>
              <w:right w:w="115" w:type="dxa"/>
            </w:tcMar>
            <w:vAlign w:val="center"/>
          </w:tcPr>
          <w:p w14:paraId="3F85D27B"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0BE899A5"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8.00</w:t>
            </w:r>
          </w:p>
          <w:p w14:paraId="755B0410"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Other</w:t>
            </w:r>
          </w:p>
        </w:tc>
        <w:tc>
          <w:tcPr>
            <w:tcW w:w="9590" w:type="dxa"/>
            <w:tcMar>
              <w:top w:w="72" w:type="dxa"/>
              <w:left w:w="115" w:type="dxa"/>
              <w:bottom w:w="72" w:type="dxa"/>
              <w:right w:w="115" w:type="dxa"/>
            </w:tcMar>
            <w:vAlign w:val="center"/>
          </w:tcPr>
          <w:p w14:paraId="3FB7D1B3"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Q0209_03</w:t>
            </w:r>
          </w:p>
          <w:p w14:paraId="09F48B7C"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Can you tell me if the application requires a letter of support or approval from the government it will be located within?</w:t>
            </w:r>
          </w:p>
          <w:p w14:paraId="0597C428" w14:textId="77777777" w:rsidR="00943E5C" w:rsidRPr="00AC6DEC" w:rsidRDefault="00943E5C" w:rsidP="00607B8C">
            <w:pPr>
              <w:contextualSpacing/>
              <w:rPr>
                <w:rFonts w:ascii="Times New Roman" w:hAnsi="Times New Roman" w:cs="Times New Roman"/>
                <w:b/>
                <w:bCs/>
              </w:rPr>
            </w:pPr>
          </w:p>
          <w:p w14:paraId="2A4CD72C"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60E78601" w14:textId="77777777" w:rsidR="00943E5C" w:rsidRPr="00AC6DEC" w:rsidRDefault="00943E5C" w:rsidP="00607B8C">
            <w:r w:rsidRPr="00AC6DEC">
              <w:rPr>
                <w:rFonts w:ascii="Times New Roman" w:hAnsi="Times New Roman" w:cs="Times New Roman"/>
              </w:rPr>
              <w:lastRenderedPageBreak/>
              <w:t>No. All required documents are listed in the Qualified Allocation Plan.</w:t>
            </w:r>
          </w:p>
          <w:p w14:paraId="2D0CB818" w14:textId="77777777" w:rsidR="00943E5C" w:rsidRPr="00AC6DEC" w:rsidRDefault="00943E5C" w:rsidP="00607B8C">
            <w:pPr>
              <w:rPr>
                <w:rFonts w:ascii="Times New Roman" w:hAnsi="Times New Roman" w:cs="Times New Roman"/>
                <w:lang w:val="fr-FR"/>
              </w:rPr>
            </w:pPr>
            <w:r w:rsidRPr="00AC6DEC">
              <w:rPr>
                <w:rFonts w:ascii="Times New Roman" w:hAnsi="Times New Roman" w:cs="Times New Roman"/>
              </w:rPr>
              <w:t xml:space="preserve">The Core Application checklist also can be used as a guide. </w:t>
            </w:r>
            <w:hyperlink r:id="rId30">
              <w:r w:rsidRPr="00AC6DEC">
                <w:rPr>
                  <w:rStyle w:val="Hyperlink"/>
                  <w:rFonts w:ascii="Times New Roman" w:hAnsi="Times New Roman" w:cs="Times New Roman"/>
                  <w:lang w:val="fr-FR"/>
                </w:rPr>
                <w:t>https://www.dca.ga.gov/node/7253</w:t>
              </w:r>
            </w:hyperlink>
            <w:r w:rsidRPr="00AC6DEC">
              <w:rPr>
                <w:rFonts w:ascii="Times New Roman" w:hAnsi="Times New Roman" w:cs="Times New Roman"/>
                <w:lang w:val="fr-FR"/>
              </w:rPr>
              <w:t xml:space="preserve"> </w:t>
            </w:r>
          </w:p>
        </w:tc>
      </w:tr>
      <w:tr w:rsidR="00943E5C" w:rsidRPr="00AC6DEC" w14:paraId="07B88A01" w14:textId="77777777" w:rsidTr="2A62FF34">
        <w:trPr>
          <w:jc w:val="center"/>
        </w:trPr>
        <w:tc>
          <w:tcPr>
            <w:tcW w:w="2157" w:type="dxa"/>
            <w:tcMar>
              <w:top w:w="72" w:type="dxa"/>
              <w:left w:w="115" w:type="dxa"/>
              <w:bottom w:w="72" w:type="dxa"/>
              <w:right w:w="115" w:type="dxa"/>
            </w:tcMar>
            <w:vAlign w:val="center"/>
          </w:tcPr>
          <w:p w14:paraId="6A805144"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3/15/21</w:t>
            </w:r>
          </w:p>
        </w:tc>
        <w:tc>
          <w:tcPr>
            <w:tcW w:w="2198" w:type="dxa"/>
            <w:tcMar>
              <w:top w:w="72" w:type="dxa"/>
              <w:left w:w="115" w:type="dxa"/>
              <w:bottom w:w="72" w:type="dxa"/>
              <w:right w:w="115" w:type="dxa"/>
            </w:tcMar>
            <w:vAlign w:val="center"/>
          </w:tcPr>
          <w:p w14:paraId="57BA9D61"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3.05</w:t>
            </w:r>
          </w:p>
          <w:p w14:paraId="2D347FDC"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5219EACB"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Q0201_06</w:t>
            </w:r>
          </w:p>
          <w:p w14:paraId="47515FB6"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Unfortunately, it seems the pandemic will continue to negatively impact businesses and even community amenities throughout the year. How will DCA evaluate desirables like restaurants and retail stores, etc., that were open at the time of application but closed at the time of DCA's review?</w:t>
            </w:r>
          </w:p>
          <w:p w14:paraId="17D1AD86" w14:textId="77777777" w:rsidR="00943E5C" w:rsidRPr="00AC6DEC" w:rsidRDefault="00943E5C" w:rsidP="00607B8C">
            <w:pPr>
              <w:contextualSpacing/>
              <w:rPr>
                <w:rFonts w:ascii="Times New Roman" w:hAnsi="Times New Roman" w:cs="Times New Roman"/>
                <w:b/>
                <w:bCs/>
              </w:rPr>
            </w:pPr>
          </w:p>
          <w:p w14:paraId="61FAB070"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694FB2D2"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An establishment that an applicant certifies is operational as of the Application Submission deadline (May 21, 2021) will qualify for points under this section. This certification is covered by the relevant clauses in the “Applicant Certification Letter” required for all applications and requires no separate actions specific to this section. Relevant clauses are below:</w:t>
            </w:r>
          </w:p>
          <w:p w14:paraId="318BFEFA" w14:textId="77777777" w:rsidR="00943E5C" w:rsidRPr="00AC6DEC" w:rsidRDefault="00943E5C" w:rsidP="00607B8C">
            <w:pPr>
              <w:rPr>
                <w:rFonts w:ascii="Times New Roman" w:hAnsi="Times New Roman" w:cs="Times New Roman"/>
              </w:rPr>
            </w:pPr>
          </w:p>
          <w:p w14:paraId="62C18ABE" w14:textId="77777777" w:rsidR="00943E5C" w:rsidRPr="00AC6DEC" w:rsidRDefault="00943E5C" w:rsidP="00607B8C">
            <w:pPr>
              <w:rPr>
                <w:rFonts w:ascii="Times New Roman" w:hAnsi="Times New Roman" w:cs="Times New Roman"/>
                <w:i/>
                <w:iCs/>
              </w:rPr>
            </w:pPr>
            <w:r w:rsidRPr="00AC6DEC">
              <w:rPr>
                <w:rFonts w:ascii="Times New Roman" w:hAnsi="Times New Roman" w:cs="Times New Roman"/>
                <w:i/>
                <w:iCs/>
              </w:rPr>
              <w:t>“I understand that, in the event an allocation (or an allowance) for LIHTCs was obtained with false information supplied to the Georgia Department of Community Affairs ("DCA"), DCA will recapture the LIHTCs or request that the IRS deny tax credits to the Applicant entity.   Also, a supplier, including the developer or owner, who knowingly provides false information will be barred by DCA from program participation for a period of five (5) years from the date the false information was discovered, in accordance with a Memorandum of Understanding between the Internal Revenue Service and the Georgia Housing and Finance Authority.”</w:t>
            </w:r>
          </w:p>
          <w:p w14:paraId="35F497A1" w14:textId="77777777" w:rsidR="00943E5C" w:rsidRPr="00AC6DEC" w:rsidRDefault="00943E5C" w:rsidP="00607B8C">
            <w:pPr>
              <w:rPr>
                <w:rFonts w:ascii="Times New Roman" w:hAnsi="Times New Roman" w:cs="Times New Roman"/>
                <w:b/>
                <w:bCs/>
              </w:rPr>
            </w:pPr>
          </w:p>
          <w:p w14:paraId="0369D7F4" w14:textId="77777777" w:rsidR="00943E5C" w:rsidRPr="00AC6DEC" w:rsidRDefault="00943E5C" w:rsidP="00607B8C">
            <w:pPr>
              <w:rPr>
                <w:rFonts w:ascii="Times New Roman" w:hAnsi="Times New Roman" w:cs="Times New Roman"/>
                <w:i/>
                <w:iCs/>
              </w:rPr>
            </w:pPr>
            <w:r w:rsidRPr="00AC6DEC">
              <w:rPr>
                <w:rFonts w:ascii="Times New Roman" w:hAnsi="Times New Roman" w:cs="Times New Roman"/>
                <w:i/>
                <w:iCs/>
              </w:rPr>
              <w:t>“I understand that any misrepresentations, which includes fraudulent, negligent, and/or innocent, in this Application or supporting documentation may result in a withdrawal of tax credits and/or HOME loan by DCA, my (and related parties) being barred from future program participation, and notification of the Internal Revenue Service and/or HUD.”</w:t>
            </w:r>
          </w:p>
          <w:p w14:paraId="0E8E64AA" w14:textId="77777777" w:rsidR="00943E5C" w:rsidRPr="00AC6DEC" w:rsidRDefault="00943E5C" w:rsidP="00607B8C">
            <w:pPr>
              <w:contextualSpacing/>
              <w:rPr>
                <w:rFonts w:ascii="Times New Roman" w:hAnsi="Times New Roman" w:cs="Times New Roman"/>
                <w:b/>
                <w:bCs/>
              </w:rPr>
            </w:pPr>
          </w:p>
        </w:tc>
      </w:tr>
      <w:tr w:rsidR="00943E5C" w:rsidRPr="00AC6DEC" w14:paraId="5EBCEDB6" w14:textId="77777777" w:rsidTr="2A62FF34">
        <w:trPr>
          <w:jc w:val="center"/>
        </w:trPr>
        <w:tc>
          <w:tcPr>
            <w:tcW w:w="2157" w:type="dxa"/>
            <w:tcMar>
              <w:top w:w="72" w:type="dxa"/>
              <w:left w:w="115" w:type="dxa"/>
              <w:bottom w:w="72" w:type="dxa"/>
              <w:right w:w="115" w:type="dxa"/>
            </w:tcMar>
            <w:vAlign w:val="center"/>
          </w:tcPr>
          <w:p w14:paraId="4D92FD56"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3/15/21</w:t>
            </w:r>
          </w:p>
        </w:tc>
        <w:tc>
          <w:tcPr>
            <w:tcW w:w="2198" w:type="dxa"/>
            <w:tcMar>
              <w:top w:w="72" w:type="dxa"/>
              <w:left w:w="115" w:type="dxa"/>
              <w:bottom w:w="72" w:type="dxa"/>
              <w:right w:w="115" w:type="dxa"/>
            </w:tcMar>
            <w:vAlign w:val="center"/>
          </w:tcPr>
          <w:p w14:paraId="1B0DB632"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3.10</w:t>
            </w:r>
          </w:p>
          <w:p w14:paraId="7813497E"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16F762DC"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Q0211_02</w:t>
            </w:r>
          </w:p>
          <w:p w14:paraId="2B983D9B" w14:textId="77777777" w:rsidR="00943E5C" w:rsidRPr="00AC6DEC" w:rsidRDefault="00943E5C" w:rsidP="00607B8C">
            <w:pPr>
              <w:contextualSpacing/>
              <w:rPr>
                <w:rFonts w:ascii="Times New Roman" w:hAnsi="Times New Roman" w:cs="Times New Roman"/>
              </w:rPr>
            </w:pPr>
            <w:proofErr w:type="gramStart"/>
            <w:r w:rsidRPr="00AC6DEC">
              <w:rPr>
                <w:rFonts w:ascii="Times New Roman" w:hAnsi="Times New Roman" w:cs="Times New Roman"/>
              </w:rPr>
              <w:t>I'm</w:t>
            </w:r>
            <w:proofErr w:type="gramEnd"/>
            <w:r w:rsidRPr="00AC6DEC">
              <w:rPr>
                <w:rFonts w:ascii="Times New Roman" w:hAnsi="Times New Roman" w:cs="Times New Roman"/>
              </w:rPr>
              <w:t xml:space="preserve"> looking into a site in one of the census tracts in your region, GEOID: 13015960701 in Bartow, for an affordable housing development. The DCA provided the attached excel document for scoring the Stable Communities Subsection B in the QAP but the census tract 13015960701 is missing from the data set. Do you happen to know why the data for that census tract </w:t>
            </w:r>
            <w:proofErr w:type="gramStart"/>
            <w:r w:rsidRPr="00AC6DEC">
              <w:rPr>
                <w:rFonts w:ascii="Times New Roman" w:hAnsi="Times New Roman" w:cs="Times New Roman"/>
              </w:rPr>
              <w:t>isn't</w:t>
            </w:r>
            <w:proofErr w:type="gramEnd"/>
            <w:r w:rsidRPr="00AC6DEC">
              <w:rPr>
                <w:rFonts w:ascii="Times New Roman" w:hAnsi="Times New Roman" w:cs="Times New Roman"/>
              </w:rPr>
              <w:t xml:space="preserve"> included?</w:t>
            </w:r>
          </w:p>
          <w:p w14:paraId="0A80392E" w14:textId="77777777" w:rsidR="00943E5C" w:rsidRPr="00AC6DEC" w:rsidRDefault="00943E5C" w:rsidP="00607B8C">
            <w:pPr>
              <w:contextualSpacing/>
              <w:rPr>
                <w:rFonts w:ascii="Times New Roman" w:hAnsi="Times New Roman" w:cs="Times New Roman"/>
              </w:rPr>
            </w:pPr>
          </w:p>
          <w:p w14:paraId="741E5354"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Did 13015960701 census </w:t>
            </w:r>
            <w:proofErr w:type="gramStart"/>
            <w:r w:rsidRPr="00AC6DEC">
              <w:rPr>
                <w:rFonts w:ascii="Times New Roman" w:hAnsi="Times New Roman" w:cs="Times New Roman"/>
              </w:rPr>
              <w:t>tract</w:t>
            </w:r>
            <w:proofErr w:type="gramEnd"/>
            <w:r w:rsidRPr="00AC6DEC">
              <w:rPr>
                <w:rFonts w:ascii="Times New Roman" w:hAnsi="Times New Roman" w:cs="Times New Roman"/>
              </w:rPr>
              <w:t xml:space="preserve"> split in 2020 from 13015960700 census tract?</w:t>
            </w:r>
          </w:p>
          <w:p w14:paraId="4A6FB181" w14:textId="77777777" w:rsidR="00943E5C" w:rsidRPr="00AC6DEC" w:rsidRDefault="00943E5C" w:rsidP="00607B8C">
            <w:pPr>
              <w:contextualSpacing/>
              <w:rPr>
                <w:rFonts w:ascii="Times New Roman" w:hAnsi="Times New Roman" w:cs="Times New Roman"/>
                <w:b/>
                <w:bCs/>
              </w:rPr>
            </w:pPr>
          </w:p>
          <w:p w14:paraId="39F98299"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3413EE2A"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lastRenderedPageBreak/>
              <w:t>The scoring table referenced in your question is the “Local Health and Economic Indicators” document posted to the DCA website (</w:t>
            </w:r>
            <w:hyperlink r:id="rId31">
              <w:r w:rsidRPr="00AC6DEC">
                <w:rPr>
                  <w:rStyle w:val="Hyperlink"/>
                  <w:rFonts w:ascii="Times New Roman" w:hAnsi="Times New Roman" w:cs="Times New Roman"/>
                </w:rPr>
                <w:t>click here</w:t>
              </w:r>
            </w:hyperlink>
            <w:r w:rsidRPr="00AC6DEC">
              <w:rPr>
                <w:rFonts w:ascii="Times New Roman" w:hAnsi="Times New Roman" w:cs="Times New Roman"/>
              </w:rPr>
              <w:t xml:space="preserve">) for </w:t>
            </w:r>
            <w:r w:rsidRPr="00AC6DEC">
              <w:rPr>
                <w:rFonts w:ascii="Times New Roman" w:hAnsi="Times New Roman" w:cs="Times New Roman"/>
                <w:i/>
                <w:iCs/>
              </w:rPr>
              <w:t>Scoring Criteria</w:t>
            </w:r>
            <w:r w:rsidRPr="00AC6DEC">
              <w:rPr>
                <w:rFonts w:ascii="Times New Roman" w:hAnsi="Times New Roman" w:cs="Times New Roman"/>
              </w:rPr>
              <w:t xml:space="preserve">, </w:t>
            </w:r>
            <w:r w:rsidRPr="00AC6DEC">
              <w:rPr>
                <w:rFonts w:ascii="Times New Roman" w:hAnsi="Times New Roman" w:cs="Times New Roman"/>
                <w:i/>
                <w:iCs/>
              </w:rPr>
              <w:t>Stable Communities</w:t>
            </w:r>
            <w:r w:rsidRPr="00AC6DEC">
              <w:rPr>
                <w:rFonts w:ascii="Times New Roman" w:hAnsi="Times New Roman" w:cs="Times New Roman"/>
              </w:rPr>
              <w:t xml:space="preserve">, subsection B. </w:t>
            </w:r>
          </w:p>
          <w:p w14:paraId="7BA49F24" w14:textId="77777777" w:rsidR="00943E5C" w:rsidRPr="00AC6DEC" w:rsidRDefault="00943E5C" w:rsidP="00607B8C">
            <w:pPr>
              <w:contextualSpacing/>
              <w:rPr>
                <w:rFonts w:ascii="Times New Roman" w:hAnsi="Times New Roman" w:cs="Times New Roman"/>
              </w:rPr>
            </w:pPr>
          </w:p>
          <w:p w14:paraId="757A18C4"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The three Census Bureau metrics from this document (Employment, Median Income, and Health Insurance Coverage) utilize American Community Survey (ACS) data aggregated over a 5-year period. The set of tract boundaries the Census Bureau uses for this 5-year period data aggregation is not the same as the most recently published tract boundaries. Because of this, applicants may not find the tract ID for their site in the DCA-published table. </w:t>
            </w:r>
          </w:p>
          <w:p w14:paraId="68151E99" w14:textId="77777777" w:rsidR="00943E5C" w:rsidRPr="00AC6DEC" w:rsidRDefault="00943E5C" w:rsidP="00607B8C">
            <w:pPr>
              <w:contextualSpacing/>
              <w:rPr>
                <w:rFonts w:ascii="Times New Roman" w:hAnsi="Times New Roman" w:cs="Times New Roman"/>
              </w:rPr>
            </w:pPr>
          </w:p>
          <w:p w14:paraId="0D43B61E"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Applicants who have scored sites based on this table can continue to do so. To assist applicants who have been unable to determine which census tract in the table is associated with their site, DCA has updated the Housing Tax Credit Properties Map (</w:t>
            </w:r>
            <w:hyperlink r:id="rId32"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to include two additional map layers that include the data from the published </w:t>
            </w:r>
            <w:r w:rsidRPr="00AC6DEC">
              <w:rPr>
                <w:rFonts w:ascii="Times New Roman" w:hAnsi="Times New Roman" w:cs="Times New Roman"/>
                <w:i/>
                <w:iCs/>
              </w:rPr>
              <w:t>Local Health and Economic Indicators</w:t>
            </w:r>
            <w:r w:rsidRPr="00AC6DEC">
              <w:rPr>
                <w:rFonts w:ascii="Times New Roman" w:hAnsi="Times New Roman" w:cs="Times New Roman"/>
              </w:rPr>
              <w:t xml:space="preserve"> table: </w:t>
            </w:r>
          </w:p>
          <w:p w14:paraId="79AE4AE7" w14:textId="77777777" w:rsidR="00943E5C" w:rsidRPr="00AC6DEC" w:rsidRDefault="00943E5C" w:rsidP="00607B8C">
            <w:pPr>
              <w:contextualSpacing/>
              <w:rPr>
                <w:rFonts w:ascii="Times New Roman" w:hAnsi="Times New Roman" w:cs="Times New Roman"/>
              </w:rPr>
            </w:pPr>
          </w:p>
          <w:p w14:paraId="2E7C6DFD" w14:textId="77777777" w:rsidR="00943E5C" w:rsidRPr="00AC6DEC" w:rsidRDefault="00943E5C" w:rsidP="00607B8C">
            <w:pPr>
              <w:pStyle w:val="ListParagraph"/>
              <w:numPr>
                <w:ilvl w:val="0"/>
                <w:numId w:val="36"/>
              </w:numPr>
              <w:rPr>
                <w:rFonts w:ascii="Times New Roman" w:hAnsi="Times New Roman" w:cs="Times New Roman"/>
              </w:rPr>
            </w:pPr>
            <w:r w:rsidRPr="00AC6DEC">
              <w:rPr>
                <w:rFonts w:ascii="Times New Roman" w:hAnsi="Times New Roman" w:cs="Times New Roman"/>
              </w:rPr>
              <w:t>“2019 Health and Econ Indicators”</w:t>
            </w:r>
          </w:p>
          <w:p w14:paraId="7694564D" w14:textId="77777777" w:rsidR="00943E5C" w:rsidRPr="00AC6DEC" w:rsidRDefault="00943E5C" w:rsidP="00607B8C">
            <w:pPr>
              <w:pStyle w:val="ListParagraph"/>
              <w:numPr>
                <w:ilvl w:val="0"/>
                <w:numId w:val="36"/>
              </w:numPr>
              <w:rPr>
                <w:rFonts w:ascii="Times New Roman" w:hAnsi="Times New Roman" w:cs="Times New Roman"/>
              </w:rPr>
            </w:pPr>
            <w:r w:rsidRPr="00AC6DEC">
              <w:rPr>
                <w:rFonts w:ascii="Times New Roman" w:hAnsi="Times New Roman" w:cs="Times New Roman"/>
              </w:rPr>
              <w:t>“2018 Health and Econ Indicators”</w:t>
            </w:r>
          </w:p>
          <w:p w14:paraId="33BFCE8C" w14:textId="77777777" w:rsidR="00943E5C" w:rsidRPr="00AC6DEC" w:rsidRDefault="00943E5C" w:rsidP="00607B8C">
            <w:pPr>
              <w:rPr>
                <w:rFonts w:ascii="Times New Roman" w:hAnsi="Times New Roman" w:cs="Times New Roman"/>
              </w:rPr>
            </w:pPr>
          </w:p>
          <w:p w14:paraId="60638D06"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Applicants can input the geocoordinates for their site into the map and click on the tract boundary to see the associated values used for </w:t>
            </w:r>
            <w:r w:rsidRPr="00AC6DEC">
              <w:rPr>
                <w:rFonts w:ascii="Times New Roman" w:hAnsi="Times New Roman" w:cs="Times New Roman"/>
                <w:i/>
                <w:iCs/>
              </w:rPr>
              <w:t>Scoring, Stable Communities</w:t>
            </w:r>
            <w:r w:rsidRPr="00AC6DEC">
              <w:rPr>
                <w:rFonts w:ascii="Times New Roman" w:hAnsi="Times New Roman" w:cs="Times New Roman"/>
              </w:rPr>
              <w:t xml:space="preserve">, subsection </w:t>
            </w:r>
            <w:r w:rsidRPr="00AC6DEC">
              <w:rPr>
                <w:rFonts w:ascii="Times New Roman" w:hAnsi="Times New Roman" w:cs="Times New Roman"/>
                <w:i/>
                <w:iCs/>
              </w:rPr>
              <w:t>B. Local Health and Economic Indicators</w:t>
            </w:r>
            <w:r w:rsidRPr="00AC6DEC">
              <w:rPr>
                <w:rFonts w:ascii="Times New Roman" w:hAnsi="Times New Roman" w:cs="Times New Roman"/>
              </w:rPr>
              <w:t xml:space="preserve">. Please note that a value of consecutive 9s (e.g., “99,999,999.00”) indicates the Census or CDC has not published data for that metric for that census tract.  </w:t>
            </w:r>
          </w:p>
          <w:p w14:paraId="662619E9" w14:textId="77777777" w:rsidR="00943E5C" w:rsidRPr="00AC6DEC" w:rsidRDefault="00943E5C" w:rsidP="00607B8C">
            <w:pPr>
              <w:contextualSpacing/>
              <w:rPr>
                <w:rFonts w:ascii="Times New Roman" w:hAnsi="Times New Roman" w:cs="Times New Roman"/>
                <w:b/>
                <w:bCs/>
              </w:rPr>
            </w:pPr>
          </w:p>
        </w:tc>
      </w:tr>
      <w:tr w:rsidR="00943E5C" w:rsidRPr="00AC6DEC" w14:paraId="03272183" w14:textId="77777777" w:rsidTr="2A62FF34">
        <w:trPr>
          <w:jc w:val="center"/>
        </w:trPr>
        <w:tc>
          <w:tcPr>
            <w:tcW w:w="2157" w:type="dxa"/>
            <w:tcMar>
              <w:top w:w="72" w:type="dxa"/>
              <w:left w:w="115" w:type="dxa"/>
              <w:bottom w:w="72" w:type="dxa"/>
              <w:right w:w="115" w:type="dxa"/>
            </w:tcMar>
            <w:vAlign w:val="center"/>
          </w:tcPr>
          <w:p w14:paraId="10F858CE"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3/15/21</w:t>
            </w:r>
          </w:p>
        </w:tc>
        <w:tc>
          <w:tcPr>
            <w:tcW w:w="2198" w:type="dxa"/>
            <w:tcMar>
              <w:top w:w="72" w:type="dxa"/>
              <w:left w:w="115" w:type="dxa"/>
              <w:bottom w:w="72" w:type="dxa"/>
              <w:right w:w="115" w:type="dxa"/>
            </w:tcMar>
            <w:vAlign w:val="center"/>
          </w:tcPr>
          <w:p w14:paraId="227389B7"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3.16</w:t>
            </w:r>
          </w:p>
          <w:p w14:paraId="4576F1C5"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 xml:space="preserve">Exceptional Nonprofit/Public Housing Authority </w:t>
            </w:r>
          </w:p>
        </w:tc>
        <w:tc>
          <w:tcPr>
            <w:tcW w:w="9590" w:type="dxa"/>
            <w:tcMar>
              <w:top w:w="72" w:type="dxa"/>
              <w:left w:w="115" w:type="dxa"/>
              <w:bottom w:w="72" w:type="dxa"/>
              <w:right w:w="115" w:type="dxa"/>
            </w:tcMar>
            <w:vAlign w:val="center"/>
          </w:tcPr>
          <w:p w14:paraId="7F25E68F"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Q0205_02</w:t>
            </w:r>
          </w:p>
          <w:p w14:paraId="6C0AED8A"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What is the required percentage that the Nonprofit who is the Managing General Partner get in the deal if partnering with a </w:t>
            </w:r>
            <w:proofErr w:type="gramStart"/>
            <w:r w:rsidRPr="00AC6DEC">
              <w:rPr>
                <w:rFonts w:ascii="Times New Roman" w:hAnsi="Times New Roman" w:cs="Times New Roman"/>
              </w:rPr>
              <w:t>For</w:t>
            </w:r>
            <w:proofErr w:type="gramEnd"/>
            <w:r w:rsidRPr="00AC6DEC">
              <w:rPr>
                <w:rFonts w:ascii="Times New Roman" w:hAnsi="Times New Roman" w:cs="Times New Roman"/>
              </w:rPr>
              <w:t xml:space="preserve"> profit developer?  What are the other requirements for the Nonprofit other </w:t>
            </w:r>
            <w:proofErr w:type="gramStart"/>
            <w:r w:rsidRPr="00AC6DEC">
              <w:rPr>
                <w:rFonts w:ascii="Times New Roman" w:hAnsi="Times New Roman" w:cs="Times New Roman"/>
              </w:rPr>
              <w:t>than  what</w:t>
            </w:r>
            <w:proofErr w:type="gramEnd"/>
            <w:r w:rsidRPr="00AC6DEC">
              <w:rPr>
                <w:rFonts w:ascii="Times New Roman" w:hAnsi="Times New Roman" w:cs="Times New Roman"/>
              </w:rPr>
              <w:t xml:space="preserve"> is already in the Exceptional Non Profit section of the QAP?</w:t>
            </w:r>
          </w:p>
          <w:p w14:paraId="7A47AF0E" w14:textId="77777777" w:rsidR="00943E5C" w:rsidRPr="00AC6DEC" w:rsidRDefault="00943E5C" w:rsidP="00607B8C">
            <w:pPr>
              <w:contextualSpacing/>
              <w:rPr>
                <w:rFonts w:ascii="Times New Roman" w:hAnsi="Times New Roman" w:cs="Times New Roman"/>
                <w:b/>
                <w:bCs/>
              </w:rPr>
            </w:pPr>
          </w:p>
          <w:p w14:paraId="2B13A9E4"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2C6968C5" w14:textId="77777777" w:rsidR="00943E5C" w:rsidRPr="00AC6DEC" w:rsidRDefault="00943E5C" w:rsidP="00607B8C">
            <w:pPr>
              <w:rPr>
                <w:rFonts w:ascii="Times New Roman" w:hAnsi="Times New Roman" w:cs="Times New Roman"/>
              </w:rPr>
            </w:pPr>
            <w:r w:rsidRPr="00AC6DEC">
              <w:rPr>
                <w:rFonts w:ascii="Times New Roman" w:hAnsi="Times New Roman" w:cs="Times New Roman"/>
                <w:i/>
                <w:iCs/>
              </w:rPr>
              <w:t xml:space="preserve">Scoring Criteria, Exceptional Nonprofit </w:t>
            </w:r>
            <w:r w:rsidRPr="00AC6DEC">
              <w:rPr>
                <w:rFonts w:ascii="Times New Roman" w:hAnsi="Times New Roman" w:cs="Times New Roman"/>
              </w:rPr>
              <w:t>states the following:</w:t>
            </w:r>
          </w:p>
          <w:p w14:paraId="62E51858" w14:textId="77777777" w:rsidR="00943E5C" w:rsidRPr="00AC6DEC" w:rsidRDefault="00943E5C" w:rsidP="00607B8C">
            <w:pPr>
              <w:rPr>
                <w:rFonts w:ascii="Times New Roman" w:hAnsi="Times New Roman" w:cs="Times New Roman"/>
              </w:rPr>
            </w:pPr>
          </w:p>
          <w:p w14:paraId="09E3CC74"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rPr>
              <w:t xml:space="preserve">As stated in </w:t>
            </w:r>
            <w:r w:rsidRPr="00AC6DEC">
              <w:rPr>
                <w:rFonts w:ascii="Times New Roman" w:hAnsi="Times New Roman" w:cs="Times New Roman"/>
                <w:i/>
                <w:iCs/>
              </w:rPr>
              <w:t xml:space="preserve">Scoring Criteria, Exceptional Nonprofit/Public Housing Authority, </w:t>
            </w:r>
            <w:r w:rsidRPr="00AC6DEC">
              <w:rPr>
                <w:rFonts w:ascii="Times New Roman" w:hAnsi="Times New Roman" w:cs="Times New Roman"/>
              </w:rPr>
              <w:t xml:space="preserve">subsection </w:t>
            </w:r>
            <w:r w:rsidRPr="00AC6DEC">
              <w:rPr>
                <w:rFonts w:ascii="Times New Roman" w:hAnsi="Times New Roman" w:cs="Times New Roman"/>
                <w:i/>
                <w:iCs/>
              </w:rPr>
              <w:t>A.</w:t>
            </w:r>
            <w:r w:rsidRPr="00AC6DEC">
              <w:rPr>
                <w:rFonts w:ascii="Times New Roman" w:hAnsi="Times New Roman" w:cs="Times New Roman"/>
              </w:rPr>
              <w:t xml:space="preserve"> </w:t>
            </w:r>
            <w:r w:rsidRPr="00AC6DEC">
              <w:rPr>
                <w:rFonts w:ascii="Times New Roman" w:hAnsi="Times New Roman" w:cs="Times New Roman"/>
                <w:i/>
                <w:iCs/>
              </w:rPr>
              <w:t>Exceptional Nonprofit</w:t>
            </w:r>
            <w:r w:rsidRPr="00AC6DEC">
              <w:rPr>
                <w:rFonts w:ascii="Times New Roman" w:hAnsi="Times New Roman" w:cs="Times New Roman"/>
              </w:rPr>
              <w:t xml:space="preserve">, “only projects applying and eligible for the nonprofit set aside are eligible for points” in the Exceptional Nonprofit scoring section. To be eligible for Credit under the nonprofit set aside, applicants must meet all requirements stated in </w:t>
            </w:r>
            <w:r w:rsidRPr="00AC6DEC">
              <w:rPr>
                <w:rFonts w:ascii="Times New Roman" w:hAnsi="Times New Roman" w:cs="Times New Roman"/>
                <w:i/>
                <w:iCs/>
              </w:rPr>
              <w:t>Threshold, Eligibility for Credit Under the Non-Profit Set Aside.</w:t>
            </w:r>
          </w:p>
        </w:tc>
      </w:tr>
      <w:tr w:rsidR="00943E5C" w:rsidRPr="00AC6DEC" w14:paraId="2631DB4B" w14:textId="77777777" w:rsidTr="2A62FF34">
        <w:trPr>
          <w:jc w:val="center"/>
        </w:trPr>
        <w:tc>
          <w:tcPr>
            <w:tcW w:w="2157" w:type="dxa"/>
            <w:tcMar>
              <w:top w:w="72" w:type="dxa"/>
              <w:left w:w="115" w:type="dxa"/>
              <w:bottom w:w="72" w:type="dxa"/>
              <w:right w:w="115" w:type="dxa"/>
            </w:tcMar>
            <w:vAlign w:val="center"/>
          </w:tcPr>
          <w:p w14:paraId="0F3D47E1" w14:textId="77777777" w:rsidR="00943E5C" w:rsidRPr="00AC6DEC" w:rsidRDefault="00943E5C" w:rsidP="00607B8C">
            <w:pPr>
              <w:keepNext/>
              <w:rPr>
                <w:rFonts w:ascii="Times New Roman" w:hAnsi="Times New Roman" w:cs="Times New Roman"/>
              </w:rPr>
            </w:pPr>
            <w:r w:rsidRPr="00AC6DEC">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3CFB3970" w14:textId="77777777" w:rsidR="00943E5C" w:rsidRPr="00AC6DEC" w:rsidRDefault="00943E5C" w:rsidP="00607B8C">
            <w:pPr>
              <w:keepNext/>
              <w:rPr>
                <w:rFonts w:ascii="Times New Roman" w:hAnsi="Times New Roman" w:cs="Times New Roman"/>
              </w:rPr>
            </w:pPr>
            <w:r w:rsidRPr="00AC6DEC">
              <w:rPr>
                <w:rFonts w:ascii="Times New Roman" w:hAnsi="Times New Roman" w:cs="Times New Roman"/>
              </w:rPr>
              <w:t>1.08</w:t>
            </w:r>
          </w:p>
          <w:p w14:paraId="0CD75F19" w14:textId="77777777" w:rsidR="00943E5C" w:rsidRPr="00AC6DEC" w:rsidRDefault="00943E5C" w:rsidP="00607B8C">
            <w:pPr>
              <w:keepNext/>
              <w:rPr>
                <w:rFonts w:ascii="Times New Roman" w:hAnsi="Times New Roman" w:cs="Times New Roman"/>
              </w:rPr>
            </w:pPr>
            <w:r w:rsidRPr="00AC6DEC">
              <w:rPr>
                <w:rFonts w:ascii="Times New Roman" w:hAnsi="Times New Roman" w:cs="Times New Roman"/>
              </w:rPr>
              <w:t>Core, Set Asides</w:t>
            </w:r>
          </w:p>
        </w:tc>
        <w:tc>
          <w:tcPr>
            <w:tcW w:w="9590" w:type="dxa"/>
            <w:tcMar>
              <w:top w:w="72" w:type="dxa"/>
              <w:left w:w="115" w:type="dxa"/>
              <w:bottom w:w="72" w:type="dxa"/>
              <w:right w:w="115" w:type="dxa"/>
            </w:tcMar>
            <w:vAlign w:val="center"/>
          </w:tcPr>
          <w:p w14:paraId="3D67FAA7"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Q0303_01</w:t>
            </w:r>
          </w:p>
          <w:p w14:paraId="5907B7D3"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The QAP states that an application is eligible for the Rehabilitation Set Aside if it is “</w:t>
            </w:r>
            <w:r w:rsidRPr="00AC6DEC">
              <w:rPr>
                <w:rFonts w:ascii="Times New Roman" w:hAnsi="Times New Roman" w:cs="Times New Roman"/>
                <w:i/>
                <w:iCs/>
              </w:rPr>
              <w:t>an existing occupied property previously funded by 9% or 4% Credit equity with building(s) in the Extended Use Period while the Plan is in effect.</w:t>
            </w:r>
            <w:r w:rsidRPr="00AC6DEC">
              <w:rPr>
                <w:rFonts w:ascii="Times New Roman" w:hAnsi="Times New Roman" w:cs="Times New Roman"/>
              </w:rPr>
              <w:t>”</w:t>
            </w:r>
          </w:p>
          <w:p w14:paraId="18240DB8" w14:textId="77777777" w:rsidR="00943E5C" w:rsidRPr="00AC6DEC" w:rsidRDefault="00943E5C" w:rsidP="00607B8C">
            <w:pPr>
              <w:contextualSpacing/>
              <w:rPr>
                <w:rFonts w:ascii="Times New Roman" w:hAnsi="Times New Roman" w:cs="Times New Roman"/>
              </w:rPr>
            </w:pPr>
          </w:p>
          <w:p w14:paraId="3A2F0D2F"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Since it is uncertain when the 2022 QAP will be signed by the Governor, is it possible for an application to be eligible for the Rehabilitation Set Aside but not enter the Extended Use Period until after the application deadline? </w:t>
            </w:r>
          </w:p>
          <w:p w14:paraId="3A198689" w14:textId="77777777" w:rsidR="00943E5C" w:rsidRPr="00AC6DEC" w:rsidRDefault="00943E5C" w:rsidP="00607B8C">
            <w:pPr>
              <w:contextualSpacing/>
              <w:rPr>
                <w:rFonts w:ascii="Times New Roman" w:hAnsi="Times New Roman" w:cs="Times New Roman"/>
              </w:rPr>
            </w:pPr>
          </w:p>
          <w:p w14:paraId="004B1409" w14:textId="77777777" w:rsidR="00943E5C" w:rsidRPr="00AC6DEC" w:rsidRDefault="00943E5C" w:rsidP="00607B8C">
            <w:pPr>
              <w:pStyle w:val="ListParagraph"/>
              <w:numPr>
                <w:ilvl w:val="0"/>
                <w:numId w:val="34"/>
              </w:numPr>
              <w:rPr>
                <w:rFonts w:ascii="Times New Roman" w:hAnsi="Times New Roman" w:cs="Times New Roman"/>
              </w:rPr>
            </w:pPr>
            <w:r w:rsidRPr="00AC6DEC">
              <w:rPr>
                <w:rFonts w:ascii="Times New Roman" w:hAnsi="Times New Roman" w:cs="Times New Roman"/>
              </w:rPr>
              <w:t xml:space="preserve">If the property enters the Extended Use Period in July, the 2021 QAP will certainly be in effect. </w:t>
            </w:r>
          </w:p>
          <w:p w14:paraId="5B4C3DB6" w14:textId="77777777" w:rsidR="00943E5C" w:rsidRPr="00AC6DEC" w:rsidRDefault="00943E5C" w:rsidP="00607B8C">
            <w:pPr>
              <w:pStyle w:val="ListParagraph"/>
              <w:numPr>
                <w:ilvl w:val="0"/>
                <w:numId w:val="34"/>
              </w:numPr>
              <w:rPr>
                <w:rFonts w:ascii="Times New Roman" w:hAnsi="Times New Roman" w:cs="Times New Roman"/>
              </w:rPr>
            </w:pPr>
            <w:r w:rsidRPr="00AC6DEC">
              <w:rPr>
                <w:rFonts w:ascii="Times New Roman" w:hAnsi="Times New Roman" w:cs="Times New Roman"/>
              </w:rPr>
              <w:t xml:space="preserve">If the property enters the Extended Use Period in December, the 2021 QAP might be in effect. </w:t>
            </w:r>
          </w:p>
          <w:p w14:paraId="16E861E9" w14:textId="77777777" w:rsidR="00943E5C" w:rsidRPr="00AC6DEC" w:rsidRDefault="00943E5C" w:rsidP="00607B8C">
            <w:pPr>
              <w:rPr>
                <w:rFonts w:ascii="Times New Roman" w:hAnsi="Times New Roman" w:cs="Times New Roman"/>
              </w:rPr>
            </w:pPr>
          </w:p>
          <w:p w14:paraId="6C00F3FE"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In our case, we have three properties that will enter the Extended Use Period in January of 2022.  </w:t>
            </w:r>
          </w:p>
          <w:p w14:paraId="7B9D5AFE" w14:textId="77777777" w:rsidR="00943E5C" w:rsidRPr="00AC6DEC" w:rsidRDefault="00943E5C" w:rsidP="00607B8C">
            <w:pPr>
              <w:contextualSpacing/>
              <w:rPr>
                <w:rFonts w:ascii="Times New Roman" w:hAnsi="Times New Roman" w:cs="Times New Roman"/>
                <w:b/>
                <w:bCs/>
              </w:rPr>
            </w:pPr>
          </w:p>
          <w:p w14:paraId="5EB8CF10"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72EC7E56"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Please note the following from </w:t>
            </w:r>
            <w:r w:rsidRPr="00AC6DEC">
              <w:rPr>
                <w:rFonts w:ascii="Times New Roman" w:hAnsi="Times New Roman" w:cs="Times New Roman"/>
                <w:i/>
                <w:iCs/>
              </w:rPr>
              <w:t>Core, Eligibility of Certain Project Configurations</w:t>
            </w:r>
            <w:r w:rsidRPr="00AC6DEC">
              <w:rPr>
                <w:rFonts w:ascii="Times New Roman" w:hAnsi="Times New Roman" w:cs="Times New Roman"/>
              </w:rPr>
              <w:t>:</w:t>
            </w:r>
          </w:p>
          <w:p w14:paraId="75B7AE29" w14:textId="77777777" w:rsidR="00943E5C" w:rsidRPr="00AC6DEC" w:rsidRDefault="00943E5C" w:rsidP="00607B8C">
            <w:pPr>
              <w:contextualSpacing/>
              <w:rPr>
                <w:rFonts w:ascii="Times New Roman" w:hAnsi="Times New Roman" w:cs="Times New Roman"/>
              </w:rPr>
            </w:pPr>
          </w:p>
          <w:p w14:paraId="22A16417"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DCA will not consider 9% Credit Applications for the preservation of existing Housing Credit developments with a placed-in-service date that is within 15 years of Application Submission (May 21, 2021).</w:t>
            </w:r>
            <w:r w:rsidRPr="00AC6DEC">
              <w:rPr>
                <w:rFonts w:ascii="Times New Roman" w:hAnsi="Times New Roman" w:cs="Times New Roman"/>
              </w:rPr>
              <w:t>”</w:t>
            </w:r>
          </w:p>
          <w:p w14:paraId="24899050" w14:textId="77777777" w:rsidR="00943E5C" w:rsidRPr="00AC6DEC" w:rsidRDefault="00943E5C" w:rsidP="00607B8C">
            <w:pPr>
              <w:contextualSpacing/>
              <w:rPr>
                <w:rFonts w:ascii="Times New Roman" w:hAnsi="Times New Roman" w:cs="Times New Roman"/>
              </w:rPr>
            </w:pPr>
          </w:p>
          <w:p w14:paraId="4C720B41"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The QAP does not establish an end date for how long the 2021 QAP will “be in effect,” as this depends on when the Governor signs the QAP. Therefore, in any case where the eligibility of an application is in question, DCA staff will confirm eligibility based on the above provision from </w:t>
            </w:r>
            <w:r w:rsidRPr="00AC6DEC">
              <w:rPr>
                <w:rFonts w:ascii="Times New Roman" w:hAnsi="Times New Roman" w:cs="Times New Roman"/>
                <w:i/>
                <w:iCs/>
              </w:rPr>
              <w:t>Eligibility of Certain Project Configurations</w:t>
            </w:r>
            <w:r w:rsidRPr="00AC6DEC">
              <w:rPr>
                <w:rFonts w:ascii="Times New Roman" w:hAnsi="Times New Roman" w:cs="Times New Roman"/>
              </w:rPr>
              <w:t xml:space="preserve">. </w:t>
            </w:r>
          </w:p>
          <w:p w14:paraId="4E268D4F" w14:textId="77777777" w:rsidR="00943E5C" w:rsidRPr="00AC6DEC" w:rsidRDefault="00943E5C" w:rsidP="00607B8C">
            <w:pPr>
              <w:contextualSpacing/>
              <w:rPr>
                <w:rFonts w:ascii="Times New Roman" w:hAnsi="Times New Roman" w:cs="Times New Roman"/>
              </w:rPr>
            </w:pPr>
          </w:p>
          <w:p w14:paraId="38080197"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rPr>
              <w:t xml:space="preserve">Based on this review method, absent further evidence to the contrary, the above-referenced properties transitioning into the Extended Use Period in January 2022 are not eligible for consideration under the </w:t>
            </w:r>
            <w:r w:rsidRPr="00AC6DEC">
              <w:rPr>
                <w:rFonts w:ascii="Times New Roman" w:hAnsi="Times New Roman" w:cs="Times New Roman"/>
                <w:i/>
                <w:iCs/>
              </w:rPr>
              <w:t>Rehabilitation Set Aside</w:t>
            </w:r>
            <w:r w:rsidRPr="00AC6DEC">
              <w:rPr>
                <w:rFonts w:ascii="Times New Roman" w:hAnsi="Times New Roman" w:cs="Times New Roman"/>
              </w:rPr>
              <w:t>.</w:t>
            </w:r>
          </w:p>
        </w:tc>
      </w:tr>
      <w:tr w:rsidR="00943E5C" w:rsidRPr="00AC6DEC" w14:paraId="3B267943" w14:textId="77777777" w:rsidTr="2A62FF34">
        <w:trPr>
          <w:jc w:val="center"/>
        </w:trPr>
        <w:tc>
          <w:tcPr>
            <w:tcW w:w="2157" w:type="dxa"/>
            <w:tcMar>
              <w:top w:w="72" w:type="dxa"/>
              <w:left w:w="115" w:type="dxa"/>
              <w:bottom w:w="72" w:type="dxa"/>
              <w:right w:w="115" w:type="dxa"/>
            </w:tcMar>
            <w:vAlign w:val="center"/>
          </w:tcPr>
          <w:p w14:paraId="61B69320"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34372C62"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1.23</w:t>
            </w:r>
          </w:p>
          <w:p w14:paraId="43AE8BCF" w14:textId="77777777" w:rsidR="00943E5C" w:rsidRPr="00AC6DEC" w:rsidRDefault="00943E5C" w:rsidP="00607B8C">
            <w:pPr>
              <w:rPr>
                <w:rFonts w:ascii="Times New Roman" w:hAnsi="Times New Roman" w:cs="Times New Roman"/>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1A3666BC"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b/>
                <w:bCs/>
              </w:rPr>
              <w:t>Question: Q0304_02</w:t>
            </w:r>
          </w:p>
          <w:p w14:paraId="340FE84E"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The QAP states that the Qualification Determination fee is $1,000. </w:t>
            </w:r>
          </w:p>
          <w:p w14:paraId="614FC00A" w14:textId="77777777" w:rsidR="00943E5C" w:rsidRPr="00AC6DEC" w:rsidRDefault="00943E5C" w:rsidP="00607B8C">
            <w:pPr>
              <w:contextualSpacing/>
              <w:rPr>
                <w:rFonts w:ascii="Times New Roman" w:hAnsi="Times New Roman" w:cs="Times New Roman"/>
              </w:rPr>
            </w:pPr>
          </w:p>
          <w:p w14:paraId="4B873951"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If a pre-app QD determination comes back as conditional on adding a partner for Experience, does an additional $1,000 fee need to be submitted at Full Application submission with the updated QD package showing the new partner or does or does the original pre-app $1,000 QD fee cover it?</w:t>
            </w:r>
          </w:p>
          <w:p w14:paraId="1DAEB1AB" w14:textId="77777777" w:rsidR="00943E5C" w:rsidRPr="00AC6DEC" w:rsidRDefault="00943E5C" w:rsidP="00607B8C">
            <w:pPr>
              <w:contextualSpacing/>
              <w:rPr>
                <w:rFonts w:ascii="Times New Roman" w:hAnsi="Times New Roman" w:cs="Times New Roman"/>
                <w:b/>
                <w:bCs/>
              </w:rPr>
            </w:pPr>
          </w:p>
          <w:p w14:paraId="51E2AD69"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00236925"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This would be a continuation of DCA’s initial review at pre-app and no new $1,000 QD fee would be required at Application. </w:t>
            </w:r>
          </w:p>
          <w:p w14:paraId="6985554E" w14:textId="77777777" w:rsidR="00943E5C" w:rsidRPr="00AC6DEC" w:rsidRDefault="00943E5C" w:rsidP="00607B8C">
            <w:pPr>
              <w:contextualSpacing/>
              <w:rPr>
                <w:rFonts w:ascii="Times New Roman" w:hAnsi="Times New Roman" w:cs="Times New Roman"/>
                <w:b/>
                <w:bCs/>
              </w:rPr>
            </w:pPr>
          </w:p>
        </w:tc>
      </w:tr>
      <w:tr w:rsidR="00943E5C" w:rsidRPr="00AC6DEC" w14:paraId="06F4AC2D" w14:textId="77777777" w:rsidTr="2A62FF34">
        <w:trPr>
          <w:jc w:val="center"/>
        </w:trPr>
        <w:tc>
          <w:tcPr>
            <w:tcW w:w="2157" w:type="dxa"/>
            <w:tcMar>
              <w:top w:w="72" w:type="dxa"/>
              <w:left w:w="115" w:type="dxa"/>
              <w:bottom w:w="72" w:type="dxa"/>
              <w:right w:w="115" w:type="dxa"/>
            </w:tcMar>
            <w:vAlign w:val="center"/>
          </w:tcPr>
          <w:p w14:paraId="4E06E518"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798F96D1"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1.23</w:t>
            </w:r>
          </w:p>
          <w:p w14:paraId="1499CC9C"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6B4B39BC"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Q0304_03A</w:t>
            </w:r>
          </w:p>
          <w:p w14:paraId="3FF2E2EC"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The QAP states that the Qualification Determination fee is “Required for all Deals” (see </w:t>
            </w:r>
            <w:r w:rsidRPr="00AC6DEC">
              <w:rPr>
                <w:rFonts w:ascii="Times New Roman" w:hAnsi="Times New Roman" w:cs="Times New Roman"/>
                <w:i/>
                <w:iCs/>
              </w:rPr>
              <w:t>Core, Exhibit A, DCA Pre-Application Fees and Deadline Schedules</w:t>
            </w:r>
            <w:r w:rsidRPr="00AC6DEC">
              <w:rPr>
                <w:rFonts w:ascii="Times New Roman" w:hAnsi="Times New Roman" w:cs="Times New Roman"/>
              </w:rPr>
              <w:t xml:space="preserve">). </w:t>
            </w:r>
          </w:p>
          <w:p w14:paraId="63F85ADD" w14:textId="77777777" w:rsidR="00943E5C" w:rsidRPr="00AC6DEC" w:rsidRDefault="00943E5C" w:rsidP="00607B8C">
            <w:pPr>
              <w:contextualSpacing/>
              <w:rPr>
                <w:rFonts w:ascii="Times New Roman" w:hAnsi="Times New Roman" w:cs="Times New Roman"/>
              </w:rPr>
            </w:pPr>
          </w:p>
          <w:p w14:paraId="49C2B60A"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“Deals” is capitalized, but is not in </w:t>
            </w:r>
            <w:r w:rsidRPr="00AC6DEC">
              <w:rPr>
                <w:rFonts w:ascii="Times New Roman" w:hAnsi="Times New Roman" w:cs="Times New Roman"/>
                <w:i/>
                <w:iCs/>
              </w:rPr>
              <w:t>Core, Definitions</w:t>
            </w:r>
            <w:r w:rsidRPr="00AC6DEC">
              <w:rPr>
                <w:rFonts w:ascii="Times New Roman" w:hAnsi="Times New Roman" w:cs="Times New Roman"/>
              </w:rPr>
              <w:t>. If we are submitting multiple pre-applications with the same project team for each one, do we need a $1,000 application fee for EACH pre-application?</w:t>
            </w:r>
          </w:p>
          <w:p w14:paraId="4DCE6ABC" w14:textId="77777777" w:rsidR="00943E5C" w:rsidRPr="00AC6DEC" w:rsidRDefault="00943E5C" w:rsidP="00607B8C">
            <w:pPr>
              <w:contextualSpacing/>
              <w:rPr>
                <w:rFonts w:ascii="Times New Roman" w:hAnsi="Times New Roman" w:cs="Times New Roman"/>
                <w:b/>
                <w:bCs/>
              </w:rPr>
            </w:pPr>
          </w:p>
          <w:p w14:paraId="02E1849E"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20A95E78" w14:textId="77777777" w:rsidR="00943E5C" w:rsidRPr="00AC6DEC" w:rsidRDefault="00943E5C" w:rsidP="00607B8C">
            <w:pPr>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 xml:space="preserve">The $1,000 Qualification Determination fee applies to the Project Team, regardless of the number of deals submitted. </w:t>
            </w:r>
          </w:p>
          <w:p w14:paraId="1C99D67F" w14:textId="77777777" w:rsidR="00943E5C" w:rsidRPr="00AC6DEC" w:rsidRDefault="00943E5C" w:rsidP="00607B8C">
            <w:pPr>
              <w:rPr>
                <w:rFonts w:ascii="Times New Roman" w:eastAsia="Times New Roman" w:hAnsi="Times New Roman" w:cs="Times New Roman"/>
                <w:color w:val="000000" w:themeColor="text1"/>
              </w:rPr>
            </w:pPr>
          </w:p>
          <w:p w14:paraId="54C699C1" w14:textId="77777777" w:rsidR="00943E5C" w:rsidRPr="00AC6DEC" w:rsidRDefault="00943E5C" w:rsidP="00607B8C">
            <w:pPr>
              <w:rPr>
                <w:rFonts w:ascii="Times New Roman" w:eastAsia="Times New Roman" w:hAnsi="Times New Roman" w:cs="Times New Roman"/>
              </w:rPr>
            </w:pPr>
            <w:r w:rsidRPr="00AC6DEC">
              <w:rPr>
                <w:rFonts w:ascii="Times New Roman" w:eastAsia="Times New Roman" w:hAnsi="Times New Roman" w:cs="Times New Roman"/>
                <w:color w:val="000000" w:themeColor="text1"/>
              </w:rPr>
              <w:t xml:space="preserve">Note: </w:t>
            </w:r>
            <w:r w:rsidRPr="00AC6DEC">
              <w:rPr>
                <w:rFonts w:ascii="Times New Roman" w:eastAsia="Times New Roman" w:hAnsi="Times New Roman" w:cs="Times New Roman"/>
              </w:rPr>
              <w:t>Project Teams may be reviewed for qualifications at Pre-Application or Application Submission. To receive a full Threshold review at Pre-Application under this section, Applicant must have the project team and construction type finalized by Pre-Application.</w:t>
            </w:r>
          </w:p>
          <w:p w14:paraId="62057639" w14:textId="77777777" w:rsidR="00943E5C" w:rsidRPr="00AC6DEC" w:rsidRDefault="00943E5C" w:rsidP="00607B8C">
            <w:pPr>
              <w:rPr>
                <w:rFonts w:ascii="Times New Roman" w:eastAsia="Times New Roman" w:hAnsi="Times New Roman" w:cs="Times New Roman"/>
                <w:color w:val="000000" w:themeColor="text1"/>
              </w:rPr>
            </w:pPr>
          </w:p>
          <w:p w14:paraId="0695653E" w14:textId="77777777" w:rsidR="00943E5C" w:rsidRPr="00AC6DEC" w:rsidRDefault="00943E5C" w:rsidP="00607B8C">
            <w:pPr>
              <w:rPr>
                <w:rFonts w:ascii="Times New Roman" w:eastAsia="Times New Roman" w:hAnsi="Times New Roman" w:cs="Times New Roman"/>
              </w:rPr>
            </w:pPr>
            <w:r w:rsidRPr="00AC6DEC">
              <w:rPr>
                <w:rFonts w:ascii="Times New Roman" w:eastAsia="Times New Roman" w:hAnsi="Times New Roman" w:cs="Times New Roman"/>
              </w:rPr>
              <w:t>So multiple submissions/fees are only required where there are differences in the Project Team.</w:t>
            </w:r>
          </w:p>
          <w:p w14:paraId="2C59AAA8" w14:textId="77777777" w:rsidR="00943E5C" w:rsidRPr="00AC6DEC" w:rsidRDefault="00943E5C" w:rsidP="00607B8C">
            <w:pPr>
              <w:contextualSpacing/>
              <w:rPr>
                <w:rFonts w:ascii="Times New Roman" w:hAnsi="Times New Roman" w:cs="Times New Roman"/>
                <w:b/>
                <w:bCs/>
              </w:rPr>
            </w:pPr>
          </w:p>
        </w:tc>
      </w:tr>
      <w:tr w:rsidR="00943E5C" w:rsidRPr="00AC6DEC" w14:paraId="5D7C0AF8" w14:textId="77777777" w:rsidTr="2A62FF34">
        <w:trPr>
          <w:jc w:val="center"/>
        </w:trPr>
        <w:tc>
          <w:tcPr>
            <w:tcW w:w="2157" w:type="dxa"/>
            <w:tcMar>
              <w:top w:w="72" w:type="dxa"/>
              <w:left w:w="115" w:type="dxa"/>
              <w:bottom w:w="72" w:type="dxa"/>
              <w:right w:w="115" w:type="dxa"/>
            </w:tcMar>
            <w:vAlign w:val="center"/>
          </w:tcPr>
          <w:p w14:paraId="737DF636"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425B7AD7"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3.05</w:t>
            </w:r>
          </w:p>
          <w:p w14:paraId="4A846272"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53C18F2C"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Q0202_04</w:t>
            </w:r>
          </w:p>
          <w:p w14:paraId="439E6A12"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Pedestrian access to our site is by way of an easement, and we are wondering if this impacts how we measure distances for purposes of Desirable Activities. </w:t>
            </w:r>
          </w:p>
          <w:p w14:paraId="2F57FB46" w14:textId="77777777" w:rsidR="00943E5C" w:rsidRPr="00AC6DEC" w:rsidRDefault="00943E5C" w:rsidP="00607B8C">
            <w:pPr>
              <w:contextualSpacing/>
              <w:rPr>
                <w:rFonts w:ascii="Times New Roman" w:hAnsi="Times New Roman" w:cs="Times New Roman"/>
              </w:rPr>
            </w:pPr>
          </w:p>
          <w:p w14:paraId="5D4F71E3"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If pedestrian access to a site is by way of an easement that has been given to the partnership from an adjacent neighbor, is that acceptable to DCA or does the partnership have to own the land where pedestrian access exists?  </w:t>
            </w:r>
          </w:p>
          <w:p w14:paraId="4BD0F9EA" w14:textId="77777777" w:rsidR="00943E5C" w:rsidRPr="00AC6DEC" w:rsidRDefault="00943E5C" w:rsidP="00607B8C">
            <w:pPr>
              <w:contextualSpacing/>
              <w:rPr>
                <w:rFonts w:ascii="Times New Roman" w:hAnsi="Times New Roman" w:cs="Times New Roman"/>
                <w:b/>
                <w:bCs/>
              </w:rPr>
            </w:pPr>
          </w:p>
          <w:p w14:paraId="2B1067CA"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2F6A8BCC" w14:textId="77777777" w:rsidR="00943E5C" w:rsidRPr="00AC6DEC" w:rsidRDefault="00943E5C" w:rsidP="00607B8C">
            <w:r w:rsidRPr="00AC6DEC">
              <w:rPr>
                <w:rFonts w:ascii="Times New Roman" w:eastAsia="Times New Roman" w:hAnsi="Times New Roman" w:cs="Times New Roman"/>
              </w:rPr>
              <w:t xml:space="preserve">Driving or walking routes must originate from geo-coordinates of the pedestrian or vehicle site entrance and end at the geo-coordinates of the desirable amenity. </w:t>
            </w:r>
          </w:p>
          <w:p w14:paraId="2581DBAA" w14:textId="77777777" w:rsidR="00943E5C" w:rsidRPr="00AC6DEC" w:rsidRDefault="00943E5C" w:rsidP="00607B8C">
            <w:pPr>
              <w:rPr>
                <w:rFonts w:ascii="Times New Roman" w:eastAsia="Times New Roman" w:hAnsi="Times New Roman" w:cs="Times New Roman"/>
              </w:rPr>
            </w:pPr>
          </w:p>
          <w:p w14:paraId="01D4D856" w14:textId="77777777" w:rsidR="00943E5C" w:rsidRPr="00AC6DEC" w:rsidRDefault="00943E5C" w:rsidP="00607B8C">
            <w:pPr>
              <w:rPr>
                <w:rFonts w:ascii="Times New Roman" w:eastAsia="Times New Roman" w:hAnsi="Times New Roman" w:cs="Times New Roman"/>
              </w:rPr>
            </w:pPr>
            <w:r w:rsidRPr="00AC6DEC">
              <w:rPr>
                <w:rFonts w:ascii="Times New Roman" w:eastAsia="Times New Roman" w:hAnsi="Times New Roman" w:cs="Times New Roman"/>
              </w:rPr>
              <w:t>The entrance geocoordinates should be used, even if access is by way of an easement.</w:t>
            </w:r>
          </w:p>
        </w:tc>
      </w:tr>
      <w:tr w:rsidR="00943E5C" w:rsidRPr="00AC6DEC" w14:paraId="613D87C7" w14:textId="77777777" w:rsidTr="2A62FF34">
        <w:trPr>
          <w:jc w:val="center"/>
        </w:trPr>
        <w:tc>
          <w:tcPr>
            <w:tcW w:w="2157" w:type="dxa"/>
            <w:tcMar>
              <w:top w:w="72" w:type="dxa"/>
              <w:left w:w="115" w:type="dxa"/>
              <w:bottom w:w="72" w:type="dxa"/>
              <w:right w:w="115" w:type="dxa"/>
            </w:tcMar>
            <w:vAlign w:val="center"/>
          </w:tcPr>
          <w:p w14:paraId="7ABDC0FB"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5CA15BD0"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3.05</w:t>
            </w:r>
          </w:p>
          <w:p w14:paraId="354C1381"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429506A4"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Q0201_05</w:t>
            </w:r>
          </w:p>
          <w:p w14:paraId="6A2CA60E"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Would an outdoor community recreation facility with amenities like lighted baseball/softball fields, tennis courts, basketball courts, walking trail, etc. qualify as a community or recreational center (Item L) in the Desirables section? The QAP appears to allow outdoor facilities like a public pool to qualify, but we wanted to confirm that public, multi-use recreational facilities would also be eligible.</w:t>
            </w:r>
          </w:p>
          <w:p w14:paraId="4DEB572E" w14:textId="77777777" w:rsidR="00943E5C" w:rsidRPr="00AC6DEC" w:rsidRDefault="00943E5C" w:rsidP="00607B8C">
            <w:pPr>
              <w:contextualSpacing/>
              <w:rPr>
                <w:rFonts w:ascii="Times New Roman" w:hAnsi="Times New Roman" w:cs="Times New Roman"/>
                <w:b/>
                <w:bCs/>
              </w:rPr>
            </w:pPr>
          </w:p>
          <w:p w14:paraId="587C4F5C"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33FD597C"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Yes, an outdoor community recreation facility as described in your question would qualify under category L. as a community multi-purpose facility as stated in the QAP Scoring Section V.  Desirable/Undesirable Activities A. 2.  Eligibility. </w:t>
            </w:r>
          </w:p>
          <w:p w14:paraId="195EB474" w14:textId="77777777" w:rsidR="00943E5C" w:rsidRPr="00AC6DEC" w:rsidRDefault="00943E5C" w:rsidP="00607B8C">
            <w:pPr>
              <w:contextualSpacing/>
              <w:rPr>
                <w:rFonts w:ascii="Times New Roman" w:hAnsi="Times New Roman" w:cs="Times New Roman"/>
                <w:b/>
                <w:bCs/>
              </w:rPr>
            </w:pPr>
          </w:p>
        </w:tc>
      </w:tr>
      <w:tr w:rsidR="00943E5C" w:rsidRPr="00AC6DEC" w14:paraId="491BA279" w14:textId="77777777" w:rsidTr="2A62FF34">
        <w:trPr>
          <w:jc w:val="center"/>
        </w:trPr>
        <w:tc>
          <w:tcPr>
            <w:tcW w:w="2157" w:type="dxa"/>
            <w:tcMar>
              <w:top w:w="72" w:type="dxa"/>
              <w:left w:w="115" w:type="dxa"/>
              <w:bottom w:w="72" w:type="dxa"/>
              <w:right w:w="115" w:type="dxa"/>
            </w:tcMar>
            <w:vAlign w:val="center"/>
          </w:tcPr>
          <w:p w14:paraId="108EBBA2"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4EC0DD43"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3.18</w:t>
            </w:r>
          </w:p>
          <w:p w14:paraId="57F54202"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76F22B6D"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Q1030_02</w:t>
            </w:r>
          </w:p>
          <w:p w14:paraId="4378F998"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If the seller of the land/property (or any related party) is providing funds to finance the development and claiming these points, the sales price will be reduced from the total funds provided, to calculate the favorable financing points allowable. Can DCA please comment and confirm whether the calculation actually affects the true sales price of the property and will impact the acquisition credits or is the calculation only used for the purpose of determining the eligible amount toward favorable financing points?</w:t>
            </w:r>
          </w:p>
          <w:p w14:paraId="130C25F2" w14:textId="77777777" w:rsidR="00943E5C" w:rsidRPr="00AC6DEC" w:rsidRDefault="00943E5C" w:rsidP="00607B8C">
            <w:pPr>
              <w:contextualSpacing/>
              <w:rPr>
                <w:rFonts w:ascii="Times New Roman" w:hAnsi="Times New Roman" w:cs="Times New Roman"/>
              </w:rPr>
            </w:pPr>
          </w:p>
          <w:p w14:paraId="541873B4"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r w:rsidRPr="00AC6DEC">
              <w:rPr>
                <w:rFonts w:ascii="Times New Roman" w:hAnsi="Times New Roman" w:cs="Times New Roman"/>
              </w:rPr>
              <w:t xml:space="preserve">The calculation is only used for the purpose of determining the eligible amount toward </w:t>
            </w:r>
            <w:r w:rsidRPr="00AC6DEC">
              <w:rPr>
                <w:rFonts w:ascii="Times New Roman" w:hAnsi="Times New Roman" w:cs="Times New Roman"/>
                <w:i/>
                <w:iCs/>
              </w:rPr>
              <w:t xml:space="preserve">Favorable Financing </w:t>
            </w:r>
            <w:r w:rsidRPr="00AC6DEC">
              <w:rPr>
                <w:rFonts w:ascii="Times New Roman" w:hAnsi="Times New Roman" w:cs="Times New Roman"/>
              </w:rPr>
              <w:t>points.</w:t>
            </w:r>
          </w:p>
        </w:tc>
      </w:tr>
      <w:tr w:rsidR="00943E5C" w:rsidRPr="00AC6DEC" w14:paraId="3E789115" w14:textId="77777777" w:rsidTr="2A62FF34">
        <w:trPr>
          <w:jc w:val="center"/>
        </w:trPr>
        <w:tc>
          <w:tcPr>
            <w:tcW w:w="2157" w:type="dxa"/>
            <w:tcMar>
              <w:top w:w="72" w:type="dxa"/>
              <w:left w:w="115" w:type="dxa"/>
              <w:bottom w:w="72" w:type="dxa"/>
              <w:right w:w="115" w:type="dxa"/>
            </w:tcMar>
            <w:vAlign w:val="center"/>
          </w:tcPr>
          <w:p w14:paraId="4434CCE1"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38A4B42C"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7.00</w:t>
            </w:r>
          </w:p>
          <w:p w14:paraId="21A0CD0F"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rPr>
              <w:t>Application Materials (Forms, etc.)</w:t>
            </w:r>
          </w:p>
        </w:tc>
        <w:tc>
          <w:tcPr>
            <w:tcW w:w="9590" w:type="dxa"/>
            <w:tcMar>
              <w:top w:w="72" w:type="dxa"/>
              <w:left w:w="115" w:type="dxa"/>
              <w:bottom w:w="72" w:type="dxa"/>
              <w:right w:w="115" w:type="dxa"/>
            </w:tcMar>
            <w:vAlign w:val="center"/>
          </w:tcPr>
          <w:p w14:paraId="30E78075" w14:textId="77777777" w:rsidR="00943E5C" w:rsidRPr="00AC6DEC" w:rsidRDefault="00943E5C" w:rsidP="00607B8C">
            <w:pPr>
              <w:pStyle w:val="paragraph"/>
              <w:spacing w:before="0" w:beforeAutospacing="0" w:after="0" w:afterAutospacing="0"/>
              <w:textAlignment w:val="baseline"/>
              <w:rPr>
                <w:rFonts w:ascii="Calibri" w:hAnsi="Calibri" w:cs="Calibri"/>
                <w:sz w:val="22"/>
                <w:szCs w:val="22"/>
              </w:rPr>
            </w:pPr>
            <w:r w:rsidRPr="00AC6DEC">
              <w:rPr>
                <w:rStyle w:val="normaltextrun"/>
                <w:b/>
                <w:bCs/>
                <w:sz w:val="22"/>
                <w:szCs w:val="22"/>
              </w:rPr>
              <w:t>Question: Q0304_03B</w:t>
            </w:r>
            <w:r w:rsidRPr="00AC6DEC">
              <w:rPr>
                <w:rStyle w:val="eop"/>
                <w:sz w:val="22"/>
                <w:szCs w:val="22"/>
              </w:rPr>
              <w:t> </w:t>
            </w:r>
          </w:p>
          <w:p w14:paraId="3C37D156" w14:textId="77777777" w:rsidR="00943E5C" w:rsidRPr="00AC6DEC" w:rsidRDefault="00943E5C" w:rsidP="00607B8C">
            <w:pPr>
              <w:pStyle w:val="paragraph"/>
              <w:spacing w:before="0" w:beforeAutospacing="0" w:after="0" w:afterAutospacing="0"/>
              <w:textAlignment w:val="baseline"/>
              <w:rPr>
                <w:rFonts w:ascii="Calibri" w:hAnsi="Calibri" w:cs="Calibri"/>
                <w:sz w:val="22"/>
                <w:szCs w:val="22"/>
              </w:rPr>
            </w:pPr>
            <w:r w:rsidRPr="00AC6DEC">
              <w:rPr>
                <w:rStyle w:val="normaltextrun"/>
                <w:sz w:val="22"/>
                <w:szCs w:val="22"/>
              </w:rPr>
              <w:t>On the Compliance History Summary and GA Compliance History Summary, do we show projects that are under construction or just projects that have already placed in service?</w:t>
            </w:r>
            <w:r w:rsidRPr="00AC6DEC">
              <w:rPr>
                <w:rStyle w:val="eop"/>
                <w:sz w:val="22"/>
                <w:szCs w:val="22"/>
              </w:rPr>
              <w:t> </w:t>
            </w:r>
          </w:p>
          <w:p w14:paraId="446698FF" w14:textId="77777777" w:rsidR="00943E5C" w:rsidRPr="00AC6DEC" w:rsidRDefault="00943E5C" w:rsidP="00607B8C">
            <w:pPr>
              <w:pStyle w:val="paragraph"/>
              <w:spacing w:before="0" w:beforeAutospacing="0" w:after="0" w:afterAutospacing="0"/>
              <w:textAlignment w:val="baseline"/>
              <w:rPr>
                <w:rFonts w:ascii="Calibri" w:hAnsi="Calibri" w:cs="Calibri"/>
                <w:sz w:val="22"/>
                <w:szCs w:val="22"/>
              </w:rPr>
            </w:pPr>
            <w:r w:rsidRPr="00AC6DEC">
              <w:rPr>
                <w:rStyle w:val="eop"/>
                <w:sz w:val="22"/>
                <w:szCs w:val="22"/>
              </w:rPr>
              <w:t> </w:t>
            </w:r>
          </w:p>
          <w:p w14:paraId="2F0856CA" w14:textId="77777777" w:rsidR="00943E5C" w:rsidRPr="00AC6DEC" w:rsidRDefault="00943E5C" w:rsidP="00607B8C">
            <w:pPr>
              <w:pStyle w:val="paragraph"/>
              <w:spacing w:before="0" w:beforeAutospacing="0" w:after="0" w:afterAutospacing="0"/>
              <w:textAlignment w:val="baseline"/>
              <w:rPr>
                <w:rFonts w:ascii="Calibri" w:hAnsi="Calibri" w:cs="Calibri"/>
                <w:sz w:val="22"/>
                <w:szCs w:val="22"/>
              </w:rPr>
            </w:pPr>
            <w:r w:rsidRPr="00AC6DEC">
              <w:rPr>
                <w:rStyle w:val="normaltextrun"/>
                <w:b/>
                <w:bCs/>
                <w:sz w:val="22"/>
                <w:szCs w:val="22"/>
              </w:rPr>
              <w:t>Answer: </w:t>
            </w:r>
            <w:r w:rsidRPr="00AC6DEC">
              <w:rPr>
                <w:rStyle w:val="eop"/>
                <w:sz w:val="22"/>
                <w:szCs w:val="22"/>
              </w:rPr>
              <w:t> </w:t>
            </w:r>
          </w:p>
          <w:p w14:paraId="6DF6494A" w14:textId="77777777" w:rsidR="00943E5C" w:rsidRPr="00AC6DEC" w:rsidRDefault="00943E5C" w:rsidP="00607B8C">
            <w:pPr>
              <w:pStyle w:val="paragraph"/>
              <w:spacing w:before="0" w:beforeAutospacing="0" w:after="0" w:afterAutospacing="0"/>
              <w:textAlignment w:val="baseline"/>
              <w:rPr>
                <w:rFonts w:ascii="Calibri" w:hAnsi="Calibri" w:cs="Calibri"/>
                <w:sz w:val="22"/>
                <w:szCs w:val="22"/>
              </w:rPr>
            </w:pPr>
            <w:r w:rsidRPr="00AC6DEC">
              <w:rPr>
                <w:rStyle w:val="normaltextrun"/>
                <w:sz w:val="22"/>
                <w:szCs w:val="22"/>
              </w:rPr>
              <w:t>In the performance workbook, list properties as follows:</w:t>
            </w:r>
            <w:r w:rsidRPr="00AC6DEC">
              <w:rPr>
                <w:rStyle w:val="eop"/>
                <w:sz w:val="22"/>
                <w:szCs w:val="22"/>
              </w:rPr>
              <w:t> </w:t>
            </w:r>
          </w:p>
          <w:p w14:paraId="1C6687C8" w14:textId="77777777" w:rsidR="00943E5C" w:rsidRPr="00AC6DEC" w:rsidRDefault="00943E5C" w:rsidP="00607B8C">
            <w:pPr>
              <w:pStyle w:val="paragraph"/>
              <w:numPr>
                <w:ilvl w:val="0"/>
                <w:numId w:val="35"/>
              </w:numPr>
              <w:spacing w:before="0" w:beforeAutospacing="0" w:after="0" w:afterAutospacing="0"/>
              <w:ind w:left="1080" w:firstLine="0"/>
              <w:textAlignment w:val="baseline"/>
              <w:rPr>
                <w:sz w:val="22"/>
                <w:szCs w:val="22"/>
              </w:rPr>
            </w:pPr>
            <w:r w:rsidRPr="00AC6DEC">
              <w:rPr>
                <w:rStyle w:val="normaltextrun"/>
                <w:sz w:val="22"/>
                <w:szCs w:val="22"/>
              </w:rPr>
              <w:t>Capacity Tab/Form - list properties that have been awarded and that are under construction (under 100% complete)</w:t>
            </w:r>
            <w:r w:rsidRPr="00AC6DEC">
              <w:rPr>
                <w:rStyle w:val="eop"/>
                <w:sz w:val="22"/>
                <w:szCs w:val="22"/>
              </w:rPr>
              <w:t> </w:t>
            </w:r>
          </w:p>
          <w:p w14:paraId="2473CCB7" w14:textId="77777777" w:rsidR="00943E5C" w:rsidRPr="00AC6DEC" w:rsidRDefault="00943E5C" w:rsidP="00607B8C">
            <w:pPr>
              <w:pStyle w:val="paragraph"/>
              <w:numPr>
                <w:ilvl w:val="0"/>
                <w:numId w:val="35"/>
              </w:numPr>
              <w:spacing w:before="0" w:beforeAutospacing="0" w:after="0" w:afterAutospacing="0"/>
              <w:ind w:left="1080" w:firstLine="0"/>
              <w:textAlignment w:val="baseline"/>
              <w:rPr>
                <w:rFonts w:ascii="Calibri" w:hAnsi="Calibri" w:cs="Calibri"/>
                <w:sz w:val="22"/>
                <w:szCs w:val="22"/>
              </w:rPr>
            </w:pPr>
            <w:r w:rsidRPr="00AC6DEC">
              <w:rPr>
                <w:rStyle w:val="normaltextrun"/>
                <w:sz w:val="22"/>
                <w:szCs w:val="22"/>
              </w:rPr>
              <w:t>Compliance History Summary Form / GA Compliance History Summary Form – show properties that have been </w:t>
            </w:r>
            <w:proofErr w:type="gramStart"/>
            <w:r w:rsidRPr="00AC6DEC">
              <w:rPr>
                <w:rStyle w:val="normaltextrun"/>
                <w:sz w:val="22"/>
                <w:szCs w:val="22"/>
              </w:rPr>
              <w:t>completed</w:t>
            </w:r>
            <w:proofErr w:type="gramEnd"/>
            <w:r w:rsidRPr="00AC6DEC">
              <w:rPr>
                <w:rStyle w:val="normaltextrun"/>
                <w:sz w:val="22"/>
                <w:szCs w:val="22"/>
              </w:rPr>
              <w:t> </w:t>
            </w:r>
            <w:r w:rsidRPr="00AC6DEC">
              <w:rPr>
                <w:rStyle w:val="eop"/>
                <w:sz w:val="22"/>
                <w:szCs w:val="22"/>
              </w:rPr>
              <w:t> </w:t>
            </w:r>
          </w:p>
          <w:p w14:paraId="09813FC8" w14:textId="77777777" w:rsidR="00943E5C" w:rsidRPr="00AC6DEC" w:rsidRDefault="00943E5C" w:rsidP="00607B8C">
            <w:pPr>
              <w:contextualSpacing/>
              <w:rPr>
                <w:rFonts w:ascii="Times New Roman" w:hAnsi="Times New Roman" w:cs="Times New Roman"/>
                <w:b/>
                <w:bCs/>
              </w:rPr>
            </w:pPr>
          </w:p>
        </w:tc>
      </w:tr>
      <w:tr w:rsidR="00943E5C" w:rsidRPr="00AC6DEC" w14:paraId="590FD92C" w14:textId="77777777" w:rsidTr="2A62FF34">
        <w:trPr>
          <w:jc w:val="center"/>
        </w:trPr>
        <w:tc>
          <w:tcPr>
            <w:tcW w:w="2157" w:type="dxa"/>
            <w:tcMar>
              <w:top w:w="72" w:type="dxa"/>
              <w:left w:w="115" w:type="dxa"/>
              <w:bottom w:w="72" w:type="dxa"/>
              <w:right w:w="115" w:type="dxa"/>
            </w:tcMar>
            <w:vAlign w:val="center"/>
          </w:tcPr>
          <w:p w14:paraId="326299A9"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3/3/21</w:t>
            </w:r>
          </w:p>
        </w:tc>
        <w:tc>
          <w:tcPr>
            <w:tcW w:w="2198" w:type="dxa"/>
            <w:tcMar>
              <w:top w:w="72" w:type="dxa"/>
              <w:left w:w="115" w:type="dxa"/>
              <w:bottom w:w="72" w:type="dxa"/>
              <w:right w:w="115" w:type="dxa"/>
            </w:tcMar>
            <w:vAlign w:val="center"/>
          </w:tcPr>
          <w:p w14:paraId="0BADC9BB"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1.14</w:t>
            </w:r>
          </w:p>
          <w:p w14:paraId="2520BC8A"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 xml:space="preserve">Core, Eligibility of Certain Project Configurations </w:t>
            </w:r>
          </w:p>
        </w:tc>
        <w:tc>
          <w:tcPr>
            <w:tcW w:w="9590" w:type="dxa"/>
            <w:tcMar>
              <w:top w:w="72" w:type="dxa"/>
              <w:left w:w="115" w:type="dxa"/>
              <w:bottom w:w="72" w:type="dxa"/>
              <w:right w:w="115" w:type="dxa"/>
            </w:tcMar>
            <w:vAlign w:val="center"/>
          </w:tcPr>
          <w:p w14:paraId="73EDB70C"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Q0220_04</w:t>
            </w:r>
          </w:p>
          <w:p w14:paraId="01943B0E"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For scattered sites, the QAP says we need to submit the Conceptual Site Development Plan. Does the site</w:t>
            </w:r>
          </w:p>
          <w:p w14:paraId="2EAA2695" w14:textId="77777777" w:rsidR="00943E5C" w:rsidRPr="00AC6DEC" w:rsidRDefault="00943E5C" w:rsidP="00607B8C">
            <w:pPr>
              <w:contextualSpacing/>
              <w:rPr>
                <w:rFonts w:ascii="Times New Roman" w:hAnsi="Times New Roman" w:cs="Times New Roman"/>
              </w:rPr>
            </w:pPr>
            <w:proofErr w:type="gramStart"/>
            <w:r w:rsidRPr="00AC6DEC">
              <w:rPr>
                <w:rFonts w:ascii="Times New Roman" w:hAnsi="Times New Roman" w:cs="Times New Roman"/>
              </w:rPr>
              <w:lastRenderedPageBreak/>
              <w:t>plan</w:t>
            </w:r>
            <w:proofErr w:type="gramEnd"/>
            <w:r w:rsidRPr="00AC6DEC">
              <w:rPr>
                <w:rFonts w:ascii="Times New Roman" w:hAnsi="Times New Roman" w:cs="Times New Roman"/>
              </w:rPr>
              <w:t xml:space="preserve"> need to meet all threshold requirements or are you just looking at the locations of the scattered sites</w:t>
            </w:r>
          </w:p>
          <w:p w14:paraId="5096F932"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for purposes of the pre-application?</w:t>
            </w:r>
          </w:p>
          <w:p w14:paraId="4AE2DB0D" w14:textId="77777777" w:rsidR="00943E5C" w:rsidRPr="00AC6DEC" w:rsidRDefault="00943E5C" w:rsidP="00607B8C">
            <w:pPr>
              <w:contextualSpacing/>
              <w:rPr>
                <w:rFonts w:ascii="Times New Roman" w:hAnsi="Times New Roman" w:cs="Times New Roman"/>
                <w:b/>
                <w:bCs/>
              </w:rPr>
            </w:pPr>
          </w:p>
          <w:p w14:paraId="7BFA68D2"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50943E18"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The Conceptual Site Development Plan submission for scattered sites at Pre-Application must meet the requirements for the following Minimum Documentation requirement under </w:t>
            </w:r>
            <w:r w:rsidRPr="00AC6DEC">
              <w:rPr>
                <w:rFonts w:ascii="Times New Roman" w:hAnsi="Times New Roman" w:cs="Times New Roman"/>
                <w:i/>
              </w:rPr>
              <w:t>Threshold, Site Information and Conceptual Site Development Plan</w:t>
            </w:r>
            <w:r w:rsidRPr="00AC6DEC">
              <w:rPr>
                <w:rFonts w:ascii="Times New Roman" w:hAnsi="Times New Roman" w:cs="Times New Roman"/>
              </w:rPr>
              <w:t xml:space="preserve">: </w:t>
            </w:r>
          </w:p>
          <w:p w14:paraId="621EF7A8" w14:textId="77777777" w:rsidR="00943E5C" w:rsidRPr="00AC6DEC" w:rsidRDefault="00943E5C" w:rsidP="00607B8C">
            <w:pPr>
              <w:pStyle w:val="ListParagraph"/>
              <w:numPr>
                <w:ilvl w:val="0"/>
                <w:numId w:val="32"/>
              </w:numPr>
              <w:rPr>
                <w:rFonts w:ascii="Times New Roman" w:hAnsi="Times New Roman" w:cs="Times New Roman"/>
                <w:b/>
                <w:bCs/>
              </w:rPr>
            </w:pPr>
            <w:r w:rsidRPr="00AC6DEC">
              <w:rPr>
                <w:rFonts w:ascii="Times New Roman" w:hAnsi="Times New Roman" w:cs="Times New Roman"/>
              </w:rPr>
              <w:t>“Conceptual Site Development Plan (Utilize DCA Cover Sheet Template)”</w:t>
            </w:r>
          </w:p>
        </w:tc>
      </w:tr>
      <w:tr w:rsidR="00943E5C" w:rsidRPr="00AC6DEC" w14:paraId="6A50445A" w14:textId="77777777" w:rsidTr="2A62FF34">
        <w:trPr>
          <w:jc w:val="center"/>
        </w:trPr>
        <w:tc>
          <w:tcPr>
            <w:tcW w:w="2157" w:type="dxa"/>
            <w:tcMar>
              <w:top w:w="72" w:type="dxa"/>
              <w:left w:w="115" w:type="dxa"/>
              <w:bottom w:w="72" w:type="dxa"/>
              <w:right w:w="115" w:type="dxa"/>
            </w:tcMar>
            <w:vAlign w:val="center"/>
          </w:tcPr>
          <w:p w14:paraId="500B5176"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3/3/21</w:t>
            </w:r>
          </w:p>
        </w:tc>
        <w:tc>
          <w:tcPr>
            <w:tcW w:w="2198" w:type="dxa"/>
            <w:tcMar>
              <w:top w:w="72" w:type="dxa"/>
              <w:left w:w="115" w:type="dxa"/>
              <w:bottom w:w="72" w:type="dxa"/>
              <w:right w:w="115" w:type="dxa"/>
            </w:tcMar>
            <w:vAlign w:val="center"/>
          </w:tcPr>
          <w:p w14:paraId="5D410BF5"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2.02</w:t>
            </w:r>
          </w:p>
          <w:p w14:paraId="2374AC05"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Threshold, Cost Limits</w:t>
            </w:r>
          </w:p>
        </w:tc>
        <w:tc>
          <w:tcPr>
            <w:tcW w:w="9590" w:type="dxa"/>
            <w:tcMar>
              <w:top w:w="72" w:type="dxa"/>
              <w:left w:w="115" w:type="dxa"/>
              <w:bottom w:w="72" w:type="dxa"/>
              <w:right w:w="115" w:type="dxa"/>
            </w:tcMar>
            <w:vAlign w:val="center"/>
          </w:tcPr>
          <w:p w14:paraId="4DF7F283"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Q0220_02</w:t>
            </w:r>
          </w:p>
          <w:p w14:paraId="3C1F7C5C"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Can you please clarify the extent to which historic tax credit properties can exceed cost limits? Is the amount of historic tax credit equity </w:t>
            </w:r>
            <w:proofErr w:type="gramStart"/>
            <w:r w:rsidRPr="00AC6DEC">
              <w:rPr>
                <w:rFonts w:ascii="Times New Roman" w:hAnsi="Times New Roman" w:cs="Times New Roman"/>
              </w:rPr>
              <w:t>generated</w:t>
            </w:r>
            <w:proofErr w:type="gramEnd"/>
            <w:r w:rsidRPr="00AC6DEC">
              <w:rPr>
                <w:rFonts w:ascii="Times New Roman" w:hAnsi="Times New Roman" w:cs="Times New Roman"/>
              </w:rPr>
              <w:t xml:space="preserve"> the extent to which we can exceed cost limits? </w:t>
            </w:r>
          </w:p>
          <w:p w14:paraId="1EF29710" w14:textId="77777777" w:rsidR="00943E5C" w:rsidRPr="00AC6DEC" w:rsidRDefault="00943E5C" w:rsidP="00607B8C">
            <w:pPr>
              <w:contextualSpacing/>
              <w:rPr>
                <w:rFonts w:ascii="Times New Roman" w:hAnsi="Times New Roman" w:cs="Times New Roman"/>
                <w:b/>
                <w:bCs/>
              </w:rPr>
            </w:pPr>
          </w:p>
          <w:p w14:paraId="5B99F8C8"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3CEA04CC"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i/>
                <w:iCs/>
              </w:rPr>
              <w:t>Threshold, Cost Limits</w:t>
            </w:r>
            <w:r w:rsidRPr="00AC6DEC">
              <w:rPr>
                <w:rFonts w:ascii="Times New Roman" w:hAnsi="Times New Roman" w:cs="Times New Roman"/>
              </w:rPr>
              <w:t xml:space="preserve">, states the following: </w:t>
            </w:r>
          </w:p>
          <w:p w14:paraId="78C6CE69" w14:textId="77777777" w:rsidR="00943E5C" w:rsidRPr="00AC6DEC" w:rsidRDefault="00943E5C" w:rsidP="00607B8C">
            <w:pPr>
              <w:contextualSpacing/>
              <w:rPr>
                <w:rFonts w:ascii="Times New Roman" w:hAnsi="Times New Roman" w:cs="Times New Roman"/>
              </w:rPr>
            </w:pPr>
          </w:p>
          <w:p w14:paraId="7DE99D35" w14:textId="77777777" w:rsidR="00943E5C" w:rsidRPr="00AC6DEC" w:rsidRDefault="00943E5C" w:rsidP="00607B8C">
            <w:pPr>
              <w:pStyle w:val="ListParagraph"/>
              <w:numPr>
                <w:ilvl w:val="0"/>
                <w:numId w:val="31"/>
              </w:numPr>
              <w:rPr>
                <w:rFonts w:ascii="Times New Roman" w:hAnsi="Times New Roman" w:cs="Times New Roman"/>
                <w:i/>
                <w:iCs/>
              </w:rPr>
            </w:pPr>
            <w:r w:rsidRPr="00AC6DEC">
              <w:rPr>
                <w:rFonts w:ascii="Times New Roman" w:hAnsi="Times New Roman" w:cs="Times New Roman"/>
                <w:b/>
                <w:bCs/>
              </w:rPr>
              <w:t>“</w:t>
            </w:r>
            <w:r w:rsidRPr="00AC6DEC">
              <w:rPr>
                <w:rFonts w:ascii="Times New Roman" w:hAnsi="Times New Roman" w:cs="Times New Roman"/>
                <w:b/>
                <w:bCs/>
                <w:i/>
                <w:iCs/>
              </w:rPr>
              <w:t>Cost Limits for Historic/Transit Oriented Properties</w:t>
            </w:r>
            <w:r w:rsidRPr="00AC6DEC">
              <w:rPr>
                <w:rFonts w:ascii="Times New Roman" w:hAnsi="Times New Roman" w:cs="Times New Roman"/>
                <w:i/>
                <w:iCs/>
              </w:rPr>
              <w:t>: The cost limits for historic rehabilitation projects that qualify for scoring points under Historic Preservation…will be increased to 110% [above the] applicable cost limits.”</w:t>
            </w:r>
            <w:r w:rsidRPr="00AC6DEC">
              <w:rPr>
                <w:rFonts w:ascii="Times New Roman" w:hAnsi="Times New Roman" w:cs="Times New Roman"/>
                <w:i/>
                <w:iCs/>
              </w:rPr>
              <w:br/>
            </w:r>
          </w:p>
          <w:p w14:paraId="0640FF41" w14:textId="77777777" w:rsidR="00943E5C" w:rsidRPr="00AC6DEC" w:rsidRDefault="00943E5C" w:rsidP="00607B8C">
            <w:pPr>
              <w:pStyle w:val="ListParagraph"/>
              <w:numPr>
                <w:ilvl w:val="0"/>
                <w:numId w:val="31"/>
              </w:numPr>
              <w:rPr>
                <w:rFonts w:ascii="Times New Roman" w:hAnsi="Times New Roman" w:cs="Times New Roman"/>
              </w:rPr>
            </w:pPr>
            <w:r w:rsidRPr="00AC6DEC">
              <w:rPr>
                <w:rFonts w:ascii="Times New Roman" w:hAnsi="Times New Roman" w:cs="Times New Roman"/>
                <w:b/>
                <w:bCs/>
                <w:i/>
                <w:iCs/>
              </w:rPr>
              <w:t>“Cost Waivers</w:t>
            </w:r>
            <w:r w:rsidRPr="00AC6DEC">
              <w:rPr>
                <w:rFonts w:ascii="Times New Roman" w:hAnsi="Times New Roman" w:cs="Times New Roman"/>
                <w:i/>
                <w:iCs/>
              </w:rPr>
              <w:t xml:space="preserve">…DCA will consider a cost waiver request for the following [three </w:t>
            </w:r>
            <w:proofErr w:type="gramStart"/>
            <w:r w:rsidRPr="00AC6DEC">
              <w:rPr>
                <w:rFonts w:ascii="Times New Roman" w:hAnsi="Times New Roman" w:cs="Times New Roman"/>
                <w:i/>
                <w:iCs/>
              </w:rPr>
              <w:t>scenarios]…</w:t>
            </w:r>
            <w:proofErr w:type="gramEnd"/>
            <w:r w:rsidRPr="00AC6DEC">
              <w:rPr>
                <w:rFonts w:ascii="Times New Roman" w:hAnsi="Times New Roman" w:cs="Times New Roman"/>
                <w:i/>
                <w:iCs/>
              </w:rPr>
              <w:t>Costs for historic development above the project cost limits which will be covered by historic credit equity.</w:t>
            </w:r>
            <w:r w:rsidRPr="00AC6DEC">
              <w:rPr>
                <w:rFonts w:ascii="Times New Roman" w:hAnsi="Times New Roman" w:cs="Times New Roman"/>
              </w:rPr>
              <w:t>”</w:t>
            </w:r>
          </w:p>
          <w:p w14:paraId="068D23FA" w14:textId="77777777" w:rsidR="00943E5C" w:rsidRPr="00AC6DEC" w:rsidRDefault="00943E5C" w:rsidP="00607B8C">
            <w:pPr>
              <w:rPr>
                <w:rFonts w:ascii="Times New Roman" w:hAnsi="Times New Roman" w:cs="Times New Roman"/>
              </w:rPr>
            </w:pPr>
          </w:p>
          <w:p w14:paraId="6FA9EC9C"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Yes, the Historic Credit Equity generated is the amount by which the applicant can exceed cost limits. In this case, as stated in the above QAP excerpt, the cost limit being exceeded is 10% above the normal cost limit if the applicant receives points under </w:t>
            </w:r>
            <w:r w:rsidRPr="00AC6DEC">
              <w:rPr>
                <w:rFonts w:ascii="Times New Roman" w:hAnsi="Times New Roman" w:cs="Times New Roman"/>
                <w:i/>
                <w:iCs/>
              </w:rPr>
              <w:t>Scoring</w:t>
            </w:r>
            <w:r w:rsidRPr="00AC6DEC">
              <w:rPr>
                <w:rFonts w:ascii="Times New Roman" w:hAnsi="Times New Roman" w:cs="Times New Roman"/>
              </w:rPr>
              <w:t xml:space="preserve">, </w:t>
            </w:r>
            <w:r w:rsidRPr="00AC6DEC">
              <w:rPr>
                <w:rFonts w:ascii="Times New Roman" w:hAnsi="Times New Roman" w:cs="Times New Roman"/>
                <w:i/>
                <w:iCs/>
              </w:rPr>
              <w:t>Historic Preservation</w:t>
            </w:r>
            <w:r w:rsidRPr="00AC6DEC">
              <w:rPr>
                <w:rFonts w:ascii="Times New Roman" w:hAnsi="Times New Roman" w:cs="Times New Roman"/>
              </w:rPr>
              <w:t xml:space="preserve">. </w:t>
            </w:r>
          </w:p>
          <w:p w14:paraId="64E6FEC0" w14:textId="77777777" w:rsidR="00943E5C" w:rsidRPr="00AC6DEC" w:rsidRDefault="00943E5C" w:rsidP="00607B8C">
            <w:pPr>
              <w:rPr>
                <w:rFonts w:ascii="Times New Roman" w:hAnsi="Times New Roman" w:cs="Times New Roman"/>
              </w:rPr>
            </w:pPr>
          </w:p>
          <w:p w14:paraId="0CC8031D" w14:textId="77777777" w:rsidR="00943E5C" w:rsidRPr="00AC6DEC" w:rsidRDefault="00943E5C" w:rsidP="00607B8C">
            <w:r w:rsidRPr="00AC6DEC">
              <w:rPr>
                <w:rFonts w:ascii="Times New Roman" w:eastAsia="Times New Roman" w:hAnsi="Times New Roman" w:cs="Times New Roman"/>
              </w:rPr>
              <w:t xml:space="preserve">9% Applicants may submit cost limit waivers at Application Submission or </w:t>
            </w:r>
            <w:proofErr w:type="gramStart"/>
            <w:r w:rsidRPr="00AC6DEC">
              <w:rPr>
                <w:rFonts w:ascii="Times New Roman" w:eastAsia="Times New Roman" w:hAnsi="Times New Roman" w:cs="Times New Roman"/>
              </w:rPr>
              <w:t>Pre Application</w:t>
            </w:r>
            <w:proofErr w:type="gramEnd"/>
            <w:r w:rsidRPr="00AC6DEC">
              <w:rPr>
                <w:rFonts w:ascii="Times New Roman" w:eastAsia="Times New Roman" w:hAnsi="Times New Roman" w:cs="Times New Roman"/>
              </w:rPr>
              <w:t xml:space="preserve">. If DCA denies a cost waiver submitted after the Application Submission deadline, the Applicant will fail Threshold. </w:t>
            </w:r>
          </w:p>
          <w:p w14:paraId="702C3092" w14:textId="77777777" w:rsidR="00943E5C" w:rsidRPr="00AC6DEC" w:rsidRDefault="00943E5C" w:rsidP="00607B8C">
            <w:pPr>
              <w:contextualSpacing/>
              <w:rPr>
                <w:rFonts w:ascii="Times New Roman" w:hAnsi="Times New Roman" w:cs="Times New Roman"/>
                <w:b/>
                <w:bCs/>
              </w:rPr>
            </w:pPr>
          </w:p>
        </w:tc>
      </w:tr>
      <w:tr w:rsidR="00943E5C" w:rsidRPr="00AC6DEC" w14:paraId="71FF0B4E" w14:textId="77777777" w:rsidTr="2A62FF34">
        <w:trPr>
          <w:jc w:val="center"/>
        </w:trPr>
        <w:tc>
          <w:tcPr>
            <w:tcW w:w="2157" w:type="dxa"/>
            <w:tcMar>
              <w:top w:w="72" w:type="dxa"/>
              <w:left w:w="115" w:type="dxa"/>
              <w:bottom w:w="72" w:type="dxa"/>
              <w:right w:w="115" w:type="dxa"/>
            </w:tcMar>
            <w:vAlign w:val="center"/>
          </w:tcPr>
          <w:p w14:paraId="245B1F84"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3/3/21</w:t>
            </w:r>
          </w:p>
        </w:tc>
        <w:tc>
          <w:tcPr>
            <w:tcW w:w="2198" w:type="dxa"/>
            <w:tcMar>
              <w:top w:w="72" w:type="dxa"/>
              <w:left w:w="115" w:type="dxa"/>
              <w:bottom w:w="72" w:type="dxa"/>
              <w:right w:w="115" w:type="dxa"/>
            </w:tcMar>
            <w:vAlign w:val="center"/>
          </w:tcPr>
          <w:p w14:paraId="56D4D73B"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2.02</w:t>
            </w:r>
          </w:p>
          <w:p w14:paraId="3E51C8D4"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Threshold, Cost Limits</w:t>
            </w:r>
          </w:p>
        </w:tc>
        <w:tc>
          <w:tcPr>
            <w:tcW w:w="9590" w:type="dxa"/>
            <w:tcMar>
              <w:top w:w="72" w:type="dxa"/>
              <w:left w:w="115" w:type="dxa"/>
              <w:bottom w:w="72" w:type="dxa"/>
              <w:right w:w="115" w:type="dxa"/>
            </w:tcMar>
            <w:vAlign w:val="center"/>
          </w:tcPr>
          <w:p w14:paraId="6292310C"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Q0220_03</w:t>
            </w:r>
          </w:p>
          <w:p w14:paraId="1D7096DE"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When will core app be posted? We need to submit a cost waiver. </w:t>
            </w:r>
          </w:p>
          <w:p w14:paraId="03587FA5" w14:textId="77777777" w:rsidR="00943E5C" w:rsidRPr="00AC6DEC" w:rsidRDefault="00943E5C" w:rsidP="00607B8C">
            <w:pPr>
              <w:contextualSpacing/>
              <w:rPr>
                <w:rFonts w:ascii="Times New Roman" w:hAnsi="Times New Roman" w:cs="Times New Roman"/>
                <w:b/>
                <w:bCs/>
              </w:rPr>
            </w:pPr>
          </w:p>
          <w:p w14:paraId="75258ADF"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lastRenderedPageBreak/>
              <w:t xml:space="preserve">Answer: </w:t>
            </w:r>
          </w:p>
          <w:p w14:paraId="3C4D741D"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DCA anticipates publishing the 2021 core app in late April. For now, applicants may use the 2021 Cost Limit Testing Workbook posted on the “2021 Pre-Application Forms” section of the DCA website (</w:t>
            </w:r>
            <w:hyperlink r:id="rId33">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026C53FB" w14:textId="77777777" w:rsidR="00943E5C" w:rsidRPr="00AC6DEC" w:rsidRDefault="00943E5C" w:rsidP="00607B8C">
            <w:pPr>
              <w:rPr>
                <w:rFonts w:ascii="Times New Roman" w:hAnsi="Times New Roman" w:cs="Times New Roman"/>
              </w:rPr>
            </w:pPr>
          </w:p>
          <w:p w14:paraId="10DE76B0" w14:textId="77777777" w:rsidR="00943E5C" w:rsidRPr="00AC6DEC" w:rsidRDefault="00943E5C" w:rsidP="00607B8C">
            <w:r w:rsidRPr="00AC6DEC">
              <w:rPr>
                <w:rFonts w:ascii="Times New Roman" w:eastAsia="Times New Roman" w:hAnsi="Times New Roman" w:cs="Times New Roman"/>
              </w:rPr>
              <w:t>The Development’s Total Development Cost for purposes of cost limits excludes the following line items from the Uses tab in the Core Application: “DCA-Related Costs,” “Local Government Fees”, the rent-up reserve, operating deficit reserve, and an upfront-funded replacement reserve, if applicable.</w:t>
            </w:r>
          </w:p>
          <w:p w14:paraId="417C01C0" w14:textId="77777777" w:rsidR="00943E5C" w:rsidRPr="00AC6DEC" w:rsidRDefault="00943E5C" w:rsidP="00607B8C">
            <w:pPr>
              <w:rPr>
                <w:rFonts w:ascii="Times New Roman" w:eastAsia="Times New Roman" w:hAnsi="Times New Roman" w:cs="Times New Roman"/>
              </w:rPr>
            </w:pPr>
          </w:p>
          <w:p w14:paraId="4D5BFBFD" w14:textId="77777777" w:rsidR="00943E5C" w:rsidRPr="00AC6DEC" w:rsidRDefault="00943E5C" w:rsidP="00607B8C">
            <w:pPr>
              <w:rPr>
                <w:rFonts w:ascii="Times New Roman" w:eastAsia="Times New Roman" w:hAnsi="Times New Roman" w:cs="Times New Roman"/>
              </w:rPr>
            </w:pPr>
            <w:r w:rsidRPr="00AC6DEC">
              <w:rPr>
                <w:rFonts w:ascii="Times New Roman" w:eastAsia="Times New Roman" w:hAnsi="Times New Roman" w:cs="Times New Roman"/>
              </w:rPr>
              <w:t xml:space="preserve">Please see the </w:t>
            </w:r>
            <w:hyperlink r:id="rId34">
              <w:r w:rsidRPr="00AC6DEC">
                <w:rPr>
                  <w:rStyle w:val="Hyperlink"/>
                  <w:rFonts w:ascii="Times New Roman" w:eastAsia="Times New Roman" w:hAnsi="Times New Roman" w:cs="Times New Roman"/>
                </w:rPr>
                <w:t>2020 Core App</w:t>
              </w:r>
            </w:hyperlink>
            <w:r w:rsidRPr="00AC6DEC">
              <w:rPr>
                <w:rFonts w:ascii="Times New Roman" w:eastAsia="Times New Roman" w:hAnsi="Times New Roman" w:cs="Times New Roman"/>
              </w:rPr>
              <w:t xml:space="preserve"> as an example for how the cost limits are calculated, with DCA excludable costs. See Part IV-Uses, J163-J166.</w:t>
            </w:r>
          </w:p>
          <w:p w14:paraId="5CDEFF8F" w14:textId="77777777" w:rsidR="00943E5C" w:rsidRPr="00AC6DEC" w:rsidRDefault="00943E5C" w:rsidP="00607B8C">
            <w:pPr>
              <w:contextualSpacing/>
              <w:rPr>
                <w:rFonts w:ascii="Times New Roman" w:hAnsi="Times New Roman" w:cs="Times New Roman"/>
                <w:b/>
                <w:bCs/>
              </w:rPr>
            </w:pPr>
          </w:p>
        </w:tc>
      </w:tr>
      <w:tr w:rsidR="00943E5C" w:rsidRPr="00AC6DEC" w14:paraId="5A0C3A5A" w14:textId="77777777" w:rsidTr="2A62FF34">
        <w:trPr>
          <w:jc w:val="center"/>
        </w:trPr>
        <w:tc>
          <w:tcPr>
            <w:tcW w:w="2157" w:type="dxa"/>
            <w:tcMar>
              <w:top w:w="72" w:type="dxa"/>
              <w:left w:w="115" w:type="dxa"/>
              <w:bottom w:w="72" w:type="dxa"/>
              <w:right w:w="115" w:type="dxa"/>
            </w:tcMar>
            <w:vAlign w:val="center"/>
          </w:tcPr>
          <w:p w14:paraId="6061A0ED"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3/3/21</w:t>
            </w:r>
          </w:p>
        </w:tc>
        <w:tc>
          <w:tcPr>
            <w:tcW w:w="2198" w:type="dxa"/>
            <w:tcMar>
              <w:top w:w="72" w:type="dxa"/>
              <w:left w:w="115" w:type="dxa"/>
              <w:bottom w:w="72" w:type="dxa"/>
              <w:right w:w="115" w:type="dxa"/>
            </w:tcMar>
            <w:vAlign w:val="center"/>
          </w:tcPr>
          <w:p w14:paraId="1C678C07"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4.00</w:t>
            </w:r>
          </w:p>
        </w:tc>
        <w:tc>
          <w:tcPr>
            <w:tcW w:w="9590" w:type="dxa"/>
            <w:tcMar>
              <w:top w:w="72" w:type="dxa"/>
              <w:left w:w="115" w:type="dxa"/>
              <w:bottom w:w="72" w:type="dxa"/>
              <w:right w:w="115" w:type="dxa"/>
            </w:tcMar>
            <w:vAlign w:val="center"/>
          </w:tcPr>
          <w:p w14:paraId="4B73998C"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Q0220_01</w:t>
            </w:r>
          </w:p>
          <w:p w14:paraId="2CD661C2"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i/>
                <w:iCs/>
              </w:rPr>
              <w:t>Appendix III: Compliance Monitoring Procedures</w:t>
            </w:r>
            <w:r w:rsidRPr="00AC6DEC">
              <w:rPr>
                <w:rFonts w:ascii="Times New Roman" w:hAnsi="Times New Roman" w:cs="Times New Roman"/>
              </w:rPr>
              <w:t xml:space="preserve">, states the following: “Applicants must ensure the management company included in all applications is approved per DCA’s Management Company Approval policy…” </w:t>
            </w:r>
          </w:p>
          <w:p w14:paraId="37711769" w14:textId="77777777" w:rsidR="00943E5C" w:rsidRPr="00AC6DEC" w:rsidRDefault="00943E5C" w:rsidP="00607B8C">
            <w:pPr>
              <w:contextualSpacing/>
              <w:rPr>
                <w:rFonts w:ascii="Times New Roman" w:hAnsi="Times New Roman" w:cs="Times New Roman"/>
              </w:rPr>
            </w:pPr>
          </w:p>
          <w:p w14:paraId="089BD903"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Is my property management company on DCA’s list of approved management companies?</w:t>
            </w:r>
          </w:p>
          <w:p w14:paraId="5DE0EE9A" w14:textId="77777777" w:rsidR="00943E5C" w:rsidRPr="00AC6DEC" w:rsidRDefault="00943E5C" w:rsidP="00607B8C">
            <w:pPr>
              <w:contextualSpacing/>
              <w:rPr>
                <w:rFonts w:ascii="Times New Roman" w:hAnsi="Times New Roman" w:cs="Times New Roman"/>
                <w:b/>
                <w:bCs/>
              </w:rPr>
            </w:pPr>
          </w:p>
          <w:p w14:paraId="192E71B9"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25CD8FA4"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rPr>
              <w:t xml:space="preserve">DCA has not yet published a list of approved management companies. DCA will publish this list after June 30, 2021. For details regarding management company qualifications, please see </w:t>
            </w:r>
            <w:hyperlink r:id="rId35" w:history="1">
              <w:r w:rsidRPr="00AC6DEC">
                <w:rPr>
                  <w:rFonts w:ascii="Times New Roman" w:hAnsi="Times New Roman" w:cs="Times New Roman"/>
                </w:rPr>
                <w:t>DCA’s Management Company Approval policy</w:t>
              </w:r>
            </w:hyperlink>
            <w:r w:rsidRPr="00AC6DEC">
              <w:rPr>
                <w:rFonts w:ascii="Times New Roman" w:hAnsi="Times New Roman" w:cs="Times New Roman"/>
              </w:rPr>
              <w:t xml:space="preserve"> (</w:t>
            </w:r>
            <w:hyperlink r:id="rId36" w:history="1">
              <w:r w:rsidRPr="00AC6DEC">
                <w:rPr>
                  <w:rStyle w:val="Hyperlink"/>
                  <w:rFonts w:ascii="Times New Roman" w:hAnsi="Times New Roman" w:cs="Times New Roman"/>
                </w:rPr>
                <w:t>click here</w:t>
              </w:r>
            </w:hyperlink>
            <w:r w:rsidRPr="00AC6DEC">
              <w:rPr>
                <w:rFonts w:ascii="Times New Roman" w:hAnsi="Times New Roman" w:cs="Times New Roman"/>
              </w:rPr>
              <w:t>).</w:t>
            </w:r>
          </w:p>
        </w:tc>
      </w:tr>
      <w:tr w:rsidR="00943E5C" w:rsidRPr="00AC6DEC" w14:paraId="1F182F7E" w14:textId="77777777" w:rsidTr="2A62FF34">
        <w:trPr>
          <w:jc w:val="center"/>
        </w:trPr>
        <w:tc>
          <w:tcPr>
            <w:tcW w:w="2157" w:type="dxa"/>
            <w:tcMar>
              <w:top w:w="72" w:type="dxa"/>
              <w:left w:w="115" w:type="dxa"/>
              <w:bottom w:w="72" w:type="dxa"/>
              <w:right w:w="115" w:type="dxa"/>
            </w:tcMar>
            <w:vAlign w:val="center"/>
          </w:tcPr>
          <w:p w14:paraId="22277C3E"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3/2/21</w:t>
            </w:r>
          </w:p>
        </w:tc>
        <w:tc>
          <w:tcPr>
            <w:tcW w:w="2198" w:type="dxa"/>
            <w:tcMar>
              <w:top w:w="72" w:type="dxa"/>
              <w:left w:w="115" w:type="dxa"/>
              <w:bottom w:w="72" w:type="dxa"/>
              <w:right w:w="115" w:type="dxa"/>
            </w:tcMar>
            <w:vAlign w:val="center"/>
          </w:tcPr>
          <w:p w14:paraId="5FD61F6D"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2.20</w:t>
            </w:r>
          </w:p>
          <w:p w14:paraId="34808EB0"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Experience, Capacity, and Performance Requirements for General Partner and Developer Entities</w:t>
            </w:r>
          </w:p>
        </w:tc>
        <w:tc>
          <w:tcPr>
            <w:tcW w:w="9590" w:type="dxa"/>
            <w:tcMar>
              <w:top w:w="72" w:type="dxa"/>
              <w:left w:w="115" w:type="dxa"/>
              <w:bottom w:w="72" w:type="dxa"/>
              <w:right w:w="115" w:type="dxa"/>
            </w:tcMar>
            <w:vAlign w:val="center"/>
          </w:tcPr>
          <w:p w14:paraId="42EEB39B"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Q0227_01</w:t>
            </w:r>
          </w:p>
          <w:p w14:paraId="5A6D0797"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For Probationary Designation review, does DCA require anything specific for "evidence" of five or more years of </w:t>
            </w:r>
            <w:proofErr w:type="gramStart"/>
            <w:r w:rsidRPr="00AC6DEC">
              <w:rPr>
                <w:rFonts w:ascii="Times New Roman" w:hAnsi="Times New Roman" w:cs="Times New Roman"/>
              </w:rPr>
              <w:t>full time</w:t>
            </w:r>
            <w:proofErr w:type="gramEnd"/>
            <w:r w:rsidRPr="00AC6DEC">
              <w:rPr>
                <w:rFonts w:ascii="Times New Roman" w:hAnsi="Times New Roman" w:cs="Times New Roman"/>
              </w:rPr>
              <w:t xml:space="preserve"> employment in the industry and material participation in the development of at least three successful tax credit developments?  Is a written summary of experience and resume sufficient or are there specific documents or forms of evidence required?</w:t>
            </w:r>
          </w:p>
          <w:p w14:paraId="23C9143C" w14:textId="77777777" w:rsidR="00943E5C" w:rsidRPr="00AC6DEC" w:rsidRDefault="00943E5C" w:rsidP="00607B8C">
            <w:pPr>
              <w:contextualSpacing/>
              <w:rPr>
                <w:rFonts w:ascii="Times New Roman" w:hAnsi="Times New Roman" w:cs="Times New Roman"/>
                <w:b/>
              </w:rPr>
            </w:pPr>
          </w:p>
          <w:p w14:paraId="7419F63E"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2308AE6C"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rPr>
              <w:t>A written summary and resume are sufficient. DCA may request follow up documentation and/or clarification upon review.</w:t>
            </w:r>
          </w:p>
        </w:tc>
      </w:tr>
      <w:tr w:rsidR="00943E5C" w:rsidRPr="00AC6DEC" w14:paraId="28874AD4" w14:textId="77777777" w:rsidTr="2A62FF34">
        <w:trPr>
          <w:jc w:val="center"/>
        </w:trPr>
        <w:tc>
          <w:tcPr>
            <w:tcW w:w="2157" w:type="dxa"/>
            <w:tcMar>
              <w:top w:w="72" w:type="dxa"/>
              <w:left w:w="115" w:type="dxa"/>
              <w:bottom w:w="72" w:type="dxa"/>
              <w:right w:w="115" w:type="dxa"/>
            </w:tcMar>
            <w:vAlign w:val="center"/>
          </w:tcPr>
          <w:p w14:paraId="7DE2A878"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3/2/21</w:t>
            </w:r>
          </w:p>
        </w:tc>
        <w:tc>
          <w:tcPr>
            <w:tcW w:w="2198" w:type="dxa"/>
            <w:tcMar>
              <w:top w:w="72" w:type="dxa"/>
              <w:left w:w="115" w:type="dxa"/>
              <w:bottom w:w="72" w:type="dxa"/>
              <w:right w:w="115" w:type="dxa"/>
            </w:tcMar>
            <w:vAlign w:val="center"/>
          </w:tcPr>
          <w:p w14:paraId="7B661088"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2.20</w:t>
            </w:r>
          </w:p>
          <w:p w14:paraId="159524E0"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Experience, Capacity, and Performance Requirements for General Partner and Developer Entities</w:t>
            </w:r>
          </w:p>
        </w:tc>
        <w:tc>
          <w:tcPr>
            <w:tcW w:w="9590" w:type="dxa"/>
            <w:tcMar>
              <w:top w:w="72" w:type="dxa"/>
              <w:left w:w="115" w:type="dxa"/>
              <w:bottom w:w="72" w:type="dxa"/>
              <w:right w:w="115" w:type="dxa"/>
            </w:tcMar>
            <w:vAlign w:val="center"/>
          </w:tcPr>
          <w:p w14:paraId="15B45568"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Q0226_03</w:t>
            </w:r>
          </w:p>
          <w:p w14:paraId="423D3AD1" w14:textId="77777777" w:rsidR="00943E5C" w:rsidRPr="00AC6DEC" w:rsidRDefault="00943E5C" w:rsidP="00607B8C">
            <w:pPr>
              <w:contextualSpacing/>
              <w:rPr>
                <w:rFonts w:ascii="Times New Roman" w:hAnsi="Times New Roman" w:cs="Times New Roman"/>
              </w:rPr>
            </w:pPr>
          </w:p>
          <w:p w14:paraId="42063B11" w14:textId="77777777" w:rsidR="00943E5C" w:rsidRPr="00AC6DEC" w:rsidRDefault="00943E5C" w:rsidP="00607B8C">
            <w:pPr>
              <w:pStyle w:val="ListParagraph"/>
              <w:numPr>
                <w:ilvl w:val="0"/>
                <w:numId w:val="30"/>
              </w:numPr>
              <w:rPr>
                <w:rFonts w:ascii="Times New Roman" w:hAnsi="Times New Roman" w:cs="Times New Roman"/>
              </w:rPr>
            </w:pPr>
            <w:r w:rsidRPr="00AC6DEC">
              <w:rPr>
                <w:rFonts w:ascii="Times New Roman" w:hAnsi="Times New Roman" w:cs="Times New Roman"/>
              </w:rPr>
              <w:lastRenderedPageBreak/>
              <w:t xml:space="preserve">Are financial statements required for all principals filing a Performance Workbook?  I don't see it listed as a requirement in the Performance </w:t>
            </w:r>
            <w:proofErr w:type="gramStart"/>
            <w:r w:rsidRPr="00AC6DEC">
              <w:rPr>
                <w:rFonts w:ascii="Times New Roman" w:hAnsi="Times New Roman" w:cs="Times New Roman"/>
              </w:rPr>
              <w:t>Workbook</w:t>
            </w:r>
            <w:proofErr w:type="gramEnd"/>
            <w:r w:rsidRPr="00AC6DEC">
              <w:rPr>
                <w:rFonts w:ascii="Times New Roman" w:hAnsi="Times New Roman" w:cs="Times New Roman"/>
              </w:rPr>
              <w:t xml:space="preserve"> but it's shown on the checklist on the main Pre-Application form.</w:t>
            </w:r>
          </w:p>
          <w:p w14:paraId="0414DE89" w14:textId="77777777" w:rsidR="00943E5C" w:rsidRPr="00AC6DEC" w:rsidRDefault="00943E5C" w:rsidP="00607B8C">
            <w:pPr>
              <w:pStyle w:val="ListParagraph"/>
              <w:numPr>
                <w:ilvl w:val="0"/>
                <w:numId w:val="30"/>
              </w:numPr>
              <w:rPr>
                <w:rFonts w:ascii="Times New Roman" w:hAnsi="Times New Roman" w:cs="Times New Roman"/>
              </w:rPr>
            </w:pPr>
            <w:r w:rsidRPr="00AC6DEC">
              <w:rPr>
                <w:rFonts w:ascii="Times New Roman" w:hAnsi="Times New Roman" w:cs="Times New Roman"/>
              </w:rPr>
              <w:t>We have the same team that was qualified last year, do we submit financial statements or are they "upon request" like the Credit &amp; Criminal Release?</w:t>
            </w:r>
          </w:p>
          <w:p w14:paraId="2FA9DBB4" w14:textId="77777777" w:rsidR="00943E5C" w:rsidRPr="00AC6DEC" w:rsidRDefault="00943E5C" w:rsidP="00607B8C">
            <w:pPr>
              <w:contextualSpacing/>
              <w:rPr>
                <w:rFonts w:ascii="Times New Roman" w:hAnsi="Times New Roman" w:cs="Times New Roman"/>
                <w:b/>
                <w:bCs/>
              </w:rPr>
            </w:pPr>
          </w:p>
          <w:p w14:paraId="225E4921"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16284E6F" w14:textId="77777777" w:rsidR="00943E5C" w:rsidRPr="00AC6DEC" w:rsidRDefault="00943E5C" w:rsidP="00607B8C">
            <w:pPr>
              <w:rPr>
                <w:rFonts w:ascii="Times New Roman" w:eastAsia="Times New Roman" w:hAnsi="Times New Roman" w:cs="Times New Roman"/>
              </w:rPr>
            </w:pPr>
            <w:r w:rsidRPr="00AC6DEC">
              <w:rPr>
                <w:rFonts w:ascii="Times New Roman" w:eastAsia="Times New Roman" w:hAnsi="Times New Roman" w:cs="Times New Roman"/>
              </w:rPr>
              <w:t>Financial statements are not required at Pre-Application unless requested by DCA during the Qualification review.</w:t>
            </w:r>
          </w:p>
          <w:p w14:paraId="2355AAD4" w14:textId="77777777" w:rsidR="00943E5C" w:rsidRPr="00AC6DEC" w:rsidRDefault="00943E5C" w:rsidP="00607B8C">
            <w:pPr>
              <w:contextualSpacing/>
              <w:rPr>
                <w:rFonts w:ascii="Times New Roman" w:hAnsi="Times New Roman" w:cs="Times New Roman"/>
                <w:b/>
                <w:bCs/>
              </w:rPr>
            </w:pPr>
          </w:p>
        </w:tc>
      </w:tr>
      <w:tr w:rsidR="00943E5C" w:rsidRPr="00AC6DEC" w14:paraId="7C224ADB" w14:textId="77777777" w:rsidTr="2A62FF34">
        <w:trPr>
          <w:jc w:val="center"/>
        </w:trPr>
        <w:tc>
          <w:tcPr>
            <w:tcW w:w="2157" w:type="dxa"/>
            <w:tcMar>
              <w:top w:w="72" w:type="dxa"/>
              <w:left w:w="115" w:type="dxa"/>
              <w:bottom w:w="72" w:type="dxa"/>
              <w:right w:w="115" w:type="dxa"/>
            </w:tcMar>
            <w:vAlign w:val="center"/>
          </w:tcPr>
          <w:p w14:paraId="694E6940"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3/2/21</w:t>
            </w:r>
          </w:p>
        </w:tc>
        <w:tc>
          <w:tcPr>
            <w:tcW w:w="2198" w:type="dxa"/>
            <w:tcMar>
              <w:top w:w="72" w:type="dxa"/>
              <w:left w:w="115" w:type="dxa"/>
              <w:bottom w:w="72" w:type="dxa"/>
              <w:right w:w="115" w:type="dxa"/>
            </w:tcMar>
            <w:vAlign w:val="center"/>
          </w:tcPr>
          <w:p w14:paraId="0028ABF9"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2.20</w:t>
            </w:r>
          </w:p>
          <w:p w14:paraId="335A1C44"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Experience, Capacity, and Performance Requirements for General Partner and Developer Entities </w:t>
            </w:r>
          </w:p>
        </w:tc>
        <w:tc>
          <w:tcPr>
            <w:tcW w:w="9590" w:type="dxa"/>
            <w:tcMar>
              <w:top w:w="72" w:type="dxa"/>
              <w:left w:w="115" w:type="dxa"/>
              <w:bottom w:w="72" w:type="dxa"/>
              <w:right w:w="115" w:type="dxa"/>
            </w:tcMar>
            <w:vAlign w:val="center"/>
          </w:tcPr>
          <w:p w14:paraId="22FB2802"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Q0225_02</w:t>
            </w:r>
          </w:p>
          <w:p w14:paraId="183AABA5"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The below QAP provision describes the grandfathering process – that if an entity received a “Qualified” letter in the 2020 round, they don’t need to re-submit documentation related to Experience for the 2021 round (“grandfathering,” as the QAP provision below refers to it). </w:t>
            </w:r>
          </w:p>
          <w:p w14:paraId="1DD7A765" w14:textId="77777777" w:rsidR="00943E5C" w:rsidRPr="00AC6DEC" w:rsidRDefault="00943E5C" w:rsidP="00607B8C">
            <w:pPr>
              <w:contextualSpacing/>
              <w:rPr>
                <w:rFonts w:ascii="Times New Roman" w:hAnsi="Times New Roman" w:cs="Times New Roman"/>
              </w:rPr>
            </w:pPr>
          </w:p>
          <w:p w14:paraId="753D87FC"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Does this also apply if you were qualified based on “grandfathering” in the 2020 round? That is, if I submitted a 9% application during the 2020 round but I was grandfathered in based on submitting Experience documents during the 2019 round, do I need to now re-submit Experience documents (syndicator letters, etc.) for the upcoming 2021 round? </w:t>
            </w:r>
          </w:p>
          <w:p w14:paraId="5496B486" w14:textId="77777777" w:rsidR="00943E5C" w:rsidRPr="00AC6DEC" w:rsidRDefault="00943E5C" w:rsidP="00607B8C">
            <w:pPr>
              <w:contextualSpacing/>
              <w:rPr>
                <w:rFonts w:ascii="Times New Roman" w:hAnsi="Times New Roman" w:cs="Times New Roman"/>
              </w:rPr>
            </w:pPr>
          </w:p>
          <w:p w14:paraId="34985AC3"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The relevant QAP provision is the following: </w:t>
            </w:r>
          </w:p>
          <w:p w14:paraId="53DEBBC3" w14:textId="77777777" w:rsidR="00943E5C" w:rsidRPr="00AC6DEC" w:rsidRDefault="00943E5C" w:rsidP="00607B8C">
            <w:pPr>
              <w:contextualSpacing/>
              <w:rPr>
                <w:rFonts w:ascii="Times New Roman" w:hAnsi="Times New Roman" w:cs="Times New Roman"/>
              </w:rPr>
            </w:pPr>
          </w:p>
          <w:p w14:paraId="22D60846"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“Qualified” in the 2020 round will be deemed to qualify under grandfathering.</w:t>
            </w:r>
            <w:r w:rsidRPr="00AC6DEC">
              <w:rPr>
                <w:rFonts w:ascii="Times New Roman" w:hAnsi="Times New Roman" w:cs="Times New Roman"/>
              </w:rPr>
              <w:t>”</w:t>
            </w:r>
          </w:p>
          <w:p w14:paraId="08083681" w14:textId="77777777" w:rsidR="00943E5C" w:rsidRPr="00AC6DEC" w:rsidRDefault="00943E5C" w:rsidP="00607B8C">
            <w:pPr>
              <w:contextualSpacing/>
              <w:rPr>
                <w:rFonts w:ascii="Times New Roman" w:hAnsi="Times New Roman" w:cs="Times New Roman"/>
                <w:b/>
                <w:bCs/>
              </w:rPr>
            </w:pPr>
          </w:p>
          <w:p w14:paraId="3E1FBADF"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6250C5D7"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Grandfathering also applies where an entity was qualified based on grandfathering in the 2020 round. Grandfathering turns on the receipt of a “Qualified” determination letter from DCA in the prior year’s round. </w:t>
            </w:r>
          </w:p>
          <w:p w14:paraId="4FC2B839" w14:textId="77777777" w:rsidR="00943E5C" w:rsidRPr="00AC6DEC" w:rsidRDefault="00943E5C" w:rsidP="00607B8C">
            <w:pPr>
              <w:contextualSpacing/>
              <w:rPr>
                <w:rFonts w:ascii="Times New Roman" w:hAnsi="Times New Roman" w:cs="Times New Roman"/>
                <w:b/>
                <w:bCs/>
              </w:rPr>
            </w:pPr>
          </w:p>
        </w:tc>
      </w:tr>
      <w:tr w:rsidR="00943E5C" w:rsidRPr="00AC6DEC" w14:paraId="2779F851" w14:textId="77777777" w:rsidTr="2A62FF34">
        <w:trPr>
          <w:jc w:val="center"/>
        </w:trPr>
        <w:tc>
          <w:tcPr>
            <w:tcW w:w="2157" w:type="dxa"/>
            <w:tcMar>
              <w:top w:w="72" w:type="dxa"/>
              <w:left w:w="115" w:type="dxa"/>
              <w:bottom w:w="72" w:type="dxa"/>
              <w:right w:w="115" w:type="dxa"/>
            </w:tcMar>
            <w:vAlign w:val="center"/>
          </w:tcPr>
          <w:p w14:paraId="4A9E9FD4"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3/2/21</w:t>
            </w:r>
          </w:p>
        </w:tc>
        <w:tc>
          <w:tcPr>
            <w:tcW w:w="2198" w:type="dxa"/>
            <w:tcMar>
              <w:top w:w="72" w:type="dxa"/>
              <w:left w:w="115" w:type="dxa"/>
              <w:bottom w:w="72" w:type="dxa"/>
              <w:right w:w="115" w:type="dxa"/>
            </w:tcMar>
            <w:vAlign w:val="center"/>
          </w:tcPr>
          <w:p w14:paraId="426673FD"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6.00</w:t>
            </w:r>
          </w:p>
          <w:p w14:paraId="6F7C80EE" w14:textId="77777777" w:rsidR="00943E5C" w:rsidRPr="00AC6DEC" w:rsidRDefault="00943E5C" w:rsidP="00607B8C">
            <w:pPr>
              <w:rPr>
                <w:rFonts w:ascii="Times New Roman" w:hAnsi="Times New Roman" w:cs="Times New Roman"/>
              </w:rPr>
            </w:pPr>
            <w:proofErr w:type="spellStart"/>
            <w:r w:rsidRPr="00AC6DEC">
              <w:rPr>
                <w:rFonts w:ascii="Times New Roman" w:hAnsi="Times New Roman" w:cs="Times New Roman"/>
              </w:rPr>
              <w:lastRenderedPageBreak/>
              <w:t>Emphasys</w:t>
            </w:r>
            <w:proofErr w:type="spellEnd"/>
            <w:r w:rsidRPr="00AC6DEC">
              <w:rPr>
                <w:rFonts w:ascii="Times New Roman" w:hAnsi="Times New Roman" w:cs="Times New Roman"/>
              </w:rPr>
              <w:t xml:space="preserve"> Application Portal </w:t>
            </w:r>
          </w:p>
          <w:p w14:paraId="166B2A5E" w14:textId="77777777" w:rsidR="00943E5C" w:rsidRPr="00AC6DEC" w:rsidRDefault="00943E5C" w:rsidP="00607B8C">
            <w:pPr>
              <w:rPr>
                <w:rFonts w:ascii="Times New Roman" w:hAnsi="Times New Roman" w:cs="Times New Roman"/>
              </w:rPr>
            </w:pPr>
          </w:p>
        </w:tc>
        <w:tc>
          <w:tcPr>
            <w:tcW w:w="9590" w:type="dxa"/>
            <w:tcMar>
              <w:top w:w="72" w:type="dxa"/>
              <w:left w:w="115" w:type="dxa"/>
              <w:bottom w:w="72" w:type="dxa"/>
              <w:right w:w="115" w:type="dxa"/>
            </w:tcMar>
            <w:vAlign w:val="center"/>
          </w:tcPr>
          <w:p w14:paraId="28450E06"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Q0226_04</w:t>
            </w:r>
          </w:p>
          <w:p w14:paraId="7C37C6A8"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lastRenderedPageBreak/>
              <w:t xml:space="preserve">On </w:t>
            </w:r>
            <w:proofErr w:type="spellStart"/>
            <w:r w:rsidRPr="00AC6DEC">
              <w:rPr>
                <w:rFonts w:ascii="Times New Roman" w:hAnsi="Times New Roman" w:cs="Times New Roman"/>
              </w:rPr>
              <w:t>Emphasys</w:t>
            </w:r>
            <w:proofErr w:type="spellEnd"/>
            <w:r w:rsidRPr="00AC6DEC">
              <w:rPr>
                <w:rFonts w:ascii="Times New Roman" w:hAnsi="Times New Roman" w:cs="Times New Roman"/>
              </w:rPr>
              <w:t xml:space="preserve">, in cases where a consultant is filing an application on an applicant's behalf, can the consultant file it via his own </w:t>
            </w:r>
            <w:proofErr w:type="spellStart"/>
            <w:r w:rsidRPr="00AC6DEC">
              <w:rPr>
                <w:rFonts w:ascii="Times New Roman" w:hAnsi="Times New Roman" w:cs="Times New Roman"/>
              </w:rPr>
              <w:t>Emphasys</w:t>
            </w:r>
            <w:proofErr w:type="spellEnd"/>
            <w:r w:rsidRPr="00AC6DEC">
              <w:rPr>
                <w:rFonts w:ascii="Times New Roman" w:hAnsi="Times New Roman" w:cs="Times New Roman"/>
              </w:rPr>
              <w:t xml:space="preserve"> account, or would you prefer he do so via the applicant's account?</w:t>
            </w:r>
          </w:p>
          <w:p w14:paraId="02CD0A01" w14:textId="77777777" w:rsidR="00943E5C" w:rsidRPr="00AC6DEC" w:rsidRDefault="00943E5C" w:rsidP="00607B8C">
            <w:pPr>
              <w:contextualSpacing/>
              <w:rPr>
                <w:rFonts w:ascii="Times New Roman" w:hAnsi="Times New Roman" w:cs="Times New Roman"/>
                <w:b/>
                <w:bCs/>
              </w:rPr>
            </w:pPr>
          </w:p>
          <w:p w14:paraId="0F057C4B"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607DF801"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A consultant may fill out the application, so long as all required documentation for Qualification Determination review and/or waiver reviews are provided. </w:t>
            </w:r>
          </w:p>
          <w:p w14:paraId="5BA01607" w14:textId="77777777" w:rsidR="00943E5C" w:rsidRPr="00AC6DEC" w:rsidRDefault="00943E5C" w:rsidP="00607B8C">
            <w:pPr>
              <w:contextualSpacing/>
              <w:rPr>
                <w:rFonts w:ascii="Times New Roman" w:hAnsi="Times New Roman" w:cs="Times New Roman"/>
                <w:b/>
                <w:bCs/>
              </w:rPr>
            </w:pPr>
          </w:p>
        </w:tc>
      </w:tr>
      <w:tr w:rsidR="00943E5C" w:rsidRPr="00AC6DEC" w14:paraId="31D5AE0F" w14:textId="77777777" w:rsidTr="2A62FF34">
        <w:trPr>
          <w:jc w:val="center"/>
        </w:trPr>
        <w:tc>
          <w:tcPr>
            <w:tcW w:w="2157" w:type="dxa"/>
            <w:tcMar>
              <w:top w:w="72" w:type="dxa"/>
              <w:left w:w="115" w:type="dxa"/>
              <w:bottom w:w="72" w:type="dxa"/>
              <w:right w:w="115" w:type="dxa"/>
            </w:tcMar>
            <w:vAlign w:val="center"/>
          </w:tcPr>
          <w:p w14:paraId="0D37F2E0"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3/2/21</w:t>
            </w:r>
          </w:p>
        </w:tc>
        <w:tc>
          <w:tcPr>
            <w:tcW w:w="2198" w:type="dxa"/>
            <w:tcMar>
              <w:top w:w="72" w:type="dxa"/>
              <w:left w:w="115" w:type="dxa"/>
              <w:bottom w:w="72" w:type="dxa"/>
              <w:right w:w="115" w:type="dxa"/>
            </w:tcMar>
            <w:vAlign w:val="center"/>
          </w:tcPr>
          <w:p w14:paraId="366D3EBD"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7.00</w:t>
            </w:r>
          </w:p>
          <w:p w14:paraId="180C9774"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Application Materials (Forms, etc.)</w:t>
            </w:r>
          </w:p>
          <w:p w14:paraId="361AF8DC" w14:textId="77777777" w:rsidR="00943E5C" w:rsidRPr="00AC6DEC" w:rsidRDefault="00943E5C" w:rsidP="00607B8C">
            <w:pPr>
              <w:rPr>
                <w:rFonts w:ascii="Times New Roman" w:hAnsi="Times New Roman" w:cs="Times New Roman"/>
                <w:noProof/>
              </w:rPr>
            </w:pPr>
          </w:p>
        </w:tc>
        <w:tc>
          <w:tcPr>
            <w:tcW w:w="9590" w:type="dxa"/>
            <w:tcMar>
              <w:top w:w="72" w:type="dxa"/>
              <w:left w:w="115" w:type="dxa"/>
              <w:bottom w:w="72" w:type="dxa"/>
              <w:right w:w="115" w:type="dxa"/>
            </w:tcMar>
            <w:vAlign w:val="center"/>
          </w:tcPr>
          <w:p w14:paraId="43C9E0D8" w14:textId="77777777" w:rsidR="00943E5C" w:rsidRPr="00AC6DEC" w:rsidRDefault="00943E5C" w:rsidP="00607B8C">
            <w:pPr>
              <w:contextualSpacing/>
              <w:rPr>
                <w:rFonts w:ascii="Times New Roman" w:hAnsi="Times New Roman" w:cs="Times New Roman"/>
                <w:b/>
                <w:bCs/>
                <w:lang w:val="fr-FR"/>
              </w:rPr>
            </w:pPr>
            <w:proofErr w:type="gramStart"/>
            <w:r w:rsidRPr="00AC6DEC">
              <w:rPr>
                <w:rFonts w:ascii="Times New Roman" w:hAnsi="Times New Roman" w:cs="Times New Roman"/>
                <w:b/>
                <w:bCs/>
                <w:lang w:val="fr-FR"/>
              </w:rPr>
              <w:t>Question:</w:t>
            </w:r>
            <w:proofErr w:type="gramEnd"/>
            <w:r w:rsidRPr="00AC6DEC">
              <w:rPr>
                <w:rFonts w:ascii="Times New Roman" w:hAnsi="Times New Roman" w:cs="Times New Roman"/>
                <w:b/>
                <w:bCs/>
                <w:lang w:val="fr-FR"/>
              </w:rPr>
              <w:t xml:space="preserve"> Q0226_02</w:t>
            </w:r>
          </w:p>
          <w:p w14:paraId="32C39EE7" w14:textId="77777777" w:rsidR="00943E5C" w:rsidRPr="00AC6DEC" w:rsidRDefault="00943E5C" w:rsidP="00607B8C">
            <w:pPr>
              <w:contextualSpacing/>
              <w:rPr>
                <w:rFonts w:ascii="Times New Roman" w:hAnsi="Times New Roman" w:cs="Times New Roman"/>
                <w:lang w:val="fr-FR"/>
              </w:rPr>
            </w:pPr>
          </w:p>
          <w:p w14:paraId="15B3D4FE" w14:textId="77777777" w:rsidR="00943E5C" w:rsidRPr="00AC6DEC" w:rsidRDefault="00943E5C" w:rsidP="00607B8C">
            <w:pPr>
              <w:pStyle w:val="ListParagraph"/>
              <w:numPr>
                <w:ilvl w:val="0"/>
                <w:numId w:val="29"/>
              </w:numPr>
              <w:rPr>
                <w:rFonts w:ascii="Times New Roman" w:hAnsi="Times New Roman" w:cs="Times New Roman"/>
              </w:rPr>
            </w:pPr>
            <w:r w:rsidRPr="00AC6DEC">
              <w:rPr>
                <w:rFonts w:ascii="Times New Roman" w:hAnsi="Times New Roman" w:cs="Times New Roman"/>
              </w:rPr>
              <w:t xml:space="preserve">Can you confirm if the Competitive Pool designation and/or the LIHTC Election </w:t>
            </w:r>
            <w:proofErr w:type="gramStart"/>
            <w:r w:rsidRPr="00AC6DEC">
              <w:rPr>
                <w:rFonts w:ascii="Times New Roman" w:hAnsi="Times New Roman" w:cs="Times New Roman"/>
              </w:rPr>
              <w:t>designation  selected</w:t>
            </w:r>
            <w:proofErr w:type="gramEnd"/>
            <w:r w:rsidRPr="00AC6DEC">
              <w:rPr>
                <w:rFonts w:ascii="Times New Roman" w:hAnsi="Times New Roman" w:cs="Times New Roman"/>
              </w:rPr>
              <w:t xml:space="preserve"> on the Submission Form &amp; Checklist tab of the Pre-Application Submission form can be adjusted from pre-application submission to what will be presented in the 2021 9% full application submission? </w:t>
            </w:r>
            <w:proofErr w:type="gramStart"/>
            <w:r w:rsidRPr="00AC6DEC">
              <w:rPr>
                <w:rFonts w:ascii="Times New Roman" w:hAnsi="Times New Roman" w:cs="Times New Roman"/>
              </w:rPr>
              <w:t>Specifically</w:t>
            </w:r>
            <w:proofErr w:type="gramEnd"/>
            <w:r w:rsidRPr="00AC6DEC">
              <w:rPr>
                <w:rFonts w:ascii="Times New Roman" w:hAnsi="Times New Roman" w:cs="Times New Roman"/>
              </w:rPr>
              <w:t xml:space="preserve"> for the LIHTC Election, can there be a change from Income Average to 40% of Units at 60% AMI from pre-app to full app?  </w:t>
            </w:r>
            <w:r w:rsidRPr="00AC6DEC">
              <w:rPr>
                <w:rFonts w:ascii="Times New Roman" w:hAnsi="Times New Roman" w:cs="Times New Roman"/>
              </w:rPr>
              <w:br/>
            </w:r>
          </w:p>
          <w:p w14:paraId="2EFEDC48" w14:textId="77777777" w:rsidR="00943E5C" w:rsidRPr="00AC6DEC" w:rsidRDefault="00943E5C" w:rsidP="00607B8C">
            <w:pPr>
              <w:pStyle w:val="ListParagraph"/>
              <w:numPr>
                <w:ilvl w:val="0"/>
                <w:numId w:val="29"/>
              </w:numPr>
              <w:rPr>
                <w:rFonts w:ascii="Times New Roman" w:hAnsi="Times New Roman" w:cs="Times New Roman"/>
              </w:rPr>
            </w:pPr>
            <w:r w:rsidRPr="00AC6DEC">
              <w:rPr>
                <w:rFonts w:ascii="Times New Roman" w:hAnsi="Times New Roman" w:cs="Times New Roman"/>
              </w:rPr>
              <w:t>Similarly, regarding the Competitive Pool designation, the pre-app submission form only allows for one pool to be selected.  If an applicant selects "9% Other Metro" in the pre-app submission form, can that applicant apply under an additional pool at the full application submission, such as "9% Other Metro" and "9% RAD Set-Aside"?</w:t>
            </w:r>
            <w:r w:rsidRPr="00AC6DEC">
              <w:br/>
            </w:r>
          </w:p>
          <w:p w14:paraId="02557EFE" w14:textId="77777777" w:rsidR="00943E5C" w:rsidRPr="00AC6DEC" w:rsidRDefault="00943E5C" w:rsidP="00607B8C">
            <w:pPr>
              <w:pStyle w:val="ListParagraph"/>
              <w:numPr>
                <w:ilvl w:val="0"/>
                <w:numId w:val="29"/>
              </w:numPr>
            </w:pPr>
            <w:r w:rsidRPr="00AC6DEC">
              <w:rPr>
                <w:rFonts w:ascii="Times New Roman" w:eastAsia="Times New Roman" w:hAnsi="Times New Roman" w:cs="Times New Roman"/>
                <w:color w:val="000000" w:themeColor="text1"/>
              </w:rPr>
              <w:t xml:space="preserve">Can you confirm if the information presented in the "Rent Schedule &amp; Summary" tab within the pre-application submission form can be adjusted from pre-application submission to what will be presented in the Core Application with the 2021 9% full application submission?  </w:t>
            </w:r>
          </w:p>
          <w:p w14:paraId="24F578AB" w14:textId="77777777" w:rsidR="00943E5C" w:rsidRPr="00AC6DEC" w:rsidRDefault="00943E5C" w:rsidP="00607B8C">
            <w:pPr>
              <w:contextualSpacing/>
              <w:rPr>
                <w:rFonts w:ascii="Times New Roman" w:hAnsi="Times New Roman" w:cs="Times New Roman"/>
                <w:b/>
                <w:bCs/>
              </w:rPr>
            </w:pPr>
          </w:p>
          <w:p w14:paraId="7822F9E8" w14:textId="77777777" w:rsidR="00943E5C" w:rsidRPr="00AC6DEC" w:rsidRDefault="00943E5C" w:rsidP="00607B8C">
            <w:pPr>
              <w:contextualSpacing/>
              <w:rPr>
                <w:rFonts w:ascii="Times New Roman" w:hAnsi="Times New Roman" w:cs="Times New Roman"/>
                <w:b/>
              </w:rPr>
            </w:pPr>
            <w:r w:rsidRPr="00AC6DEC">
              <w:rPr>
                <w:rFonts w:ascii="Times New Roman" w:hAnsi="Times New Roman" w:cs="Times New Roman"/>
                <w:b/>
              </w:rPr>
              <w:t xml:space="preserve">Answer: </w:t>
            </w:r>
          </w:p>
          <w:p w14:paraId="70DA3C8E" w14:textId="77777777" w:rsidR="00943E5C" w:rsidRPr="00AC6DEC" w:rsidRDefault="00943E5C" w:rsidP="00607B8C">
            <w:pPr>
              <w:contextualSpacing/>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Yes. The information can be changed for a new construction application requesting solely a Qualification determination. Per the 2021 QAP, Threshold page 33:</w:t>
            </w:r>
          </w:p>
          <w:p w14:paraId="7F51F66A" w14:textId="77777777" w:rsidR="00943E5C" w:rsidRPr="00AC6DEC" w:rsidRDefault="00943E5C" w:rsidP="00607B8C">
            <w:pPr>
              <w:contextualSpacing/>
              <w:rPr>
                <w:rFonts w:ascii="Times New Roman" w:eastAsia="Times New Roman" w:hAnsi="Times New Roman" w:cs="Times New Roman"/>
                <w:color w:val="000000" w:themeColor="text1"/>
              </w:rPr>
            </w:pPr>
          </w:p>
          <w:p w14:paraId="066730D4" w14:textId="77777777" w:rsidR="00943E5C" w:rsidRPr="00AC6DEC" w:rsidRDefault="00943E5C" w:rsidP="00607B8C">
            <w:pPr>
              <w:contextualSpacing/>
              <w:rPr>
                <w:rFonts w:eastAsiaTheme="minorEastAsia"/>
                <w:iCs/>
                <w:color w:val="000000" w:themeColor="text1"/>
              </w:rPr>
            </w:pPr>
            <w:r w:rsidRPr="00AC6DEC">
              <w:rPr>
                <w:rFonts w:ascii="Times New Roman" w:eastAsia="Times New Roman" w:hAnsi="Times New Roman" w:cs="Times New Roman"/>
                <w:iCs/>
                <w:color w:val="000000" w:themeColor="text1"/>
              </w:rPr>
              <w:t>“</w:t>
            </w:r>
            <w:r w:rsidRPr="00AC6DEC">
              <w:rPr>
                <w:rFonts w:ascii="Times New Roman" w:eastAsia="Times New Roman" w:hAnsi="Times New Roman" w:cs="Times New Roman"/>
                <w:i/>
                <w:color w:val="000000" w:themeColor="text1"/>
              </w:rPr>
              <w:t>Project Teams may be reviewed for qualifications at Pre-Application or Application Submission. To receive a full Threshold review at Pre-Application under this section, Applicant must have the project team and construction type finalized by Pre-Application. If either is ‘To Be Determined,’ DCA will not conduct a team qualifications review during the Pre-Application review phase.</w:t>
            </w:r>
            <w:r w:rsidRPr="00AC6DEC">
              <w:rPr>
                <w:rFonts w:ascii="Times New Roman" w:eastAsia="Times New Roman" w:hAnsi="Times New Roman" w:cs="Times New Roman"/>
                <w:iCs/>
                <w:color w:val="000000" w:themeColor="text1"/>
              </w:rPr>
              <w:t>”</w:t>
            </w:r>
          </w:p>
          <w:p w14:paraId="3FC8F348" w14:textId="77777777" w:rsidR="00943E5C" w:rsidRPr="00AC6DEC" w:rsidRDefault="00943E5C" w:rsidP="00607B8C">
            <w:pPr>
              <w:contextualSpacing/>
              <w:rPr>
                <w:rFonts w:eastAsiaTheme="minorEastAsia"/>
                <w:color w:val="000000" w:themeColor="text1"/>
              </w:rPr>
            </w:pPr>
          </w:p>
          <w:p w14:paraId="1B29E8D3" w14:textId="77777777" w:rsidR="00943E5C" w:rsidRPr="00AC6DEC" w:rsidRDefault="00943E5C" w:rsidP="00607B8C">
            <w:pPr>
              <w:keepNext/>
              <w:contextualSpacing/>
              <w:rPr>
                <w:rFonts w:ascii="Times New Roman" w:hAnsi="Times New Roman" w:cs="Times New Roman"/>
                <w:b/>
                <w:bCs/>
              </w:rPr>
            </w:pPr>
            <w:r w:rsidRPr="00AC6DEC">
              <w:rPr>
                <w:rFonts w:ascii="Times New Roman" w:eastAsia="Times New Roman" w:hAnsi="Times New Roman" w:cs="Times New Roman"/>
                <w:color w:val="000000" w:themeColor="text1"/>
              </w:rPr>
              <w:lastRenderedPageBreak/>
              <w:t>If the applicant is requesting other waivers (underwriting waivers, construction waivers, relocation, income averaging unit distribution, etc.), a change in the location, geographic pool, unit mix, minimum set aside election, will require DCA’s re-review of the waiver and new information.</w:t>
            </w:r>
          </w:p>
        </w:tc>
      </w:tr>
      <w:tr w:rsidR="00943E5C" w:rsidRPr="00AC6DEC" w14:paraId="1BB06150" w14:textId="77777777" w:rsidTr="2A62FF34">
        <w:trPr>
          <w:jc w:val="center"/>
        </w:trPr>
        <w:tc>
          <w:tcPr>
            <w:tcW w:w="2157" w:type="dxa"/>
            <w:tcMar>
              <w:top w:w="72" w:type="dxa"/>
              <w:left w:w="115" w:type="dxa"/>
              <w:bottom w:w="72" w:type="dxa"/>
              <w:right w:w="115" w:type="dxa"/>
            </w:tcMar>
            <w:vAlign w:val="center"/>
          </w:tcPr>
          <w:p w14:paraId="6D835342"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621DF4B3"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1.14</w:t>
            </w:r>
          </w:p>
          <w:p w14:paraId="32415C42"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 xml:space="preserve">Core, Eligibility of Certain Project Configurations </w:t>
            </w:r>
          </w:p>
        </w:tc>
        <w:tc>
          <w:tcPr>
            <w:tcW w:w="9590" w:type="dxa"/>
            <w:tcMar>
              <w:top w:w="72" w:type="dxa"/>
              <w:left w:w="115" w:type="dxa"/>
              <w:bottom w:w="72" w:type="dxa"/>
              <w:right w:w="115" w:type="dxa"/>
            </w:tcMar>
            <w:vAlign w:val="center"/>
          </w:tcPr>
          <w:p w14:paraId="107D12AA" w14:textId="77777777" w:rsidR="00943E5C" w:rsidRPr="00AC6DEC" w:rsidRDefault="00943E5C" w:rsidP="00607B8C">
            <w:pPr>
              <w:keepNext/>
              <w:contextualSpacing/>
              <w:rPr>
                <w:rFonts w:ascii="Times New Roman" w:hAnsi="Times New Roman" w:cs="Times New Roman"/>
                <w:b/>
                <w:bCs/>
              </w:rPr>
            </w:pPr>
            <w:r w:rsidRPr="00AC6DEC">
              <w:rPr>
                <w:rFonts w:ascii="Times New Roman" w:hAnsi="Times New Roman" w:cs="Times New Roman"/>
                <w:b/>
                <w:bCs/>
              </w:rPr>
              <w:t>Question: Q0224_01</w:t>
            </w:r>
          </w:p>
          <w:p w14:paraId="2941D090" w14:textId="77777777" w:rsidR="00943E5C" w:rsidRPr="00AC6DEC" w:rsidRDefault="00943E5C" w:rsidP="00607B8C">
            <w:pPr>
              <w:keepNext/>
              <w:contextualSpacing/>
              <w:rPr>
                <w:rFonts w:ascii="Times New Roman" w:hAnsi="Times New Roman" w:cs="Times New Roman"/>
              </w:rPr>
            </w:pPr>
            <w:r w:rsidRPr="00AC6DEC">
              <w:rPr>
                <w:rFonts w:ascii="Times New Roman" w:hAnsi="Times New Roman" w:cs="Times New Roman"/>
              </w:rPr>
              <w:t>Would a site bifurcated by an alley or lane be considered a scattered site? If so, would these sites be able to share amenities or would a waiver be needed to allow for sites to share amenities.</w:t>
            </w:r>
          </w:p>
          <w:p w14:paraId="5CEADEC1" w14:textId="77777777" w:rsidR="00943E5C" w:rsidRPr="00AC6DEC" w:rsidRDefault="00943E5C" w:rsidP="00607B8C">
            <w:pPr>
              <w:contextualSpacing/>
              <w:rPr>
                <w:rFonts w:ascii="Times New Roman" w:hAnsi="Times New Roman" w:cs="Times New Roman"/>
                <w:b/>
                <w:bCs/>
              </w:rPr>
            </w:pPr>
          </w:p>
          <w:p w14:paraId="39708607"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2CD2944F"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Under Section 42, scattered sites are defined by their proximity and not necessarily the presence of an alley or lane. Per QAP Core Section 14.A., sites must have no more than six (6) non-contiguous parcels within a ½ mile radius and a minimum of four (4) residential units per parcel, except for parcels on which the community center is located. Note that Applications must include a legal opinion on scattered site to support the project’s development. Please provide both a legal opinion and a Conceptual Site Development Plan for DCA review at Pre-Application. </w:t>
            </w:r>
          </w:p>
          <w:p w14:paraId="25906568" w14:textId="77777777" w:rsidR="00943E5C" w:rsidRPr="00AC6DEC" w:rsidRDefault="00943E5C" w:rsidP="00607B8C">
            <w:pPr>
              <w:contextualSpacing/>
              <w:rPr>
                <w:rFonts w:ascii="Times New Roman" w:hAnsi="Times New Roman" w:cs="Times New Roman"/>
              </w:rPr>
            </w:pPr>
          </w:p>
          <w:p w14:paraId="2F8EFDEE"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rPr>
              <w:t>Please note per 2021 QAP Threshold, Section XIII. Required Amenities, for scattered site projects, required amenities must be met for each non-contiguous parcel. If the site is considered a scattered site per the legal opinion, an architectural waiver is required at pre-application for the site for determination.</w:t>
            </w:r>
          </w:p>
        </w:tc>
      </w:tr>
      <w:tr w:rsidR="00943E5C" w:rsidRPr="00AC6DEC" w14:paraId="3451B3B8" w14:textId="77777777" w:rsidTr="2A62FF34">
        <w:trPr>
          <w:jc w:val="center"/>
        </w:trPr>
        <w:tc>
          <w:tcPr>
            <w:tcW w:w="2157" w:type="dxa"/>
            <w:tcMar>
              <w:top w:w="72" w:type="dxa"/>
              <w:left w:w="115" w:type="dxa"/>
              <w:bottom w:w="72" w:type="dxa"/>
              <w:right w:w="115" w:type="dxa"/>
            </w:tcMar>
            <w:vAlign w:val="center"/>
          </w:tcPr>
          <w:p w14:paraId="58920956" w14:textId="77777777" w:rsidR="00943E5C" w:rsidRPr="00AC6DEC" w:rsidRDefault="00943E5C" w:rsidP="00607B8C">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757D08D2"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1.15</w:t>
            </w:r>
          </w:p>
          <w:p w14:paraId="58C865A9"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Core; Submission Requirements and Award Limitations</w:t>
            </w:r>
          </w:p>
        </w:tc>
        <w:tc>
          <w:tcPr>
            <w:tcW w:w="9590" w:type="dxa"/>
            <w:tcMar>
              <w:top w:w="72" w:type="dxa"/>
              <w:left w:w="115" w:type="dxa"/>
              <w:bottom w:w="72" w:type="dxa"/>
              <w:right w:w="115" w:type="dxa"/>
            </w:tcMar>
            <w:vAlign w:val="center"/>
          </w:tcPr>
          <w:p w14:paraId="1AF0EA86"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Q0217_02</w:t>
            </w:r>
          </w:p>
          <w:p w14:paraId="2761E043"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We will be </w:t>
            </w:r>
            <w:proofErr w:type="gramStart"/>
            <w:r w:rsidRPr="00AC6DEC">
              <w:rPr>
                <w:rFonts w:ascii="Times New Roman" w:hAnsi="Times New Roman" w:cs="Times New Roman"/>
              </w:rPr>
              <w:t>submitting an application</w:t>
            </w:r>
            <w:proofErr w:type="gramEnd"/>
            <w:r w:rsidRPr="00AC6DEC">
              <w:rPr>
                <w:rFonts w:ascii="Times New Roman" w:hAnsi="Times New Roman" w:cs="Times New Roman"/>
              </w:rPr>
              <w:t xml:space="preserve"> for a rehab in the upcoming 2021 round. The property is owned by a housing authority, and they are operating with a skeleton staff because of Covid. We are trying to prepare Architectural Standards waivers, as well as the Rehabilitation Work Scope and PNA Fannie Mae forms, but due to Covid-related staffing issues, the housing authority has been unable to provide us with the help necessary to complete this work. Would it be possible for us to submit these documents at some point beyond the March 5th pre-app deadline? It will allow us to provide you with far more accurate information.</w:t>
            </w:r>
          </w:p>
          <w:p w14:paraId="70E52C0D" w14:textId="77777777" w:rsidR="00943E5C" w:rsidRPr="00AC6DEC" w:rsidRDefault="00943E5C" w:rsidP="00607B8C">
            <w:pPr>
              <w:contextualSpacing/>
              <w:rPr>
                <w:rFonts w:ascii="Times New Roman" w:hAnsi="Times New Roman" w:cs="Times New Roman"/>
                <w:b/>
                <w:bCs/>
              </w:rPr>
            </w:pPr>
          </w:p>
          <w:p w14:paraId="22D7D407"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Answer:</w:t>
            </w:r>
          </w:p>
          <w:p w14:paraId="4CEDDA32"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The deadlines will not be extended for rehab waivers.</w:t>
            </w:r>
          </w:p>
          <w:p w14:paraId="5BD89F35" w14:textId="77777777" w:rsidR="00943E5C" w:rsidRPr="00AC6DEC" w:rsidRDefault="00943E5C" w:rsidP="00607B8C">
            <w:pPr>
              <w:contextualSpacing/>
              <w:rPr>
                <w:rFonts w:ascii="Times New Roman" w:hAnsi="Times New Roman" w:cs="Times New Roman"/>
              </w:rPr>
            </w:pPr>
          </w:p>
          <w:p w14:paraId="20609570"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rPr>
              <w:t xml:space="preserve">Please note: </w:t>
            </w:r>
            <w:r w:rsidRPr="00AC6DEC">
              <w:rPr>
                <w:rFonts w:ascii="Times New Roman" w:eastAsia="Times New Roman" w:hAnsi="Times New Roman" w:cs="Times New Roman"/>
              </w:rPr>
              <w:t>Four (4) Applications will be selected that propose rehabilitation of an existing occupied property previously funded by 9% or 4% Credit equity with building(s) in the Extended Use Period while the Plan is in effect.</w:t>
            </w:r>
          </w:p>
        </w:tc>
      </w:tr>
      <w:tr w:rsidR="00943E5C" w:rsidRPr="00AC6DEC" w14:paraId="6ACFA0C2" w14:textId="77777777" w:rsidTr="2A62FF34">
        <w:trPr>
          <w:jc w:val="center"/>
        </w:trPr>
        <w:tc>
          <w:tcPr>
            <w:tcW w:w="2157" w:type="dxa"/>
            <w:tcMar>
              <w:top w:w="72" w:type="dxa"/>
              <w:left w:w="115" w:type="dxa"/>
              <w:bottom w:w="72" w:type="dxa"/>
              <w:right w:w="115" w:type="dxa"/>
            </w:tcMar>
            <w:vAlign w:val="center"/>
          </w:tcPr>
          <w:p w14:paraId="3D685F01"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681175F0"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1.18</w:t>
            </w:r>
          </w:p>
          <w:p w14:paraId="00E66A75"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lastRenderedPageBreak/>
              <w:t xml:space="preserve">Core, Evaluation of 9% Tax Credit Competitive Applications </w:t>
            </w:r>
          </w:p>
        </w:tc>
        <w:tc>
          <w:tcPr>
            <w:tcW w:w="9590" w:type="dxa"/>
            <w:tcMar>
              <w:top w:w="72" w:type="dxa"/>
              <w:left w:w="115" w:type="dxa"/>
              <w:bottom w:w="72" w:type="dxa"/>
              <w:right w:w="115" w:type="dxa"/>
            </w:tcMar>
            <w:vAlign w:val="center"/>
          </w:tcPr>
          <w:p w14:paraId="228EBE0F"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Q0223_02</w:t>
            </w:r>
          </w:p>
          <w:p w14:paraId="591DF7BA"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lastRenderedPageBreak/>
              <w:t>Please clarify what types of proposed developments are eligible for consideration under the 2021 9% Competitive Round.</w:t>
            </w:r>
          </w:p>
          <w:p w14:paraId="6DB57B56" w14:textId="77777777" w:rsidR="00943E5C" w:rsidRPr="00AC6DEC" w:rsidRDefault="00943E5C" w:rsidP="00607B8C">
            <w:pPr>
              <w:contextualSpacing/>
              <w:rPr>
                <w:rFonts w:ascii="Times New Roman" w:hAnsi="Times New Roman" w:cs="Times New Roman"/>
                <w:b/>
                <w:bCs/>
              </w:rPr>
            </w:pPr>
          </w:p>
          <w:p w14:paraId="664995D0"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Answer:</w:t>
            </w:r>
          </w:p>
          <w:p w14:paraId="30054B44"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Please note that </w:t>
            </w:r>
            <w:r w:rsidRPr="00AC6DEC">
              <w:rPr>
                <w:rFonts w:ascii="Times New Roman" w:hAnsi="Times New Roman" w:cs="Times New Roman"/>
                <w:i/>
                <w:iCs/>
              </w:rPr>
              <w:t>Core, Evaluation of 9% Tax Credit Competitive Applications, Selection, Sequence of Competitive Round Award Determinations</w:t>
            </w:r>
            <w:r w:rsidRPr="00AC6DEC">
              <w:rPr>
                <w:rFonts w:ascii="Times New Roman" w:hAnsi="Times New Roman" w:cs="Times New Roman"/>
              </w:rPr>
              <w:t xml:space="preserve"> lists the competitive evaluations that comprise the 2021 9% Competitive Round:</w:t>
            </w:r>
          </w:p>
          <w:p w14:paraId="56254F76" w14:textId="77777777" w:rsidR="00943E5C" w:rsidRPr="00AC6DEC" w:rsidRDefault="00943E5C" w:rsidP="00607B8C">
            <w:pPr>
              <w:contextualSpacing/>
              <w:rPr>
                <w:rFonts w:ascii="Times New Roman" w:hAnsi="Times New Roman" w:cs="Times New Roman"/>
              </w:rPr>
            </w:pPr>
          </w:p>
          <w:p w14:paraId="706640F3" w14:textId="77777777" w:rsidR="00943E5C" w:rsidRPr="00AC6DEC" w:rsidRDefault="00943E5C" w:rsidP="00607B8C">
            <w:pPr>
              <w:pStyle w:val="ListParagraph"/>
              <w:numPr>
                <w:ilvl w:val="0"/>
                <w:numId w:val="28"/>
              </w:numPr>
              <w:rPr>
                <w:rFonts w:ascii="Times New Roman" w:hAnsi="Times New Roman" w:cs="Times New Roman"/>
              </w:rPr>
            </w:pPr>
            <w:r w:rsidRPr="00AC6DEC">
              <w:rPr>
                <w:rFonts w:ascii="Times New Roman" w:hAnsi="Times New Roman" w:cs="Times New Roman"/>
              </w:rPr>
              <w:t>Rental Assistance Demonstration Set Aside</w:t>
            </w:r>
          </w:p>
          <w:p w14:paraId="1DD69760" w14:textId="77777777" w:rsidR="00943E5C" w:rsidRPr="00AC6DEC" w:rsidRDefault="00943E5C" w:rsidP="00607B8C">
            <w:pPr>
              <w:pStyle w:val="ListParagraph"/>
              <w:numPr>
                <w:ilvl w:val="0"/>
                <w:numId w:val="28"/>
              </w:numPr>
              <w:rPr>
                <w:rFonts w:ascii="Times New Roman" w:hAnsi="Times New Roman" w:cs="Times New Roman"/>
              </w:rPr>
            </w:pPr>
            <w:r w:rsidRPr="00AC6DEC">
              <w:rPr>
                <w:rFonts w:ascii="Times New Roman" w:hAnsi="Times New Roman" w:cs="Times New Roman"/>
              </w:rPr>
              <w:t>Rehabilitation Set Aside</w:t>
            </w:r>
          </w:p>
          <w:p w14:paraId="4C7A0355" w14:textId="77777777" w:rsidR="00943E5C" w:rsidRPr="00AC6DEC" w:rsidRDefault="00943E5C" w:rsidP="00607B8C">
            <w:pPr>
              <w:pStyle w:val="ListParagraph"/>
              <w:numPr>
                <w:ilvl w:val="0"/>
                <w:numId w:val="28"/>
              </w:numPr>
              <w:rPr>
                <w:rFonts w:ascii="Times New Roman" w:hAnsi="Times New Roman" w:cs="Times New Roman"/>
              </w:rPr>
            </w:pPr>
            <w:r w:rsidRPr="00AC6DEC">
              <w:rPr>
                <w:rFonts w:ascii="Times New Roman" w:hAnsi="Times New Roman" w:cs="Times New Roman"/>
              </w:rPr>
              <w:t xml:space="preserve">New Supply </w:t>
            </w:r>
          </w:p>
          <w:p w14:paraId="7FDEBC53" w14:textId="77777777" w:rsidR="00943E5C" w:rsidRPr="00AC6DEC" w:rsidRDefault="00943E5C" w:rsidP="00607B8C">
            <w:pPr>
              <w:contextualSpacing/>
              <w:rPr>
                <w:rFonts w:ascii="Times New Roman" w:hAnsi="Times New Roman" w:cs="Times New Roman"/>
              </w:rPr>
            </w:pPr>
          </w:p>
          <w:p w14:paraId="1EEBC44D"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i/>
                <w:iCs/>
              </w:rPr>
              <w:t xml:space="preserve">Core, Definitions </w:t>
            </w:r>
            <w:r w:rsidRPr="00AC6DEC">
              <w:rPr>
                <w:rFonts w:ascii="Times New Roman" w:hAnsi="Times New Roman" w:cs="Times New Roman"/>
              </w:rPr>
              <w:t>defines New Supply eligibility as “Applications proposing new construction or Adaptive Reuse.”</w:t>
            </w:r>
          </w:p>
          <w:p w14:paraId="55D67319" w14:textId="77777777" w:rsidR="00943E5C" w:rsidRPr="00AC6DEC" w:rsidRDefault="00943E5C" w:rsidP="00607B8C">
            <w:pPr>
              <w:contextualSpacing/>
              <w:rPr>
                <w:rFonts w:ascii="Times New Roman" w:hAnsi="Times New Roman" w:cs="Times New Roman"/>
              </w:rPr>
            </w:pPr>
          </w:p>
          <w:p w14:paraId="1F0A579B"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i/>
                <w:iCs/>
              </w:rPr>
              <w:t>Core, 9% Round Set Asides</w:t>
            </w:r>
            <w:r w:rsidRPr="00AC6DEC">
              <w:rPr>
                <w:rFonts w:ascii="Times New Roman" w:hAnsi="Times New Roman" w:cs="Times New Roman"/>
              </w:rPr>
              <w:t xml:space="preserve">, states that only the following types of properties are eligible for the Rehabilitation Set Aside: “existing occupied </w:t>
            </w:r>
            <w:proofErr w:type="spellStart"/>
            <w:r w:rsidRPr="00AC6DEC">
              <w:rPr>
                <w:rFonts w:ascii="Times New Roman" w:hAnsi="Times New Roman" w:cs="Times New Roman"/>
              </w:rPr>
              <w:t>propert</w:t>
            </w:r>
            <w:proofErr w:type="spellEnd"/>
            <w:r w:rsidRPr="00AC6DEC">
              <w:rPr>
                <w:rFonts w:ascii="Times New Roman" w:hAnsi="Times New Roman" w:cs="Times New Roman"/>
              </w:rPr>
              <w:t>[</w:t>
            </w:r>
            <w:proofErr w:type="spellStart"/>
            <w:r w:rsidRPr="00AC6DEC">
              <w:rPr>
                <w:rFonts w:ascii="Times New Roman" w:hAnsi="Times New Roman" w:cs="Times New Roman"/>
              </w:rPr>
              <w:t>ies</w:t>
            </w:r>
            <w:proofErr w:type="spellEnd"/>
            <w:r w:rsidRPr="00AC6DEC">
              <w:rPr>
                <w:rFonts w:ascii="Times New Roman" w:hAnsi="Times New Roman" w:cs="Times New Roman"/>
              </w:rPr>
              <w:t>] previously funded by 9% or 4% Credit equity with building(s) in the Extended Use Period.”</w:t>
            </w:r>
          </w:p>
        </w:tc>
      </w:tr>
      <w:tr w:rsidR="00943E5C" w:rsidRPr="00AC6DEC" w14:paraId="4AF55176" w14:textId="77777777" w:rsidTr="2A62FF34">
        <w:trPr>
          <w:jc w:val="center"/>
        </w:trPr>
        <w:tc>
          <w:tcPr>
            <w:tcW w:w="2157" w:type="dxa"/>
            <w:tcMar>
              <w:top w:w="72" w:type="dxa"/>
              <w:left w:w="115" w:type="dxa"/>
              <w:bottom w:w="72" w:type="dxa"/>
              <w:right w:w="115" w:type="dxa"/>
            </w:tcMar>
            <w:vAlign w:val="center"/>
          </w:tcPr>
          <w:p w14:paraId="3A572F4F" w14:textId="77777777" w:rsidR="00943E5C" w:rsidRPr="00AC6DEC" w:rsidRDefault="00943E5C" w:rsidP="00607B8C">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3DBEB4DA"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1.23</w:t>
            </w:r>
          </w:p>
          <w:p w14:paraId="582CF027"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4F05E3A8"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Q0201_04</w:t>
            </w:r>
          </w:p>
          <w:p w14:paraId="2FFB758E"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The QAP states on the Exhibit A DCA Pre-Application Fee and Deadline Schedules:  </w:t>
            </w:r>
          </w:p>
          <w:p w14:paraId="5CD9940A" w14:textId="77777777" w:rsidR="00943E5C" w:rsidRPr="00AC6DEC" w:rsidRDefault="00943E5C" w:rsidP="00607B8C">
            <w:pPr>
              <w:contextualSpacing/>
              <w:rPr>
                <w:rFonts w:ascii="Times New Roman" w:hAnsi="Times New Roman" w:cs="Times New Roman"/>
              </w:rPr>
            </w:pPr>
          </w:p>
          <w:p w14:paraId="22111A1A" w14:textId="77777777" w:rsidR="00943E5C" w:rsidRPr="00AC6DEC" w:rsidRDefault="00943E5C" w:rsidP="00607B8C">
            <w:pPr>
              <w:contextualSpacing/>
              <w:rPr>
                <w:rFonts w:ascii="Times New Roman" w:hAnsi="Times New Roman" w:cs="Times New Roman"/>
                <w:i/>
                <w:iCs/>
              </w:rPr>
            </w:pPr>
            <w:r w:rsidRPr="00AC6DEC">
              <w:rPr>
                <w:rFonts w:ascii="Times New Roman" w:hAnsi="Times New Roman" w:cs="Times New Roman"/>
                <w:i/>
                <w:iCs/>
              </w:rPr>
              <w:t>Qualification Determination (Required for all Deals) - $1,000 with a 9% Deadline of 3/5/21</w:t>
            </w:r>
          </w:p>
          <w:p w14:paraId="05232274" w14:textId="77777777" w:rsidR="00943E5C" w:rsidRPr="00AC6DEC" w:rsidRDefault="00943E5C" w:rsidP="00607B8C">
            <w:pPr>
              <w:contextualSpacing/>
              <w:rPr>
                <w:rFonts w:ascii="Times New Roman" w:hAnsi="Times New Roman" w:cs="Times New Roman"/>
              </w:rPr>
            </w:pPr>
          </w:p>
          <w:p w14:paraId="2FED68CD"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In </w:t>
            </w:r>
            <w:bookmarkStart w:id="0" w:name="_Hlk65072976"/>
            <w:r w:rsidRPr="00AC6DEC">
              <w:rPr>
                <w:rFonts w:ascii="Times New Roman" w:hAnsi="Times New Roman" w:cs="Times New Roman"/>
              </w:rPr>
              <w:t>Threshold XX. Experience, Capacity and Performance Requirements for General Partner and Developer Entities</w:t>
            </w:r>
            <w:bookmarkEnd w:id="0"/>
            <w:r w:rsidRPr="00AC6DEC">
              <w:rPr>
                <w:rFonts w:ascii="Times New Roman" w:hAnsi="Times New Roman" w:cs="Times New Roman"/>
              </w:rPr>
              <w:t xml:space="preserve"> it is stated:  </w:t>
            </w:r>
          </w:p>
          <w:p w14:paraId="41DA3DD7" w14:textId="77777777" w:rsidR="00943E5C" w:rsidRPr="00AC6DEC" w:rsidRDefault="00943E5C" w:rsidP="00607B8C">
            <w:pPr>
              <w:contextualSpacing/>
              <w:rPr>
                <w:rFonts w:ascii="Times New Roman" w:hAnsi="Times New Roman" w:cs="Times New Roman"/>
              </w:rPr>
            </w:pPr>
          </w:p>
          <w:p w14:paraId="6C8331E0"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i/>
                <w:iCs/>
              </w:rPr>
              <w:t>Project Teams may be reviewed for qualifications at Pre-Application or Application Submission</w:t>
            </w:r>
            <w:r w:rsidRPr="00AC6DEC">
              <w:rPr>
                <w:rFonts w:ascii="Times New Roman" w:hAnsi="Times New Roman" w:cs="Times New Roman"/>
              </w:rPr>
              <w:t>.</w:t>
            </w:r>
          </w:p>
          <w:p w14:paraId="001D573D" w14:textId="77777777" w:rsidR="00943E5C" w:rsidRPr="00AC6DEC" w:rsidRDefault="00943E5C" w:rsidP="00607B8C">
            <w:pPr>
              <w:contextualSpacing/>
              <w:rPr>
                <w:rFonts w:ascii="Times New Roman" w:hAnsi="Times New Roman" w:cs="Times New Roman"/>
              </w:rPr>
            </w:pPr>
          </w:p>
          <w:p w14:paraId="00A87231"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The second statement contradicts the first statement saying that the Qualification Determination is required for all deals. </w:t>
            </w:r>
          </w:p>
          <w:p w14:paraId="593169AA" w14:textId="77777777" w:rsidR="00943E5C" w:rsidRPr="00AC6DEC" w:rsidRDefault="00943E5C" w:rsidP="00607B8C">
            <w:pPr>
              <w:contextualSpacing/>
              <w:rPr>
                <w:rFonts w:ascii="Times New Roman" w:hAnsi="Times New Roman" w:cs="Times New Roman"/>
              </w:rPr>
            </w:pPr>
          </w:p>
          <w:p w14:paraId="57AF78E2" w14:textId="77777777" w:rsidR="00943E5C" w:rsidRPr="00AC6DEC" w:rsidRDefault="00943E5C" w:rsidP="00607B8C">
            <w:pPr>
              <w:pStyle w:val="ListParagraph"/>
              <w:numPr>
                <w:ilvl w:val="0"/>
                <w:numId w:val="22"/>
              </w:numPr>
              <w:rPr>
                <w:rFonts w:ascii="Times New Roman" w:hAnsi="Times New Roman" w:cs="Times New Roman"/>
              </w:rPr>
            </w:pPr>
            <w:r w:rsidRPr="00AC6DEC">
              <w:rPr>
                <w:rFonts w:ascii="Times New Roman" w:hAnsi="Times New Roman" w:cs="Times New Roman"/>
              </w:rPr>
              <w:t xml:space="preserve">Please clarify whether this is a requirement at pre-app for all deals. </w:t>
            </w:r>
          </w:p>
          <w:p w14:paraId="01BD5843" w14:textId="77777777" w:rsidR="00943E5C" w:rsidRPr="00AC6DEC" w:rsidRDefault="00943E5C" w:rsidP="00607B8C">
            <w:pPr>
              <w:pStyle w:val="ListParagraph"/>
              <w:numPr>
                <w:ilvl w:val="0"/>
                <w:numId w:val="22"/>
              </w:numPr>
              <w:rPr>
                <w:rFonts w:ascii="Times New Roman" w:hAnsi="Times New Roman" w:cs="Times New Roman"/>
              </w:rPr>
            </w:pPr>
            <w:r w:rsidRPr="00AC6DEC">
              <w:rPr>
                <w:rFonts w:ascii="Times New Roman" w:hAnsi="Times New Roman" w:cs="Times New Roman"/>
              </w:rPr>
              <w:t xml:space="preserve">If not, is the $1,000 Qualification Application Fee still due with the full application May 21, 2021 on top of the 2021 Credit Application Fee and </w:t>
            </w:r>
            <w:proofErr w:type="gramStart"/>
            <w:r w:rsidRPr="00AC6DEC">
              <w:rPr>
                <w:rFonts w:ascii="Times New Roman" w:hAnsi="Times New Roman" w:cs="Times New Roman"/>
              </w:rPr>
              <w:t>Third Party</w:t>
            </w:r>
            <w:proofErr w:type="gramEnd"/>
            <w:r w:rsidRPr="00AC6DEC">
              <w:rPr>
                <w:rFonts w:ascii="Times New Roman" w:hAnsi="Times New Roman" w:cs="Times New Roman"/>
              </w:rPr>
              <w:t xml:space="preserve"> Review Fee.</w:t>
            </w:r>
          </w:p>
          <w:p w14:paraId="57EFB3DE" w14:textId="77777777" w:rsidR="00943E5C" w:rsidRPr="00AC6DEC" w:rsidRDefault="00943E5C" w:rsidP="00607B8C">
            <w:pPr>
              <w:contextualSpacing/>
              <w:rPr>
                <w:rFonts w:ascii="Times New Roman" w:hAnsi="Times New Roman" w:cs="Times New Roman"/>
                <w:b/>
                <w:bCs/>
              </w:rPr>
            </w:pPr>
          </w:p>
          <w:p w14:paraId="21D427F7"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lastRenderedPageBreak/>
              <w:t>Answer:</w:t>
            </w:r>
          </w:p>
          <w:p w14:paraId="630DF0D1"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Applicants are not required to submit Qualification documentation and the corresponding fee at Pre-Application. Project Teams may be reviewed for qualifications at Pre-Application or Application Submission.</w:t>
            </w:r>
          </w:p>
          <w:p w14:paraId="28DC63B5" w14:textId="77777777" w:rsidR="00943E5C" w:rsidRPr="00AC6DEC" w:rsidRDefault="00943E5C" w:rsidP="00607B8C">
            <w:pPr>
              <w:contextualSpacing/>
              <w:rPr>
                <w:rFonts w:ascii="Times New Roman" w:hAnsi="Times New Roman" w:cs="Times New Roman"/>
              </w:rPr>
            </w:pPr>
          </w:p>
          <w:p w14:paraId="29E9F22B"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The $1,000 Qualification fee is required for all applications. </w:t>
            </w:r>
          </w:p>
          <w:p w14:paraId="0EFC262E" w14:textId="77777777" w:rsidR="00943E5C" w:rsidRPr="00AC6DEC" w:rsidRDefault="00943E5C" w:rsidP="00607B8C">
            <w:pPr>
              <w:contextualSpacing/>
              <w:rPr>
                <w:rFonts w:ascii="Times New Roman" w:hAnsi="Times New Roman" w:cs="Times New Roman"/>
              </w:rPr>
            </w:pPr>
          </w:p>
          <w:p w14:paraId="7A515BEB"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If applicants request a Qualification review at Pre-Application, it is due by March 5.</w:t>
            </w:r>
          </w:p>
          <w:p w14:paraId="1E4042D4" w14:textId="77777777" w:rsidR="00943E5C" w:rsidRPr="00AC6DEC" w:rsidRDefault="00943E5C" w:rsidP="00607B8C">
            <w:pPr>
              <w:contextualSpacing/>
              <w:rPr>
                <w:rFonts w:ascii="Times New Roman" w:hAnsi="Times New Roman" w:cs="Times New Roman"/>
              </w:rPr>
            </w:pPr>
          </w:p>
          <w:p w14:paraId="22508D9E"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If Applicants choose to request the Qualification review as part of the Full Application (May 21), then the fee can be paid at the Full Application submission deadline (May 21</w:t>
            </w:r>
            <w:r w:rsidRPr="00AC6DEC">
              <w:rPr>
                <w:rFonts w:ascii="Times New Roman" w:hAnsi="Times New Roman" w:cs="Times New Roman"/>
                <w:vertAlign w:val="superscript"/>
              </w:rPr>
              <w:t>st</w:t>
            </w:r>
            <w:r w:rsidRPr="00AC6DEC">
              <w:rPr>
                <w:rFonts w:ascii="Times New Roman" w:hAnsi="Times New Roman" w:cs="Times New Roman"/>
              </w:rPr>
              <w:t xml:space="preserve">). </w:t>
            </w:r>
          </w:p>
          <w:p w14:paraId="0755AEA2" w14:textId="77777777" w:rsidR="00943E5C" w:rsidRPr="00AC6DEC" w:rsidRDefault="00943E5C" w:rsidP="00607B8C">
            <w:pPr>
              <w:contextualSpacing/>
              <w:rPr>
                <w:rFonts w:ascii="Times New Roman" w:hAnsi="Times New Roman" w:cs="Times New Roman"/>
              </w:rPr>
            </w:pPr>
          </w:p>
          <w:p w14:paraId="7D193438"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rPr>
              <w:t>The Qualification review fee is an additional, separate cost to the 2021 Credit Application Fee (</w:t>
            </w:r>
            <w:r w:rsidRPr="00AC6DEC">
              <w:rPr>
                <w:rFonts w:ascii="Times New Roman" w:eastAsia="Times New Roman" w:hAnsi="Times New Roman" w:cs="Times New Roman"/>
              </w:rPr>
              <w:t>$6,500 For Profits; $6,500 For Profits/Non- profits Joint Venture; $5,500 Non-profits).</w:t>
            </w:r>
          </w:p>
        </w:tc>
      </w:tr>
      <w:tr w:rsidR="00943E5C" w:rsidRPr="00AC6DEC" w14:paraId="569E3B03" w14:textId="77777777" w:rsidTr="2A62FF34">
        <w:trPr>
          <w:jc w:val="center"/>
        </w:trPr>
        <w:tc>
          <w:tcPr>
            <w:tcW w:w="2157" w:type="dxa"/>
            <w:tcMar>
              <w:top w:w="72" w:type="dxa"/>
              <w:left w:w="115" w:type="dxa"/>
              <w:bottom w:w="72" w:type="dxa"/>
              <w:right w:w="115" w:type="dxa"/>
            </w:tcMar>
            <w:vAlign w:val="center"/>
          </w:tcPr>
          <w:p w14:paraId="4043054B"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662ED786" w14:textId="77777777" w:rsidR="00943E5C" w:rsidRPr="00AC6DEC" w:rsidRDefault="00943E5C" w:rsidP="00607B8C">
            <w:pPr>
              <w:keepNext/>
              <w:rPr>
                <w:rFonts w:ascii="Times New Roman" w:hAnsi="Times New Roman" w:cs="Times New Roman"/>
                <w:noProof/>
              </w:rPr>
            </w:pPr>
            <w:r w:rsidRPr="00AC6DEC">
              <w:rPr>
                <w:rFonts w:ascii="Times New Roman" w:hAnsi="Times New Roman" w:cs="Times New Roman"/>
                <w:noProof/>
              </w:rPr>
              <w:t>2.02</w:t>
            </w:r>
          </w:p>
          <w:p w14:paraId="2E0F223F" w14:textId="77777777" w:rsidR="00943E5C" w:rsidRPr="00AC6DEC" w:rsidRDefault="00943E5C" w:rsidP="00607B8C">
            <w:pPr>
              <w:keepNext/>
              <w:rPr>
                <w:rFonts w:ascii="Times New Roman" w:hAnsi="Times New Roman" w:cs="Times New Roman"/>
                <w:noProof/>
              </w:rPr>
            </w:pPr>
            <w:r w:rsidRPr="00AC6DEC">
              <w:rPr>
                <w:rFonts w:ascii="Times New Roman" w:hAnsi="Times New Roman" w:cs="Times New Roman"/>
                <w:noProof/>
              </w:rPr>
              <w:t>Threshold; Cost Limits</w:t>
            </w:r>
          </w:p>
        </w:tc>
        <w:tc>
          <w:tcPr>
            <w:tcW w:w="9590" w:type="dxa"/>
            <w:tcMar>
              <w:top w:w="72" w:type="dxa"/>
              <w:left w:w="115" w:type="dxa"/>
              <w:bottom w:w="72" w:type="dxa"/>
              <w:right w:w="115" w:type="dxa"/>
            </w:tcMar>
            <w:vAlign w:val="center"/>
          </w:tcPr>
          <w:p w14:paraId="15A19A50"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Q0128_01</w:t>
            </w:r>
          </w:p>
          <w:p w14:paraId="73A9B737"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This question pertains to a rehabilitation application we will submit, wherein we are purchasing an existing affordable housing property from another affordable housing provider. </w:t>
            </w:r>
          </w:p>
          <w:p w14:paraId="50E6B61C" w14:textId="77777777" w:rsidR="00943E5C" w:rsidRPr="00AC6DEC" w:rsidRDefault="00943E5C" w:rsidP="00607B8C">
            <w:pPr>
              <w:rPr>
                <w:rFonts w:ascii="Times New Roman" w:hAnsi="Times New Roman" w:cs="Times New Roman"/>
              </w:rPr>
            </w:pPr>
          </w:p>
          <w:p w14:paraId="3DE53733"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DCA only allows cost limit waiver requests in three instances, listed under </w:t>
            </w:r>
            <w:r w:rsidRPr="00AC6DEC">
              <w:rPr>
                <w:rFonts w:ascii="Times New Roman" w:hAnsi="Times New Roman" w:cs="Times New Roman"/>
                <w:i/>
                <w:iCs/>
              </w:rPr>
              <w:t xml:space="preserve">Threshold, Cost Limits, Cost Waivers. </w:t>
            </w:r>
            <w:r w:rsidRPr="00AC6DEC">
              <w:rPr>
                <w:rFonts w:ascii="Times New Roman" w:hAnsi="Times New Roman" w:cs="Times New Roman"/>
              </w:rPr>
              <w:t>The third option is what we want to confirm we are eligible for. That third option allows cost waivers for…</w:t>
            </w:r>
          </w:p>
          <w:p w14:paraId="1D837001" w14:textId="77777777" w:rsidR="00943E5C" w:rsidRPr="00AC6DEC" w:rsidRDefault="00943E5C" w:rsidP="00607B8C">
            <w:pPr>
              <w:rPr>
                <w:rFonts w:ascii="Times New Roman" w:hAnsi="Times New Roman" w:cs="Times New Roman"/>
              </w:rPr>
            </w:pPr>
          </w:p>
          <w:p w14:paraId="566C8CFC"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“Costs that are covered by funding from a foundation, other unrelated not-for-profit charitable organization, or governmental entity that is not DCA in the amount equal to or greater than the development cost that exceeds DCA’s unit cost limitations.”</w:t>
            </w:r>
          </w:p>
          <w:p w14:paraId="1D698959" w14:textId="77777777" w:rsidR="00943E5C" w:rsidRPr="00AC6DEC" w:rsidRDefault="00943E5C" w:rsidP="00607B8C">
            <w:pPr>
              <w:rPr>
                <w:rFonts w:ascii="Times New Roman" w:hAnsi="Times New Roman" w:cs="Times New Roman"/>
              </w:rPr>
            </w:pPr>
          </w:p>
          <w:p w14:paraId="74C6E116"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We would like to request the waiver based on a seller’s note. </w:t>
            </w:r>
          </w:p>
          <w:p w14:paraId="0CB60D52" w14:textId="77777777" w:rsidR="00943E5C" w:rsidRPr="00AC6DEC" w:rsidRDefault="00943E5C" w:rsidP="00607B8C">
            <w:pPr>
              <w:rPr>
                <w:rFonts w:ascii="Times New Roman" w:hAnsi="Times New Roman" w:cs="Times New Roman"/>
              </w:rPr>
            </w:pPr>
          </w:p>
          <w:p w14:paraId="3F29ADE0" w14:textId="77777777" w:rsidR="00943E5C" w:rsidRPr="00AC6DEC" w:rsidRDefault="00943E5C" w:rsidP="00607B8C">
            <w:pPr>
              <w:pStyle w:val="ListParagraph"/>
              <w:numPr>
                <w:ilvl w:val="0"/>
                <w:numId w:val="23"/>
              </w:numPr>
              <w:rPr>
                <w:rFonts w:ascii="Times New Roman" w:hAnsi="Times New Roman" w:cs="Times New Roman"/>
              </w:rPr>
            </w:pPr>
            <w:r w:rsidRPr="00AC6DEC">
              <w:rPr>
                <w:rFonts w:ascii="Times New Roman" w:hAnsi="Times New Roman" w:cs="Times New Roman"/>
              </w:rPr>
              <w:t xml:space="preserve">Question 1: Under this cost limit waiver option, are seller notes an allowable source of funding to cover the amount by which TDC exceeds DCA cost limits? </w:t>
            </w:r>
          </w:p>
          <w:p w14:paraId="3D002EDC" w14:textId="77777777" w:rsidR="00943E5C" w:rsidRPr="00AC6DEC" w:rsidRDefault="00943E5C" w:rsidP="00607B8C">
            <w:pPr>
              <w:pStyle w:val="ListParagraph"/>
              <w:ind w:left="773"/>
              <w:rPr>
                <w:rFonts w:ascii="Times New Roman" w:hAnsi="Times New Roman" w:cs="Times New Roman"/>
              </w:rPr>
            </w:pPr>
          </w:p>
          <w:p w14:paraId="4B128883" w14:textId="77777777" w:rsidR="00943E5C" w:rsidRPr="00AC6DEC" w:rsidRDefault="00943E5C" w:rsidP="00607B8C">
            <w:pPr>
              <w:pStyle w:val="ListParagraph"/>
              <w:numPr>
                <w:ilvl w:val="0"/>
                <w:numId w:val="23"/>
              </w:numPr>
              <w:rPr>
                <w:rFonts w:ascii="Times New Roman" w:hAnsi="Times New Roman" w:cs="Times New Roman"/>
              </w:rPr>
            </w:pPr>
            <w:r w:rsidRPr="00AC6DEC">
              <w:rPr>
                <w:rFonts w:ascii="Times New Roman" w:hAnsi="Times New Roman" w:cs="Times New Roman"/>
              </w:rPr>
              <w:t xml:space="preserve">Question 2: In our case, the seller is a non-profit 501(c)(3) affordable housing provider. Does the seller constitute an “other unrelated not-for-profit charitable organization” that can provide the funding that covers the amount by which TDC exceeds DCA cost limits?  </w:t>
            </w:r>
          </w:p>
          <w:p w14:paraId="210BD438" w14:textId="77777777" w:rsidR="00943E5C" w:rsidRPr="00AC6DEC" w:rsidRDefault="00943E5C" w:rsidP="00607B8C">
            <w:pPr>
              <w:pStyle w:val="ListParagraph"/>
              <w:ind w:left="773"/>
              <w:rPr>
                <w:rFonts w:ascii="Times New Roman" w:hAnsi="Times New Roman" w:cs="Times New Roman"/>
              </w:rPr>
            </w:pPr>
          </w:p>
          <w:p w14:paraId="5DD93EE2" w14:textId="77777777" w:rsidR="00943E5C" w:rsidRPr="00AC6DEC" w:rsidRDefault="00943E5C" w:rsidP="00607B8C">
            <w:pPr>
              <w:rPr>
                <w:rFonts w:ascii="Times New Roman" w:hAnsi="Times New Roman" w:cs="Times New Roman"/>
                <w:b/>
                <w:bCs/>
              </w:rPr>
            </w:pPr>
            <w:r w:rsidRPr="00AC6DEC">
              <w:rPr>
                <w:rFonts w:ascii="Times New Roman" w:hAnsi="Times New Roman" w:cs="Times New Roman"/>
                <w:b/>
                <w:bCs/>
              </w:rPr>
              <w:lastRenderedPageBreak/>
              <w:t>Answer:</w:t>
            </w:r>
          </w:p>
          <w:p w14:paraId="724E5C6F" w14:textId="77777777" w:rsidR="00943E5C" w:rsidRPr="00AC6DEC" w:rsidRDefault="00943E5C" w:rsidP="00607B8C">
            <w:pPr>
              <w:rPr>
                <w:rFonts w:ascii="Times New Roman" w:hAnsi="Times New Roman" w:cs="Times New Roman"/>
                <w:b/>
                <w:bCs/>
              </w:rPr>
            </w:pPr>
          </w:p>
          <w:p w14:paraId="433D0396" w14:textId="77777777" w:rsidR="00943E5C" w:rsidRPr="00AC6DEC" w:rsidRDefault="00943E5C" w:rsidP="00607B8C">
            <w:pPr>
              <w:rPr>
                <w:rFonts w:ascii="Times New Roman" w:hAnsi="Times New Roman" w:cs="Times New Roman"/>
              </w:rPr>
            </w:pPr>
            <w:r w:rsidRPr="00AC6DEC">
              <w:rPr>
                <w:rFonts w:ascii="Times New Roman" w:hAnsi="Times New Roman" w:cs="Times New Roman"/>
                <w:u w:val="single"/>
              </w:rPr>
              <w:t>Answer to first question</w:t>
            </w:r>
            <w:r w:rsidRPr="00AC6DEC">
              <w:rPr>
                <w:rFonts w:ascii="Times New Roman" w:hAnsi="Times New Roman" w:cs="Times New Roman"/>
              </w:rPr>
              <w:t xml:space="preserve">: Seller’s notes are an allowable source of financing for covering the amount by which TDC exceeds DCA cost limits under this cost limit waiver option, provided the note meets the other requirements listed under this subsection (e.g., the seller’s note must be a cash-flow loan).  </w:t>
            </w:r>
          </w:p>
          <w:p w14:paraId="16BF75AD" w14:textId="77777777" w:rsidR="00943E5C" w:rsidRPr="00AC6DEC" w:rsidRDefault="00943E5C" w:rsidP="00607B8C">
            <w:pPr>
              <w:rPr>
                <w:rFonts w:ascii="Times New Roman" w:hAnsi="Times New Roman" w:cs="Times New Roman"/>
                <w:u w:val="single"/>
              </w:rPr>
            </w:pPr>
          </w:p>
          <w:p w14:paraId="4A121BB4" w14:textId="77777777" w:rsidR="00943E5C" w:rsidRPr="00AC6DEC" w:rsidRDefault="00943E5C" w:rsidP="00607B8C">
            <w:pPr>
              <w:rPr>
                <w:rFonts w:ascii="Times New Roman" w:hAnsi="Times New Roman" w:cs="Times New Roman"/>
              </w:rPr>
            </w:pPr>
            <w:r w:rsidRPr="00AC6DEC">
              <w:rPr>
                <w:rFonts w:ascii="Times New Roman" w:hAnsi="Times New Roman" w:cs="Times New Roman"/>
                <w:u w:val="single"/>
              </w:rPr>
              <w:t>Answer to second question</w:t>
            </w:r>
            <w:r w:rsidRPr="00AC6DEC">
              <w:rPr>
                <w:rFonts w:ascii="Times New Roman" w:hAnsi="Times New Roman" w:cs="Times New Roman"/>
              </w:rPr>
              <w:t xml:space="preserve">: An organization qualifies where there is no Identity of Interest between the parties. </w:t>
            </w:r>
          </w:p>
          <w:p w14:paraId="33BDA886" w14:textId="77777777" w:rsidR="00943E5C" w:rsidRPr="00AC6DEC" w:rsidRDefault="00943E5C" w:rsidP="00607B8C">
            <w:pPr>
              <w:rPr>
                <w:rFonts w:ascii="Times New Roman" w:hAnsi="Times New Roman" w:cs="Times New Roman"/>
              </w:rPr>
            </w:pPr>
          </w:p>
          <w:p w14:paraId="0DF6F83F" w14:textId="77777777" w:rsidR="00943E5C" w:rsidRPr="00AC6DEC" w:rsidRDefault="00943E5C" w:rsidP="00607B8C">
            <w:pPr>
              <w:rPr>
                <w:rFonts w:ascii="Times New Roman" w:hAnsi="Times New Roman" w:cs="Times New Roman"/>
                <w:b/>
                <w:bCs/>
              </w:rPr>
            </w:pPr>
            <w:r w:rsidRPr="00AC6DEC">
              <w:rPr>
                <w:rFonts w:ascii="Times New Roman" w:hAnsi="Times New Roman" w:cs="Times New Roman"/>
              </w:rPr>
              <w:t xml:space="preserve">In </w:t>
            </w:r>
            <w:r w:rsidRPr="00AC6DEC">
              <w:rPr>
                <w:rFonts w:ascii="Times New Roman" w:hAnsi="Times New Roman" w:cs="Times New Roman"/>
                <w:i/>
                <w:iCs/>
              </w:rPr>
              <w:t>all</w:t>
            </w:r>
            <w:r w:rsidRPr="00AC6DEC">
              <w:rPr>
                <w:rFonts w:ascii="Times New Roman" w:hAnsi="Times New Roman" w:cs="Times New Roman"/>
              </w:rPr>
              <w:t xml:space="preserve"> circumstances in which an application exceeds DCA cost limits, a cost limit waiver must be submitted. 9% Applicants may submit cost limit waivers at Application Submission or Pre-Application.</w:t>
            </w:r>
          </w:p>
        </w:tc>
      </w:tr>
      <w:tr w:rsidR="00943E5C" w:rsidRPr="00AC6DEC" w14:paraId="131F0919" w14:textId="77777777" w:rsidTr="2A62FF34">
        <w:trPr>
          <w:jc w:val="center"/>
        </w:trPr>
        <w:tc>
          <w:tcPr>
            <w:tcW w:w="2157" w:type="dxa"/>
            <w:tcMar>
              <w:top w:w="72" w:type="dxa"/>
              <w:left w:w="115" w:type="dxa"/>
              <w:bottom w:w="72" w:type="dxa"/>
              <w:right w:w="115" w:type="dxa"/>
            </w:tcMar>
            <w:vAlign w:val="center"/>
          </w:tcPr>
          <w:p w14:paraId="0F4ACFCA" w14:textId="77777777" w:rsidR="00943E5C" w:rsidRPr="00AC6DEC" w:rsidRDefault="00943E5C" w:rsidP="00607B8C">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441228DD"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2.03</w:t>
            </w:r>
          </w:p>
          <w:p w14:paraId="07B66DC5"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 xml:space="preserve">Threshold; Tenancy Characteristics </w:t>
            </w:r>
          </w:p>
        </w:tc>
        <w:tc>
          <w:tcPr>
            <w:tcW w:w="9590" w:type="dxa"/>
            <w:tcMar>
              <w:top w:w="72" w:type="dxa"/>
              <w:left w:w="115" w:type="dxa"/>
              <w:bottom w:w="72" w:type="dxa"/>
              <w:right w:w="115" w:type="dxa"/>
            </w:tcMar>
            <w:vAlign w:val="center"/>
          </w:tcPr>
          <w:p w14:paraId="7C9DDCFA"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Q0223_01</w:t>
            </w:r>
          </w:p>
          <w:p w14:paraId="4F336EC9"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Our proposed project is an acquisition rehabilitation that was originally built in 1985 with HUD 202 funds. It is not a PHA property. The current tenancy allows ages 62+ as well as those ages 18+ with physical disabilities. Based on our interpretation, this would be a project categorized as "Other" tenancy. Please confirm this is correct. Also, QAP notes to contact DCA for instructions on this section no later than the pre-app deadline. Please provide guidance or instructions.</w:t>
            </w:r>
          </w:p>
          <w:p w14:paraId="032DFA8D" w14:textId="77777777" w:rsidR="00943E5C" w:rsidRPr="00AC6DEC" w:rsidRDefault="00943E5C" w:rsidP="00607B8C">
            <w:pPr>
              <w:contextualSpacing/>
              <w:rPr>
                <w:rFonts w:ascii="Times New Roman" w:hAnsi="Times New Roman" w:cs="Times New Roman"/>
              </w:rPr>
            </w:pPr>
          </w:p>
          <w:p w14:paraId="15F1AB6C" w14:textId="77777777" w:rsidR="00943E5C" w:rsidRPr="00AC6DEC" w:rsidRDefault="00943E5C" w:rsidP="00607B8C">
            <w:pPr>
              <w:keepNext/>
              <w:contextualSpacing/>
              <w:rPr>
                <w:rFonts w:ascii="Times New Roman" w:hAnsi="Times New Roman" w:cs="Times New Roman"/>
                <w:b/>
                <w:bCs/>
              </w:rPr>
            </w:pPr>
            <w:r w:rsidRPr="00AC6DEC">
              <w:rPr>
                <w:rFonts w:ascii="Times New Roman" w:hAnsi="Times New Roman" w:cs="Times New Roman"/>
                <w:b/>
                <w:bCs/>
              </w:rPr>
              <w:t>Answer:</w:t>
            </w:r>
          </w:p>
          <w:p w14:paraId="734A0A8D" w14:textId="77777777" w:rsidR="00943E5C" w:rsidRPr="00AC6DEC" w:rsidRDefault="00943E5C" w:rsidP="00607B8C">
            <w:pPr>
              <w:keepNext/>
              <w:contextualSpacing/>
              <w:rPr>
                <w:rFonts w:ascii="Times New Roman" w:hAnsi="Times New Roman" w:cs="Times New Roman"/>
              </w:rPr>
            </w:pPr>
            <w:r w:rsidRPr="00AC6DEC">
              <w:rPr>
                <w:rFonts w:ascii="Times New Roman" w:hAnsi="Times New Roman" w:cs="Times New Roman"/>
              </w:rPr>
              <w:t xml:space="preserve">First, please see question Q0223_02 pertaining to eligibility for consideration under the 2021 9% Competitive Round.  </w:t>
            </w:r>
          </w:p>
          <w:p w14:paraId="7A83BC87" w14:textId="77777777" w:rsidR="00943E5C" w:rsidRPr="00AC6DEC" w:rsidRDefault="00943E5C" w:rsidP="00607B8C">
            <w:pPr>
              <w:contextualSpacing/>
              <w:rPr>
                <w:rFonts w:ascii="Times New Roman" w:hAnsi="Times New Roman" w:cs="Times New Roman"/>
              </w:rPr>
            </w:pPr>
          </w:p>
          <w:p w14:paraId="2AE48A3E"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For purposes of the tenancy question, the above interpretation is correct. As part of the Pre-Application and Full Application, if the above-referenced property is eligible for the 9% Competitive Round, please select Tenancy “other.” </w:t>
            </w:r>
          </w:p>
          <w:p w14:paraId="1C984877" w14:textId="77777777" w:rsidR="00943E5C" w:rsidRPr="00AC6DEC" w:rsidRDefault="00943E5C" w:rsidP="00607B8C">
            <w:pPr>
              <w:contextualSpacing/>
              <w:rPr>
                <w:rFonts w:ascii="Times New Roman" w:hAnsi="Times New Roman" w:cs="Times New Roman"/>
              </w:rPr>
            </w:pPr>
          </w:p>
          <w:p w14:paraId="1920ABD7"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Please provide any supporting documentation tied to the property which lists the above tenancy restriction for DCA review.</w:t>
            </w:r>
          </w:p>
          <w:p w14:paraId="156D09D6" w14:textId="77777777" w:rsidR="00943E5C" w:rsidRPr="00AC6DEC" w:rsidRDefault="00943E5C" w:rsidP="00607B8C">
            <w:pPr>
              <w:contextualSpacing/>
              <w:rPr>
                <w:rFonts w:ascii="Times New Roman" w:hAnsi="Times New Roman" w:cs="Times New Roman"/>
                <w:b/>
                <w:bCs/>
              </w:rPr>
            </w:pPr>
          </w:p>
        </w:tc>
      </w:tr>
      <w:tr w:rsidR="00943E5C" w:rsidRPr="00AC6DEC" w14:paraId="0F24D291" w14:textId="77777777" w:rsidTr="2A62FF34">
        <w:trPr>
          <w:jc w:val="center"/>
        </w:trPr>
        <w:tc>
          <w:tcPr>
            <w:tcW w:w="2157" w:type="dxa"/>
            <w:tcMar>
              <w:top w:w="72" w:type="dxa"/>
              <w:left w:w="115" w:type="dxa"/>
              <w:bottom w:w="72" w:type="dxa"/>
              <w:right w:w="115" w:type="dxa"/>
            </w:tcMar>
            <w:vAlign w:val="center"/>
          </w:tcPr>
          <w:p w14:paraId="28ACB9F5" w14:textId="77777777" w:rsidR="00943E5C" w:rsidRPr="00AC6DEC" w:rsidRDefault="00943E5C" w:rsidP="00607B8C">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0566B67D"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2.12</w:t>
            </w:r>
          </w:p>
          <w:p w14:paraId="50737BA7"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Threshold; Public Water/Sanitary Sewer/Storm Sewer</w:t>
            </w:r>
          </w:p>
        </w:tc>
        <w:tc>
          <w:tcPr>
            <w:tcW w:w="9590" w:type="dxa"/>
            <w:tcMar>
              <w:top w:w="72" w:type="dxa"/>
              <w:left w:w="115" w:type="dxa"/>
              <w:bottom w:w="72" w:type="dxa"/>
              <w:right w:w="115" w:type="dxa"/>
            </w:tcMar>
            <w:vAlign w:val="center"/>
          </w:tcPr>
          <w:p w14:paraId="795B8FE1"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Q0211_01</w:t>
            </w:r>
          </w:p>
          <w:p w14:paraId="48AB9F40"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We are contemplating doing a </w:t>
            </w:r>
            <w:proofErr w:type="gramStart"/>
            <w:r w:rsidRPr="00AC6DEC">
              <w:rPr>
                <w:rFonts w:ascii="Times New Roman" w:hAnsi="Times New Roman" w:cs="Times New Roman"/>
              </w:rPr>
              <w:t>single family</w:t>
            </w:r>
            <w:proofErr w:type="gramEnd"/>
            <w:r w:rsidRPr="00AC6DEC">
              <w:rPr>
                <w:rFonts w:ascii="Times New Roman" w:hAnsi="Times New Roman" w:cs="Times New Roman"/>
              </w:rPr>
              <w:t xml:space="preserve"> home ownership application in rural Georgia.   In many rural areas and some metro areas, septic tanks are viable, </w:t>
            </w:r>
            <w:proofErr w:type="gramStart"/>
            <w:r w:rsidRPr="00AC6DEC">
              <w:rPr>
                <w:rFonts w:ascii="Times New Roman" w:hAnsi="Times New Roman" w:cs="Times New Roman"/>
              </w:rPr>
              <w:t>reliable</w:t>
            </w:r>
            <w:proofErr w:type="gramEnd"/>
            <w:r w:rsidRPr="00AC6DEC">
              <w:rPr>
                <w:rFonts w:ascii="Times New Roman" w:hAnsi="Times New Roman" w:cs="Times New Roman"/>
              </w:rPr>
              <w:t xml:space="preserve"> and serviceable options for sewer.  The tanks and install costs are cheaper than public sewer connections and there is no monthly sewer expense to the resident.  The maintenance is also fairly inexpensive with emptying every 3-5 years at an average cost of $250, which is less than $1200 for the initial </w:t>
            </w:r>
            <w:proofErr w:type="gramStart"/>
            <w:r w:rsidRPr="00AC6DEC">
              <w:rPr>
                <w:rFonts w:ascii="Times New Roman" w:hAnsi="Times New Roman" w:cs="Times New Roman"/>
              </w:rPr>
              <w:t>15 year</w:t>
            </w:r>
            <w:proofErr w:type="gramEnd"/>
            <w:r w:rsidRPr="00AC6DEC">
              <w:rPr>
                <w:rFonts w:ascii="Times New Roman" w:hAnsi="Times New Roman" w:cs="Times New Roman"/>
              </w:rPr>
              <w:t xml:space="preserve"> compliance period.   The QAP only speaks to public </w:t>
            </w:r>
            <w:r w:rsidRPr="00AC6DEC">
              <w:rPr>
                <w:rFonts w:ascii="Times New Roman" w:hAnsi="Times New Roman" w:cs="Times New Roman"/>
              </w:rPr>
              <w:lastRenderedPageBreak/>
              <w:t xml:space="preserve">sewer.  Will DCA consider a septic tank system for single family home ownership if public sewer is not available in </w:t>
            </w:r>
            <w:proofErr w:type="gramStart"/>
            <w:r w:rsidRPr="00AC6DEC">
              <w:rPr>
                <w:rFonts w:ascii="Times New Roman" w:hAnsi="Times New Roman" w:cs="Times New Roman"/>
              </w:rPr>
              <w:t>an</w:t>
            </w:r>
            <w:proofErr w:type="gramEnd"/>
            <w:r w:rsidRPr="00AC6DEC">
              <w:rPr>
                <w:rFonts w:ascii="Times New Roman" w:hAnsi="Times New Roman" w:cs="Times New Roman"/>
              </w:rPr>
              <w:t xml:space="preserve"> rural area?</w:t>
            </w:r>
          </w:p>
          <w:p w14:paraId="7B094578" w14:textId="77777777" w:rsidR="00943E5C" w:rsidRPr="00AC6DEC" w:rsidRDefault="00943E5C" w:rsidP="00607B8C">
            <w:pPr>
              <w:contextualSpacing/>
              <w:rPr>
                <w:rFonts w:ascii="Times New Roman" w:hAnsi="Times New Roman" w:cs="Times New Roman"/>
                <w:b/>
                <w:bCs/>
              </w:rPr>
            </w:pPr>
          </w:p>
          <w:p w14:paraId="2DBB0A06"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Answer</w:t>
            </w:r>
          </w:p>
          <w:p w14:paraId="7B7C64B6"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To satisfy </w:t>
            </w:r>
            <w:proofErr w:type="spellStart"/>
            <w:r w:rsidRPr="00AC6DEC">
              <w:rPr>
                <w:rFonts w:ascii="Times New Roman" w:hAnsi="Times New Roman" w:cs="Times New Roman"/>
                <w:i/>
                <w:iCs/>
              </w:rPr>
              <w:t>Theshold</w:t>
            </w:r>
            <w:proofErr w:type="spellEnd"/>
            <w:r w:rsidRPr="00AC6DEC">
              <w:rPr>
                <w:rFonts w:ascii="Times New Roman" w:hAnsi="Times New Roman" w:cs="Times New Roman"/>
              </w:rPr>
              <w:t xml:space="preserve">, </w:t>
            </w:r>
            <w:r w:rsidRPr="00AC6DEC">
              <w:rPr>
                <w:rFonts w:ascii="Times New Roman" w:hAnsi="Times New Roman" w:cs="Times New Roman"/>
                <w:i/>
                <w:iCs/>
              </w:rPr>
              <w:t>Public Water/Sanitary Sewer/Storm Sewer</w:t>
            </w:r>
            <w:r w:rsidRPr="00AC6DEC">
              <w:rPr>
                <w:rFonts w:ascii="Times New Roman" w:hAnsi="Times New Roman" w:cs="Times New Roman"/>
              </w:rPr>
              <w:t>, public water and sewer service must be available at the proposed development site at the time of Application Submission.</w:t>
            </w:r>
          </w:p>
          <w:p w14:paraId="6E30A6D4" w14:textId="77777777" w:rsidR="00943E5C" w:rsidRPr="00AC6DEC" w:rsidRDefault="00943E5C" w:rsidP="00607B8C">
            <w:pPr>
              <w:contextualSpacing/>
              <w:rPr>
                <w:rFonts w:ascii="Times New Roman" w:hAnsi="Times New Roman" w:cs="Times New Roman"/>
              </w:rPr>
            </w:pPr>
          </w:p>
          <w:p w14:paraId="5B7D1803"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Septic tanks are not allowable.</w:t>
            </w:r>
          </w:p>
          <w:p w14:paraId="690F14D0" w14:textId="77777777" w:rsidR="00943E5C" w:rsidRPr="00AC6DEC" w:rsidRDefault="00943E5C" w:rsidP="00607B8C">
            <w:pPr>
              <w:contextualSpacing/>
              <w:rPr>
                <w:rFonts w:ascii="Times New Roman" w:hAnsi="Times New Roman" w:cs="Times New Roman"/>
              </w:rPr>
            </w:pPr>
          </w:p>
          <w:p w14:paraId="029E54B8"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rPr>
              <w:t xml:space="preserve">Per 2021 QAP </w:t>
            </w:r>
            <w:r w:rsidRPr="00AC6DEC">
              <w:rPr>
                <w:rFonts w:ascii="Times New Roman" w:hAnsi="Times New Roman" w:cs="Times New Roman"/>
                <w:i/>
                <w:iCs/>
              </w:rPr>
              <w:t>Threshold, Public Water/Sanitary Sewer/Storm Sewer</w:t>
            </w:r>
            <w:r w:rsidRPr="00AC6DEC">
              <w:rPr>
                <w:rFonts w:ascii="Times New Roman" w:hAnsi="Times New Roman" w:cs="Times New Roman"/>
              </w:rPr>
              <w:t xml:space="preserve">, </w:t>
            </w:r>
            <w:r w:rsidRPr="00AC6DEC">
              <w:rPr>
                <w:rFonts w:ascii="Times New Roman" w:hAnsi="Times New Roman" w:cs="Times New Roman"/>
                <w:b/>
                <w:bCs/>
                <w:i/>
                <w:iCs/>
                <w:u w:val="single"/>
              </w:rPr>
              <w:t>public water and/or sewer availability cannot be contingent on the construction of a water/sewer system</w:t>
            </w:r>
            <w:r w:rsidRPr="00AC6DEC">
              <w:rPr>
                <w:rFonts w:ascii="Times New Roman" w:hAnsi="Times New Roman" w:cs="Times New Roman"/>
              </w:rPr>
              <w:t>, annexation of the property, or funding to the utility provider from an outside source.</w:t>
            </w:r>
          </w:p>
        </w:tc>
      </w:tr>
      <w:tr w:rsidR="00943E5C" w:rsidRPr="00AC6DEC" w14:paraId="3383D567" w14:textId="77777777" w:rsidTr="2A62FF34">
        <w:trPr>
          <w:jc w:val="center"/>
        </w:trPr>
        <w:tc>
          <w:tcPr>
            <w:tcW w:w="2157" w:type="dxa"/>
            <w:tcMar>
              <w:top w:w="72" w:type="dxa"/>
              <w:left w:w="115" w:type="dxa"/>
              <w:bottom w:w="72" w:type="dxa"/>
              <w:right w:w="115" w:type="dxa"/>
            </w:tcMar>
            <w:vAlign w:val="center"/>
          </w:tcPr>
          <w:p w14:paraId="12AEAF3E" w14:textId="77777777" w:rsidR="00943E5C" w:rsidRPr="00AC6DEC" w:rsidRDefault="00943E5C" w:rsidP="00607B8C">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5285883B" w14:textId="77777777" w:rsidR="00943E5C" w:rsidRPr="00AC6DEC" w:rsidRDefault="00943E5C" w:rsidP="00607B8C">
            <w:pPr>
              <w:keepNext/>
              <w:rPr>
                <w:rFonts w:ascii="Times New Roman" w:hAnsi="Times New Roman" w:cs="Times New Roman"/>
                <w:noProof/>
              </w:rPr>
            </w:pPr>
            <w:r w:rsidRPr="00AC6DEC">
              <w:rPr>
                <w:rFonts w:ascii="Times New Roman" w:hAnsi="Times New Roman" w:cs="Times New Roman"/>
                <w:noProof/>
              </w:rPr>
              <w:t>2.20</w:t>
            </w:r>
          </w:p>
          <w:p w14:paraId="67C82DCD" w14:textId="77777777" w:rsidR="00943E5C" w:rsidRPr="00AC6DEC" w:rsidRDefault="00943E5C" w:rsidP="00607B8C">
            <w:pPr>
              <w:keepNext/>
              <w:rPr>
                <w:rFonts w:ascii="Times New Roman" w:hAnsi="Times New Roman" w:cs="Times New Roman"/>
                <w:noProof/>
              </w:rPr>
            </w:pPr>
            <w:r w:rsidRPr="00AC6DEC">
              <w:rPr>
                <w:rFonts w:ascii="Times New Roman" w:hAnsi="Times New Roman" w:cs="Times New Roman"/>
                <w:noProof/>
              </w:rPr>
              <w:t>Threshold; Experience, Capacity and Performance Requirements for General Partner and Developer Entitites</w:t>
            </w:r>
          </w:p>
        </w:tc>
        <w:tc>
          <w:tcPr>
            <w:tcW w:w="9590" w:type="dxa"/>
            <w:tcMar>
              <w:top w:w="72" w:type="dxa"/>
              <w:left w:w="115" w:type="dxa"/>
              <w:bottom w:w="72" w:type="dxa"/>
              <w:right w:w="115" w:type="dxa"/>
            </w:tcMar>
            <w:vAlign w:val="center"/>
          </w:tcPr>
          <w:p w14:paraId="059200AC"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Q0224_02</w:t>
            </w:r>
          </w:p>
          <w:p w14:paraId="4D3068E0"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rPr>
              <w:t>I wanted to confirm that because we were "Qualified" in 2020 we don't need to submit the additional documents noted in the performance workbook pertaining to “Experience” requirements (8609's syndicator letters, etc.)</w:t>
            </w:r>
          </w:p>
          <w:p w14:paraId="55344186" w14:textId="77777777" w:rsidR="00943E5C" w:rsidRPr="00AC6DEC" w:rsidRDefault="00943E5C" w:rsidP="00607B8C">
            <w:pPr>
              <w:contextualSpacing/>
              <w:rPr>
                <w:rFonts w:ascii="Times New Roman" w:hAnsi="Times New Roman" w:cs="Times New Roman"/>
                <w:b/>
                <w:bCs/>
              </w:rPr>
            </w:pPr>
          </w:p>
          <w:p w14:paraId="50C29DF3"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Answer:</w:t>
            </w:r>
          </w:p>
          <w:p w14:paraId="55325F2C"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Correct. The relevant QAP provision is the following, from </w:t>
            </w:r>
            <w:r w:rsidRPr="00AC6DEC">
              <w:rPr>
                <w:rFonts w:ascii="Times New Roman" w:hAnsi="Times New Roman" w:cs="Times New Roman"/>
                <w:i/>
                <w:iCs/>
              </w:rPr>
              <w:t xml:space="preserve">Threshold, Experience, Capacity, and Performance Requirements for General Partner and Developer Entities, </w:t>
            </w:r>
            <w:r w:rsidRPr="00AC6DEC">
              <w:rPr>
                <w:rFonts w:ascii="Times New Roman" w:hAnsi="Times New Roman" w:cs="Times New Roman"/>
              </w:rPr>
              <w:t xml:space="preserve">subsection </w:t>
            </w:r>
            <w:r w:rsidRPr="00AC6DEC">
              <w:rPr>
                <w:rFonts w:ascii="Times New Roman" w:hAnsi="Times New Roman" w:cs="Times New Roman"/>
                <w:i/>
                <w:iCs/>
              </w:rPr>
              <w:t>Requirements for Experience (Certifying Entity)</w:t>
            </w:r>
            <w:r w:rsidRPr="00AC6DEC">
              <w:rPr>
                <w:rFonts w:ascii="Times New Roman" w:hAnsi="Times New Roman" w:cs="Times New Roman"/>
              </w:rPr>
              <w:t>:</w:t>
            </w:r>
          </w:p>
          <w:p w14:paraId="087A0A68" w14:textId="77777777" w:rsidR="00943E5C" w:rsidRPr="00AC6DEC" w:rsidRDefault="00943E5C" w:rsidP="00607B8C">
            <w:pPr>
              <w:contextualSpacing/>
              <w:rPr>
                <w:rFonts w:ascii="Times New Roman" w:hAnsi="Times New Roman" w:cs="Times New Roman"/>
              </w:rPr>
            </w:pPr>
          </w:p>
          <w:p w14:paraId="4CEDEF14"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‘Qualified’ in the 2020 round will be deemed to qualify under grandfathering.”</w:t>
            </w:r>
          </w:p>
          <w:p w14:paraId="5EF9AE0D" w14:textId="77777777" w:rsidR="00943E5C" w:rsidRPr="00AC6DEC" w:rsidRDefault="00943E5C" w:rsidP="00607B8C">
            <w:pPr>
              <w:contextualSpacing/>
              <w:rPr>
                <w:rFonts w:ascii="Times New Roman" w:hAnsi="Times New Roman" w:cs="Times New Roman"/>
              </w:rPr>
            </w:pPr>
          </w:p>
          <w:p w14:paraId="2B97161F"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Certifying entities that qualify under grandfathering are exempt from submitting the required documents related to Experience, such as the syndicator letters, IRS Forms 8609, and trailing twelve-month occupancy reports for each Successful Tax Credit Project.</w:t>
            </w:r>
          </w:p>
          <w:p w14:paraId="5E385E3B" w14:textId="77777777" w:rsidR="00943E5C" w:rsidRPr="00AC6DEC" w:rsidRDefault="00943E5C" w:rsidP="00607B8C">
            <w:pPr>
              <w:contextualSpacing/>
              <w:rPr>
                <w:rFonts w:ascii="Times New Roman" w:hAnsi="Times New Roman" w:cs="Times New Roman"/>
                <w:b/>
                <w:bCs/>
              </w:rPr>
            </w:pPr>
          </w:p>
        </w:tc>
      </w:tr>
      <w:tr w:rsidR="00943E5C" w:rsidRPr="00AC6DEC" w14:paraId="088816BF" w14:textId="77777777" w:rsidTr="2A62FF34">
        <w:trPr>
          <w:jc w:val="center"/>
        </w:trPr>
        <w:tc>
          <w:tcPr>
            <w:tcW w:w="2157" w:type="dxa"/>
            <w:tcMar>
              <w:top w:w="72" w:type="dxa"/>
              <w:left w:w="115" w:type="dxa"/>
              <w:bottom w:w="72" w:type="dxa"/>
              <w:right w:w="115" w:type="dxa"/>
            </w:tcMar>
            <w:vAlign w:val="center"/>
          </w:tcPr>
          <w:p w14:paraId="639E8D55"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54A0E991"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2.25</w:t>
            </w:r>
          </w:p>
          <w:p w14:paraId="3C2D4AE6"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Threshold; Occupied Developments</w:t>
            </w:r>
          </w:p>
        </w:tc>
        <w:tc>
          <w:tcPr>
            <w:tcW w:w="9590" w:type="dxa"/>
            <w:tcMar>
              <w:top w:w="72" w:type="dxa"/>
              <w:left w:w="115" w:type="dxa"/>
              <w:bottom w:w="72" w:type="dxa"/>
              <w:right w:w="115" w:type="dxa"/>
            </w:tcMar>
            <w:vAlign w:val="center"/>
          </w:tcPr>
          <w:p w14:paraId="309F309F"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Q0226_01</w:t>
            </w:r>
          </w:p>
          <w:p w14:paraId="66192025"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My question is about the following QAP provision from </w:t>
            </w:r>
            <w:r w:rsidRPr="00AC6DEC">
              <w:rPr>
                <w:rFonts w:ascii="Times New Roman" w:hAnsi="Times New Roman" w:cs="Times New Roman"/>
                <w:i/>
                <w:iCs/>
              </w:rPr>
              <w:t>Threshold, Occupied Developments, Relocation</w:t>
            </w:r>
            <w:r w:rsidRPr="00AC6DEC">
              <w:rPr>
                <w:rFonts w:ascii="Times New Roman" w:hAnsi="Times New Roman" w:cs="Times New Roman"/>
              </w:rPr>
              <w:t xml:space="preserve">: </w:t>
            </w:r>
          </w:p>
          <w:p w14:paraId="6CF32A38" w14:textId="77777777" w:rsidR="00943E5C" w:rsidRPr="00AC6DEC" w:rsidRDefault="00943E5C" w:rsidP="00607B8C">
            <w:pPr>
              <w:contextualSpacing/>
              <w:rPr>
                <w:rFonts w:ascii="Times New Roman" w:hAnsi="Times New Roman" w:cs="Times New Roman"/>
                <w:b/>
                <w:bCs/>
              </w:rPr>
            </w:pPr>
          </w:p>
          <w:p w14:paraId="47A78D12"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lastRenderedPageBreak/>
              <w:t>“For 9% Applications, DCA will not allow permanent displacement of tenants unless a waiver is obtained.”</w:t>
            </w:r>
          </w:p>
          <w:p w14:paraId="01DBC695" w14:textId="77777777" w:rsidR="00943E5C" w:rsidRPr="00AC6DEC" w:rsidRDefault="00943E5C" w:rsidP="00607B8C">
            <w:pPr>
              <w:contextualSpacing/>
              <w:rPr>
                <w:rFonts w:ascii="Times New Roman" w:hAnsi="Times New Roman" w:cs="Times New Roman"/>
              </w:rPr>
            </w:pPr>
          </w:p>
          <w:p w14:paraId="675DE9D7"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If the construction scope and timeframe require relocation over 12 months, is a waiver required?</w:t>
            </w:r>
          </w:p>
          <w:p w14:paraId="18E0C14A"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 </w:t>
            </w:r>
          </w:p>
          <w:p w14:paraId="0163F8BF"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Answer:</w:t>
            </w:r>
          </w:p>
          <w:p w14:paraId="734A6816"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No. Relocation over 12 months is considered temporary, and therefore a waiver is not required. Please refer to the Temporary Relocation section of the manual for specific requirements in this scenario.</w:t>
            </w:r>
          </w:p>
        </w:tc>
      </w:tr>
      <w:tr w:rsidR="00943E5C" w:rsidRPr="00AC6DEC" w14:paraId="4864686F" w14:textId="77777777" w:rsidTr="2A62FF34">
        <w:trPr>
          <w:jc w:val="center"/>
        </w:trPr>
        <w:tc>
          <w:tcPr>
            <w:tcW w:w="2157" w:type="dxa"/>
            <w:tcMar>
              <w:top w:w="72" w:type="dxa"/>
              <w:left w:w="115" w:type="dxa"/>
              <w:bottom w:w="72" w:type="dxa"/>
              <w:right w:w="115" w:type="dxa"/>
            </w:tcMar>
            <w:vAlign w:val="center"/>
          </w:tcPr>
          <w:p w14:paraId="67DD5B0D" w14:textId="77777777" w:rsidR="00943E5C" w:rsidRPr="00AC6DEC" w:rsidRDefault="00943E5C" w:rsidP="00607B8C">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31FAEE5F"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3.05</w:t>
            </w:r>
          </w:p>
          <w:p w14:paraId="02977487"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075E137F"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Q0111_02</w:t>
            </w:r>
          </w:p>
          <w:p w14:paraId="3F1EA84F"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Do “Family Dollar / Dollar General” qualify as “Retail/clothing/department store (full range of clothing/household items)”? </w:t>
            </w:r>
          </w:p>
          <w:p w14:paraId="162BBFE0" w14:textId="77777777" w:rsidR="00943E5C" w:rsidRPr="00AC6DEC" w:rsidRDefault="00943E5C" w:rsidP="00607B8C">
            <w:pPr>
              <w:contextualSpacing/>
              <w:rPr>
                <w:rFonts w:ascii="Times New Roman" w:hAnsi="Times New Roman" w:cs="Times New Roman"/>
              </w:rPr>
            </w:pPr>
          </w:p>
          <w:p w14:paraId="276CAF1F"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0F86FB53"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rPr>
              <w:t xml:space="preserve">“Family Dollar” and “Dollar General” both are considered retail stores under “Retail &amp; Restaurants” in category b. of subsection </w:t>
            </w:r>
            <w:r w:rsidRPr="00AC6DEC">
              <w:rPr>
                <w:rFonts w:ascii="Times New Roman" w:hAnsi="Times New Roman" w:cs="Times New Roman"/>
                <w:i/>
                <w:iCs/>
              </w:rPr>
              <w:t>A. Desirable Activities</w:t>
            </w:r>
            <w:r w:rsidRPr="00AC6DEC">
              <w:rPr>
                <w:rFonts w:ascii="Times New Roman" w:hAnsi="Times New Roman" w:cs="Times New Roman"/>
              </w:rPr>
              <w:t>.</w:t>
            </w:r>
          </w:p>
        </w:tc>
      </w:tr>
      <w:tr w:rsidR="00943E5C" w:rsidRPr="00AC6DEC" w14:paraId="4CC0D6F2" w14:textId="77777777" w:rsidTr="2A62FF34">
        <w:trPr>
          <w:jc w:val="center"/>
        </w:trPr>
        <w:tc>
          <w:tcPr>
            <w:tcW w:w="2157" w:type="dxa"/>
            <w:tcMar>
              <w:top w:w="72" w:type="dxa"/>
              <w:left w:w="115" w:type="dxa"/>
              <w:bottom w:w="72" w:type="dxa"/>
              <w:right w:w="115" w:type="dxa"/>
            </w:tcMar>
            <w:vAlign w:val="center"/>
          </w:tcPr>
          <w:p w14:paraId="4F073687" w14:textId="77777777" w:rsidR="00943E5C" w:rsidRPr="00AC6DEC" w:rsidRDefault="00943E5C" w:rsidP="00607B8C">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62C3A877"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3.14</w:t>
            </w:r>
          </w:p>
          <w:p w14:paraId="0722CBC1"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Previous Projects</w:t>
            </w:r>
          </w:p>
        </w:tc>
        <w:tc>
          <w:tcPr>
            <w:tcW w:w="9590" w:type="dxa"/>
            <w:tcMar>
              <w:top w:w="72" w:type="dxa"/>
              <w:left w:w="115" w:type="dxa"/>
              <w:bottom w:w="72" w:type="dxa"/>
              <w:right w:w="115" w:type="dxa"/>
            </w:tcMar>
            <w:vAlign w:val="center"/>
          </w:tcPr>
          <w:p w14:paraId="5CEF5B84"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b/>
                <w:bCs/>
              </w:rPr>
              <w:t>Question: Q0209_01</w:t>
            </w:r>
          </w:p>
          <w:p w14:paraId="6596BDD4"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We are pursuing a property where approximately 80% of the property is located outside of the city limits and 20% is located inside the city limits. The site entrance will be located outside of the city limits and the buildings will be located outside of the city limits. Zoning will be through the County not the City. For the purposes of Previous Projects, would DCA consider this proposed development to be located within the city limits or outside the city limits?</w:t>
            </w:r>
          </w:p>
          <w:p w14:paraId="62FD56EA" w14:textId="77777777" w:rsidR="00943E5C" w:rsidRPr="00AC6DEC" w:rsidRDefault="00943E5C" w:rsidP="00607B8C">
            <w:pPr>
              <w:contextualSpacing/>
              <w:rPr>
                <w:rFonts w:ascii="Times New Roman" w:hAnsi="Times New Roman" w:cs="Times New Roman"/>
              </w:rPr>
            </w:pPr>
          </w:p>
          <w:p w14:paraId="2BFC343D"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No approvals are expected to be necessary for the city. We have not gotten very far on water sewer letters or building </w:t>
            </w:r>
            <w:proofErr w:type="gramStart"/>
            <w:r w:rsidRPr="00AC6DEC">
              <w:rPr>
                <w:rFonts w:ascii="Times New Roman" w:hAnsi="Times New Roman" w:cs="Times New Roman"/>
              </w:rPr>
              <w:t>permits</w:t>
            </w:r>
            <w:proofErr w:type="gramEnd"/>
            <w:r w:rsidRPr="00AC6DEC">
              <w:rPr>
                <w:rFonts w:ascii="Times New Roman" w:hAnsi="Times New Roman" w:cs="Times New Roman"/>
              </w:rPr>
              <w:t xml:space="preserve"> but the County planning and zoning told us we didn’t have to go for a rezoning by the city if buildings were not within the city limits. We stated we would be using county water and sewer in our county rezoning request.</w:t>
            </w:r>
          </w:p>
          <w:p w14:paraId="056CCADA" w14:textId="77777777" w:rsidR="00943E5C" w:rsidRPr="00AC6DEC" w:rsidRDefault="00943E5C" w:rsidP="00607B8C">
            <w:pPr>
              <w:contextualSpacing/>
              <w:rPr>
                <w:rFonts w:ascii="Times New Roman" w:hAnsi="Times New Roman" w:cs="Times New Roman"/>
              </w:rPr>
            </w:pPr>
          </w:p>
          <w:p w14:paraId="39AEB3A2" w14:textId="77777777" w:rsidR="00943E5C" w:rsidRPr="00AC6DEC" w:rsidRDefault="00943E5C" w:rsidP="00607B8C">
            <w:pPr>
              <w:keepNext/>
              <w:contextualSpacing/>
              <w:rPr>
                <w:rFonts w:ascii="Times New Roman" w:hAnsi="Times New Roman" w:cs="Times New Roman"/>
                <w:b/>
                <w:bCs/>
              </w:rPr>
            </w:pPr>
            <w:r w:rsidRPr="00AC6DEC">
              <w:rPr>
                <w:rFonts w:ascii="Times New Roman" w:hAnsi="Times New Roman" w:cs="Times New Roman"/>
                <w:b/>
                <w:bCs/>
              </w:rPr>
              <w:t>Answer:</w:t>
            </w:r>
          </w:p>
          <w:p w14:paraId="7E2E2EA8" w14:textId="77777777" w:rsidR="00943E5C" w:rsidRPr="00AC6DEC" w:rsidRDefault="00943E5C" w:rsidP="00607B8C">
            <w:pPr>
              <w:keepNext/>
              <w:contextualSpacing/>
              <w:rPr>
                <w:rFonts w:ascii="Times New Roman" w:hAnsi="Times New Roman" w:cs="Times New Roman"/>
                <w:b/>
                <w:bCs/>
              </w:rPr>
            </w:pPr>
            <w:r w:rsidRPr="00AC6DEC">
              <w:rPr>
                <w:rFonts w:ascii="Times New Roman" w:hAnsi="Times New Roman" w:cs="Times New Roman"/>
              </w:rPr>
              <w:t xml:space="preserve">For the purposes of </w:t>
            </w:r>
            <w:r w:rsidRPr="00AC6DEC">
              <w:rPr>
                <w:rFonts w:ascii="Times New Roman" w:hAnsi="Times New Roman" w:cs="Times New Roman"/>
                <w:i/>
                <w:iCs/>
              </w:rPr>
              <w:t>Scoring, Previous Projects</w:t>
            </w:r>
            <w:r w:rsidRPr="00AC6DEC">
              <w:rPr>
                <w:rFonts w:ascii="Times New Roman" w:hAnsi="Times New Roman" w:cs="Times New Roman"/>
              </w:rPr>
              <w:t>, DCA considers this proposed development to be located outside the city limits due to the fact that all buildings will be located outside city limits and all approvals necessary for construction will be outside the jurisdiction of the city.</w:t>
            </w:r>
          </w:p>
        </w:tc>
      </w:tr>
      <w:tr w:rsidR="00943E5C" w:rsidRPr="00AC6DEC" w14:paraId="5B5AD0CD" w14:textId="77777777" w:rsidTr="2A62FF34">
        <w:trPr>
          <w:jc w:val="center"/>
        </w:trPr>
        <w:tc>
          <w:tcPr>
            <w:tcW w:w="2157" w:type="dxa"/>
            <w:tcMar>
              <w:top w:w="72" w:type="dxa"/>
              <w:left w:w="115" w:type="dxa"/>
              <w:bottom w:w="72" w:type="dxa"/>
              <w:right w:w="115" w:type="dxa"/>
            </w:tcMar>
            <w:vAlign w:val="center"/>
          </w:tcPr>
          <w:p w14:paraId="1D02DBC1" w14:textId="77777777" w:rsidR="00943E5C" w:rsidRPr="00AC6DEC" w:rsidRDefault="00943E5C" w:rsidP="00607B8C">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11B54CCA"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7.00</w:t>
            </w:r>
          </w:p>
          <w:p w14:paraId="734F9468"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Application Materials; Pre-</w:t>
            </w:r>
            <w:r w:rsidRPr="00AC6DEC">
              <w:rPr>
                <w:rFonts w:ascii="Times New Roman" w:hAnsi="Times New Roman" w:cs="Times New Roman"/>
                <w:noProof/>
              </w:rPr>
              <w:lastRenderedPageBreak/>
              <w:t>Application Instructions</w:t>
            </w:r>
          </w:p>
        </w:tc>
        <w:tc>
          <w:tcPr>
            <w:tcW w:w="9590" w:type="dxa"/>
            <w:tcMar>
              <w:top w:w="72" w:type="dxa"/>
              <w:left w:w="115" w:type="dxa"/>
              <w:bottom w:w="72" w:type="dxa"/>
              <w:right w:w="115" w:type="dxa"/>
            </w:tcMar>
            <w:vAlign w:val="center"/>
          </w:tcPr>
          <w:p w14:paraId="4EFD4E5E"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Q0222_01</w:t>
            </w:r>
          </w:p>
          <w:p w14:paraId="66B45E43"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lastRenderedPageBreak/>
              <w:t>The instructions of the 2021 Pre-Application state that all applicants must submit a rent summary chart. If the site is "TBD" we are unable to submit proposed rents, max gross rents, utility allowances, etc. Is it ok for the applicant to leave this chart blank if the site is TBD?</w:t>
            </w:r>
          </w:p>
          <w:p w14:paraId="309122AF" w14:textId="77777777" w:rsidR="00943E5C" w:rsidRPr="00AC6DEC" w:rsidRDefault="00943E5C" w:rsidP="00607B8C">
            <w:pPr>
              <w:contextualSpacing/>
              <w:rPr>
                <w:rFonts w:ascii="Times New Roman" w:hAnsi="Times New Roman" w:cs="Times New Roman"/>
                <w:b/>
                <w:bCs/>
              </w:rPr>
            </w:pPr>
          </w:p>
          <w:p w14:paraId="4AEC4E18"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Answer</w:t>
            </w:r>
          </w:p>
          <w:p w14:paraId="667CC33C"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The rent chart may be left blank if the site is TBD.</w:t>
            </w:r>
          </w:p>
        </w:tc>
      </w:tr>
      <w:tr w:rsidR="00943E5C" w:rsidRPr="00AC6DEC" w14:paraId="2D562E12" w14:textId="77777777" w:rsidTr="2A62FF34">
        <w:trPr>
          <w:jc w:val="center"/>
        </w:trPr>
        <w:tc>
          <w:tcPr>
            <w:tcW w:w="2157" w:type="dxa"/>
            <w:tcMar>
              <w:top w:w="72" w:type="dxa"/>
              <w:left w:w="115" w:type="dxa"/>
              <w:bottom w:w="72" w:type="dxa"/>
              <w:right w:w="115" w:type="dxa"/>
            </w:tcMar>
            <w:vAlign w:val="center"/>
          </w:tcPr>
          <w:p w14:paraId="460939EA"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6AFF9FFF"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1.13</w:t>
            </w:r>
          </w:p>
          <w:p w14:paraId="6BA9D93E"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Core; Financing Resources – HOME Loans</w:t>
            </w:r>
          </w:p>
        </w:tc>
        <w:tc>
          <w:tcPr>
            <w:tcW w:w="9590" w:type="dxa"/>
            <w:tcMar>
              <w:top w:w="72" w:type="dxa"/>
              <w:left w:w="115" w:type="dxa"/>
              <w:bottom w:w="72" w:type="dxa"/>
              <w:right w:w="115" w:type="dxa"/>
            </w:tcMar>
            <w:vAlign w:val="center"/>
          </w:tcPr>
          <w:p w14:paraId="6E001708"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Q0121_01</w:t>
            </w:r>
          </w:p>
          <w:p w14:paraId="14808352"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Can you direct me to the CHDO Certification Application that is due at the time of Pre-Applications?</w:t>
            </w:r>
          </w:p>
          <w:p w14:paraId="213AAC8B" w14:textId="77777777" w:rsidR="00943E5C" w:rsidRPr="00AC6DEC" w:rsidRDefault="00943E5C" w:rsidP="00607B8C">
            <w:pPr>
              <w:contextualSpacing/>
              <w:rPr>
                <w:rFonts w:ascii="Times New Roman" w:hAnsi="Times New Roman" w:cs="Times New Roman"/>
                <w:b/>
                <w:bCs/>
              </w:rPr>
            </w:pPr>
          </w:p>
          <w:p w14:paraId="62FA1C79"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Answer:</w:t>
            </w:r>
          </w:p>
          <w:p w14:paraId="30232ED7" w14:textId="77777777" w:rsidR="00943E5C" w:rsidRPr="00AC6DEC" w:rsidRDefault="00943E5C" w:rsidP="00607B8C">
            <w:pPr>
              <w:contextualSpacing/>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 xml:space="preserve">Per the 2021 QAP, “DCA will select developments for purposes of [the CHDO] set aside through a Notice of Funding Availability announced as funds become available.” CHDO HOME funds are not allocated through the summer 9% Competitive Round. The 9% Competitive Round Pre-Application deadline is not applicable to any CHDO documentation submission requirements. </w:t>
            </w:r>
          </w:p>
          <w:p w14:paraId="50C8C2A0" w14:textId="77777777" w:rsidR="00943E5C" w:rsidRPr="00AC6DEC" w:rsidRDefault="00943E5C" w:rsidP="00607B8C">
            <w:pPr>
              <w:contextualSpacing/>
              <w:rPr>
                <w:rFonts w:ascii="Times New Roman" w:eastAsia="Times New Roman" w:hAnsi="Times New Roman" w:cs="Times New Roman"/>
                <w:color w:val="000000" w:themeColor="text1"/>
              </w:rPr>
            </w:pPr>
          </w:p>
          <w:p w14:paraId="40DF49C5" w14:textId="77777777" w:rsidR="00943E5C" w:rsidRPr="00AC6DEC" w:rsidRDefault="00943E5C" w:rsidP="00607B8C">
            <w:pPr>
              <w:contextualSpacing/>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CHDO HOME funds are allocated towards rental housing development through Notices of Funding Availability (NOFAs) that pair HOME funds with 9% Tax Credits. An organization’s CHDO status is confirmed during the NOFA application review process. Organizations interested in assessing CHDO eligibility in advance of a NOFA release should review HUD guidance on CHDO status (</w:t>
            </w:r>
            <w:hyperlink r:id="rId37">
              <w:r w:rsidRPr="00AC6DEC">
                <w:rPr>
                  <w:rStyle w:val="Hyperlink"/>
                  <w:rFonts w:ascii="Times New Roman" w:eastAsia="Times New Roman" w:hAnsi="Times New Roman" w:cs="Times New Roman"/>
                </w:rPr>
                <w:t>click here</w:t>
              </w:r>
            </w:hyperlink>
            <w:r w:rsidRPr="00AC6DEC">
              <w:rPr>
                <w:rFonts w:ascii="Times New Roman" w:eastAsia="Times New Roman" w:hAnsi="Times New Roman" w:cs="Times New Roman"/>
                <w:color w:val="000000" w:themeColor="text1"/>
              </w:rPr>
              <w:t>) and the DCA form used to confirm CHDO status during the most recent CHDO NOFA (</w:t>
            </w:r>
            <w:hyperlink r:id="rId38">
              <w:r w:rsidRPr="00AC6DEC">
                <w:rPr>
                  <w:rStyle w:val="Hyperlink"/>
                  <w:rFonts w:ascii="Times New Roman" w:eastAsia="Times New Roman" w:hAnsi="Times New Roman" w:cs="Times New Roman"/>
                </w:rPr>
                <w:t>click here</w:t>
              </w:r>
            </w:hyperlink>
            <w:r w:rsidRPr="00AC6DEC">
              <w:rPr>
                <w:rFonts w:ascii="Times New Roman" w:eastAsia="Times New Roman" w:hAnsi="Times New Roman" w:cs="Times New Roman"/>
                <w:color w:val="000000" w:themeColor="text1"/>
              </w:rPr>
              <w:t xml:space="preserve">). Please note that the DCA CHDO form is for reference only and may differ from what is utilized in a future NOFA. </w:t>
            </w:r>
          </w:p>
          <w:p w14:paraId="511DD5A5" w14:textId="77777777" w:rsidR="00943E5C" w:rsidRPr="00AC6DEC" w:rsidRDefault="00943E5C" w:rsidP="00607B8C">
            <w:pPr>
              <w:contextualSpacing/>
              <w:rPr>
                <w:rFonts w:ascii="Times New Roman" w:hAnsi="Times New Roman" w:cs="Times New Roman"/>
              </w:rPr>
            </w:pPr>
          </w:p>
          <w:p w14:paraId="0099F4EF" w14:textId="77777777" w:rsidR="00943E5C" w:rsidRPr="00AC6DEC" w:rsidRDefault="001F63C6" w:rsidP="00607B8C">
            <w:pPr>
              <w:rPr>
                <w:rFonts w:ascii="Times New Roman" w:hAnsi="Times New Roman" w:cs="Times New Roman"/>
                <w:noProof/>
              </w:rPr>
            </w:pPr>
            <w:hyperlink r:id="rId39">
              <w:r w:rsidR="00943E5C" w:rsidRPr="00AC6DEC">
                <w:rPr>
                  <w:rStyle w:val="Hyperlink"/>
                  <w:rFonts w:ascii="Times New Roman" w:eastAsia="Times New Roman" w:hAnsi="Times New Roman" w:cs="Times New Roman"/>
                </w:rPr>
                <w:t>Click here</w:t>
              </w:r>
            </w:hyperlink>
            <w:r w:rsidR="00943E5C" w:rsidRPr="00AC6DEC">
              <w:rPr>
                <w:rFonts w:ascii="Times New Roman" w:eastAsia="Times New Roman" w:hAnsi="Times New Roman" w:cs="Times New Roman"/>
                <w:color w:val="000000" w:themeColor="text1"/>
              </w:rPr>
              <w:t xml:space="preserve"> to subscribe to the email list where CHDO NOFAs are publicized (click “Join our email list”).</w:t>
            </w:r>
          </w:p>
        </w:tc>
      </w:tr>
      <w:tr w:rsidR="00943E5C" w:rsidRPr="00AC6DEC" w14:paraId="5D1F4AAD" w14:textId="77777777" w:rsidTr="2A62FF34">
        <w:trPr>
          <w:jc w:val="center"/>
        </w:trPr>
        <w:tc>
          <w:tcPr>
            <w:tcW w:w="2157" w:type="dxa"/>
            <w:tcMar>
              <w:top w:w="72" w:type="dxa"/>
              <w:left w:w="115" w:type="dxa"/>
              <w:bottom w:w="72" w:type="dxa"/>
              <w:right w:w="115" w:type="dxa"/>
            </w:tcMar>
            <w:vAlign w:val="center"/>
          </w:tcPr>
          <w:p w14:paraId="5E3239B0"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47DBEF6A"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1.18</w:t>
            </w:r>
          </w:p>
          <w:p w14:paraId="5B7C88D4"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Core; Evaluation of 9% Tax Credit Competitive Applications</w:t>
            </w:r>
          </w:p>
        </w:tc>
        <w:tc>
          <w:tcPr>
            <w:tcW w:w="9590" w:type="dxa"/>
            <w:tcMar>
              <w:top w:w="72" w:type="dxa"/>
              <w:left w:w="115" w:type="dxa"/>
              <w:bottom w:w="72" w:type="dxa"/>
              <w:right w:w="115" w:type="dxa"/>
            </w:tcMar>
            <w:vAlign w:val="center"/>
          </w:tcPr>
          <w:p w14:paraId="539A0641"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b/>
                <w:bCs/>
                <w:noProof/>
              </w:rPr>
              <w:t>Question ID</w:t>
            </w:r>
            <w:r w:rsidRPr="00AC6DEC">
              <w:rPr>
                <w:rFonts w:ascii="Times New Roman" w:hAnsi="Times New Roman" w:cs="Times New Roman"/>
                <w:noProof/>
              </w:rPr>
              <w:t xml:space="preserve">: </w:t>
            </w:r>
            <w:r w:rsidRPr="00AC6DEC">
              <w:rPr>
                <w:rFonts w:ascii="Times New Roman" w:hAnsi="Times New Roman" w:cs="Times New Roman"/>
                <w:b/>
                <w:bCs/>
                <w:noProof/>
              </w:rPr>
              <w:t>Q1217_02</w:t>
            </w:r>
            <w:r w:rsidRPr="00AC6DEC">
              <w:rPr>
                <w:rFonts w:ascii="Times New Roman" w:hAnsi="Times New Roman" w:cs="Times New Roman"/>
                <w:noProof/>
              </w:rPr>
              <w:t xml:space="preserve"> </w:t>
            </w:r>
          </w:p>
          <w:p w14:paraId="56EED244"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 xml:space="preserve">Please clarify the tiebreaker (b), “Earlier year of the most recent 9% Credits award for the Local Government Boundary” from Core Plan, Section 18. Evaluation of 9% Tax Credit Competitive Applications, subsection D. Selection part 4. Tie-Breaker.  </w:t>
            </w:r>
          </w:p>
          <w:p w14:paraId="23054EB3" w14:textId="77777777" w:rsidR="00943E5C" w:rsidRPr="00AC6DEC" w:rsidRDefault="00943E5C" w:rsidP="00607B8C">
            <w:pPr>
              <w:rPr>
                <w:rFonts w:ascii="Times New Roman" w:hAnsi="Times New Roman" w:cs="Times New Roman"/>
                <w:noProof/>
              </w:rPr>
            </w:pPr>
          </w:p>
          <w:p w14:paraId="1DA8F442"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b/>
                <w:bCs/>
                <w:noProof/>
              </w:rPr>
              <w:t>Answer</w:t>
            </w:r>
            <w:r w:rsidRPr="00AC6DEC">
              <w:rPr>
                <w:rFonts w:ascii="Times New Roman" w:hAnsi="Times New Roman" w:cs="Times New Roman"/>
                <w:noProof/>
              </w:rPr>
              <w:t>:</w:t>
            </w:r>
          </w:p>
          <w:p w14:paraId="75AF4989"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 xml:space="preserve">This tiebreaker applies if tiebreaker (a) did not break the tie and the proposed sites of the tying applications are in different Local Government Boundaries (LGBs). To apply this tiebreaker, DCA will perform the following analysis: </w:t>
            </w:r>
          </w:p>
          <w:p w14:paraId="60A50A7F" w14:textId="77777777" w:rsidR="00943E5C" w:rsidRPr="00AC6DEC" w:rsidRDefault="00943E5C" w:rsidP="00607B8C">
            <w:pPr>
              <w:rPr>
                <w:rFonts w:ascii="Times New Roman" w:hAnsi="Times New Roman" w:cs="Times New Roman"/>
                <w:noProof/>
              </w:rPr>
            </w:pPr>
          </w:p>
          <w:p w14:paraId="3690A28C" w14:textId="77777777" w:rsidR="00943E5C" w:rsidRPr="00AC6DEC" w:rsidRDefault="00943E5C" w:rsidP="00607B8C">
            <w:pPr>
              <w:pStyle w:val="ListParagraph"/>
              <w:numPr>
                <w:ilvl w:val="0"/>
                <w:numId w:val="13"/>
              </w:numPr>
              <w:rPr>
                <w:rFonts w:ascii="Times New Roman" w:hAnsi="Times New Roman" w:cs="Times New Roman"/>
                <w:noProof/>
              </w:rPr>
            </w:pPr>
            <w:r w:rsidRPr="00AC6DEC">
              <w:rPr>
                <w:rFonts w:ascii="Times New Roman" w:hAnsi="Times New Roman" w:cs="Times New Roman"/>
                <w:noProof/>
              </w:rPr>
              <w:t xml:space="preserve">For each LGB associated with the tying applications, identify the most recent 9% Credit award </w:t>
            </w:r>
          </w:p>
          <w:p w14:paraId="65B8AABA" w14:textId="77777777" w:rsidR="00943E5C" w:rsidRPr="00AC6DEC" w:rsidRDefault="00943E5C" w:rsidP="00607B8C">
            <w:pPr>
              <w:pStyle w:val="ListParagraph"/>
              <w:numPr>
                <w:ilvl w:val="0"/>
                <w:numId w:val="13"/>
              </w:numPr>
              <w:rPr>
                <w:rFonts w:ascii="Times New Roman" w:hAnsi="Times New Roman" w:cs="Times New Roman"/>
                <w:noProof/>
              </w:rPr>
            </w:pPr>
            <w:r w:rsidRPr="00AC6DEC">
              <w:rPr>
                <w:rFonts w:ascii="Times New Roman" w:hAnsi="Times New Roman" w:cs="Times New Roman"/>
                <w:noProof/>
              </w:rPr>
              <w:lastRenderedPageBreak/>
              <w:t xml:space="preserve">Identify which of these most recent allocations is the oldest. The application in the LGB with the oldest of these allocations wins the tiebreaker. </w:t>
            </w:r>
          </w:p>
          <w:p w14:paraId="787A818D" w14:textId="77777777" w:rsidR="00943E5C" w:rsidRPr="00AC6DEC" w:rsidRDefault="00943E5C" w:rsidP="00607B8C">
            <w:pPr>
              <w:pStyle w:val="ListParagraph"/>
              <w:rPr>
                <w:rFonts w:ascii="Times New Roman" w:hAnsi="Times New Roman" w:cs="Times New Roman"/>
                <w:noProof/>
              </w:rPr>
            </w:pPr>
          </w:p>
          <w:p w14:paraId="0EC8F237"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This policy furthers DCA’s priorities for equitable geographic distribution of resources.</w:t>
            </w:r>
          </w:p>
          <w:p w14:paraId="4E00E259" w14:textId="77777777" w:rsidR="00943E5C" w:rsidRPr="00AC6DEC" w:rsidRDefault="00943E5C" w:rsidP="00607B8C">
            <w:pPr>
              <w:rPr>
                <w:rFonts w:ascii="Times New Roman" w:hAnsi="Times New Roman" w:cs="Times New Roman"/>
                <w:noProof/>
              </w:rPr>
            </w:pPr>
          </w:p>
          <w:p w14:paraId="12F85D48" w14:textId="77777777" w:rsidR="00943E5C" w:rsidRPr="00AC6DEC" w:rsidRDefault="00943E5C" w:rsidP="00607B8C">
            <w:pPr>
              <w:rPr>
                <w:rFonts w:ascii="Times New Roman" w:hAnsi="Times New Roman" w:cs="Times New Roman"/>
                <w:noProof/>
              </w:rPr>
            </w:pPr>
          </w:p>
        </w:tc>
      </w:tr>
      <w:tr w:rsidR="00943E5C" w:rsidRPr="00AC6DEC" w14:paraId="15E31C21" w14:textId="77777777" w:rsidTr="2A62FF34">
        <w:trPr>
          <w:jc w:val="center"/>
        </w:trPr>
        <w:tc>
          <w:tcPr>
            <w:tcW w:w="2157" w:type="dxa"/>
            <w:tcMar>
              <w:top w:w="72" w:type="dxa"/>
              <w:left w:w="115" w:type="dxa"/>
              <w:bottom w:w="72" w:type="dxa"/>
              <w:right w:w="115" w:type="dxa"/>
            </w:tcMar>
            <w:vAlign w:val="center"/>
          </w:tcPr>
          <w:p w14:paraId="1480BF8B"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2A40F22B"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3.00</w:t>
            </w:r>
          </w:p>
          <w:p w14:paraId="189717B7"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General</w:t>
            </w:r>
          </w:p>
        </w:tc>
        <w:tc>
          <w:tcPr>
            <w:tcW w:w="9590" w:type="dxa"/>
            <w:tcMar>
              <w:top w:w="72" w:type="dxa"/>
              <w:left w:w="115" w:type="dxa"/>
              <w:bottom w:w="72" w:type="dxa"/>
              <w:right w:w="115" w:type="dxa"/>
            </w:tcMar>
            <w:vAlign w:val="center"/>
          </w:tcPr>
          <w:p w14:paraId="777594E1" w14:textId="77777777" w:rsidR="00943E5C" w:rsidRPr="00AC6DEC" w:rsidRDefault="00943E5C" w:rsidP="00607B8C">
            <w:pPr>
              <w:keepNext/>
              <w:rPr>
                <w:rFonts w:ascii="Times New Roman" w:hAnsi="Times New Roman" w:cs="Times New Roman"/>
                <w:b/>
                <w:bCs/>
              </w:rPr>
            </w:pPr>
            <w:r w:rsidRPr="00AC6DEC">
              <w:rPr>
                <w:rFonts w:ascii="Times New Roman" w:hAnsi="Times New Roman" w:cs="Times New Roman"/>
                <w:b/>
                <w:bCs/>
              </w:rPr>
              <w:t>Question ID: Q0129_01</w:t>
            </w:r>
          </w:p>
          <w:p w14:paraId="74DD6DED" w14:textId="77777777" w:rsidR="00943E5C" w:rsidRPr="00AC6DEC" w:rsidRDefault="00943E5C" w:rsidP="00607B8C">
            <w:pPr>
              <w:keepNext/>
              <w:rPr>
                <w:rFonts w:ascii="Times New Roman" w:hAnsi="Times New Roman" w:cs="Times New Roman"/>
              </w:rPr>
            </w:pPr>
            <w:r w:rsidRPr="00AC6DEC">
              <w:rPr>
                <w:rFonts w:ascii="Times New Roman" w:hAnsi="Times New Roman" w:cs="Times New Roman"/>
              </w:rPr>
              <w:t xml:space="preserve">In some sections of the QAP, such as those dealing with proximity to desirable/undesirable neighborhood characteristics or public transportation, distances are to be measured from the geocoordinates of the proposed main pedestrian or vehicular entrance to the property.  In other sections, such as those dealing with proximity to </w:t>
            </w:r>
            <w:proofErr w:type="gramStart"/>
            <w:r w:rsidRPr="00AC6DEC">
              <w:rPr>
                <w:rFonts w:ascii="Times New Roman" w:hAnsi="Times New Roman" w:cs="Times New Roman"/>
              </w:rPr>
              <w:t>previously-funded</w:t>
            </w:r>
            <w:proofErr w:type="gramEnd"/>
            <w:r w:rsidRPr="00AC6DEC">
              <w:rPr>
                <w:rFonts w:ascii="Times New Roman" w:hAnsi="Times New Roman" w:cs="Times New Roman"/>
              </w:rPr>
              <w:t xml:space="preserve"> developments, the QAP is silent on the location of the "starting point" for measuring these distances. Should an applicant assume that the geocoordinates of the proposed main pedestrian or vehicular entrance to the property is the "starting point" in all cases?</w:t>
            </w:r>
          </w:p>
          <w:p w14:paraId="6DCF1667" w14:textId="77777777" w:rsidR="00943E5C" w:rsidRPr="00AC6DEC" w:rsidRDefault="00943E5C" w:rsidP="00607B8C">
            <w:pPr>
              <w:rPr>
                <w:rFonts w:ascii="Times New Roman" w:hAnsi="Times New Roman" w:cs="Times New Roman"/>
                <w:b/>
                <w:bCs/>
              </w:rPr>
            </w:pPr>
          </w:p>
          <w:p w14:paraId="3C9B709E" w14:textId="77777777" w:rsidR="00943E5C" w:rsidRPr="00AC6DEC" w:rsidRDefault="00943E5C" w:rsidP="00607B8C">
            <w:pPr>
              <w:rPr>
                <w:rFonts w:ascii="Times New Roman" w:hAnsi="Times New Roman" w:cs="Times New Roman"/>
                <w:b/>
                <w:bCs/>
              </w:rPr>
            </w:pPr>
            <w:r w:rsidRPr="00AC6DEC">
              <w:rPr>
                <w:rFonts w:ascii="Times New Roman" w:hAnsi="Times New Roman" w:cs="Times New Roman"/>
                <w:b/>
                <w:bCs/>
              </w:rPr>
              <w:t>Answer:</w:t>
            </w:r>
          </w:p>
          <w:p w14:paraId="323C3956"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Where small differences in distance have a practical impact under the section goals, the QAP will specify a starting point (e.g., walking accessibility of an amenity). </w:t>
            </w:r>
          </w:p>
          <w:p w14:paraId="4B706D36" w14:textId="77777777" w:rsidR="00943E5C" w:rsidRPr="00AC6DEC" w:rsidRDefault="00943E5C" w:rsidP="00607B8C">
            <w:pPr>
              <w:rPr>
                <w:rFonts w:ascii="Times New Roman" w:hAnsi="Times New Roman" w:cs="Times New Roman"/>
              </w:rPr>
            </w:pPr>
          </w:p>
          <w:p w14:paraId="331A89B5"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Some section goals are not sensitive to small distance differences (e.g., equitable allocation of DCA resources across the state). In such cases, DCA staff confirm point eligibility based on any of the following location information provided in the application:</w:t>
            </w:r>
          </w:p>
          <w:p w14:paraId="1C21BD79" w14:textId="77777777" w:rsidR="00943E5C" w:rsidRPr="00AC6DEC" w:rsidRDefault="00943E5C" w:rsidP="00607B8C">
            <w:pPr>
              <w:rPr>
                <w:rFonts w:ascii="Times New Roman" w:hAnsi="Times New Roman" w:cs="Times New Roman"/>
              </w:rPr>
            </w:pPr>
          </w:p>
          <w:p w14:paraId="556E80D4" w14:textId="77777777" w:rsidR="00943E5C" w:rsidRPr="00AC6DEC" w:rsidRDefault="00943E5C" w:rsidP="00607B8C">
            <w:pPr>
              <w:pStyle w:val="ListParagraph"/>
              <w:numPr>
                <w:ilvl w:val="0"/>
                <w:numId w:val="15"/>
              </w:numPr>
              <w:rPr>
                <w:rFonts w:ascii="Times New Roman" w:hAnsi="Times New Roman" w:cs="Times New Roman"/>
              </w:rPr>
            </w:pPr>
            <w:r w:rsidRPr="00AC6DEC">
              <w:rPr>
                <w:rFonts w:ascii="Times New Roman" w:hAnsi="Times New Roman" w:cs="Times New Roman"/>
              </w:rPr>
              <w:t xml:space="preserve">Location information from the application’s general information section (geocoordinates or site address) </w:t>
            </w:r>
          </w:p>
          <w:p w14:paraId="0B5135DC" w14:textId="77777777" w:rsidR="00943E5C" w:rsidRPr="00AC6DEC" w:rsidRDefault="00943E5C" w:rsidP="00607B8C">
            <w:pPr>
              <w:pStyle w:val="ListParagraph"/>
              <w:numPr>
                <w:ilvl w:val="0"/>
                <w:numId w:val="15"/>
              </w:numPr>
              <w:rPr>
                <w:rFonts w:ascii="Times New Roman" w:hAnsi="Times New Roman" w:cs="Times New Roman"/>
              </w:rPr>
            </w:pPr>
            <w:r w:rsidRPr="00AC6DEC">
              <w:rPr>
                <w:rFonts w:ascii="Times New Roman" w:hAnsi="Times New Roman" w:cs="Times New Roman"/>
              </w:rPr>
              <w:t xml:space="preserve">Geocoordinates of the pedestrian site entrance </w:t>
            </w:r>
          </w:p>
          <w:p w14:paraId="458C0187" w14:textId="77777777" w:rsidR="00943E5C" w:rsidRPr="00AC6DEC" w:rsidRDefault="00943E5C" w:rsidP="00607B8C">
            <w:pPr>
              <w:rPr>
                <w:rFonts w:ascii="Times New Roman" w:hAnsi="Times New Roman" w:cs="Times New Roman"/>
              </w:rPr>
            </w:pPr>
          </w:p>
          <w:p w14:paraId="27237242"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rPr>
              <w:t>If an applicant notices a point differential based off measuring from a pedestrian/vehicle site entrance, geo-coordinates, or address, they should note the difference in the supporting documentation and applicant comment box of the application. In such instances where the QAP is silent on starting point and multiple starting points are relevant, the starting point location may be construed in favor of the applicant.</w:t>
            </w:r>
          </w:p>
        </w:tc>
      </w:tr>
      <w:tr w:rsidR="00943E5C" w:rsidRPr="00AC6DEC" w14:paraId="6DBDAD73" w14:textId="77777777" w:rsidTr="2A62FF34">
        <w:trPr>
          <w:jc w:val="center"/>
        </w:trPr>
        <w:tc>
          <w:tcPr>
            <w:tcW w:w="2157" w:type="dxa"/>
            <w:tcMar>
              <w:top w:w="72" w:type="dxa"/>
              <w:left w:w="115" w:type="dxa"/>
              <w:bottom w:w="72" w:type="dxa"/>
              <w:right w:w="115" w:type="dxa"/>
            </w:tcMar>
            <w:vAlign w:val="center"/>
          </w:tcPr>
          <w:p w14:paraId="44BAE2C6"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509A9607"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3.02</w:t>
            </w:r>
          </w:p>
          <w:p w14:paraId="557A6B0D"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Applicability of Scoring Criteria</w:t>
            </w:r>
          </w:p>
        </w:tc>
        <w:tc>
          <w:tcPr>
            <w:tcW w:w="9590" w:type="dxa"/>
            <w:tcMar>
              <w:top w:w="72" w:type="dxa"/>
              <w:left w:w="115" w:type="dxa"/>
              <w:bottom w:w="72" w:type="dxa"/>
              <w:right w:w="115" w:type="dxa"/>
            </w:tcMar>
            <w:vAlign w:val="center"/>
          </w:tcPr>
          <w:p w14:paraId="5469A9C3"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Q0111_01</w:t>
            </w:r>
          </w:p>
          <w:p w14:paraId="74A28816"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On the chart on page 102 of the QAP it says max points for 9% New desirables is 20 and for 4% New is 12. In the explanation it only mentions the 20 points and no differentiation between 9% and 4%. To be sure I understand, new construction 4% can still score points in all the same Desirables categories, but the </w:t>
            </w:r>
            <w:r w:rsidRPr="00AC6DEC">
              <w:rPr>
                <w:rFonts w:ascii="Times New Roman" w:hAnsi="Times New Roman" w:cs="Times New Roman"/>
              </w:rPr>
              <w:lastRenderedPageBreak/>
              <w:t>maximum points a new 4% application can get in that area is 12 as opposed to 20 points max for a new construction 9%?</w:t>
            </w:r>
          </w:p>
          <w:p w14:paraId="1A4BA390" w14:textId="77777777" w:rsidR="00943E5C" w:rsidRPr="00AC6DEC" w:rsidRDefault="00943E5C" w:rsidP="00607B8C">
            <w:pPr>
              <w:contextualSpacing/>
              <w:rPr>
                <w:rFonts w:ascii="Times New Roman" w:hAnsi="Times New Roman" w:cs="Times New Roman"/>
              </w:rPr>
            </w:pPr>
          </w:p>
          <w:p w14:paraId="62CE909F"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r w:rsidRPr="00AC6DEC">
              <w:rPr>
                <w:rFonts w:ascii="Times New Roman" w:hAnsi="Times New Roman" w:cs="Times New Roman"/>
              </w:rPr>
              <w:t xml:space="preserve">The above interpretation is correct. Per the description above the table, “Numbers in the below table indicate the maximum points that can contribute to the Application’s score from that section given the construction type and tax credit sought.” </w:t>
            </w:r>
          </w:p>
          <w:p w14:paraId="298EFE47" w14:textId="77777777" w:rsidR="00943E5C" w:rsidRPr="00AC6DEC" w:rsidRDefault="00943E5C" w:rsidP="00607B8C">
            <w:pPr>
              <w:rPr>
                <w:rFonts w:ascii="Times New Roman" w:hAnsi="Times New Roman" w:cs="Times New Roman"/>
                <w:noProof/>
              </w:rPr>
            </w:pPr>
          </w:p>
        </w:tc>
      </w:tr>
      <w:tr w:rsidR="00943E5C" w:rsidRPr="00AC6DEC" w14:paraId="53B91001" w14:textId="77777777" w:rsidTr="2A62FF34">
        <w:trPr>
          <w:jc w:val="center"/>
        </w:trPr>
        <w:tc>
          <w:tcPr>
            <w:tcW w:w="2157" w:type="dxa"/>
            <w:tcMar>
              <w:top w:w="72" w:type="dxa"/>
              <w:left w:w="115" w:type="dxa"/>
              <w:bottom w:w="72" w:type="dxa"/>
              <w:right w:w="115" w:type="dxa"/>
            </w:tcMar>
            <w:vAlign w:val="center"/>
          </w:tcPr>
          <w:p w14:paraId="20B415CE"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37B55195"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3.05</w:t>
            </w:r>
          </w:p>
          <w:p w14:paraId="4207A17D"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 xml:space="preserve">Scoring; Desirable/ Undesirable Activities </w:t>
            </w:r>
          </w:p>
        </w:tc>
        <w:tc>
          <w:tcPr>
            <w:tcW w:w="9590" w:type="dxa"/>
            <w:tcMar>
              <w:top w:w="72" w:type="dxa"/>
              <w:left w:w="115" w:type="dxa"/>
              <w:bottom w:w="72" w:type="dxa"/>
              <w:right w:w="115" w:type="dxa"/>
            </w:tcMar>
            <w:vAlign w:val="center"/>
          </w:tcPr>
          <w:p w14:paraId="39CB0284"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Q0202_02</w:t>
            </w:r>
          </w:p>
          <w:p w14:paraId="3C2C4E15"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I could not find a definition for (Elementary, Middle or High schools) pertaining to Section (J) section 2 of Desirable Activities. Does a Private school qualify? </w:t>
            </w:r>
          </w:p>
          <w:p w14:paraId="0ABC4417" w14:textId="77777777" w:rsidR="00943E5C" w:rsidRPr="00AC6DEC" w:rsidRDefault="00943E5C" w:rsidP="00607B8C">
            <w:pPr>
              <w:contextualSpacing/>
              <w:rPr>
                <w:rFonts w:ascii="Times New Roman" w:hAnsi="Times New Roman" w:cs="Times New Roman"/>
                <w:b/>
              </w:rPr>
            </w:pPr>
          </w:p>
          <w:p w14:paraId="738CCC44"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Answer</w:t>
            </w:r>
          </w:p>
          <w:p w14:paraId="7B854975"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For purposes of the 2021 Competitive Round, a private school qualifies under this subsection. </w:t>
            </w:r>
          </w:p>
          <w:p w14:paraId="435FF7FA" w14:textId="77777777" w:rsidR="00943E5C" w:rsidRPr="00AC6DEC" w:rsidRDefault="00943E5C" w:rsidP="00607B8C">
            <w:pPr>
              <w:rPr>
                <w:rFonts w:ascii="Times New Roman" w:hAnsi="Times New Roman" w:cs="Times New Roman"/>
                <w:noProof/>
              </w:rPr>
            </w:pPr>
          </w:p>
        </w:tc>
      </w:tr>
      <w:tr w:rsidR="00943E5C" w:rsidRPr="00AC6DEC" w14:paraId="41A4556F" w14:textId="77777777" w:rsidTr="2A62FF34">
        <w:trPr>
          <w:jc w:val="center"/>
        </w:trPr>
        <w:tc>
          <w:tcPr>
            <w:tcW w:w="2157" w:type="dxa"/>
            <w:tcMar>
              <w:top w:w="72" w:type="dxa"/>
              <w:left w:w="115" w:type="dxa"/>
              <w:bottom w:w="72" w:type="dxa"/>
              <w:right w:w="115" w:type="dxa"/>
            </w:tcMar>
            <w:vAlign w:val="center"/>
          </w:tcPr>
          <w:p w14:paraId="7DA7DC90"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2BC5773A"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3.06</w:t>
            </w:r>
          </w:p>
          <w:p w14:paraId="517BA9BC"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Community Transportation Options</w:t>
            </w:r>
          </w:p>
        </w:tc>
        <w:tc>
          <w:tcPr>
            <w:tcW w:w="9590" w:type="dxa"/>
            <w:tcMar>
              <w:top w:w="72" w:type="dxa"/>
              <w:left w:w="115" w:type="dxa"/>
              <w:bottom w:w="72" w:type="dxa"/>
              <w:right w:w="115" w:type="dxa"/>
            </w:tcMar>
            <w:vAlign w:val="center"/>
          </w:tcPr>
          <w:p w14:paraId="102B7DF2"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Q1221_01</w:t>
            </w:r>
          </w:p>
          <w:p w14:paraId="6F8B6EEC"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Will you please clarify what qualifies as a transit hub? Does it have to have three bus lines plus rail? Or does it have to have three of any (bus routes, rail options, or other mass transportation)?</w:t>
            </w:r>
          </w:p>
          <w:p w14:paraId="532B54E9" w14:textId="77777777" w:rsidR="00943E5C" w:rsidRPr="00AC6DEC" w:rsidRDefault="00943E5C" w:rsidP="00607B8C">
            <w:pPr>
              <w:contextualSpacing/>
              <w:rPr>
                <w:rFonts w:ascii="Times New Roman" w:hAnsi="Times New Roman" w:cs="Times New Roman"/>
              </w:rPr>
            </w:pPr>
          </w:p>
          <w:p w14:paraId="40654E2E"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b/>
                <w:bCs/>
              </w:rPr>
              <w:t>Answer:</w:t>
            </w:r>
            <w:r w:rsidRPr="00AC6DEC">
              <w:rPr>
                <w:rFonts w:ascii="Times New Roman" w:hAnsi="Times New Roman" w:cs="Times New Roman"/>
              </w:rPr>
              <w:t xml:space="preserve"> The QAP states: “For purposes of this subsection, a transit hub is a station that has three or more bus routes, rail options, and/or other affordable mass transit options.” </w:t>
            </w:r>
          </w:p>
          <w:p w14:paraId="097504E5" w14:textId="77777777" w:rsidR="00943E5C" w:rsidRPr="00AC6DEC" w:rsidRDefault="00943E5C" w:rsidP="00607B8C">
            <w:pPr>
              <w:contextualSpacing/>
              <w:rPr>
                <w:rFonts w:ascii="Times New Roman" w:hAnsi="Times New Roman" w:cs="Times New Roman"/>
              </w:rPr>
            </w:pPr>
          </w:p>
          <w:p w14:paraId="694971EC"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rPr>
              <w:t>“Three or more” applies to the list items and not bus lines specifically. A transit hub may qualify based on any combination of bus, rail, or other affordable mass transit options. Please review this scoring section for additional requirements related to transit hub qualification.</w:t>
            </w:r>
          </w:p>
        </w:tc>
      </w:tr>
      <w:tr w:rsidR="00943E5C" w:rsidRPr="00AC6DEC" w14:paraId="4B457E2F" w14:textId="77777777" w:rsidTr="2A62FF34">
        <w:trPr>
          <w:jc w:val="center"/>
        </w:trPr>
        <w:tc>
          <w:tcPr>
            <w:tcW w:w="2157" w:type="dxa"/>
            <w:tcMar>
              <w:top w:w="72" w:type="dxa"/>
              <w:left w:w="115" w:type="dxa"/>
              <w:bottom w:w="72" w:type="dxa"/>
              <w:right w:w="115" w:type="dxa"/>
            </w:tcMar>
            <w:vAlign w:val="center"/>
          </w:tcPr>
          <w:p w14:paraId="586E4FFA"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1AFEFCB2"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3.07</w:t>
            </w:r>
          </w:p>
          <w:p w14:paraId="4330E818"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4644B9BC" w14:textId="77777777" w:rsidR="00943E5C" w:rsidRPr="00AC6DEC" w:rsidRDefault="00943E5C" w:rsidP="00607B8C">
            <w:pPr>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Q1207_01</w:t>
            </w:r>
          </w:p>
          <w:p w14:paraId="5596330B"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Points in </w:t>
            </w:r>
            <w:r w:rsidRPr="00AC6DEC">
              <w:rPr>
                <w:rFonts w:ascii="Times New Roman" w:hAnsi="Times New Roman" w:cs="Times New Roman"/>
                <w:i/>
                <w:iCs/>
              </w:rPr>
              <w:t>Quality Education Areas</w:t>
            </w:r>
            <w:r w:rsidRPr="00AC6DEC">
              <w:rPr>
                <w:rFonts w:ascii="Times New Roman" w:hAnsi="Times New Roman" w:cs="Times New Roman"/>
              </w:rPr>
              <w:t xml:space="preserve"> are based on data from the Department of Education (DOE) gathered through standardized testing. Due to the pandemic, standardized testing did not occur, and the DOE will not release College and Career Ready Performance Index (CCRPI) scores or Beating the Odds (BTO) designations for 2020. How is DCA responding to this for purposes of 9% scoring? </w:t>
            </w:r>
            <w:r w:rsidRPr="00AC6DEC">
              <w:rPr>
                <w:rFonts w:ascii="Times New Roman" w:hAnsi="Times New Roman" w:cs="Times New Roman"/>
              </w:rPr>
              <w:br/>
            </w:r>
          </w:p>
          <w:p w14:paraId="7E310D5A" w14:textId="77777777" w:rsidR="00943E5C" w:rsidRPr="00AC6DEC" w:rsidRDefault="00943E5C" w:rsidP="00607B8C">
            <w:pPr>
              <w:rPr>
                <w:rFonts w:ascii="Times New Roman" w:hAnsi="Times New Roman" w:cs="Times New Roman"/>
              </w:rPr>
            </w:pPr>
            <w:r w:rsidRPr="00AC6DEC">
              <w:rPr>
                <w:rFonts w:ascii="Times New Roman" w:hAnsi="Times New Roman" w:cs="Times New Roman"/>
                <w:b/>
                <w:bCs/>
              </w:rPr>
              <w:t>Answer:</w:t>
            </w:r>
            <w:r w:rsidRPr="00AC6DEC">
              <w:rPr>
                <w:rFonts w:ascii="Times New Roman" w:hAnsi="Times New Roman" w:cs="Times New Roman"/>
              </w:rPr>
              <w:t xml:space="preserve">    </w:t>
            </w:r>
          </w:p>
          <w:p w14:paraId="3ADA262A" w14:textId="77777777" w:rsidR="00943E5C" w:rsidRPr="00AC6DEC" w:rsidRDefault="00943E5C" w:rsidP="00607B8C">
            <w:pPr>
              <w:shd w:val="clear" w:color="auto" w:fill="FFFFFF"/>
              <w:rPr>
                <w:rFonts w:ascii="Times New Roman" w:eastAsia="Times New Roman" w:hAnsi="Times New Roman" w:cs="Times New Roman"/>
                <w:color w:val="2E2F2F"/>
              </w:rPr>
            </w:pPr>
            <w:r w:rsidRPr="00AC6DEC">
              <w:rPr>
                <w:rFonts w:ascii="Times New Roman" w:eastAsia="Times New Roman" w:hAnsi="Times New Roman" w:cs="Times New Roman"/>
                <w:color w:val="000000"/>
              </w:rPr>
              <w:t>Applicants seeking points under this section can pursue either of the following:</w:t>
            </w:r>
            <w:r w:rsidRPr="00AC6DEC">
              <w:rPr>
                <w:rFonts w:ascii="Times New Roman" w:eastAsia="Times New Roman" w:hAnsi="Times New Roman" w:cs="Times New Roman"/>
                <w:color w:val="000000"/>
              </w:rPr>
              <w:br/>
            </w:r>
          </w:p>
          <w:p w14:paraId="5DF6E575" w14:textId="77777777" w:rsidR="00943E5C" w:rsidRPr="00AC6DEC" w:rsidRDefault="00943E5C" w:rsidP="00607B8C">
            <w:pPr>
              <w:numPr>
                <w:ilvl w:val="0"/>
                <w:numId w:val="16"/>
              </w:numPr>
              <w:shd w:val="clear" w:color="auto" w:fill="FFFFFF"/>
              <w:tabs>
                <w:tab w:val="clear" w:pos="720"/>
                <w:tab w:val="num" w:pos="-240"/>
              </w:tabs>
              <w:ind w:left="360"/>
              <w:rPr>
                <w:rFonts w:ascii="Times New Roman" w:eastAsia="Times New Roman" w:hAnsi="Times New Roman" w:cs="Times New Roman"/>
                <w:color w:val="000000"/>
              </w:rPr>
            </w:pPr>
            <w:r w:rsidRPr="00AC6DEC">
              <w:rPr>
                <w:rFonts w:ascii="Times New Roman" w:eastAsia="Times New Roman" w:hAnsi="Times New Roman" w:cs="Times New Roman"/>
                <w:color w:val="000000"/>
              </w:rPr>
              <w:lastRenderedPageBreak/>
              <w:t>Qualifying schools with CCRPI – Applicants now have two, rather than three, years to use for qualifying schools. </w:t>
            </w:r>
            <w:hyperlink r:id="rId40" w:tgtFrame="_blank" w:history="1">
              <w:r w:rsidRPr="00AC6DEC">
                <w:rPr>
                  <w:rFonts w:ascii="Times New Roman" w:eastAsia="Times New Roman" w:hAnsi="Times New Roman" w:cs="Times New Roman"/>
                  <w:color w:val="FF6600"/>
                  <w:u w:val="single"/>
                </w:rPr>
                <w:t>Click here</w:t>
              </w:r>
            </w:hyperlink>
            <w:r w:rsidRPr="00AC6DEC">
              <w:rPr>
                <w:rFonts w:ascii="Times New Roman" w:eastAsia="Times New Roman" w:hAnsi="Times New Roman" w:cs="Times New Roman"/>
                <w:color w:val="000000"/>
              </w:rPr>
              <w:t> to view the CCRPI Scores Table on the DCA website.</w:t>
            </w:r>
            <w:r w:rsidRPr="00AC6DEC">
              <w:rPr>
                <w:rFonts w:ascii="Times New Roman" w:eastAsia="Times New Roman" w:hAnsi="Times New Roman" w:cs="Times New Roman"/>
                <w:color w:val="000000"/>
              </w:rPr>
              <w:br/>
            </w:r>
          </w:p>
          <w:p w14:paraId="63CDAF4A" w14:textId="77777777" w:rsidR="00943E5C" w:rsidRPr="00AC6DEC" w:rsidRDefault="00943E5C" w:rsidP="00607B8C">
            <w:pPr>
              <w:numPr>
                <w:ilvl w:val="0"/>
                <w:numId w:val="17"/>
              </w:numPr>
              <w:shd w:val="clear" w:color="auto" w:fill="FFFFFF" w:themeFill="background1"/>
              <w:tabs>
                <w:tab w:val="clear" w:pos="720"/>
              </w:tabs>
              <w:ind w:left="360"/>
              <w:rPr>
                <w:rFonts w:ascii="Times New Roman" w:eastAsia="Times New Roman" w:hAnsi="Times New Roman" w:cs="Times New Roman"/>
                <w:color w:val="2E2F2F"/>
              </w:rPr>
            </w:pPr>
            <w:r w:rsidRPr="00AC6DEC">
              <w:rPr>
                <w:rFonts w:ascii="Times New Roman" w:eastAsia="Times New Roman" w:hAnsi="Times New Roman" w:cs="Times New Roman"/>
                <w:color w:val="000000" w:themeColor="text1"/>
              </w:rPr>
              <w:t>Qualifying schools with BTO – As signed by the Governor, the 2021 QAP provision detailing the BTO qualifications option referenced 2020 BTO designations. To allow applicants to utilize two years of BTO designations as intended, DCA’s Commissioner has signed an administrative amendment to the QAP allowing applicants to use 2018 and 2019 BTO reports to qualify schools. </w:t>
            </w:r>
            <w:r w:rsidRPr="00AC6DEC">
              <w:rPr>
                <w:rFonts w:ascii="Times New Roman" w:eastAsia="Times New Roman" w:hAnsi="Times New Roman" w:cs="Times New Roman"/>
                <w:color w:val="2E2F2F"/>
              </w:rPr>
              <w:t>The amended 2021 QAP and announcement detailing the amendment are posted to the DCA website (</w:t>
            </w:r>
            <w:hyperlink r:id="rId41">
              <w:r w:rsidRPr="00AC6DEC">
                <w:rPr>
                  <w:rFonts w:ascii="Times New Roman" w:eastAsia="Times New Roman" w:hAnsi="Times New Roman" w:cs="Times New Roman"/>
                  <w:color w:val="FF6600"/>
                  <w:u w:val="single"/>
                </w:rPr>
                <w:t>click here</w:t>
              </w:r>
            </w:hyperlink>
            <w:r w:rsidRPr="00AC6DEC">
              <w:rPr>
                <w:rFonts w:ascii="Times New Roman" w:eastAsia="Times New Roman" w:hAnsi="Times New Roman" w:cs="Times New Roman"/>
                <w:color w:val="2E2F2F"/>
              </w:rPr>
              <w:t>).</w:t>
            </w:r>
          </w:p>
          <w:p w14:paraId="64CA9866" w14:textId="77777777" w:rsidR="00943E5C" w:rsidRPr="00AC6DEC" w:rsidRDefault="00943E5C" w:rsidP="00607B8C">
            <w:pPr>
              <w:rPr>
                <w:rFonts w:ascii="Times New Roman" w:hAnsi="Times New Roman" w:cs="Times New Roman"/>
                <w:noProof/>
              </w:rPr>
            </w:pPr>
          </w:p>
        </w:tc>
      </w:tr>
      <w:tr w:rsidR="00943E5C" w:rsidRPr="00AC6DEC" w14:paraId="63B96B2A" w14:textId="77777777" w:rsidTr="2A62FF34">
        <w:trPr>
          <w:jc w:val="center"/>
        </w:trPr>
        <w:tc>
          <w:tcPr>
            <w:tcW w:w="2157" w:type="dxa"/>
            <w:tcMar>
              <w:top w:w="72" w:type="dxa"/>
              <w:left w:w="115" w:type="dxa"/>
              <w:bottom w:w="72" w:type="dxa"/>
              <w:right w:w="115" w:type="dxa"/>
            </w:tcMar>
            <w:vAlign w:val="center"/>
          </w:tcPr>
          <w:p w14:paraId="4406B7F3"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50CBCE2D"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3.07</w:t>
            </w:r>
          </w:p>
          <w:p w14:paraId="35B17994"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7491E573"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ID: Q0201_01</w:t>
            </w:r>
          </w:p>
          <w:p w14:paraId="1C1C5FF2"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I would like a clarification on the CCRPI qualifications listed below.  The score table released most recently shows different information even for the same time periods from the previous table that was being used to score projects we are currently working on.  The links below show the discrepancies mentioned:</w:t>
            </w:r>
          </w:p>
          <w:p w14:paraId="07998170" w14:textId="77777777" w:rsidR="00943E5C" w:rsidRPr="00AC6DEC" w:rsidRDefault="00943E5C" w:rsidP="00607B8C">
            <w:pPr>
              <w:contextualSpacing/>
              <w:rPr>
                <w:rFonts w:ascii="Times New Roman" w:hAnsi="Times New Roman" w:cs="Times New Roman"/>
              </w:rPr>
            </w:pPr>
          </w:p>
          <w:p w14:paraId="270753D8" w14:textId="77777777" w:rsidR="00943E5C" w:rsidRPr="00AC6DEC" w:rsidRDefault="00943E5C" w:rsidP="00607B8C">
            <w:pPr>
              <w:pStyle w:val="ListParagraph"/>
              <w:numPr>
                <w:ilvl w:val="0"/>
                <w:numId w:val="14"/>
              </w:numPr>
              <w:rPr>
                <w:rFonts w:ascii="Times New Roman" w:hAnsi="Times New Roman" w:cs="Times New Roman"/>
              </w:rPr>
            </w:pPr>
            <w:r w:rsidRPr="00AC6DEC">
              <w:rPr>
                <w:rFonts w:ascii="Times New Roman" w:hAnsi="Times New Roman" w:cs="Times New Roman"/>
              </w:rPr>
              <w:t xml:space="preserve">CCRPI Score Table from “2020 QAP and Related Documents webpage,” posted prior to 1/27/21:  </w:t>
            </w:r>
            <w:hyperlink r:id="rId42" w:history="1">
              <w:r w:rsidRPr="00AC6DEC">
                <w:rPr>
                  <w:rStyle w:val="Hyperlink"/>
                  <w:rFonts w:ascii="Times New Roman" w:hAnsi="Times New Roman" w:cs="Times New Roman"/>
                </w:rPr>
                <w:t>https://www.dca.ga.gov/sites/default/files/ccrpi_scores_table.pdf</w:t>
              </w:r>
            </w:hyperlink>
            <w:r w:rsidRPr="00AC6DEC">
              <w:rPr>
                <w:rFonts w:ascii="Times New Roman" w:hAnsi="Times New Roman" w:cs="Times New Roman"/>
              </w:rPr>
              <w:br/>
            </w:r>
          </w:p>
          <w:p w14:paraId="5F285B1C" w14:textId="77777777" w:rsidR="00943E5C" w:rsidRPr="00AC6DEC" w:rsidRDefault="00943E5C" w:rsidP="00607B8C">
            <w:pPr>
              <w:pStyle w:val="ListParagraph"/>
              <w:numPr>
                <w:ilvl w:val="0"/>
                <w:numId w:val="14"/>
              </w:numPr>
              <w:rPr>
                <w:rFonts w:ascii="Times New Roman" w:hAnsi="Times New Roman" w:cs="Times New Roman"/>
              </w:rPr>
            </w:pPr>
            <w:r w:rsidRPr="00AC6DEC">
              <w:rPr>
                <w:rFonts w:ascii="Times New Roman" w:hAnsi="Times New Roman" w:cs="Times New Roman"/>
              </w:rPr>
              <w:t xml:space="preserve">CCRPI Score Table from “2021 QAP and Related Documents webpage,” posted 1/27/21:  </w:t>
            </w:r>
            <w:hyperlink r:id="rId43" w:history="1">
              <w:r w:rsidRPr="00AC6DEC">
                <w:rPr>
                  <w:rStyle w:val="Hyperlink"/>
                  <w:rFonts w:ascii="Times New Roman" w:hAnsi="Times New Roman" w:cs="Times New Roman"/>
                </w:rPr>
                <w:t>https://www.dca.ga.gov/sites/default/files/2021ccrpi_scores_table.pdf</w:t>
              </w:r>
            </w:hyperlink>
          </w:p>
          <w:p w14:paraId="2A3C329D" w14:textId="77777777" w:rsidR="00943E5C" w:rsidRPr="00AC6DEC" w:rsidRDefault="00943E5C" w:rsidP="00607B8C">
            <w:pPr>
              <w:contextualSpacing/>
              <w:rPr>
                <w:rFonts w:ascii="Times New Roman" w:hAnsi="Times New Roman" w:cs="Times New Roman"/>
              </w:rPr>
            </w:pPr>
          </w:p>
          <w:p w14:paraId="626E8B06"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Why do the 2019 values differ between these two tables? We have been working from the first set of guidelines in preparation for an application submission.  </w:t>
            </w:r>
          </w:p>
          <w:p w14:paraId="45D844CA" w14:textId="77777777" w:rsidR="00943E5C" w:rsidRPr="00AC6DEC" w:rsidRDefault="00943E5C" w:rsidP="00607B8C">
            <w:pPr>
              <w:contextualSpacing/>
              <w:rPr>
                <w:rFonts w:ascii="Times New Roman" w:hAnsi="Times New Roman" w:cs="Times New Roman"/>
              </w:rPr>
            </w:pPr>
          </w:p>
          <w:p w14:paraId="14D3CA88"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Answer:</w:t>
            </w:r>
          </w:p>
          <w:p w14:paraId="1C0D9262"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The Georgia Department of Education (DOE) posted a revision to the 2019 scores after the initial release. As stated in the DOE CCRPI public release for 2019:</w:t>
            </w:r>
          </w:p>
          <w:p w14:paraId="4FB57E4F" w14:textId="77777777" w:rsidR="00943E5C" w:rsidRPr="00AC6DEC" w:rsidRDefault="00943E5C" w:rsidP="00607B8C">
            <w:pPr>
              <w:contextualSpacing/>
              <w:rPr>
                <w:rFonts w:ascii="Times New Roman" w:hAnsi="Times New Roman" w:cs="Times New Roman"/>
                <w:i/>
                <w:iCs/>
              </w:rPr>
            </w:pPr>
          </w:p>
          <w:p w14:paraId="00BB8C32" w14:textId="77777777" w:rsidR="00943E5C" w:rsidRPr="00AC6DEC" w:rsidRDefault="00943E5C" w:rsidP="00607B8C">
            <w:pPr>
              <w:contextualSpacing/>
              <w:rPr>
                <w:rFonts w:ascii="Times New Roman" w:hAnsi="Times New Roman" w:cs="Times New Roman"/>
                <w:i/>
                <w:iCs/>
              </w:rPr>
            </w:pPr>
            <w:r w:rsidRPr="00AC6DEC">
              <w:rPr>
                <w:rFonts w:ascii="Times New Roman" w:hAnsi="Times New Roman" w:cs="Times New Roman"/>
                <w:i/>
                <w:iCs/>
              </w:rPr>
              <w:t>“NOTE: The state-level 2019 CCRPI scores have been updated… Please note that district- and school-level scores did not change; this is an update to the state scores only.​”</w:t>
            </w:r>
          </w:p>
          <w:p w14:paraId="35FE186E" w14:textId="77777777" w:rsidR="00943E5C" w:rsidRPr="00AC6DEC" w:rsidRDefault="00943E5C" w:rsidP="00607B8C">
            <w:pPr>
              <w:contextualSpacing/>
              <w:rPr>
                <w:rFonts w:ascii="Times New Roman" w:hAnsi="Times New Roman" w:cs="Times New Roman"/>
              </w:rPr>
            </w:pPr>
          </w:p>
          <w:p w14:paraId="6FFC0BA0"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The above-referenced table from the 2020 QAP documents webpage was published for purposes of the 2020 round, and the revision occurred after the release of that document. </w:t>
            </w:r>
          </w:p>
          <w:p w14:paraId="3356F25C" w14:textId="77777777" w:rsidR="00943E5C" w:rsidRPr="00AC6DEC" w:rsidRDefault="00943E5C" w:rsidP="00607B8C">
            <w:pPr>
              <w:contextualSpacing/>
              <w:rPr>
                <w:rFonts w:ascii="Times New Roman" w:hAnsi="Times New Roman" w:cs="Times New Roman"/>
              </w:rPr>
            </w:pPr>
          </w:p>
          <w:p w14:paraId="299C895E"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lastRenderedPageBreak/>
              <w:t>For purposes of the 2021 round, DCA will allow scores to qualify based on the originally published 2019 scores, all of which are lower than the updated 2019 data. An updated CCRPI scores table has been posted to the DCA website (</w:t>
            </w:r>
            <w:hyperlink r:id="rId44">
              <w:r w:rsidRPr="00AC6DEC">
                <w:rPr>
                  <w:rStyle w:val="Hyperlink"/>
                  <w:rFonts w:ascii="Times New Roman" w:hAnsi="Times New Roman" w:cs="Times New Roman"/>
                </w:rPr>
                <w:t>click here</w:t>
              </w:r>
            </w:hyperlink>
            <w:r w:rsidRPr="00AC6DEC">
              <w:rPr>
                <w:rFonts w:ascii="Times New Roman" w:hAnsi="Times New Roman" w:cs="Times New Roman"/>
              </w:rPr>
              <w:t xml:space="preserve">). Please note that in subsequent rounds the revised 2019 averages will apply. </w:t>
            </w:r>
          </w:p>
          <w:p w14:paraId="754E9BBC" w14:textId="77777777" w:rsidR="00943E5C" w:rsidRPr="00AC6DEC" w:rsidRDefault="00943E5C" w:rsidP="00607B8C">
            <w:pPr>
              <w:rPr>
                <w:rFonts w:ascii="Times New Roman" w:hAnsi="Times New Roman" w:cs="Times New Roman"/>
                <w:noProof/>
              </w:rPr>
            </w:pPr>
          </w:p>
        </w:tc>
      </w:tr>
      <w:tr w:rsidR="00943E5C" w:rsidRPr="00AC6DEC" w14:paraId="129BEC7C" w14:textId="77777777" w:rsidTr="2A62FF34">
        <w:trPr>
          <w:jc w:val="center"/>
        </w:trPr>
        <w:tc>
          <w:tcPr>
            <w:tcW w:w="2157" w:type="dxa"/>
            <w:tcMar>
              <w:top w:w="72" w:type="dxa"/>
              <w:left w:w="115" w:type="dxa"/>
              <w:bottom w:w="72" w:type="dxa"/>
              <w:right w:w="115" w:type="dxa"/>
            </w:tcMar>
            <w:vAlign w:val="center"/>
          </w:tcPr>
          <w:p w14:paraId="5B510B70"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4F30B814"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3.10</w:t>
            </w:r>
          </w:p>
          <w:p w14:paraId="1B12C2CA"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39C78BF6"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Q1222_01</w:t>
            </w:r>
          </w:p>
          <w:p w14:paraId="37512845"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For the Local Health and Economic Indicators: If we use the 2015-2019 estimates, will we be comparing these estimates to the published percentiles that were based on the 2014-2018 estimates, or will we have to show that the 2015-2019 estimate is above the 60th percentile for that dataset?</w:t>
            </w:r>
          </w:p>
          <w:p w14:paraId="3F82B8FB" w14:textId="77777777" w:rsidR="00943E5C" w:rsidRPr="00AC6DEC" w:rsidRDefault="00943E5C" w:rsidP="00607B8C">
            <w:pPr>
              <w:contextualSpacing/>
              <w:rPr>
                <w:rFonts w:ascii="Times New Roman" w:hAnsi="Times New Roman" w:cs="Times New Roman"/>
                <w:b/>
                <w:bCs/>
              </w:rPr>
            </w:pPr>
          </w:p>
          <w:p w14:paraId="14FF4DD4"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b/>
                <w:bCs/>
              </w:rPr>
              <w:t>Answer:</w:t>
            </w:r>
            <w:r w:rsidRPr="00AC6DEC">
              <w:rPr>
                <w:rFonts w:ascii="Times New Roman" w:hAnsi="Times New Roman" w:cs="Times New Roman"/>
              </w:rPr>
              <w:t xml:space="preserve"> On January 15, 2021, DCA sent an email update indicating that the Census Bureau had released the 2019 update of the data used for scoring 9% Credit applications under the Stable Communities section. DCA has accordingly posted an updated version of the Local Health and Economic Indicators table on the DCA website (</w:t>
            </w:r>
            <w:hyperlink r:id="rId45">
              <w:r w:rsidRPr="00AC6DEC">
                <w:rPr>
                  <w:rStyle w:val="Hyperlink"/>
                  <w:rFonts w:ascii="Times New Roman" w:eastAsia="Times New Roman" w:hAnsi="Times New Roman" w:cs="Times New Roman"/>
                </w:rPr>
                <w:t>click here</w:t>
              </w:r>
            </w:hyperlink>
            <w:r w:rsidRPr="00AC6DEC">
              <w:rPr>
                <w:rFonts w:ascii="Times New Roman" w:hAnsi="Times New Roman" w:cs="Times New Roman"/>
              </w:rPr>
              <w:t xml:space="preserve">), which includes both 2018 and 2019 percentile calculations. </w:t>
            </w:r>
          </w:p>
          <w:p w14:paraId="21596CEC" w14:textId="77777777" w:rsidR="00943E5C" w:rsidRPr="00AC6DEC" w:rsidRDefault="00943E5C" w:rsidP="00607B8C">
            <w:pPr>
              <w:contextualSpacing/>
              <w:rPr>
                <w:rFonts w:ascii="Times New Roman" w:hAnsi="Times New Roman" w:cs="Times New Roman"/>
              </w:rPr>
            </w:pPr>
          </w:p>
          <w:p w14:paraId="7EB46855"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Per the QAP: “Applicants cannot claim points based on a </w:t>
            </w:r>
            <w:proofErr w:type="gramStart"/>
            <w:r w:rsidRPr="00AC6DEC">
              <w:rPr>
                <w:rFonts w:ascii="Times New Roman" w:hAnsi="Times New Roman" w:cs="Times New Roman"/>
              </w:rPr>
              <w:t>statistics</w:t>
            </w:r>
            <w:proofErr w:type="gramEnd"/>
            <w:r w:rsidRPr="00AC6DEC">
              <w:rPr>
                <w:rFonts w:ascii="Times New Roman" w:hAnsi="Times New Roman" w:cs="Times New Roman"/>
              </w:rPr>
              <w:t xml:space="preserve"> set comprising values from both before and after a data update.” Thus, applicants have two paths for scoring under this subsection, illustrated in the below table. </w:t>
            </w:r>
          </w:p>
          <w:p w14:paraId="6A137379" w14:textId="77777777" w:rsidR="00943E5C" w:rsidRPr="00AC6DEC" w:rsidRDefault="00943E5C" w:rsidP="00607B8C">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431"/>
              <w:gridCol w:w="1622"/>
              <w:gridCol w:w="1642"/>
              <w:gridCol w:w="1690"/>
              <w:gridCol w:w="1735"/>
              <w:gridCol w:w="1230"/>
            </w:tblGrid>
            <w:tr w:rsidR="00943E5C" w:rsidRPr="00AC6DEC" w14:paraId="2449B422" w14:textId="77777777" w:rsidTr="006354C4">
              <w:trPr>
                <w:jc w:val="center"/>
              </w:trPr>
              <w:tc>
                <w:tcPr>
                  <w:tcW w:w="1431" w:type="dxa"/>
                  <w:vMerge w:val="restart"/>
                  <w:shd w:val="clear" w:color="auto" w:fill="A6A6A6" w:themeFill="background1" w:themeFillShade="A6"/>
                  <w:tcMar>
                    <w:top w:w="72" w:type="dxa"/>
                    <w:left w:w="115" w:type="dxa"/>
                    <w:bottom w:w="72" w:type="dxa"/>
                    <w:right w:w="115" w:type="dxa"/>
                  </w:tcMar>
                  <w:vAlign w:val="center"/>
                </w:tcPr>
                <w:p w14:paraId="0741C6B2" w14:textId="77777777" w:rsidR="00943E5C" w:rsidRPr="00AC6DEC" w:rsidRDefault="00943E5C" w:rsidP="00607B8C">
                  <w:pPr>
                    <w:keepNext/>
                    <w:keepLines/>
                    <w:contextualSpacing/>
                    <w:jc w:val="center"/>
                    <w:rPr>
                      <w:rFonts w:ascii="Times New Roman" w:hAnsi="Times New Roman" w:cs="Times New Roman"/>
                    </w:rPr>
                  </w:pPr>
                  <w:r w:rsidRPr="00AC6DEC">
                    <w:rPr>
                      <w:rFonts w:ascii="Times New Roman" w:hAnsi="Times New Roman" w:cs="Times New Roman"/>
                    </w:rPr>
                    <w:t>Scoring Options</w:t>
                  </w:r>
                </w:p>
              </w:tc>
              <w:tc>
                <w:tcPr>
                  <w:tcW w:w="6689" w:type="dxa"/>
                  <w:gridSpan w:val="4"/>
                  <w:shd w:val="clear" w:color="auto" w:fill="A6A6A6" w:themeFill="background1" w:themeFillShade="A6"/>
                  <w:tcMar>
                    <w:top w:w="72" w:type="dxa"/>
                    <w:left w:w="115" w:type="dxa"/>
                    <w:bottom w:w="72" w:type="dxa"/>
                    <w:right w:w="115" w:type="dxa"/>
                  </w:tcMar>
                  <w:vAlign w:val="center"/>
                </w:tcPr>
                <w:p w14:paraId="0170570F" w14:textId="77777777" w:rsidR="00943E5C" w:rsidRPr="00AC6DEC" w:rsidRDefault="00943E5C" w:rsidP="00607B8C">
                  <w:pPr>
                    <w:keepNext/>
                    <w:keepLines/>
                    <w:contextualSpacing/>
                    <w:jc w:val="center"/>
                    <w:rPr>
                      <w:rFonts w:ascii="Times New Roman" w:hAnsi="Times New Roman" w:cs="Times New Roman"/>
                    </w:rPr>
                  </w:pPr>
                  <w:r w:rsidRPr="00AC6DEC">
                    <w:rPr>
                      <w:rFonts w:ascii="Times New Roman" w:hAnsi="Times New Roman" w:cs="Times New Roman"/>
                    </w:rPr>
                    <w:t>Metrics</w:t>
                  </w:r>
                </w:p>
              </w:tc>
              <w:tc>
                <w:tcPr>
                  <w:tcW w:w="1230" w:type="dxa"/>
                  <w:vMerge w:val="restart"/>
                  <w:shd w:val="clear" w:color="auto" w:fill="A6A6A6" w:themeFill="background1" w:themeFillShade="A6"/>
                  <w:tcMar>
                    <w:top w:w="72" w:type="dxa"/>
                    <w:left w:w="115" w:type="dxa"/>
                    <w:bottom w:w="72" w:type="dxa"/>
                    <w:right w:w="115" w:type="dxa"/>
                  </w:tcMar>
                  <w:vAlign w:val="center"/>
                </w:tcPr>
                <w:p w14:paraId="4DC89D5C" w14:textId="77777777" w:rsidR="00943E5C" w:rsidRPr="00AC6DEC" w:rsidRDefault="00943E5C" w:rsidP="00607B8C">
                  <w:pPr>
                    <w:keepNext/>
                    <w:keepLines/>
                    <w:contextualSpacing/>
                    <w:jc w:val="center"/>
                    <w:rPr>
                      <w:rFonts w:ascii="Times New Roman" w:hAnsi="Times New Roman" w:cs="Times New Roman"/>
                    </w:rPr>
                  </w:pPr>
                  <w:r w:rsidRPr="00AC6DEC">
                    <w:rPr>
                      <w:rFonts w:ascii="Times New Roman" w:hAnsi="Times New Roman" w:cs="Times New Roman"/>
                    </w:rPr>
                    <w:t>Maximum Points</w:t>
                  </w:r>
                </w:p>
              </w:tc>
            </w:tr>
            <w:tr w:rsidR="00943E5C" w:rsidRPr="00AC6DEC" w14:paraId="33BF2A5A" w14:textId="77777777" w:rsidTr="006354C4">
              <w:trPr>
                <w:jc w:val="center"/>
              </w:trPr>
              <w:tc>
                <w:tcPr>
                  <w:tcW w:w="1431" w:type="dxa"/>
                  <w:vMerge/>
                  <w:shd w:val="clear" w:color="auto" w:fill="A6A6A6" w:themeFill="background1" w:themeFillShade="A6"/>
                  <w:tcMar>
                    <w:top w:w="72" w:type="dxa"/>
                    <w:left w:w="115" w:type="dxa"/>
                    <w:bottom w:w="72" w:type="dxa"/>
                    <w:right w:w="115" w:type="dxa"/>
                  </w:tcMar>
                  <w:vAlign w:val="center"/>
                </w:tcPr>
                <w:p w14:paraId="3A9035E6" w14:textId="77777777" w:rsidR="00943E5C" w:rsidRPr="00AC6DEC" w:rsidRDefault="00943E5C" w:rsidP="00607B8C">
                  <w:pPr>
                    <w:keepNext/>
                    <w:keepLines/>
                    <w:contextualSpacing/>
                    <w:rPr>
                      <w:rFonts w:ascii="Times New Roman" w:hAnsi="Times New Roman" w:cs="Times New Roman"/>
                    </w:rPr>
                  </w:pPr>
                </w:p>
              </w:tc>
              <w:tc>
                <w:tcPr>
                  <w:tcW w:w="1622" w:type="dxa"/>
                  <w:shd w:val="clear" w:color="auto" w:fill="D9D9D9" w:themeFill="background1" w:themeFillShade="D9"/>
                  <w:tcMar>
                    <w:top w:w="72" w:type="dxa"/>
                    <w:left w:w="115" w:type="dxa"/>
                    <w:bottom w:w="72" w:type="dxa"/>
                    <w:right w:w="115" w:type="dxa"/>
                  </w:tcMar>
                  <w:vAlign w:val="center"/>
                </w:tcPr>
                <w:p w14:paraId="49707F36" w14:textId="77777777" w:rsidR="00943E5C" w:rsidRPr="00AC6DEC" w:rsidRDefault="00943E5C" w:rsidP="00607B8C">
                  <w:pPr>
                    <w:keepNext/>
                    <w:keepLines/>
                    <w:contextualSpacing/>
                    <w:jc w:val="center"/>
                    <w:rPr>
                      <w:rFonts w:ascii="Times New Roman" w:hAnsi="Times New Roman" w:cs="Times New Roman"/>
                    </w:rPr>
                  </w:pPr>
                  <w:r w:rsidRPr="00AC6DEC">
                    <w:rPr>
                      <w:rFonts w:ascii="Times New Roman" w:hAnsi="Times New Roman" w:cs="Times New Roman"/>
                    </w:rPr>
                    <w:t>Employment rate</w:t>
                  </w:r>
                </w:p>
              </w:tc>
              <w:tc>
                <w:tcPr>
                  <w:tcW w:w="1642" w:type="dxa"/>
                  <w:shd w:val="clear" w:color="auto" w:fill="D9D9D9" w:themeFill="background1" w:themeFillShade="D9"/>
                  <w:tcMar>
                    <w:top w:w="72" w:type="dxa"/>
                    <w:left w:w="115" w:type="dxa"/>
                    <w:bottom w:w="72" w:type="dxa"/>
                    <w:right w:w="115" w:type="dxa"/>
                  </w:tcMar>
                  <w:vAlign w:val="center"/>
                </w:tcPr>
                <w:p w14:paraId="7BCD1F78" w14:textId="77777777" w:rsidR="00943E5C" w:rsidRPr="00AC6DEC" w:rsidRDefault="00943E5C" w:rsidP="00607B8C">
                  <w:pPr>
                    <w:keepNext/>
                    <w:keepLines/>
                    <w:contextualSpacing/>
                    <w:jc w:val="center"/>
                    <w:rPr>
                      <w:rFonts w:ascii="Times New Roman" w:hAnsi="Times New Roman" w:cs="Times New Roman"/>
                    </w:rPr>
                  </w:pPr>
                  <w:r w:rsidRPr="00AC6DEC">
                    <w:rPr>
                      <w:rFonts w:ascii="Times New Roman" w:hAnsi="Times New Roman" w:cs="Times New Roman"/>
                    </w:rPr>
                    <w:t>Health insurance rate</w:t>
                  </w:r>
                </w:p>
              </w:tc>
              <w:tc>
                <w:tcPr>
                  <w:tcW w:w="1690" w:type="dxa"/>
                  <w:shd w:val="clear" w:color="auto" w:fill="D9D9D9" w:themeFill="background1" w:themeFillShade="D9"/>
                  <w:tcMar>
                    <w:top w:w="72" w:type="dxa"/>
                    <w:left w:w="115" w:type="dxa"/>
                    <w:bottom w:w="72" w:type="dxa"/>
                    <w:right w:w="115" w:type="dxa"/>
                  </w:tcMar>
                  <w:vAlign w:val="center"/>
                </w:tcPr>
                <w:p w14:paraId="073D2B2B" w14:textId="77777777" w:rsidR="00943E5C" w:rsidRPr="00AC6DEC" w:rsidRDefault="00943E5C" w:rsidP="00607B8C">
                  <w:pPr>
                    <w:keepNext/>
                    <w:keepLines/>
                    <w:contextualSpacing/>
                    <w:jc w:val="center"/>
                    <w:rPr>
                      <w:rFonts w:ascii="Times New Roman" w:hAnsi="Times New Roman" w:cs="Times New Roman"/>
                    </w:rPr>
                  </w:pPr>
                  <w:r w:rsidRPr="00AC6DEC">
                    <w:rPr>
                      <w:rFonts w:ascii="Times New Roman" w:hAnsi="Times New Roman" w:cs="Times New Roman"/>
                    </w:rPr>
                    <w:t>Median income</w:t>
                  </w:r>
                </w:p>
              </w:tc>
              <w:tc>
                <w:tcPr>
                  <w:tcW w:w="1735" w:type="dxa"/>
                  <w:shd w:val="clear" w:color="auto" w:fill="D9D9D9" w:themeFill="background1" w:themeFillShade="D9"/>
                  <w:tcMar>
                    <w:top w:w="72" w:type="dxa"/>
                    <w:left w:w="115" w:type="dxa"/>
                    <w:bottom w:w="72" w:type="dxa"/>
                    <w:right w:w="115" w:type="dxa"/>
                  </w:tcMar>
                  <w:vAlign w:val="center"/>
                </w:tcPr>
                <w:p w14:paraId="50ADCBBD" w14:textId="77777777" w:rsidR="00943E5C" w:rsidRPr="00AC6DEC" w:rsidRDefault="00943E5C" w:rsidP="00607B8C">
                  <w:pPr>
                    <w:keepNext/>
                    <w:keepLines/>
                    <w:contextualSpacing/>
                    <w:jc w:val="center"/>
                    <w:rPr>
                      <w:rFonts w:ascii="Times New Roman" w:hAnsi="Times New Roman" w:cs="Times New Roman"/>
                    </w:rPr>
                  </w:pPr>
                  <w:r w:rsidRPr="00AC6DEC">
                    <w:rPr>
                      <w:rFonts w:ascii="Times New Roman" w:hAnsi="Times New Roman" w:cs="Times New Roman"/>
                    </w:rPr>
                    <w:t>Life expectancy</w:t>
                  </w:r>
                </w:p>
              </w:tc>
              <w:tc>
                <w:tcPr>
                  <w:tcW w:w="1230" w:type="dxa"/>
                  <w:vMerge/>
                  <w:shd w:val="clear" w:color="auto" w:fill="A6A6A6" w:themeFill="background1" w:themeFillShade="A6"/>
                  <w:tcMar>
                    <w:top w:w="72" w:type="dxa"/>
                    <w:left w:w="115" w:type="dxa"/>
                    <w:bottom w:w="72" w:type="dxa"/>
                    <w:right w:w="115" w:type="dxa"/>
                  </w:tcMar>
                  <w:vAlign w:val="center"/>
                </w:tcPr>
                <w:p w14:paraId="366DF790" w14:textId="77777777" w:rsidR="00943E5C" w:rsidRPr="00AC6DEC" w:rsidRDefault="00943E5C" w:rsidP="00607B8C">
                  <w:pPr>
                    <w:keepNext/>
                    <w:keepLines/>
                    <w:contextualSpacing/>
                    <w:rPr>
                      <w:rFonts w:ascii="Times New Roman" w:hAnsi="Times New Roman" w:cs="Times New Roman"/>
                    </w:rPr>
                  </w:pPr>
                </w:p>
              </w:tc>
            </w:tr>
            <w:tr w:rsidR="00943E5C" w:rsidRPr="00AC6DEC" w14:paraId="19CC6561" w14:textId="77777777" w:rsidTr="006354C4">
              <w:trPr>
                <w:jc w:val="center"/>
              </w:trPr>
              <w:tc>
                <w:tcPr>
                  <w:tcW w:w="1431" w:type="dxa"/>
                  <w:tcMar>
                    <w:top w:w="72" w:type="dxa"/>
                    <w:left w:w="115" w:type="dxa"/>
                    <w:bottom w:w="72" w:type="dxa"/>
                    <w:right w:w="115" w:type="dxa"/>
                  </w:tcMar>
                  <w:vAlign w:val="center"/>
                </w:tcPr>
                <w:p w14:paraId="47C88CC5" w14:textId="77777777" w:rsidR="00943E5C" w:rsidRPr="00AC6DEC" w:rsidRDefault="00943E5C" w:rsidP="00607B8C">
                  <w:pPr>
                    <w:keepNext/>
                    <w:keepLines/>
                    <w:contextualSpacing/>
                    <w:rPr>
                      <w:rFonts w:ascii="Times New Roman" w:hAnsi="Times New Roman" w:cs="Times New Roman"/>
                    </w:rPr>
                  </w:pPr>
                  <w:r w:rsidRPr="00AC6DEC">
                    <w:rPr>
                      <w:rFonts w:ascii="Times New Roman" w:hAnsi="Times New Roman" w:cs="Times New Roman"/>
                    </w:rPr>
                    <w:t>Using 2018 Census data</w:t>
                  </w:r>
                </w:p>
              </w:tc>
              <w:tc>
                <w:tcPr>
                  <w:tcW w:w="1622" w:type="dxa"/>
                  <w:tcMar>
                    <w:top w:w="72" w:type="dxa"/>
                    <w:left w:w="115" w:type="dxa"/>
                    <w:bottom w:w="72" w:type="dxa"/>
                    <w:right w:w="115" w:type="dxa"/>
                  </w:tcMar>
                  <w:vAlign w:val="center"/>
                </w:tcPr>
                <w:p w14:paraId="73CD45BE" w14:textId="77777777" w:rsidR="00943E5C" w:rsidRPr="00AC6DEC" w:rsidRDefault="00943E5C" w:rsidP="00607B8C">
                  <w:pPr>
                    <w:keepNext/>
                    <w:keepLines/>
                    <w:contextualSpacing/>
                    <w:jc w:val="center"/>
                    <w:rPr>
                      <w:rFonts w:ascii="Times New Roman" w:hAnsi="Times New Roman" w:cs="Times New Roman"/>
                    </w:rPr>
                  </w:pPr>
                  <w:r w:rsidRPr="00AC6DEC">
                    <w:rPr>
                      <w:rFonts w:ascii="Times New Roman" w:hAnsi="Times New Roman" w:cs="Times New Roman"/>
                    </w:rPr>
                    <w:t>&gt; 2018 Percentile</w:t>
                  </w:r>
                </w:p>
              </w:tc>
              <w:tc>
                <w:tcPr>
                  <w:tcW w:w="1642" w:type="dxa"/>
                  <w:tcMar>
                    <w:top w:w="72" w:type="dxa"/>
                    <w:left w:w="115" w:type="dxa"/>
                    <w:bottom w:w="72" w:type="dxa"/>
                    <w:right w:w="115" w:type="dxa"/>
                  </w:tcMar>
                  <w:vAlign w:val="center"/>
                </w:tcPr>
                <w:p w14:paraId="24F9849C" w14:textId="77777777" w:rsidR="00943E5C" w:rsidRPr="00AC6DEC" w:rsidRDefault="00943E5C" w:rsidP="00607B8C">
                  <w:pPr>
                    <w:keepNext/>
                    <w:keepLines/>
                    <w:contextualSpacing/>
                    <w:jc w:val="center"/>
                    <w:rPr>
                      <w:rFonts w:ascii="Times New Roman" w:hAnsi="Times New Roman" w:cs="Times New Roman"/>
                    </w:rPr>
                  </w:pPr>
                  <w:r w:rsidRPr="00AC6DEC">
                    <w:rPr>
                      <w:rFonts w:ascii="Times New Roman" w:hAnsi="Times New Roman" w:cs="Times New Roman"/>
                    </w:rPr>
                    <w:t>&gt; 2018 Percentile</w:t>
                  </w:r>
                </w:p>
              </w:tc>
              <w:tc>
                <w:tcPr>
                  <w:tcW w:w="1690" w:type="dxa"/>
                  <w:tcMar>
                    <w:top w:w="72" w:type="dxa"/>
                    <w:left w:w="115" w:type="dxa"/>
                    <w:bottom w:w="72" w:type="dxa"/>
                    <w:right w:w="115" w:type="dxa"/>
                  </w:tcMar>
                  <w:vAlign w:val="center"/>
                </w:tcPr>
                <w:p w14:paraId="13610E72" w14:textId="77777777" w:rsidR="00943E5C" w:rsidRPr="00AC6DEC" w:rsidRDefault="00943E5C" w:rsidP="00607B8C">
                  <w:pPr>
                    <w:keepNext/>
                    <w:keepLines/>
                    <w:contextualSpacing/>
                    <w:jc w:val="center"/>
                    <w:rPr>
                      <w:rFonts w:ascii="Times New Roman" w:hAnsi="Times New Roman" w:cs="Times New Roman"/>
                    </w:rPr>
                  </w:pPr>
                  <w:r w:rsidRPr="00AC6DEC">
                    <w:rPr>
                      <w:rFonts w:ascii="Times New Roman" w:hAnsi="Times New Roman" w:cs="Times New Roman"/>
                    </w:rPr>
                    <w:t>&gt; 2018 60</w:t>
                  </w:r>
                  <w:r w:rsidRPr="00AC6DEC">
                    <w:rPr>
                      <w:rFonts w:ascii="Times New Roman" w:hAnsi="Times New Roman" w:cs="Times New Roman"/>
                      <w:vertAlign w:val="superscript"/>
                    </w:rPr>
                    <w:t>th</w:t>
                  </w:r>
                  <w:r w:rsidRPr="00AC6DEC">
                    <w:rPr>
                      <w:rFonts w:ascii="Times New Roman" w:hAnsi="Times New Roman" w:cs="Times New Roman"/>
                    </w:rPr>
                    <w:t xml:space="preserve"> or 80</w:t>
                  </w:r>
                  <w:r w:rsidRPr="00AC6DEC">
                    <w:rPr>
                      <w:rFonts w:ascii="Times New Roman" w:hAnsi="Times New Roman" w:cs="Times New Roman"/>
                      <w:vertAlign w:val="superscript"/>
                    </w:rPr>
                    <w:t>th</w:t>
                  </w:r>
                  <w:r w:rsidRPr="00AC6DEC">
                    <w:rPr>
                      <w:rFonts w:ascii="Times New Roman" w:hAnsi="Times New Roman" w:cs="Times New Roman"/>
                    </w:rPr>
                    <w:t xml:space="preserve"> Percentile</w:t>
                  </w:r>
                </w:p>
              </w:tc>
              <w:tc>
                <w:tcPr>
                  <w:tcW w:w="1735" w:type="dxa"/>
                  <w:vMerge w:val="restart"/>
                  <w:tcMar>
                    <w:top w:w="72" w:type="dxa"/>
                    <w:left w:w="115" w:type="dxa"/>
                    <w:bottom w:w="72" w:type="dxa"/>
                    <w:right w:w="115" w:type="dxa"/>
                  </w:tcMar>
                  <w:vAlign w:val="center"/>
                </w:tcPr>
                <w:p w14:paraId="0D73E09E" w14:textId="77777777" w:rsidR="00943E5C" w:rsidRPr="00AC6DEC" w:rsidRDefault="00943E5C" w:rsidP="00607B8C">
                  <w:pPr>
                    <w:keepNext/>
                    <w:keepLines/>
                    <w:contextualSpacing/>
                    <w:jc w:val="center"/>
                    <w:rPr>
                      <w:rFonts w:ascii="Times New Roman" w:hAnsi="Times New Roman" w:cs="Times New Roman"/>
                    </w:rPr>
                  </w:pPr>
                  <w:r w:rsidRPr="00AC6DEC">
                    <w:rPr>
                      <w:rFonts w:ascii="Times New Roman" w:hAnsi="Times New Roman" w:cs="Times New Roman"/>
                    </w:rPr>
                    <w:t xml:space="preserve">&gt; Published percentile (only one) </w:t>
                  </w:r>
                </w:p>
              </w:tc>
              <w:tc>
                <w:tcPr>
                  <w:tcW w:w="1230" w:type="dxa"/>
                  <w:tcMar>
                    <w:top w:w="72" w:type="dxa"/>
                    <w:left w:w="115" w:type="dxa"/>
                    <w:bottom w:w="72" w:type="dxa"/>
                    <w:right w:w="115" w:type="dxa"/>
                  </w:tcMar>
                  <w:vAlign w:val="center"/>
                </w:tcPr>
                <w:p w14:paraId="317CBF87" w14:textId="77777777" w:rsidR="00943E5C" w:rsidRPr="00AC6DEC" w:rsidRDefault="00943E5C" w:rsidP="00607B8C">
                  <w:pPr>
                    <w:keepNext/>
                    <w:keepLines/>
                    <w:contextualSpacing/>
                    <w:jc w:val="center"/>
                    <w:rPr>
                      <w:rFonts w:ascii="Times New Roman" w:hAnsi="Times New Roman" w:cs="Times New Roman"/>
                    </w:rPr>
                  </w:pPr>
                  <w:r w:rsidRPr="00AC6DEC">
                    <w:rPr>
                      <w:rFonts w:ascii="Times New Roman" w:hAnsi="Times New Roman" w:cs="Times New Roman"/>
                    </w:rPr>
                    <w:t>5</w:t>
                  </w:r>
                </w:p>
              </w:tc>
            </w:tr>
            <w:tr w:rsidR="00943E5C" w:rsidRPr="00AC6DEC" w14:paraId="2FAA3236" w14:textId="77777777" w:rsidTr="006354C4">
              <w:trPr>
                <w:jc w:val="center"/>
              </w:trPr>
              <w:tc>
                <w:tcPr>
                  <w:tcW w:w="1431" w:type="dxa"/>
                  <w:tcMar>
                    <w:top w:w="72" w:type="dxa"/>
                    <w:left w:w="115" w:type="dxa"/>
                    <w:bottom w:w="72" w:type="dxa"/>
                    <w:right w:w="115" w:type="dxa"/>
                  </w:tcMar>
                  <w:vAlign w:val="center"/>
                </w:tcPr>
                <w:p w14:paraId="5159EAB7" w14:textId="77777777" w:rsidR="00943E5C" w:rsidRPr="00AC6DEC" w:rsidRDefault="00943E5C" w:rsidP="00607B8C">
                  <w:pPr>
                    <w:keepNext/>
                    <w:keepLines/>
                    <w:contextualSpacing/>
                    <w:rPr>
                      <w:rFonts w:ascii="Times New Roman" w:hAnsi="Times New Roman" w:cs="Times New Roman"/>
                    </w:rPr>
                  </w:pPr>
                  <w:r w:rsidRPr="00AC6DEC">
                    <w:rPr>
                      <w:rFonts w:ascii="Times New Roman" w:hAnsi="Times New Roman" w:cs="Times New Roman"/>
                    </w:rPr>
                    <w:t>Using 2019 Census data</w:t>
                  </w:r>
                </w:p>
              </w:tc>
              <w:tc>
                <w:tcPr>
                  <w:tcW w:w="1622" w:type="dxa"/>
                  <w:tcMar>
                    <w:top w:w="72" w:type="dxa"/>
                    <w:left w:w="115" w:type="dxa"/>
                    <w:bottom w:w="72" w:type="dxa"/>
                    <w:right w:w="115" w:type="dxa"/>
                  </w:tcMar>
                  <w:vAlign w:val="center"/>
                </w:tcPr>
                <w:p w14:paraId="018E5C54" w14:textId="77777777" w:rsidR="00943E5C" w:rsidRPr="00AC6DEC" w:rsidRDefault="00943E5C" w:rsidP="00607B8C">
                  <w:pPr>
                    <w:keepNext/>
                    <w:keepLines/>
                    <w:contextualSpacing/>
                    <w:jc w:val="center"/>
                    <w:rPr>
                      <w:rFonts w:ascii="Times New Roman" w:hAnsi="Times New Roman" w:cs="Times New Roman"/>
                    </w:rPr>
                  </w:pPr>
                  <w:r w:rsidRPr="00AC6DEC">
                    <w:rPr>
                      <w:rFonts w:ascii="Times New Roman" w:hAnsi="Times New Roman" w:cs="Times New Roman"/>
                    </w:rPr>
                    <w:t>&gt; 2019 Percentile</w:t>
                  </w:r>
                </w:p>
              </w:tc>
              <w:tc>
                <w:tcPr>
                  <w:tcW w:w="1642" w:type="dxa"/>
                  <w:tcMar>
                    <w:top w:w="72" w:type="dxa"/>
                    <w:left w:w="115" w:type="dxa"/>
                    <w:bottom w:w="72" w:type="dxa"/>
                    <w:right w:w="115" w:type="dxa"/>
                  </w:tcMar>
                  <w:vAlign w:val="center"/>
                </w:tcPr>
                <w:p w14:paraId="4D78C0EE" w14:textId="77777777" w:rsidR="00943E5C" w:rsidRPr="00AC6DEC" w:rsidRDefault="00943E5C" w:rsidP="00607B8C">
                  <w:pPr>
                    <w:keepNext/>
                    <w:keepLines/>
                    <w:contextualSpacing/>
                    <w:jc w:val="center"/>
                    <w:rPr>
                      <w:rFonts w:ascii="Times New Roman" w:hAnsi="Times New Roman" w:cs="Times New Roman"/>
                    </w:rPr>
                  </w:pPr>
                  <w:r w:rsidRPr="00AC6DEC">
                    <w:rPr>
                      <w:rFonts w:ascii="Times New Roman" w:hAnsi="Times New Roman" w:cs="Times New Roman"/>
                    </w:rPr>
                    <w:t>&gt; 2019 Percentile</w:t>
                  </w:r>
                </w:p>
              </w:tc>
              <w:tc>
                <w:tcPr>
                  <w:tcW w:w="1690" w:type="dxa"/>
                  <w:tcMar>
                    <w:top w:w="72" w:type="dxa"/>
                    <w:left w:w="115" w:type="dxa"/>
                    <w:bottom w:w="72" w:type="dxa"/>
                    <w:right w:w="115" w:type="dxa"/>
                  </w:tcMar>
                  <w:vAlign w:val="center"/>
                </w:tcPr>
                <w:p w14:paraId="2C8E5011" w14:textId="77777777" w:rsidR="00943E5C" w:rsidRPr="00AC6DEC" w:rsidRDefault="00943E5C" w:rsidP="00607B8C">
                  <w:pPr>
                    <w:keepNext/>
                    <w:keepLines/>
                    <w:contextualSpacing/>
                    <w:jc w:val="center"/>
                    <w:rPr>
                      <w:rFonts w:ascii="Times New Roman" w:hAnsi="Times New Roman" w:cs="Times New Roman"/>
                    </w:rPr>
                  </w:pPr>
                  <w:r w:rsidRPr="00AC6DEC">
                    <w:rPr>
                      <w:rFonts w:ascii="Times New Roman" w:hAnsi="Times New Roman" w:cs="Times New Roman"/>
                    </w:rPr>
                    <w:t>&gt; 2019 60</w:t>
                  </w:r>
                  <w:r w:rsidRPr="00AC6DEC">
                    <w:rPr>
                      <w:rFonts w:ascii="Times New Roman" w:hAnsi="Times New Roman" w:cs="Times New Roman"/>
                      <w:vertAlign w:val="superscript"/>
                    </w:rPr>
                    <w:t>th</w:t>
                  </w:r>
                  <w:r w:rsidRPr="00AC6DEC">
                    <w:rPr>
                      <w:rFonts w:ascii="Times New Roman" w:hAnsi="Times New Roman" w:cs="Times New Roman"/>
                    </w:rPr>
                    <w:t xml:space="preserve"> or 80</w:t>
                  </w:r>
                  <w:r w:rsidRPr="00AC6DEC">
                    <w:rPr>
                      <w:rFonts w:ascii="Times New Roman" w:hAnsi="Times New Roman" w:cs="Times New Roman"/>
                      <w:vertAlign w:val="superscript"/>
                    </w:rPr>
                    <w:t>th</w:t>
                  </w:r>
                  <w:r w:rsidRPr="00AC6DEC">
                    <w:rPr>
                      <w:rFonts w:ascii="Times New Roman" w:hAnsi="Times New Roman" w:cs="Times New Roman"/>
                    </w:rPr>
                    <w:t xml:space="preserve"> Percentile</w:t>
                  </w:r>
                </w:p>
              </w:tc>
              <w:tc>
                <w:tcPr>
                  <w:tcW w:w="1735" w:type="dxa"/>
                  <w:vMerge/>
                  <w:tcMar>
                    <w:top w:w="72" w:type="dxa"/>
                    <w:left w:w="115" w:type="dxa"/>
                    <w:bottom w:w="72" w:type="dxa"/>
                    <w:right w:w="115" w:type="dxa"/>
                  </w:tcMar>
                  <w:vAlign w:val="center"/>
                </w:tcPr>
                <w:p w14:paraId="6AA266CD" w14:textId="77777777" w:rsidR="00943E5C" w:rsidRPr="00AC6DEC" w:rsidRDefault="00943E5C" w:rsidP="00607B8C">
                  <w:pPr>
                    <w:keepNext/>
                    <w:keepLines/>
                    <w:contextualSpacing/>
                    <w:jc w:val="center"/>
                    <w:rPr>
                      <w:rFonts w:ascii="Times New Roman" w:hAnsi="Times New Roman" w:cs="Times New Roman"/>
                    </w:rPr>
                  </w:pPr>
                </w:p>
              </w:tc>
              <w:tc>
                <w:tcPr>
                  <w:tcW w:w="1230" w:type="dxa"/>
                  <w:tcMar>
                    <w:top w:w="72" w:type="dxa"/>
                    <w:left w:w="115" w:type="dxa"/>
                    <w:bottom w:w="72" w:type="dxa"/>
                    <w:right w:w="115" w:type="dxa"/>
                  </w:tcMar>
                  <w:vAlign w:val="center"/>
                </w:tcPr>
                <w:p w14:paraId="734EC360" w14:textId="77777777" w:rsidR="00943E5C" w:rsidRPr="00AC6DEC" w:rsidRDefault="00943E5C" w:rsidP="00607B8C">
                  <w:pPr>
                    <w:keepNext/>
                    <w:keepLines/>
                    <w:contextualSpacing/>
                    <w:jc w:val="center"/>
                    <w:rPr>
                      <w:rFonts w:ascii="Times New Roman" w:hAnsi="Times New Roman" w:cs="Times New Roman"/>
                    </w:rPr>
                  </w:pPr>
                  <w:r w:rsidRPr="00AC6DEC">
                    <w:rPr>
                      <w:rFonts w:ascii="Times New Roman" w:hAnsi="Times New Roman" w:cs="Times New Roman"/>
                    </w:rPr>
                    <w:t>5</w:t>
                  </w:r>
                </w:p>
              </w:tc>
            </w:tr>
          </w:tbl>
          <w:p w14:paraId="2F5510AB" w14:textId="77777777" w:rsidR="00943E5C" w:rsidRPr="00AC6DEC" w:rsidRDefault="00943E5C" w:rsidP="00607B8C">
            <w:pPr>
              <w:contextualSpacing/>
              <w:rPr>
                <w:rFonts w:ascii="Times New Roman" w:hAnsi="Times New Roman" w:cs="Times New Roman"/>
              </w:rPr>
            </w:pPr>
          </w:p>
          <w:p w14:paraId="6D6D3BCC" w14:textId="77777777" w:rsidR="00943E5C" w:rsidRPr="00AC6DEC" w:rsidRDefault="00943E5C" w:rsidP="00607B8C">
            <w:pPr>
              <w:rPr>
                <w:rFonts w:ascii="Times New Roman" w:hAnsi="Times New Roman" w:cs="Times New Roman"/>
                <w:noProof/>
              </w:rPr>
            </w:pPr>
          </w:p>
        </w:tc>
      </w:tr>
      <w:tr w:rsidR="00943E5C" w:rsidRPr="00AC6DEC" w14:paraId="756BC63D" w14:textId="77777777" w:rsidTr="2A62FF34">
        <w:trPr>
          <w:jc w:val="center"/>
        </w:trPr>
        <w:tc>
          <w:tcPr>
            <w:tcW w:w="2157" w:type="dxa"/>
            <w:tcMar>
              <w:top w:w="72" w:type="dxa"/>
              <w:left w:w="115" w:type="dxa"/>
              <w:bottom w:w="72" w:type="dxa"/>
              <w:right w:w="115" w:type="dxa"/>
            </w:tcMar>
            <w:vAlign w:val="center"/>
          </w:tcPr>
          <w:p w14:paraId="02CC0FC4"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698586F3"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3.14</w:t>
            </w:r>
          </w:p>
          <w:p w14:paraId="429713B0"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t xml:space="preserve">Scoring; Previous Projects </w:t>
            </w:r>
          </w:p>
        </w:tc>
        <w:tc>
          <w:tcPr>
            <w:tcW w:w="9590" w:type="dxa"/>
            <w:tcMar>
              <w:top w:w="72" w:type="dxa"/>
              <w:left w:w="115" w:type="dxa"/>
              <w:bottom w:w="72" w:type="dxa"/>
              <w:right w:w="115" w:type="dxa"/>
            </w:tcMar>
            <w:vAlign w:val="center"/>
          </w:tcPr>
          <w:p w14:paraId="38DB17A3"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Q0121_02</w:t>
            </w:r>
          </w:p>
          <w:p w14:paraId="482693BE"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If a project located in an unincorporated area was awarded credits but subsequently that area is annexed into a municipality, for purposes of scoring in the 2021 cycle, would that award be considered as being in the unincorporated area or the municipality?  </w:t>
            </w:r>
          </w:p>
          <w:p w14:paraId="0AFEBD76" w14:textId="77777777" w:rsidR="00943E5C" w:rsidRPr="00AC6DEC" w:rsidRDefault="00943E5C" w:rsidP="00607B8C">
            <w:pPr>
              <w:contextualSpacing/>
              <w:rPr>
                <w:rFonts w:ascii="Times New Roman" w:hAnsi="Times New Roman" w:cs="Times New Roman"/>
                <w:b/>
                <w:bCs/>
              </w:rPr>
            </w:pPr>
          </w:p>
          <w:p w14:paraId="69B71EBF"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 xml:space="preserve">Answer: </w:t>
            </w:r>
            <w:r w:rsidRPr="00AC6DEC">
              <w:rPr>
                <w:rFonts w:ascii="Times New Roman" w:hAnsi="Times New Roman" w:cs="Times New Roman"/>
                <w:i/>
                <w:iCs/>
              </w:rPr>
              <w:t>Previous Projects</w:t>
            </w:r>
            <w:r w:rsidRPr="00AC6DEC">
              <w:rPr>
                <w:rFonts w:ascii="Times New Roman" w:hAnsi="Times New Roman" w:cs="Times New Roman"/>
              </w:rPr>
              <w:t xml:space="preserve"> states in subsection A. that points “will be awarded if the proposed development site is within a current Local Government Boundary that has not been awarded 9% Credits…” </w:t>
            </w:r>
          </w:p>
          <w:p w14:paraId="31237F25" w14:textId="77777777" w:rsidR="00943E5C" w:rsidRPr="00AC6DEC" w:rsidRDefault="00943E5C" w:rsidP="00607B8C">
            <w:pPr>
              <w:contextualSpacing/>
              <w:rPr>
                <w:rFonts w:ascii="Times New Roman" w:hAnsi="Times New Roman" w:cs="Times New Roman"/>
              </w:rPr>
            </w:pPr>
          </w:p>
          <w:p w14:paraId="39D18EA6"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 xml:space="preserve">The above language intends to equitably distribute 9% credits across local government jurisdictions. As such, DCA evaluates this section based on current municipal boundaries. A municipality that has annexed a property funded under a previous 9% Competitive Round has received the prior-year award. </w:t>
            </w:r>
          </w:p>
          <w:p w14:paraId="375A58D6" w14:textId="77777777" w:rsidR="00943E5C" w:rsidRPr="00AC6DEC" w:rsidRDefault="00943E5C" w:rsidP="00607B8C">
            <w:pPr>
              <w:contextualSpacing/>
              <w:rPr>
                <w:rFonts w:ascii="Times New Roman" w:hAnsi="Times New Roman" w:cs="Times New Roman"/>
              </w:rPr>
            </w:pPr>
          </w:p>
          <w:p w14:paraId="200EDE1D" w14:textId="77777777" w:rsidR="00943E5C" w:rsidRPr="00AC6DEC" w:rsidRDefault="00943E5C" w:rsidP="00607B8C">
            <w:pPr>
              <w:rPr>
                <w:rFonts w:ascii="Times New Roman" w:hAnsi="Times New Roman" w:cs="Times New Roman"/>
                <w:b/>
                <w:bCs/>
                <w:noProof/>
              </w:rPr>
            </w:pPr>
            <w:r w:rsidRPr="00AC6DEC">
              <w:rPr>
                <w:rFonts w:ascii="Times New Roman" w:hAnsi="Times New Roman" w:cs="Times New Roman"/>
              </w:rPr>
              <w:t>Where applicable elsewhere in the QAP, DCA approaches this analysis in the same way (e.g., tiebreakers).</w:t>
            </w:r>
          </w:p>
        </w:tc>
      </w:tr>
      <w:tr w:rsidR="00943E5C" w:rsidRPr="00AC6DEC" w14:paraId="1A98B081" w14:textId="77777777" w:rsidTr="2A62FF34">
        <w:trPr>
          <w:jc w:val="center"/>
        </w:trPr>
        <w:tc>
          <w:tcPr>
            <w:tcW w:w="2157" w:type="dxa"/>
            <w:tcMar>
              <w:top w:w="72" w:type="dxa"/>
              <w:left w:w="115" w:type="dxa"/>
              <w:bottom w:w="72" w:type="dxa"/>
              <w:right w:w="115" w:type="dxa"/>
            </w:tcMar>
            <w:vAlign w:val="center"/>
          </w:tcPr>
          <w:p w14:paraId="42A10BD8" w14:textId="77777777" w:rsidR="00943E5C" w:rsidRPr="00AC6DEC" w:rsidRDefault="00943E5C" w:rsidP="00607B8C">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375036B6"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3.18</w:t>
            </w:r>
          </w:p>
          <w:p w14:paraId="1B4FA469"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5962FDC6" w14:textId="77777777" w:rsidR="00943E5C" w:rsidRPr="00AC6DEC" w:rsidRDefault="00943E5C" w:rsidP="00607B8C">
            <w:pPr>
              <w:contextualSpacing/>
              <w:rPr>
                <w:rFonts w:ascii="Times New Roman" w:hAnsi="Times New Roman" w:cs="Times New Roman"/>
                <w:b/>
                <w:bCs/>
              </w:rPr>
            </w:pPr>
            <w:r w:rsidRPr="00AC6DEC">
              <w:rPr>
                <w:rFonts w:ascii="Times New Roman" w:hAnsi="Times New Roman" w:cs="Times New Roman"/>
                <w:b/>
                <w:bCs/>
              </w:rPr>
              <w:t>Question ID: Q0113_01</w:t>
            </w:r>
          </w:p>
          <w:p w14:paraId="45AE8685" w14:textId="77777777" w:rsidR="00943E5C" w:rsidRPr="00AC6DEC" w:rsidRDefault="00943E5C" w:rsidP="00607B8C">
            <w:pPr>
              <w:contextualSpacing/>
              <w:rPr>
                <w:rFonts w:ascii="Times New Roman" w:hAnsi="Times New Roman" w:cs="Times New Roman"/>
              </w:rPr>
            </w:pPr>
            <w:r w:rsidRPr="00AC6DEC">
              <w:rPr>
                <w:rFonts w:ascii="Times New Roman" w:hAnsi="Times New Roman" w:cs="Times New Roman"/>
              </w:rPr>
              <w:t>If a certified CDFI Banking Institution is a lender on a development and has agreed to provide a construction and permanent source of funding that meets the four pre-requisite requirements of the Favorable Financing section of the QAP, but the funds used by that bank for the funding are not specifically designated as magnet funds, but general “bank funds”, would the financing still qualify for the favorable financing points?  Some conventional banks have capital magnet or reinvestment funds specifically for this type of use, but the statement of “loans originated by a conventional bank are ineligible” appears to disqualify this situation.</w:t>
            </w:r>
          </w:p>
          <w:p w14:paraId="536B843E" w14:textId="77777777" w:rsidR="00943E5C" w:rsidRPr="00AC6DEC" w:rsidRDefault="00943E5C" w:rsidP="00607B8C">
            <w:pPr>
              <w:contextualSpacing/>
              <w:rPr>
                <w:rFonts w:ascii="Times New Roman" w:hAnsi="Times New Roman" w:cs="Times New Roman"/>
              </w:rPr>
            </w:pPr>
          </w:p>
          <w:p w14:paraId="5EBD15E3" w14:textId="77777777" w:rsidR="00943E5C" w:rsidRPr="00AC6DEC" w:rsidRDefault="00943E5C" w:rsidP="00607B8C">
            <w:pPr>
              <w:rPr>
                <w:rFonts w:ascii="Times New Roman" w:hAnsi="Times New Roman" w:cs="Times New Roman"/>
                <w:b/>
                <w:bCs/>
              </w:rPr>
            </w:pPr>
            <w:r w:rsidRPr="00AC6DEC">
              <w:rPr>
                <w:rFonts w:ascii="Times New Roman" w:hAnsi="Times New Roman" w:cs="Times New Roman"/>
                <w:b/>
                <w:bCs/>
              </w:rPr>
              <w:t xml:space="preserve">Answer: </w:t>
            </w:r>
          </w:p>
          <w:p w14:paraId="16FD9DBA" w14:textId="77777777" w:rsidR="00943E5C" w:rsidRPr="00AC6DEC" w:rsidRDefault="00943E5C" w:rsidP="00607B8C">
            <w:pPr>
              <w:rPr>
                <w:rFonts w:ascii="Times New Roman" w:hAnsi="Times New Roman" w:cs="Times New Roman"/>
                <w:noProof/>
              </w:rPr>
            </w:pPr>
            <w:r w:rsidRPr="00AC6DEC">
              <w:rPr>
                <w:rFonts w:ascii="Times New Roman" w:hAnsi="Times New Roman" w:cs="Times New Roman"/>
              </w:rPr>
              <w:t xml:space="preserve">Per the 2021 QAP, qualifying sources must either meet the criteria for one of the first ten sources listed under </w:t>
            </w:r>
            <w:r w:rsidRPr="00AC6DEC">
              <w:rPr>
                <w:rFonts w:ascii="Times New Roman" w:hAnsi="Times New Roman" w:cs="Times New Roman"/>
                <w:i/>
                <w:iCs/>
              </w:rPr>
              <w:t>Favorable Financing</w:t>
            </w:r>
            <w:r w:rsidRPr="00AC6DEC">
              <w:rPr>
                <w:rFonts w:ascii="Times New Roman" w:hAnsi="Times New Roman" w:cs="Times New Roman"/>
              </w:rPr>
              <w:t xml:space="preserve"> subsection A or constitute “Other Federal, State, or local grant funds or loans.” Further, “Loans originated by a conventional bank are ineligible.” Therefore, absent further information that clarifies how the hypothetical lending institution and sources of funds meet the criteria for one of the items under subsection A, the above-referenced financing opportunity would not qualify for points under </w:t>
            </w:r>
            <w:r w:rsidRPr="00AC6DEC">
              <w:rPr>
                <w:rFonts w:ascii="Times New Roman" w:hAnsi="Times New Roman" w:cs="Times New Roman"/>
                <w:i/>
                <w:iCs/>
              </w:rPr>
              <w:t>Favorable Financing.</w:t>
            </w:r>
          </w:p>
        </w:tc>
      </w:tr>
    </w:tbl>
    <w:p w14:paraId="433F1041" w14:textId="77777777" w:rsidR="009A7564" w:rsidRPr="00D90432" w:rsidRDefault="009A7564" w:rsidP="000078D6">
      <w:pPr>
        <w:rPr>
          <w:rFonts w:ascii="Times New Roman" w:hAnsi="Times New Roman" w:cs="Times New Roman"/>
          <w:noProof/>
        </w:rPr>
      </w:pPr>
    </w:p>
    <w:sectPr w:rsidR="009A7564" w:rsidRPr="00D90432" w:rsidSect="00A341E3">
      <w:headerReference w:type="first" r:id="rId4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55E1" w14:textId="77777777" w:rsidR="001F63C6" w:rsidRDefault="001F63C6" w:rsidP="00441946">
      <w:pPr>
        <w:spacing w:after="0" w:line="240" w:lineRule="auto"/>
      </w:pPr>
      <w:r>
        <w:separator/>
      </w:r>
    </w:p>
  </w:endnote>
  <w:endnote w:type="continuationSeparator" w:id="0">
    <w:p w14:paraId="05B0858C" w14:textId="77777777" w:rsidR="001F63C6" w:rsidRDefault="001F63C6" w:rsidP="00441946">
      <w:pPr>
        <w:spacing w:after="0" w:line="240" w:lineRule="auto"/>
      </w:pPr>
      <w:r>
        <w:continuationSeparator/>
      </w:r>
    </w:p>
  </w:endnote>
  <w:endnote w:type="continuationNotice" w:id="1">
    <w:p w14:paraId="789A92F1" w14:textId="77777777" w:rsidR="001F63C6" w:rsidRDefault="001F63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212A" w14:textId="77777777" w:rsidR="001F63C6" w:rsidRDefault="001F63C6" w:rsidP="00441946">
      <w:pPr>
        <w:spacing w:after="0" w:line="240" w:lineRule="auto"/>
      </w:pPr>
      <w:r>
        <w:separator/>
      </w:r>
    </w:p>
  </w:footnote>
  <w:footnote w:type="continuationSeparator" w:id="0">
    <w:p w14:paraId="7F788764" w14:textId="77777777" w:rsidR="001F63C6" w:rsidRDefault="001F63C6" w:rsidP="00441946">
      <w:pPr>
        <w:spacing w:after="0" w:line="240" w:lineRule="auto"/>
      </w:pPr>
      <w:r>
        <w:continuationSeparator/>
      </w:r>
    </w:p>
  </w:footnote>
  <w:footnote w:type="continuationNotice" w:id="1">
    <w:p w14:paraId="647CAF89" w14:textId="77777777" w:rsidR="001F63C6" w:rsidRDefault="001F63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F81A" w14:textId="761E2A05" w:rsidR="00B104DA" w:rsidRPr="00AA437D" w:rsidRDefault="00B104DA">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D4B59C"/>
    <w:multiLevelType w:val="hybridMultilevel"/>
    <w:tmpl w:val="AE1D9B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44B1F"/>
    <w:multiLevelType w:val="hybridMultilevel"/>
    <w:tmpl w:val="58F8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9773C"/>
    <w:multiLevelType w:val="hybridMultilevel"/>
    <w:tmpl w:val="FF98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710CE"/>
    <w:multiLevelType w:val="hybridMultilevel"/>
    <w:tmpl w:val="E2A4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0E7D"/>
    <w:multiLevelType w:val="hybridMultilevel"/>
    <w:tmpl w:val="14AE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06"/>
    <w:multiLevelType w:val="hybridMultilevel"/>
    <w:tmpl w:val="B33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4640E"/>
    <w:multiLevelType w:val="hybridMultilevel"/>
    <w:tmpl w:val="8536E3AA"/>
    <w:lvl w:ilvl="0" w:tplc="18BEB714">
      <w:start w:val="1"/>
      <w:numFmt w:val="bullet"/>
      <w:lvlText w:val=""/>
      <w:lvlJc w:val="left"/>
      <w:pPr>
        <w:tabs>
          <w:tab w:val="num" w:pos="720"/>
        </w:tabs>
        <w:ind w:left="720" w:hanging="360"/>
      </w:pPr>
      <w:rPr>
        <w:rFonts w:ascii="Symbol" w:hAnsi="Symbol" w:hint="default"/>
        <w:sz w:val="20"/>
      </w:rPr>
    </w:lvl>
    <w:lvl w:ilvl="1" w:tplc="323A2C72" w:tentative="1">
      <w:start w:val="1"/>
      <w:numFmt w:val="bullet"/>
      <w:lvlText w:val="o"/>
      <w:lvlJc w:val="left"/>
      <w:pPr>
        <w:tabs>
          <w:tab w:val="num" w:pos="1440"/>
        </w:tabs>
        <w:ind w:left="1440" w:hanging="360"/>
      </w:pPr>
      <w:rPr>
        <w:rFonts w:ascii="Courier New" w:hAnsi="Courier New" w:hint="default"/>
        <w:sz w:val="20"/>
      </w:rPr>
    </w:lvl>
    <w:lvl w:ilvl="2" w:tplc="77DA8200" w:tentative="1">
      <w:start w:val="1"/>
      <w:numFmt w:val="bullet"/>
      <w:lvlText w:val=""/>
      <w:lvlJc w:val="left"/>
      <w:pPr>
        <w:tabs>
          <w:tab w:val="num" w:pos="2160"/>
        </w:tabs>
        <w:ind w:left="2160" w:hanging="360"/>
      </w:pPr>
      <w:rPr>
        <w:rFonts w:ascii="Wingdings" w:hAnsi="Wingdings" w:hint="default"/>
        <w:sz w:val="20"/>
      </w:rPr>
    </w:lvl>
    <w:lvl w:ilvl="3" w:tplc="E0A22F5E" w:tentative="1">
      <w:start w:val="1"/>
      <w:numFmt w:val="bullet"/>
      <w:lvlText w:val=""/>
      <w:lvlJc w:val="left"/>
      <w:pPr>
        <w:tabs>
          <w:tab w:val="num" w:pos="2880"/>
        </w:tabs>
        <w:ind w:left="2880" w:hanging="360"/>
      </w:pPr>
      <w:rPr>
        <w:rFonts w:ascii="Wingdings" w:hAnsi="Wingdings" w:hint="default"/>
        <w:sz w:val="20"/>
      </w:rPr>
    </w:lvl>
    <w:lvl w:ilvl="4" w:tplc="B74423AC" w:tentative="1">
      <w:start w:val="1"/>
      <w:numFmt w:val="bullet"/>
      <w:lvlText w:val=""/>
      <w:lvlJc w:val="left"/>
      <w:pPr>
        <w:tabs>
          <w:tab w:val="num" w:pos="3600"/>
        </w:tabs>
        <w:ind w:left="3600" w:hanging="360"/>
      </w:pPr>
      <w:rPr>
        <w:rFonts w:ascii="Wingdings" w:hAnsi="Wingdings" w:hint="default"/>
        <w:sz w:val="20"/>
      </w:rPr>
    </w:lvl>
    <w:lvl w:ilvl="5" w:tplc="CBF8717E" w:tentative="1">
      <w:start w:val="1"/>
      <w:numFmt w:val="bullet"/>
      <w:lvlText w:val=""/>
      <w:lvlJc w:val="left"/>
      <w:pPr>
        <w:tabs>
          <w:tab w:val="num" w:pos="4320"/>
        </w:tabs>
        <w:ind w:left="4320" w:hanging="360"/>
      </w:pPr>
      <w:rPr>
        <w:rFonts w:ascii="Wingdings" w:hAnsi="Wingdings" w:hint="default"/>
        <w:sz w:val="20"/>
      </w:rPr>
    </w:lvl>
    <w:lvl w:ilvl="6" w:tplc="6C3A6FBC" w:tentative="1">
      <w:start w:val="1"/>
      <w:numFmt w:val="bullet"/>
      <w:lvlText w:val=""/>
      <w:lvlJc w:val="left"/>
      <w:pPr>
        <w:tabs>
          <w:tab w:val="num" w:pos="5040"/>
        </w:tabs>
        <w:ind w:left="5040" w:hanging="360"/>
      </w:pPr>
      <w:rPr>
        <w:rFonts w:ascii="Wingdings" w:hAnsi="Wingdings" w:hint="default"/>
        <w:sz w:val="20"/>
      </w:rPr>
    </w:lvl>
    <w:lvl w:ilvl="7" w:tplc="0BBA2B0E" w:tentative="1">
      <w:start w:val="1"/>
      <w:numFmt w:val="bullet"/>
      <w:lvlText w:val=""/>
      <w:lvlJc w:val="left"/>
      <w:pPr>
        <w:tabs>
          <w:tab w:val="num" w:pos="5760"/>
        </w:tabs>
        <w:ind w:left="5760" w:hanging="360"/>
      </w:pPr>
      <w:rPr>
        <w:rFonts w:ascii="Wingdings" w:hAnsi="Wingdings" w:hint="default"/>
        <w:sz w:val="20"/>
      </w:rPr>
    </w:lvl>
    <w:lvl w:ilvl="8" w:tplc="09E4B08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86CAD"/>
    <w:multiLevelType w:val="hybridMultilevel"/>
    <w:tmpl w:val="0254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E39C2"/>
    <w:multiLevelType w:val="hybridMultilevel"/>
    <w:tmpl w:val="FFC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42F49"/>
    <w:multiLevelType w:val="hybridMultilevel"/>
    <w:tmpl w:val="5FA8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32353"/>
    <w:multiLevelType w:val="hybridMultilevel"/>
    <w:tmpl w:val="BD06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A7E67"/>
    <w:multiLevelType w:val="hybridMultilevel"/>
    <w:tmpl w:val="3518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025E0"/>
    <w:multiLevelType w:val="hybridMultilevel"/>
    <w:tmpl w:val="6BD664D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2F8249D6"/>
    <w:multiLevelType w:val="hybridMultilevel"/>
    <w:tmpl w:val="D2EA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330CA"/>
    <w:multiLevelType w:val="hybridMultilevel"/>
    <w:tmpl w:val="097E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64D47"/>
    <w:multiLevelType w:val="hybridMultilevel"/>
    <w:tmpl w:val="138C2DB8"/>
    <w:lvl w:ilvl="0" w:tplc="2E40CE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B1C13"/>
    <w:multiLevelType w:val="hybridMultilevel"/>
    <w:tmpl w:val="FEBA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82FA7"/>
    <w:multiLevelType w:val="hybridMultilevel"/>
    <w:tmpl w:val="9A346CDE"/>
    <w:lvl w:ilvl="0" w:tplc="ED1833A4">
      <w:start w:val="1"/>
      <w:numFmt w:val="bullet"/>
      <w:lvlText w:val=""/>
      <w:lvlJc w:val="left"/>
      <w:pPr>
        <w:ind w:left="720" w:hanging="360"/>
      </w:pPr>
      <w:rPr>
        <w:rFonts w:ascii="Symbol" w:hAnsi="Symbol" w:hint="default"/>
      </w:rPr>
    </w:lvl>
    <w:lvl w:ilvl="1" w:tplc="A7A8476A">
      <w:start w:val="1"/>
      <w:numFmt w:val="bullet"/>
      <w:lvlText w:val="o"/>
      <w:lvlJc w:val="left"/>
      <w:pPr>
        <w:ind w:left="1440" w:hanging="360"/>
      </w:pPr>
      <w:rPr>
        <w:rFonts w:ascii="Courier New" w:hAnsi="Courier New" w:hint="default"/>
      </w:rPr>
    </w:lvl>
    <w:lvl w:ilvl="2" w:tplc="2264CBF0">
      <w:start w:val="1"/>
      <w:numFmt w:val="bullet"/>
      <w:lvlText w:val=""/>
      <w:lvlJc w:val="left"/>
      <w:pPr>
        <w:ind w:left="2160" w:hanging="360"/>
      </w:pPr>
      <w:rPr>
        <w:rFonts w:ascii="Wingdings" w:hAnsi="Wingdings" w:hint="default"/>
      </w:rPr>
    </w:lvl>
    <w:lvl w:ilvl="3" w:tplc="2C680F32">
      <w:start w:val="1"/>
      <w:numFmt w:val="bullet"/>
      <w:lvlText w:val=""/>
      <w:lvlJc w:val="left"/>
      <w:pPr>
        <w:ind w:left="2880" w:hanging="360"/>
      </w:pPr>
      <w:rPr>
        <w:rFonts w:ascii="Symbol" w:hAnsi="Symbol" w:hint="default"/>
      </w:rPr>
    </w:lvl>
    <w:lvl w:ilvl="4" w:tplc="3B9AD75A">
      <w:start w:val="1"/>
      <w:numFmt w:val="bullet"/>
      <w:lvlText w:val="o"/>
      <w:lvlJc w:val="left"/>
      <w:pPr>
        <w:ind w:left="3600" w:hanging="360"/>
      </w:pPr>
      <w:rPr>
        <w:rFonts w:ascii="Courier New" w:hAnsi="Courier New" w:hint="default"/>
      </w:rPr>
    </w:lvl>
    <w:lvl w:ilvl="5" w:tplc="3A5EA408">
      <w:start w:val="1"/>
      <w:numFmt w:val="bullet"/>
      <w:lvlText w:val=""/>
      <w:lvlJc w:val="left"/>
      <w:pPr>
        <w:ind w:left="4320" w:hanging="360"/>
      </w:pPr>
      <w:rPr>
        <w:rFonts w:ascii="Wingdings" w:hAnsi="Wingdings" w:hint="default"/>
      </w:rPr>
    </w:lvl>
    <w:lvl w:ilvl="6" w:tplc="41026C00">
      <w:start w:val="1"/>
      <w:numFmt w:val="bullet"/>
      <w:lvlText w:val=""/>
      <w:lvlJc w:val="left"/>
      <w:pPr>
        <w:ind w:left="5040" w:hanging="360"/>
      </w:pPr>
      <w:rPr>
        <w:rFonts w:ascii="Symbol" w:hAnsi="Symbol" w:hint="default"/>
      </w:rPr>
    </w:lvl>
    <w:lvl w:ilvl="7" w:tplc="BBD423A6">
      <w:start w:val="1"/>
      <w:numFmt w:val="bullet"/>
      <w:lvlText w:val="o"/>
      <w:lvlJc w:val="left"/>
      <w:pPr>
        <w:ind w:left="5760" w:hanging="360"/>
      </w:pPr>
      <w:rPr>
        <w:rFonts w:ascii="Courier New" w:hAnsi="Courier New" w:hint="default"/>
      </w:rPr>
    </w:lvl>
    <w:lvl w:ilvl="8" w:tplc="18445474">
      <w:start w:val="1"/>
      <w:numFmt w:val="bullet"/>
      <w:lvlText w:val=""/>
      <w:lvlJc w:val="left"/>
      <w:pPr>
        <w:ind w:left="6480" w:hanging="360"/>
      </w:pPr>
      <w:rPr>
        <w:rFonts w:ascii="Wingdings" w:hAnsi="Wingdings" w:hint="default"/>
      </w:rPr>
    </w:lvl>
  </w:abstractNum>
  <w:abstractNum w:abstractNumId="19" w15:restartNumberingAfterBreak="0">
    <w:nsid w:val="3C8453E6"/>
    <w:multiLevelType w:val="hybridMultilevel"/>
    <w:tmpl w:val="EAEE30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3D1B7BB2"/>
    <w:multiLevelType w:val="hybridMultilevel"/>
    <w:tmpl w:val="67D4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E0A4E"/>
    <w:multiLevelType w:val="hybridMultilevel"/>
    <w:tmpl w:val="EC7C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D3B40"/>
    <w:multiLevelType w:val="hybridMultilevel"/>
    <w:tmpl w:val="8E4E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42CC5"/>
    <w:multiLevelType w:val="hybridMultilevel"/>
    <w:tmpl w:val="6FCC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33B1B"/>
    <w:multiLevelType w:val="hybridMultilevel"/>
    <w:tmpl w:val="990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61B9C"/>
    <w:multiLevelType w:val="hybridMultilevel"/>
    <w:tmpl w:val="CE74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E6424"/>
    <w:multiLevelType w:val="hybridMultilevel"/>
    <w:tmpl w:val="2432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402A8A"/>
    <w:multiLevelType w:val="hybridMultilevel"/>
    <w:tmpl w:val="530E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901A5"/>
    <w:multiLevelType w:val="hybridMultilevel"/>
    <w:tmpl w:val="5562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550E53"/>
    <w:multiLevelType w:val="hybridMultilevel"/>
    <w:tmpl w:val="899C8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5609BF"/>
    <w:multiLevelType w:val="hybridMultilevel"/>
    <w:tmpl w:val="3236CBFC"/>
    <w:lvl w:ilvl="0" w:tplc="498606A8">
      <w:start w:val="1"/>
      <w:numFmt w:val="bullet"/>
      <w:lvlText w:val=""/>
      <w:lvlJc w:val="left"/>
      <w:pPr>
        <w:tabs>
          <w:tab w:val="num" w:pos="720"/>
        </w:tabs>
        <w:ind w:left="720" w:hanging="360"/>
      </w:pPr>
      <w:rPr>
        <w:rFonts w:ascii="Symbol" w:hAnsi="Symbol" w:hint="default"/>
        <w:sz w:val="20"/>
      </w:rPr>
    </w:lvl>
    <w:lvl w:ilvl="1" w:tplc="BD7278D6" w:tentative="1">
      <w:start w:val="1"/>
      <w:numFmt w:val="bullet"/>
      <w:lvlText w:val="o"/>
      <w:lvlJc w:val="left"/>
      <w:pPr>
        <w:tabs>
          <w:tab w:val="num" w:pos="1440"/>
        </w:tabs>
        <w:ind w:left="1440" w:hanging="360"/>
      </w:pPr>
      <w:rPr>
        <w:rFonts w:ascii="Courier New" w:hAnsi="Courier New" w:hint="default"/>
        <w:sz w:val="20"/>
      </w:rPr>
    </w:lvl>
    <w:lvl w:ilvl="2" w:tplc="261AF814" w:tentative="1">
      <w:start w:val="1"/>
      <w:numFmt w:val="bullet"/>
      <w:lvlText w:val=""/>
      <w:lvlJc w:val="left"/>
      <w:pPr>
        <w:tabs>
          <w:tab w:val="num" w:pos="2160"/>
        </w:tabs>
        <w:ind w:left="2160" w:hanging="360"/>
      </w:pPr>
      <w:rPr>
        <w:rFonts w:ascii="Wingdings" w:hAnsi="Wingdings" w:hint="default"/>
        <w:sz w:val="20"/>
      </w:rPr>
    </w:lvl>
    <w:lvl w:ilvl="3" w:tplc="DFE4B794" w:tentative="1">
      <w:start w:val="1"/>
      <w:numFmt w:val="bullet"/>
      <w:lvlText w:val=""/>
      <w:lvlJc w:val="left"/>
      <w:pPr>
        <w:tabs>
          <w:tab w:val="num" w:pos="2880"/>
        </w:tabs>
        <w:ind w:left="2880" w:hanging="360"/>
      </w:pPr>
      <w:rPr>
        <w:rFonts w:ascii="Wingdings" w:hAnsi="Wingdings" w:hint="default"/>
        <w:sz w:val="20"/>
      </w:rPr>
    </w:lvl>
    <w:lvl w:ilvl="4" w:tplc="26EC88FC" w:tentative="1">
      <w:start w:val="1"/>
      <w:numFmt w:val="bullet"/>
      <w:lvlText w:val=""/>
      <w:lvlJc w:val="left"/>
      <w:pPr>
        <w:tabs>
          <w:tab w:val="num" w:pos="3600"/>
        </w:tabs>
        <w:ind w:left="3600" w:hanging="360"/>
      </w:pPr>
      <w:rPr>
        <w:rFonts w:ascii="Wingdings" w:hAnsi="Wingdings" w:hint="default"/>
        <w:sz w:val="20"/>
      </w:rPr>
    </w:lvl>
    <w:lvl w:ilvl="5" w:tplc="B82052EE" w:tentative="1">
      <w:start w:val="1"/>
      <w:numFmt w:val="bullet"/>
      <w:lvlText w:val=""/>
      <w:lvlJc w:val="left"/>
      <w:pPr>
        <w:tabs>
          <w:tab w:val="num" w:pos="4320"/>
        </w:tabs>
        <w:ind w:left="4320" w:hanging="360"/>
      </w:pPr>
      <w:rPr>
        <w:rFonts w:ascii="Wingdings" w:hAnsi="Wingdings" w:hint="default"/>
        <w:sz w:val="20"/>
      </w:rPr>
    </w:lvl>
    <w:lvl w:ilvl="6" w:tplc="EB5013CE" w:tentative="1">
      <w:start w:val="1"/>
      <w:numFmt w:val="bullet"/>
      <w:lvlText w:val=""/>
      <w:lvlJc w:val="left"/>
      <w:pPr>
        <w:tabs>
          <w:tab w:val="num" w:pos="5040"/>
        </w:tabs>
        <w:ind w:left="5040" w:hanging="360"/>
      </w:pPr>
      <w:rPr>
        <w:rFonts w:ascii="Wingdings" w:hAnsi="Wingdings" w:hint="default"/>
        <w:sz w:val="20"/>
      </w:rPr>
    </w:lvl>
    <w:lvl w:ilvl="7" w:tplc="1A6CE1C0" w:tentative="1">
      <w:start w:val="1"/>
      <w:numFmt w:val="bullet"/>
      <w:lvlText w:val=""/>
      <w:lvlJc w:val="left"/>
      <w:pPr>
        <w:tabs>
          <w:tab w:val="num" w:pos="5760"/>
        </w:tabs>
        <w:ind w:left="5760" w:hanging="360"/>
      </w:pPr>
      <w:rPr>
        <w:rFonts w:ascii="Wingdings" w:hAnsi="Wingdings" w:hint="default"/>
        <w:sz w:val="20"/>
      </w:rPr>
    </w:lvl>
    <w:lvl w:ilvl="8" w:tplc="0902D5DC"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BF7C17"/>
    <w:multiLevelType w:val="hybridMultilevel"/>
    <w:tmpl w:val="A4F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C54B72"/>
    <w:multiLevelType w:val="hybridMultilevel"/>
    <w:tmpl w:val="518F45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DB07BCD"/>
    <w:multiLevelType w:val="hybridMultilevel"/>
    <w:tmpl w:val="711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746E2"/>
    <w:multiLevelType w:val="hybridMultilevel"/>
    <w:tmpl w:val="289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44005"/>
    <w:multiLevelType w:val="hybridMultilevel"/>
    <w:tmpl w:val="4392B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AE0221"/>
    <w:multiLevelType w:val="multilevel"/>
    <w:tmpl w:val="B612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C31BF"/>
    <w:multiLevelType w:val="hybridMultilevel"/>
    <w:tmpl w:val="3174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AA435C"/>
    <w:multiLevelType w:val="hybridMultilevel"/>
    <w:tmpl w:val="6D98B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4E2D06"/>
    <w:multiLevelType w:val="hybridMultilevel"/>
    <w:tmpl w:val="DCA2C766"/>
    <w:lvl w:ilvl="0" w:tplc="20DE4192">
      <w:start w:val="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7B26A4"/>
    <w:multiLevelType w:val="hybridMultilevel"/>
    <w:tmpl w:val="77AC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C03A9"/>
    <w:multiLevelType w:val="hybridMultilevel"/>
    <w:tmpl w:val="29C4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41FE7"/>
    <w:multiLevelType w:val="hybridMultilevel"/>
    <w:tmpl w:val="271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42E04"/>
    <w:multiLevelType w:val="hybridMultilevel"/>
    <w:tmpl w:val="07209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12"/>
  </w:num>
  <w:num w:numId="4">
    <w:abstractNumId w:val="4"/>
  </w:num>
  <w:num w:numId="5">
    <w:abstractNumId w:val="15"/>
  </w:num>
  <w:num w:numId="6">
    <w:abstractNumId w:val="34"/>
  </w:num>
  <w:num w:numId="7">
    <w:abstractNumId w:val="42"/>
  </w:num>
  <w:num w:numId="8">
    <w:abstractNumId w:val="11"/>
  </w:num>
  <w:num w:numId="9">
    <w:abstractNumId w:val="26"/>
  </w:num>
  <w:num w:numId="10">
    <w:abstractNumId w:val="28"/>
  </w:num>
  <w:num w:numId="11">
    <w:abstractNumId w:val="35"/>
  </w:num>
  <w:num w:numId="12">
    <w:abstractNumId w:val="27"/>
  </w:num>
  <w:num w:numId="13">
    <w:abstractNumId w:val="38"/>
  </w:num>
  <w:num w:numId="14">
    <w:abstractNumId w:val="17"/>
  </w:num>
  <w:num w:numId="15">
    <w:abstractNumId w:val="2"/>
  </w:num>
  <w:num w:numId="16">
    <w:abstractNumId w:val="6"/>
  </w:num>
  <w:num w:numId="17">
    <w:abstractNumId w:val="31"/>
  </w:num>
  <w:num w:numId="18">
    <w:abstractNumId w:val="25"/>
  </w:num>
  <w:num w:numId="19">
    <w:abstractNumId w:val="21"/>
  </w:num>
  <w:num w:numId="20">
    <w:abstractNumId w:val="39"/>
  </w:num>
  <w:num w:numId="21">
    <w:abstractNumId w:val="10"/>
  </w:num>
  <w:num w:numId="22">
    <w:abstractNumId w:val="16"/>
  </w:num>
  <w:num w:numId="23">
    <w:abstractNumId w:val="19"/>
  </w:num>
  <w:num w:numId="24">
    <w:abstractNumId w:val="13"/>
  </w:num>
  <w:num w:numId="25">
    <w:abstractNumId w:val="32"/>
  </w:num>
  <w:num w:numId="26">
    <w:abstractNumId w:val="14"/>
  </w:num>
  <w:num w:numId="27">
    <w:abstractNumId w:val="9"/>
  </w:num>
  <w:num w:numId="28">
    <w:abstractNumId w:val="44"/>
  </w:num>
  <w:num w:numId="29">
    <w:abstractNumId w:val="7"/>
  </w:num>
  <w:num w:numId="30">
    <w:abstractNumId w:val="1"/>
  </w:num>
  <w:num w:numId="31">
    <w:abstractNumId w:val="5"/>
  </w:num>
  <w:num w:numId="32">
    <w:abstractNumId w:val="24"/>
  </w:num>
  <w:num w:numId="33">
    <w:abstractNumId w:val="29"/>
  </w:num>
  <w:num w:numId="34">
    <w:abstractNumId w:val="23"/>
  </w:num>
  <w:num w:numId="35">
    <w:abstractNumId w:val="37"/>
  </w:num>
  <w:num w:numId="36">
    <w:abstractNumId w:val="43"/>
  </w:num>
  <w:num w:numId="37">
    <w:abstractNumId w:val="22"/>
  </w:num>
  <w:num w:numId="38">
    <w:abstractNumId w:val="3"/>
  </w:num>
  <w:num w:numId="39">
    <w:abstractNumId w:val="30"/>
  </w:num>
  <w:num w:numId="40">
    <w:abstractNumId w:val="18"/>
  </w:num>
  <w:num w:numId="41">
    <w:abstractNumId w:val="33"/>
  </w:num>
  <w:num w:numId="42">
    <w:abstractNumId w:val="40"/>
  </w:num>
  <w:num w:numId="43">
    <w:abstractNumId w:val="36"/>
  </w:num>
  <w:num w:numId="44">
    <w:abstractNumId w:val="0"/>
  </w:num>
  <w:num w:numId="45">
    <w:abstractNumId w:val="4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389"/>
    <w:rsid w:val="00000670"/>
    <w:rsid w:val="000006FD"/>
    <w:rsid w:val="00002E1D"/>
    <w:rsid w:val="000041FD"/>
    <w:rsid w:val="000043AA"/>
    <w:rsid w:val="00005DA7"/>
    <w:rsid w:val="000068B4"/>
    <w:rsid w:val="00006C45"/>
    <w:rsid w:val="000074D6"/>
    <w:rsid w:val="000078D6"/>
    <w:rsid w:val="00007D3C"/>
    <w:rsid w:val="00010256"/>
    <w:rsid w:val="000103AD"/>
    <w:rsid w:val="000103F6"/>
    <w:rsid w:val="0001086C"/>
    <w:rsid w:val="0001101F"/>
    <w:rsid w:val="0001138D"/>
    <w:rsid w:val="0001196F"/>
    <w:rsid w:val="00011A91"/>
    <w:rsid w:val="00011D8F"/>
    <w:rsid w:val="000125A7"/>
    <w:rsid w:val="000128C4"/>
    <w:rsid w:val="000129F5"/>
    <w:rsid w:val="00013462"/>
    <w:rsid w:val="00015183"/>
    <w:rsid w:val="000153A2"/>
    <w:rsid w:val="00015B1F"/>
    <w:rsid w:val="0001651F"/>
    <w:rsid w:val="000173D2"/>
    <w:rsid w:val="0001762A"/>
    <w:rsid w:val="00017A16"/>
    <w:rsid w:val="00017D55"/>
    <w:rsid w:val="0002085D"/>
    <w:rsid w:val="00021279"/>
    <w:rsid w:val="000214C6"/>
    <w:rsid w:val="000214D9"/>
    <w:rsid w:val="00021F3B"/>
    <w:rsid w:val="00023667"/>
    <w:rsid w:val="00024181"/>
    <w:rsid w:val="0002513C"/>
    <w:rsid w:val="0002524F"/>
    <w:rsid w:val="00025253"/>
    <w:rsid w:val="00025584"/>
    <w:rsid w:val="0002632E"/>
    <w:rsid w:val="00026C03"/>
    <w:rsid w:val="00030A19"/>
    <w:rsid w:val="000328C6"/>
    <w:rsid w:val="00033381"/>
    <w:rsid w:val="000339B5"/>
    <w:rsid w:val="000344B0"/>
    <w:rsid w:val="00034E6E"/>
    <w:rsid w:val="000358BF"/>
    <w:rsid w:val="00035F89"/>
    <w:rsid w:val="0003642E"/>
    <w:rsid w:val="00036FBB"/>
    <w:rsid w:val="00037129"/>
    <w:rsid w:val="00037557"/>
    <w:rsid w:val="00037CEC"/>
    <w:rsid w:val="00040375"/>
    <w:rsid w:val="00040680"/>
    <w:rsid w:val="00040802"/>
    <w:rsid w:val="00041152"/>
    <w:rsid w:val="00041410"/>
    <w:rsid w:val="0004180C"/>
    <w:rsid w:val="000418D6"/>
    <w:rsid w:val="000426B6"/>
    <w:rsid w:val="00044014"/>
    <w:rsid w:val="000456FE"/>
    <w:rsid w:val="00047BA6"/>
    <w:rsid w:val="00050A0F"/>
    <w:rsid w:val="00051606"/>
    <w:rsid w:val="00052C00"/>
    <w:rsid w:val="0005360C"/>
    <w:rsid w:val="00054008"/>
    <w:rsid w:val="0005488C"/>
    <w:rsid w:val="00054FC5"/>
    <w:rsid w:val="00055CB4"/>
    <w:rsid w:val="0006056D"/>
    <w:rsid w:val="00060B60"/>
    <w:rsid w:val="00060D87"/>
    <w:rsid w:val="00061BC7"/>
    <w:rsid w:val="00061E56"/>
    <w:rsid w:val="00064243"/>
    <w:rsid w:val="000648E0"/>
    <w:rsid w:val="000653EA"/>
    <w:rsid w:val="00065D0F"/>
    <w:rsid w:val="000661D9"/>
    <w:rsid w:val="00066A73"/>
    <w:rsid w:val="00067754"/>
    <w:rsid w:val="00070520"/>
    <w:rsid w:val="00071086"/>
    <w:rsid w:val="000717B1"/>
    <w:rsid w:val="00071862"/>
    <w:rsid w:val="00071AC6"/>
    <w:rsid w:val="00072C0F"/>
    <w:rsid w:val="000732DF"/>
    <w:rsid w:val="000734AC"/>
    <w:rsid w:val="00073CD2"/>
    <w:rsid w:val="00073EED"/>
    <w:rsid w:val="000750E7"/>
    <w:rsid w:val="00075342"/>
    <w:rsid w:val="000756E6"/>
    <w:rsid w:val="0007714C"/>
    <w:rsid w:val="00077A0D"/>
    <w:rsid w:val="000806E9"/>
    <w:rsid w:val="00080F67"/>
    <w:rsid w:val="00081692"/>
    <w:rsid w:val="00081752"/>
    <w:rsid w:val="00081775"/>
    <w:rsid w:val="000832B9"/>
    <w:rsid w:val="00083C6E"/>
    <w:rsid w:val="000847D6"/>
    <w:rsid w:val="00085A9A"/>
    <w:rsid w:val="00085E5B"/>
    <w:rsid w:val="00085FFA"/>
    <w:rsid w:val="000864B2"/>
    <w:rsid w:val="00087AA8"/>
    <w:rsid w:val="00090EB1"/>
    <w:rsid w:val="00090EB4"/>
    <w:rsid w:val="0009140B"/>
    <w:rsid w:val="00091934"/>
    <w:rsid w:val="00093898"/>
    <w:rsid w:val="00094591"/>
    <w:rsid w:val="00094D17"/>
    <w:rsid w:val="00095377"/>
    <w:rsid w:val="000958FF"/>
    <w:rsid w:val="00095A13"/>
    <w:rsid w:val="00096554"/>
    <w:rsid w:val="000967CE"/>
    <w:rsid w:val="000968B9"/>
    <w:rsid w:val="000A0B8D"/>
    <w:rsid w:val="000A11E1"/>
    <w:rsid w:val="000A1674"/>
    <w:rsid w:val="000A19C4"/>
    <w:rsid w:val="000A1D6A"/>
    <w:rsid w:val="000A2E12"/>
    <w:rsid w:val="000A426F"/>
    <w:rsid w:val="000A4277"/>
    <w:rsid w:val="000A4349"/>
    <w:rsid w:val="000A476E"/>
    <w:rsid w:val="000A5168"/>
    <w:rsid w:val="000A5782"/>
    <w:rsid w:val="000A584A"/>
    <w:rsid w:val="000A5971"/>
    <w:rsid w:val="000A6236"/>
    <w:rsid w:val="000A671D"/>
    <w:rsid w:val="000A712B"/>
    <w:rsid w:val="000A79D7"/>
    <w:rsid w:val="000A7E4F"/>
    <w:rsid w:val="000B1974"/>
    <w:rsid w:val="000B31E0"/>
    <w:rsid w:val="000B614A"/>
    <w:rsid w:val="000B68E1"/>
    <w:rsid w:val="000B72E3"/>
    <w:rsid w:val="000B7AF0"/>
    <w:rsid w:val="000B7BF2"/>
    <w:rsid w:val="000C0149"/>
    <w:rsid w:val="000C01AC"/>
    <w:rsid w:val="000C0D84"/>
    <w:rsid w:val="000C0F4E"/>
    <w:rsid w:val="000C19C9"/>
    <w:rsid w:val="000C1DE0"/>
    <w:rsid w:val="000C1F54"/>
    <w:rsid w:val="000C2291"/>
    <w:rsid w:val="000C25F6"/>
    <w:rsid w:val="000C2B87"/>
    <w:rsid w:val="000C4961"/>
    <w:rsid w:val="000C5077"/>
    <w:rsid w:val="000C54E0"/>
    <w:rsid w:val="000C5A57"/>
    <w:rsid w:val="000D0178"/>
    <w:rsid w:val="000D0CA8"/>
    <w:rsid w:val="000D1193"/>
    <w:rsid w:val="000D1651"/>
    <w:rsid w:val="000D1947"/>
    <w:rsid w:val="000D2345"/>
    <w:rsid w:val="000D39DD"/>
    <w:rsid w:val="000D3AF5"/>
    <w:rsid w:val="000D4252"/>
    <w:rsid w:val="000D4D47"/>
    <w:rsid w:val="000D5894"/>
    <w:rsid w:val="000D677D"/>
    <w:rsid w:val="000D6A74"/>
    <w:rsid w:val="000D6A98"/>
    <w:rsid w:val="000D6E5F"/>
    <w:rsid w:val="000D710E"/>
    <w:rsid w:val="000D7639"/>
    <w:rsid w:val="000D792C"/>
    <w:rsid w:val="000D7B3F"/>
    <w:rsid w:val="000D7DA3"/>
    <w:rsid w:val="000E12FD"/>
    <w:rsid w:val="000E1759"/>
    <w:rsid w:val="000E17EA"/>
    <w:rsid w:val="000E24F2"/>
    <w:rsid w:val="000E2D5F"/>
    <w:rsid w:val="000E2D60"/>
    <w:rsid w:val="000E54C2"/>
    <w:rsid w:val="000E5C71"/>
    <w:rsid w:val="000E5CC7"/>
    <w:rsid w:val="000E603D"/>
    <w:rsid w:val="000E6A28"/>
    <w:rsid w:val="000E750E"/>
    <w:rsid w:val="000E75B8"/>
    <w:rsid w:val="000E781D"/>
    <w:rsid w:val="000F0C14"/>
    <w:rsid w:val="000F162F"/>
    <w:rsid w:val="000F169D"/>
    <w:rsid w:val="000F1CA4"/>
    <w:rsid w:val="000F2181"/>
    <w:rsid w:val="000F3D52"/>
    <w:rsid w:val="000F3DD0"/>
    <w:rsid w:val="000F4033"/>
    <w:rsid w:val="000F4067"/>
    <w:rsid w:val="000F48D5"/>
    <w:rsid w:val="000F5833"/>
    <w:rsid w:val="000F62ED"/>
    <w:rsid w:val="000F644A"/>
    <w:rsid w:val="000F645A"/>
    <w:rsid w:val="000F6B1E"/>
    <w:rsid w:val="001001AE"/>
    <w:rsid w:val="00101498"/>
    <w:rsid w:val="00101F7F"/>
    <w:rsid w:val="0010239D"/>
    <w:rsid w:val="001023A2"/>
    <w:rsid w:val="00102950"/>
    <w:rsid w:val="001032C7"/>
    <w:rsid w:val="001038D1"/>
    <w:rsid w:val="001047EA"/>
    <w:rsid w:val="001049B6"/>
    <w:rsid w:val="001069D1"/>
    <w:rsid w:val="00106B57"/>
    <w:rsid w:val="001073A3"/>
    <w:rsid w:val="00107ED0"/>
    <w:rsid w:val="001102CA"/>
    <w:rsid w:val="001106C1"/>
    <w:rsid w:val="001107DA"/>
    <w:rsid w:val="00110808"/>
    <w:rsid w:val="00110DCB"/>
    <w:rsid w:val="001116C1"/>
    <w:rsid w:val="0011191F"/>
    <w:rsid w:val="00111A38"/>
    <w:rsid w:val="00111CB3"/>
    <w:rsid w:val="001125FF"/>
    <w:rsid w:val="00112DD5"/>
    <w:rsid w:val="001130E7"/>
    <w:rsid w:val="001133EC"/>
    <w:rsid w:val="001140D3"/>
    <w:rsid w:val="0011465F"/>
    <w:rsid w:val="001147B5"/>
    <w:rsid w:val="001149E3"/>
    <w:rsid w:val="00114BD5"/>
    <w:rsid w:val="001160E1"/>
    <w:rsid w:val="001163F9"/>
    <w:rsid w:val="00116409"/>
    <w:rsid w:val="0011697E"/>
    <w:rsid w:val="00117C8B"/>
    <w:rsid w:val="0012013E"/>
    <w:rsid w:val="00120A4E"/>
    <w:rsid w:val="00121725"/>
    <w:rsid w:val="00122352"/>
    <w:rsid w:val="001237A7"/>
    <w:rsid w:val="0012495B"/>
    <w:rsid w:val="00125395"/>
    <w:rsid w:val="0012542D"/>
    <w:rsid w:val="001254A3"/>
    <w:rsid w:val="001256CA"/>
    <w:rsid w:val="00125CF2"/>
    <w:rsid w:val="00125D9F"/>
    <w:rsid w:val="00130BB8"/>
    <w:rsid w:val="00131136"/>
    <w:rsid w:val="0013153A"/>
    <w:rsid w:val="001317FB"/>
    <w:rsid w:val="00131DCA"/>
    <w:rsid w:val="00132227"/>
    <w:rsid w:val="001327C5"/>
    <w:rsid w:val="00132A42"/>
    <w:rsid w:val="00132C0D"/>
    <w:rsid w:val="001334CF"/>
    <w:rsid w:val="001340CF"/>
    <w:rsid w:val="00135C94"/>
    <w:rsid w:val="00136555"/>
    <w:rsid w:val="00136F08"/>
    <w:rsid w:val="001372E4"/>
    <w:rsid w:val="00137410"/>
    <w:rsid w:val="00137597"/>
    <w:rsid w:val="00137C5D"/>
    <w:rsid w:val="00137F7A"/>
    <w:rsid w:val="001406C0"/>
    <w:rsid w:val="001406E9"/>
    <w:rsid w:val="0014106F"/>
    <w:rsid w:val="0014150B"/>
    <w:rsid w:val="001415CB"/>
    <w:rsid w:val="00141B40"/>
    <w:rsid w:val="0014216C"/>
    <w:rsid w:val="00142D8C"/>
    <w:rsid w:val="00144415"/>
    <w:rsid w:val="0014756A"/>
    <w:rsid w:val="00147707"/>
    <w:rsid w:val="001477C5"/>
    <w:rsid w:val="00147D25"/>
    <w:rsid w:val="001510E1"/>
    <w:rsid w:val="001516DF"/>
    <w:rsid w:val="0015181A"/>
    <w:rsid w:val="00152238"/>
    <w:rsid w:val="0015268E"/>
    <w:rsid w:val="00153387"/>
    <w:rsid w:val="00153628"/>
    <w:rsid w:val="001536CD"/>
    <w:rsid w:val="001544AA"/>
    <w:rsid w:val="00154551"/>
    <w:rsid w:val="00154F14"/>
    <w:rsid w:val="00155477"/>
    <w:rsid w:val="00155575"/>
    <w:rsid w:val="001563DB"/>
    <w:rsid w:val="001564E7"/>
    <w:rsid w:val="00156C41"/>
    <w:rsid w:val="001574EE"/>
    <w:rsid w:val="00157C5D"/>
    <w:rsid w:val="00157CBE"/>
    <w:rsid w:val="00160D74"/>
    <w:rsid w:val="00161418"/>
    <w:rsid w:val="00162255"/>
    <w:rsid w:val="00162354"/>
    <w:rsid w:val="0016559D"/>
    <w:rsid w:val="00165D0D"/>
    <w:rsid w:val="00166621"/>
    <w:rsid w:val="00167015"/>
    <w:rsid w:val="00169F88"/>
    <w:rsid w:val="001701BA"/>
    <w:rsid w:val="001709D6"/>
    <w:rsid w:val="00170F0C"/>
    <w:rsid w:val="001714CD"/>
    <w:rsid w:val="001718F7"/>
    <w:rsid w:val="00171D5B"/>
    <w:rsid w:val="00171FBE"/>
    <w:rsid w:val="00172C4B"/>
    <w:rsid w:val="00173055"/>
    <w:rsid w:val="001734E9"/>
    <w:rsid w:val="00173D1A"/>
    <w:rsid w:val="001744E4"/>
    <w:rsid w:val="00175297"/>
    <w:rsid w:val="00175450"/>
    <w:rsid w:val="0017568B"/>
    <w:rsid w:val="001756CF"/>
    <w:rsid w:val="0017615D"/>
    <w:rsid w:val="001762B3"/>
    <w:rsid w:val="00176327"/>
    <w:rsid w:val="001767C5"/>
    <w:rsid w:val="00176CCE"/>
    <w:rsid w:val="0017751A"/>
    <w:rsid w:val="00177727"/>
    <w:rsid w:val="00177B97"/>
    <w:rsid w:val="00181254"/>
    <w:rsid w:val="0018129B"/>
    <w:rsid w:val="00182224"/>
    <w:rsid w:val="001824F4"/>
    <w:rsid w:val="00182630"/>
    <w:rsid w:val="001826B1"/>
    <w:rsid w:val="00182B1E"/>
    <w:rsid w:val="00182CD7"/>
    <w:rsid w:val="00183D3F"/>
    <w:rsid w:val="0018493F"/>
    <w:rsid w:val="00184C8A"/>
    <w:rsid w:val="001855DD"/>
    <w:rsid w:val="001869A3"/>
    <w:rsid w:val="00186D87"/>
    <w:rsid w:val="00186E58"/>
    <w:rsid w:val="001875E8"/>
    <w:rsid w:val="00187DD4"/>
    <w:rsid w:val="00187DDF"/>
    <w:rsid w:val="001906A9"/>
    <w:rsid w:val="00190B8E"/>
    <w:rsid w:val="00192B18"/>
    <w:rsid w:val="00193258"/>
    <w:rsid w:val="001932BA"/>
    <w:rsid w:val="001933FC"/>
    <w:rsid w:val="001934FF"/>
    <w:rsid w:val="00193ED8"/>
    <w:rsid w:val="001943CC"/>
    <w:rsid w:val="0019493A"/>
    <w:rsid w:val="00194A79"/>
    <w:rsid w:val="00194D73"/>
    <w:rsid w:val="00195398"/>
    <w:rsid w:val="0019542F"/>
    <w:rsid w:val="00195B3F"/>
    <w:rsid w:val="00195FC4"/>
    <w:rsid w:val="001965C5"/>
    <w:rsid w:val="001968F0"/>
    <w:rsid w:val="001979FF"/>
    <w:rsid w:val="00197A23"/>
    <w:rsid w:val="00197C7B"/>
    <w:rsid w:val="001A075D"/>
    <w:rsid w:val="001A1CCE"/>
    <w:rsid w:val="001A21FA"/>
    <w:rsid w:val="001A245F"/>
    <w:rsid w:val="001A254F"/>
    <w:rsid w:val="001A2970"/>
    <w:rsid w:val="001A2BA7"/>
    <w:rsid w:val="001A32CA"/>
    <w:rsid w:val="001A35B5"/>
    <w:rsid w:val="001A3D5C"/>
    <w:rsid w:val="001A3EBB"/>
    <w:rsid w:val="001A41C6"/>
    <w:rsid w:val="001A5273"/>
    <w:rsid w:val="001A563D"/>
    <w:rsid w:val="001A5DAE"/>
    <w:rsid w:val="001A62C0"/>
    <w:rsid w:val="001A67B9"/>
    <w:rsid w:val="001A681E"/>
    <w:rsid w:val="001A7244"/>
    <w:rsid w:val="001A7E4E"/>
    <w:rsid w:val="001A7F98"/>
    <w:rsid w:val="001B1817"/>
    <w:rsid w:val="001B203F"/>
    <w:rsid w:val="001B2315"/>
    <w:rsid w:val="001B26CA"/>
    <w:rsid w:val="001B2E5C"/>
    <w:rsid w:val="001B2E62"/>
    <w:rsid w:val="001B330D"/>
    <w:rsid w:val="001B494B"/>
    <w:rsid w:val="001B4DA2"/>
    <w:rsid w:val="001B5215"/>
    <w:rsid w:val="001B54B9"/>
    <w:rsid w:val="001B5696"/>
    <w:rsid w:val="001B5F48"/>
    <w:rsid w:val="001B6C97"/>
    <w:rsid w:val="001C0967"/>
    <w:rsid w:val="001C0B1C"/>
    <w:rsid w:val="001C1349"/>
    <w:rsid w:val="001C134C"/>
    <w:rsid w:val="001C14CA"/>
    <w:rsid w:val="001C1B3F"/>
    <w:rsid w:val="001C26F5"/>
    <w:rsid w:val="001C2A4F"/>
    <w:rsid w:val="001C47B3"/>
    <w:rsid w:val="001C48F2"/>
    <w:rsid w:val="001C50F0"/>
    <w:rsid w:val="001C5269"/>
    <w:rsid w:val="001C6267"/>
    <w:rsid w:val="001C6691"/>
    <w:rsid w:val="001C672D"/>
    <w:rsid w:val="001C6EFB"/>
    <w:rsid w:val="001C77BD"/>
    <w:rsid w:val="001C77FD"/>
    <w:rsid w:val="001D050B"/>
    <w:rsid w:val="001D1694"/>
    <w:rsid w:val="001D19F8"/>
    <w:rsid w:val="001D2032"/>
    <w:rsid w:val="001D2402"/>
    <w:rsid w:val="001D2497"/>
    <w:rsid w:val="001D24A8"/>
    <w:rsid w:val="001D2FF3"/>
    <w:rsid w:val="001D4113"/>
    <w:rsid w:val="001D448E"/>
    <w:rsid w:val="001D5608"/>
    <w:rsid w:val="001D5B77"/>
    <w:rsid w:val="001D6A5E"/>
    <w:rsid w:val="001D7635"/>
    <w:rsid w:val="001D79EB"/>
    <w:rsid w:val="001E006C"/>
    <w:rsid w:val="001E073B"/>
    <w:rsid w:val="001E07B5"/>
    <w:rsid w:val="001E0ADE"/>
    <w:rsid w:val="001E1B7F"/>
    <w:rsid w:val="001E1CA3"/>
    <w:rsid w:val="001E3B3A"/>
    <w:rsid w:val="001E41F7"/>
    <w:rsid w:val="001E472F"/>
    <w:rsid w:val="001E5210"/>
    <w:rsid w:val="001E6350"/>
    <w:rsid w:val="001E7001"/>
    <w:rsid w:val="001E73AC"/>
    <w:rsid w:val="001F07A3"/>
    <w:rsid w:val="001F1404"/>
    <w:rsid w:val="001F1849"/>
    <w:rsid w:val="001F21C6"/>
    <w:rsid w:val="001F274A"/>
    <w:rsid w:val="001F28ED"/>
    <w:rsid w:val="001F2E05"/>
    <w:rsid w:val="001F5A6D"/>
    <w:rsid w:val="001F5B55"/>
    <w:rsid w:val="001F5E91"/>
    <w:rsid w:val="001F6054"/>
    <w:rsid w:val="001F63C6"/>
    <w:rsid w:val="001F6BA3"/>
    <w:rsid w:val="001F7699"/>
    <w:rsid w:val="001F7904"/>
    <w:rsid w:val="00200490"/>
    <w:rsid w:val="002008C2"/>
    <w:rsid w:val="002018FC"/>
    <w:rsid w:val="00201DCC"/>
    <w:rsid w:val="0020277F"/>
    <w:rsid w:val="002028B6"/>
    <w:rsid w:val="00202C4B"/>
    <w:rsid w:val="00203493"/>
    <w:rsid w:val="00203D4C"/>
    <w:rsid w:val="00204242"/>
    <w:rsid w:val="00204743"/>
    <w:rsid w:val="00204AE6"/>
    <w:rsid w:val="00205389"/>
    <w:rsid w:val="00205C7A"/>
    <w:rsid w:val="00205CD4"/>
    <w:rsid w:val="0020625F"/>
    <w:rsid w:val="002067E5"/>
    <w:rsid w:val="00206B87"/>
    <w:rsid w:val="0020788D"/>
    <w:rsid w:val="002100E1"/>
    <w:rsid w:val="002118BC"/>
    <w:rsid w:val="002129CC"/>
    <w:rsid w:val="00212F0F"/>
    <w:rsid w:val="0021359D"/>
    <w:rsid w:val="002139B6"/>
    <w:rsid w:val="00213ABB"/>
    <w:rsid w:val="00213DB4"/>
    <w:rsid w:val="002153FA"/>
    <w:rsid w:val="0021609F"/>
    <w:rsid w:val="00216175"/>
    <w:rsid w:val="002161AD"/>
    <w:rsid w:val="00216A43"/>
    <w:rsid w:val="002173C4"/>
    <w:rsid w:val="002207F9"/>
    <w:rsid w:val="0022084B"/>
    <w:rsid w:val="00222ECF"/>
    <w:rsid w:val="002235D3"/>
    <w:rsid w:val="00224018"/>
    <w:rsid w:val="0022405C"/>
    <w:rsid w:val="002243DE"/>
    <w:rsid w:val="00225DC9"/>
    <w:rsid w:val="00225E77"/>
    <w:rsid w:val="00225EF0"/>
    <w:rsid w:val="002264F1"/>
    <w:rsid w:val="00226B34"/>
    <w:rsid w:val="002271EB"/>
    <w:rsid w:val="00227834"/>
    <w:rsid w:val="002300BE"/>
    <w:rsid w:val="00230381"/>
    <w:rsid w:val="00230AE3"/>
    <w:rsid w:val="002322C7"/>
    <w:rsid w:val="0023297A"/>
    <w:rsid w:val="00233274"/>
    <w:rsid w:val="00233EA2"/>
    <w:rsid w:val="002345F2"/>
    <w:rsid w:val="00234D4C"/>
    <w:rsid w:val="00234D7D"/>
    <w:rsid w:val="00234DE6"/>
    <w:rsid w:val="00234E50"/>
    <w:rsid w:val="00235206"/>
    <w:rsid w:val="00235983"/>
    <w:rsid w:val="00235C79"/>
    <w:rsid w:val="002363E9"/>
    <w:rsid w:val="00236482"/>
    <w:rsid w:val="00236C9F"/>
    <w:rsid w:val="002371AF"/>
    <w:rsid w:val="002376F6"/>
    <w:rsid w:val="00237898"/>
    <w:rsid w:val="00237F1C"/>
    <w:rsid w:val="00241864"/>
    <w:rsid w:val="00241A87"/>
    <w:rsid w:val="00242E88"/>
    <w:rsid w:val="002430E4"/>
    <w:rsid w:val="00243901"/>
    <w:rsid w:val="00243C0C"/>
    <w:rsid w:val="00243EAF"/>
    <w:rsid w:val="002449F8"/>
    <w:rsid w:val="0024577A"/>
    <w:rsid w:val="00246892"/>
    <w:rsid w:val="00246F87"/>
    <w:rsid w:val="002472BD"/>
    <w:rsid w:val="00247704"/>
    <w:rsid w:val="002502F5"/>
    <w:rsid w:val="0025100B"/>
    <w:rsid w:val="00251EA7"/>
    <w:rsid w:val="00252CC2"/>
    <w:rsid w:val="00253287"/>
    <w:rsid w:val="00253347"/>
    <w:rsid w:val="00253C41"/>
    <w:rsid w:val="00253F0C"/>
    <w:rsid w:val="002547AF"/>
    <w:rsid w:val="00254CCA"/>
    <w:rsid w:val="00254EC2"/>
    <w:rsid w:val="00255EF6"/>
    <w:rsid w:val="002575D5"/>
    <w:rsid w:val="00257E65"/>
    <w:rsid w:val="00257FAE"/>
    <w:rsid w:val="002611BC"/>
    <w:rsid w:val="002615F6"/>
    <w:rsid w:val="00262018"/>
    <w:rsid w:val="002626B3"/>
    <w:rsid w:val="00262CC8"/>
    <w:rsid w:val="00262D0A"/>
    <w:rsid w:val="00262E91"/>
    <w:rsid w:val="0026322C"/>
    <w:rsid w:val="00263B0A"/>
    <w:rsid w:val="00265541"/>
    <w:rsid w:val="00265F2D"/>
    <w:rsid w:val="00266161"/>
    <w:rsid w:val="00266C92"/>
    <w:rsid w:val="0026705D"/>
    <w:rsid w:val="0027010D"/>
    <w:rsid w:val="00271BE3"/>
    <w:rsid w:val="002723C2"/>
    <w:rsid w:val="0027297A"/>
    <w:rsid w:val="00272B31"/>
    <w:rsid w:val="00273049"/>
    <w:rsid w:val="002731FC"/>
    <w:rsid w:val="0027334C"/>
    <w:rsid w:val="00273625"/>
    <w:rsid w:val="0027363B"/>
    <w:rsid w:val="00273978"/>
    <w:rsid w:val="00274EC2"/>
    <w:rsid w:val="0027513D"/>
    <w:rsid w:val="002758D1"/>
    <w:rsid w:val="00276016"/>
    <w:rsid w:val="002766B3"/>
    <w:rsid w:val="0027671A"/>
    <w:rsid w:val="00276DE6"/>
    <w:rsid w:val="00277840"/>
    <w:rsid w:val="00277BD6"/>
    <w:rsid w:val="00277E4A"/>
    <w:rsid w:val="00280565"/>
    <w:rsid w:val="00281571"/>
    <w:rsid w:val="00281CF0"/>
    <w:rsid w:val="00283290"/>
    <w:rsid w:val="002845FE"/>
    <w:rsid w:val="002849F7"/>
    <w:rsid w:val="00284E55"/>
    <w:rsid w:val="00284F83"/>
    <w:rsid w:val="00285CE7"/>
    <w:rsid w:val="00287938"/>
    <w:rsid w:val="00287A1D"/>
    <w:rsid w:val="00287F04"/>
    <w:rsid w:val="00287FE1"/>
    <w:rsid w:val="0029020E"/>
    <w:rsid w:val="00290C4B"/>
    <w:rsid w:val="00291ACC"/>
    <w:rsid w:val="00291C97"/>
    <w:rsid w:val="00292828"/>
    <w:rsid w:val="0029286B"/>
    <w:rsid w:val="002928EC"/>
    <w:rsid w:val="002928F9"/>
    <w:rsid w:val="00292DBF"/>
    <w:rsid w:val="002934F1"/>
    <w:rsid w:val="002938D8"/>
    <w:rsid w:val="00294D27"/>
    <w:rsid w:val="002956ED"/>
    <w:rsid w:val="00295A9C"/>
    <w:rsid w:val="00295CDB"/>
    <w:rsid w:val="00296058"/>
    <w:rsid w:val="00296865"/>
    <w:rsid w:val="00296BCB"/>
    <w:rsid w:val="00296C51"/>
    <w:rsid w:val="0029726D"/>
    <w:rsid w:val="00297945"/>
    <w:rsid w:val="002A1320"/>
    <w:rsid w:val="002A133B"/>
    <w:rsid w:val="002A1487"/>
    <w:rsid w:val="002A1F8C"/>
    <w:rsid w:val="002A286D"/>
    <w:rsid w:val="002A2EE2"/>
    <w:rsid w:val="002A338A"/>
    <w:rsid w:val="002A389A"/>
    <w:rsid w:val="002A518B"/>
    <w:rsid w:val="002A57B6"/>
    <w:rsid w:val="002A5A63"/>
    <w:rsid w:val="002A5AF7"/>
    <w:rsid w:val="002A6421"/>
    <w:rsid w:val="002A6C03"/>
    <w:rsid w:val="002A7CD2"/>
    <w:rsid w:val="002B0E8A"/>
    <w:rsid w:val="002B0EEE"/>
    <w:rsid w:val="002B1150"/>
    <w:rsid w:val="002B1919"/>
    <w:rsid w:val="002B1D48"/>
    <w:rsid w:val="002B2F82"/>
    <w:rsid w:val="002B3001"/>
    <w:rsid w:val="002B404D"/>
    <w:rsid w:val="002B411D"/>
    <w:rsid w:val="002B460F"/>
    <w:rsid w:val="002B482D"/>
    <w:rsid w:val="002B4DDE"/>
    <w:rsid w:val="002B5E2B"/>
    <w:rsid w:val="002B63F5"/>
    <w:rsid w:val="002B6757"/>
    <w:rsid w:val="002B6FF7"/>
    <w:rsid w:val="002B7088"/>
    <w:rsid w:val="002B7103"/>
    <w:rsid w:val="002B77D5"/>
    <w:rsid w:val="002B7917"/>
    <w:rsid w:val="002C0023"/>
    <w:rsid w:val="002C0ABD"/>
    <w:rsid w:val="002C0B2E"/>
    <w:rsid w:val="002C206C"/>
    <w:rsid w:val="002C24DF"/>
    <w:rsid w:val="002C5180"/>
    <w:rsid w:val="002C52AE"/>
    <w:rsid w:val="002C5B80"/>
    <w:rsid w:val="002C5E3A"/>
    <w:rsid w:val="002C6588"/>
    <w:rsid w:val="002C6DE0"/>
    <w:rsid w:val="002C6F20"/>
    <w:rsid w:val="002C7506"/>
    <w:rsid w:val="002C7909"/>
    <w:rsid w:val="002D0927"/>
    <w:rsid w:val="002D252C"/>
    <w:rsid w:val="002D25E3"/>
    <w:rsid w:val="002D3333"/>
    <w:rsid w:val="002D400C"/>
    <w:rsid w:val="002D43A8"/>
    <w:rsid w:val="002D4405"/>
    <w:rsid w:val="002D5107"/>
    <w:rsid w:val="002D51E7"/>
    <w:rsid w:val="002D5F7C"/>
    <w:rsid w:val="002D621A"/>
    <w:rsid w:val="002D632C"/>
    <w:rsid w:val="002D64FD"/>
    <w:rsid w:val="002D6AC5"/>
    <w:rsid w:val="002D6D3F"/>
    <w:rsid w:val="002D6F1A"/>
    <w:rsid w:val="002D7B62"/>
    <w:rsid w:val="002E064F"/>
    <w:rsid w:val="002E17C0"/>
    <w:rsid w:val="002E2C17"/>
    <w:rsid w:val="002E552E"/>
    <w:rsid w:val="002E5673"/>
    <w:rsid w:val="002E6451"/>
    <w:rsid w:val="002E6CB3"/>
    <w:rsid w:val="002E6D5D"/>
    <w:rsid w:val="002E6FAE"/>
    <w:rsid w:val="002F0536"/>
    <w:rsid w:val="002F067D"/>
    <w:rsid w:val="002F09A7"/>
    <w:rsid w:val="002F0D7B"/>
    <w:rsid w:val="002F1C37"/>
    <w:rsid w:val="002F1CFB"/>
    <w:rsid w:val="002F23A9"/>
    <w:rsid w:val="002F23E7"/>
    <w:rsid w:val="002F2BC7"/>
    <w:rsid w:val="002F343D"/>
    <w:rsid w:val="002F38A9"/>
    <w:rsid w:val="002F4D98"/>
    <w:rsid w:val="002F4FB4"/>
    <w:rsid w:val="002F577D"/>
    <w:rsid w:val="002F6194"/>
    <w:rsid w:val="002F6EC3"/>
    <w:rsid w:val="002F6FB3"/>
    <w:rsid w:val="002F73A4"/>
    <w:rsid w:val="002F7E50"/>
    <w:rsid w:val="003008EC"/>
    <w:rsid w:val="00301D77"/>
    <w:rsid w:val="00302CDC"/>
    <w:rsid w:val="0030331B"/>
    <w:rsid w:val="003034D9"/>
    <w:rsid w:val="00303D84"/>
    <w:rsid w:val="003044B6"/>
    <w:rsid w:val="00304FCD"/>
    <w:rsid w:val="0030532D"/>
    <w:rsid w:val="00305E3C"/>
    <w:rsid w:val="00305F52"/>
    <w:rsid w:val="00306A76"/>
    <w:rsid w:val="00306D7F"/>
    <w:rsid w:val="00307B63"/>
    <w:rsid w:val="003100B0"/>
    <w:rsid w:val="00310744"/>
    <w:rsid w:val="00310C45"/>
    <w:rsid w:val="0031331B"/>
    <w:rsid w:val="00313F91"/>
    <w:rsid w:val="003146AB"/>
    <w:rsid w:val="00314CEB"/>
    <w:rsid w:val="00314D61"/>
    <w:rsid w:val="003155DC"/>
    <w:rsid w:val="003162BA"/>
    <w:rsid w:val="00316317"/>
    <w:rsid w:val="00316BAB"/>
    <w:rsid w:val="00316EE2"/>
    <w:rsid w:val="00316F6A"/>
    <w:rsid w:val="0031704F"/>
    <w:rsid w:val="0031713F"/>
    <w:rsid w:val="00317B4D"/>
    <w:rsid w:val="00317B94"/>
    <w:rsid w:val="00317C27"/>
    <w:rsid w:val="00317F59"/>
    <w:rsid w:val="0032008F"/>
    <w:rsid w:val="00320169"/>
    <w:rsid w:val="00321263"/>
    <w:rsid w:val="0032135F"/>
    <w:rsid w:val="0032156F"/>
    <w:rsid w:val="00321709"/>
    <w:rsid w:val="00322065"/>
    <w:rsid w:val="00322183"/>
    <w:rsid w:val="0032252B"/>
    <w:rsid w:val="00322980"/>
    <w:rsid w:val="00322A8E"/>
    <w:rsid w:val="00322D81"/>
    <w:rsid w:val="0032312E"/>
    <w:rsid w:val="00323262"/>
    <w:rsid w:val="0032476E"/>
    <w:rsid w:val="00324F76"/>
    <w:rsid w:val="00324FB1"/>
    <w:rsid w:val="00325153"/>
    <w:rsid w:val="003252E4"/>
    <w:rsid w:val="00325303"/>
    <w:rsid w:val="00325D8C"/>
    <w:rsid w:val="00330100"/>
    <w:rsid w:val="00330AB9"/>
    <w:rsid w:val="00331355"/>
    <w:rsid w:val="00331B56"/>
    <w:rsid w:val="00331D9E"/>
    <w:rsid w:val="00331F65"/>
    <w:rsid w:val="00332684"/>
    <w:rsid w:val="003329FD"/>
    <w:rsid w:val="00332E38"/>
    <w:rsid w:val="00333389"/>
    <w:rsid w:val="003338E7"/>
    <w:rsid w:val="00333DE9"/>
    <w:rsid w:val="00333F50"/>
    <w:rsid w:val="0033439D"/>
    <w:rsid w:val="00334592"/>
    <w:rsid w:val="00335C43"/>
    <w:rsid w:val="00337327"/>
    <w:rsid w:val="00340198"/>
    <w:rsid w:val="0034099A"/>
    <w:rsid w:val="00340D5D"/>
    <w:rsid w:val="00341505"/>
    <w:rsid w:val="00341827"/>
    <w:rsid w:val="00341BC9"/>
    <w:rsid w:val="00341F43"/>
    <w:rsid w:val="00341FA7"/>
    <w:rsid w:val="0034325F"/>
    <w:rsid w:val="003432F0"/>
    <w:rsid w:val="00343D69"/>
    <w:rsid w:val="003445E5"/>
    <w:rsid w:val="00344990"/>
    <w:rsid w:val="00344BA8"/>
    <w:rsid w:val="0034557A"/>
    <w:rsid w:val="00345F9D"/>
    <w:rsid w:val="00346C32"/>
    <w:rsid w:val="00346EC1"/>
    <w:rsid w:val="003470D9"/>
    <w:rsid w:val="003471E9"/>
    <w:rsid w:val="00350225"/>
    <w:rsid w:val="003507EB"/>
    <w:rsid w:val="00350C2F"/>
    <w:rsid w:val="00350FDD"/>
    <w:rsid w:val="00351491"/>
    <w:rsid w:val="00351929"/>
    <w:rsid w:val="00352846"/>
    <w:rsid w:val="00353DB1"/>
    <w:rsid w:val="00354016"/>
    <w:rsid w:val="0035478B"/>
    <w:rsid w:val="003551C9"/>
    <w:rsid w:val="003558E1"/>
    <w:rsid w:val="00355A8D"/>
    <w:rsid w:val="00355B89"/>
    <w:rsid w:val="003566E5"/>
    <w:rsid w:val="0035694E"/>
    <w:rsid w:val="00356AE2"/>
    <w:rsid w:val="00356F9F"/>
    <w:rsid w:val="00357964"/>
    <w:rsid w:val="00361607"/>
    <w:rsid w:val="00361C54"/>
    <w:rsid w:val="00361D02"/>
    <w:rsid w:val="00362896"/>
    <w:rsid w:val="00363764"/>
    <w:rsid w:val="00363A25"/>
    <w:rsid w:val="00363EDD"/>
    <w:rsid w:val="0036571F"/>
    <w:rsid w:val="003658C9"/>
    <w:rsid w:val="00366BFA"/>
    <w:rsid w:val="00367340"/>
    <w:rsid w:val="003676CD"/>
    <w:rsid w:val="003709EF"/>
    <w:rsid w:val="00370C4B"/>
    <w:rsid w:val="00370D62"/>
    <w:rsid w:val="00371B80"/>
    <w:rsid w:val="00371C6F"/>
    <w:rsid w:val="00375134"/>
    <w:rsid w:val="003760E0"/>
    <w:rsid w:val="003773FB"/>
    <w:rsid w:val="003774FE"/>
    <w:rsid w:val="00377A5A"/>
    <w:rsid w:val="00377FCC"/>
    <w:rsid w:val="00380C5B"/>
    <w:rsid w:val="003812D9"/>
    <w:rsid w:val="00381C7D"/>
    <w:rsid w:val="003821E9"/>
    <w:rsid w:val="00382A45"/>
    <w:rsid w:val="00383085"/>
    <w:rsid w:val="003837FD"/>
    <w:rsid w:val="00383DCF"/>
    <w:rsid w:val="00385238"/>
    <w:rsid w:val="003866E5"/>
    <w:rsid w:val="00386D81"/>
    <w:rsid w:val="00387166"/>
    <w:rsid w:val="003900C7"/>
    <w:rsid w:val="0039054E"/>
    <w:rsid w:val="00390A25"/>
    <w:rsid w:val="003916C6"/>
    <w:rsid w:val="00392B2A"/>
    <w:rsid w:val="00392CA8"/>
    <w:rsid w:val="0039401E"/>
    <w:rsid w:val="00394CA2"/>
    <w:rsid w:val="00395528"/>
    <w:rsid w:val="0039633D"/>
    <w:rsid w:val="0039661C"/>
    <w:rsid w:val="00397E5F"/>
    <w:rsid w:val="003A084C"/>
    <w:rsid w:val="003A11A6"/>
    <w:rsid w:val="003A1828"/>
    <w:rsid w:val="003A18B4"/>
    <w:rsid w:val="003A1E8D"/>
    <w:rsid w:val="003A3280"/>
    <w:rsid w:val="003A36C2"/>
    <w:rsid w:val="003A3B2F"/>
    <w:rsid w:val="003A3C2A"/>
    <w:rsid w:val="003A5805"/>
    <w:rsid w:val="003A59FC"/>
    <w:rsid w:val="003A5F99"/>
    <w:rsid w:val="003A6144"/>
    <w:rsid w:val="003A68BA"/>
    <w:rsid w:val="003A7488"/>
    <w:rsid w:val="003B0A9B"/>
    <w:rsid w:val="003B122F"/>
    <w:rsid w:val="003B1A1A"/>
    <w:rsid w:val="003B1D8C"/>
    <w:rsid w:val="003B32E5"/>
    <w:rsid w:val="003B34D4"/>
    <w:rsid w:val="003B3771"/>
    <w:rsid w:val="003B38C5"/>
    <w:rsid w:val="003B3B11"/>
    <w:rsid w:val="003B3C6A"/>
    <w:rsid w:val="003B4136"/>
    <w:rsid w:val="003B44CA"/>
    <w:rsid w:val="003B4CB6"/>
    <w:rsid w:val="003B591C"/>
    <w:rsid w:val="003B631A"/>
    <w:rsid w:val="003B6E9C"/>
    <w:rsid w:val="003B7473"/>
    <w:rsid w:val="003C17DC"/>
    <w:rsid w:val="003C240C"/>
    <w:rsid w:val="003C288F"/>
    <w:rsid w:val="003C3856"/>
    <w:rsid w:val="003C4581"/>
    <w:rsid w:val="003C4A34"/>
    <w:rsid w:val="003C56D7"/>
    <w:rsid w:val="003C5743"/>
    <w:rsid w:val="003D0045"/>
    <w:rsid w:val="003D02E5"/>
    <w:rsid w:val="003D058B"/>
    <w:rsid w:val="003D0710"/>
    <w:rsid w:val="003D08B8"/>
    <w:rsid w:val="003D10E4"/>
    <w:rsid w:val="003D1E10"/>
    <w:rsid w:val="003D2413"/>
    <w:rsid w:val="003D247E"/>
    <w:rsid w:val="003D2B5B"/>
    <w:rsid w:val="003D2C12"/>
    <w:rsid w:val="003D309B"/>
    <w:rsid w:val="003D3A8D"/>
    <w:rsid w:val="003D3B08"/>
    <w:rsid w:val="003D40F0"/>
    <w:rsid w:val="003D4A55"/>
    <w:rsid w:val="003D58B4"/>
    <w:rsid w:val="003D633E"/>
    <w:rsid w:val="003D7427"/>
    <w:rsid w:val="003D78C7"/>
    <w:rsid w:val="003D7BEE"/>
    <w:rsid w:val="003E1709"/>
    <w:rsid w:val="003E283F"/>
    <w:rsid w:val="003E2DCB"/>
    <w:rsid w:val="003E2E40"/>
    <w:rsid w:val="003E3233"/>
    <w:rsid w:val="003E3531"/>
    <w:rsid w:val="003E3AE5"/>
    <w:rsid w:val="003E4094"/>
    <w:rsid w:val="003E459F"/>
    <w:rsid w:val="003E5584"/>
    <w:rsid w:val="003E5689"/>
    <w:rsid w:val="003E6014"/>
    <w:rsid w:val="003E627D"/>
    <w:rsid w:val="003E62B5"/>
    <w:rsid w:val="003E63DC"/>
    <w:rsid w:val="003E73CC"/>
    <w:rsid w:val="003E77A2"/>
    <w:rsid w:val="003E78C2"/>
    <w:rsid w:val="003F053B"/>
    <w:rsid w:val="003F0B3F"/>
    <w:rsid w:val="003F0B82"/>
    <w:rsid w:val="003F1CA0"/>
    <w:rsid w:val="003F2680"/>
    <w:rsid w:val="003F3906"/>
    <w:rsid w:val="003F3F8F"/>
    <w:rsid w:val="003F3F96"/>
    <w:rsid w:val="003F435D"/>
    <w:rsid w:val="003F49E6"/>
    <w:rsid w:val="003F4E25"/>
    <w:rsid w:val="003F60EA"/>
    <w:rsid w:val="003F628F"/>
    <w:rsid w:val="003F73AF"/>
    <w:rsid w:val="003F783C"/>
    <w:rsid w:val="003F7C7D"/>
    <w:rsid w:val="004007AB"/>
    <w:rsid w:val="004007BE"/>
    <w:rsid w:val="00400A8B"/>
    <w:rsid w:val="00402BC8"/>
    <w:rsid w:val="00402C2E"/>
    <w:rsid w:val="00402C8E"/>
    <w:rsid w:val="0040322A"/>
    <w:rsid w:val="00403728"/>
    <w:rsid w:val="00404001"/>
    <w:rsid w:val="00404DC3"/>
    <w:rsid w:val="00404FCD"/>
    <w:rsid w:val="00405BF8"/>
    <w:rsid w:val="00405C43"/>
    <w:rsid w:val="0040660D"/>
    <w:rsid w:val="00407647"/>
    <w:rsid w:val="00407B6B"/>
    <w:rsid w:val="00411C13"/>
    <w:rsid w:val="00412044"/>
    <w:rsid w:val="00412815"/>
    <w:rsid w:val="00412A05"/>
    <w:rsid w:val="00413AEB"/>
    <w:rsid w:val="00413DC9"/>
    <w:rsid w:val="0041406F"/>
    <w:rsid w:val="00415255"/>
    <w:rsid w:val="004153B8"/>
    <w:rsid w:val="004154B1"/>
    <w:rsid w:val="00415E40"/>
    <w:rsid w:val="00415F09"/>
    <w:rsid w:val="00415FFF"/>
    <w:rsid w:val="004169CA"/>
    <w:rsid w:val="004169E6"/>
    <w:rsid w:val="00416A34"/>
    <w:rsid w:val="00416E25"/>
    <w:rsid w:val="00417CAA"/>
    <w:rsid w:val="004202F8"/>
    <w:rsid w:val="00421D87"/>
    <w:rsid w:val="00422324"/>
    <w:rsid w:val="00422DBB"/>
    <w:rsid w:val="0042334A"/>
    <w:rsid w:val="00424C31"/>
    <w:rsid w:val="004250F7"/>
    <w:rsid w:val="00425740"/>
    <w:rsid w:val="0042720A"/>
    <w:rsid w:val="0042768C"/>
    <w:rsid w:val="00427B77"/>
    <w:rsid w:val="00427DDB"/>
    <w:rsid w:val="00430049"/>
    <w:rsid w:val="00432E56"/>
    <w:rsid w:val="004336BF"/>
    <w:rsid w:val="00433D9B"/>
    <w:rsid w:val="00433E31"/>
    <w:rsid w:val="004342CD"/>
    <w:rsid w:val="00434B1C"/>
    <w:rsid w:val="00434DBA"/>
    <w:rsid w:val="00435941"/>
    <w:rsid w:val="004359A9"/>
    <w:rsid w:val="00436924"/>
    <w:rsid w:val="00437BC6"/>
    <w:rsid w:val="00440664"/>
    <w:rsid w:val="00441946"/>
    <w:rsid w:val="004419C7"/>
    <w:rsid w:val="00442216"/>
    <w:rsid w:val="00445AFC"/>
    <w:rsid w:val="00446409"/>
    <w:rsid w:val="00446B48"/>
    <w:rsid w:val="00447698"/>
    <w:rsid w:val="00447A25"/>
    <w:rsid w:val="004501C2"/>
    <w:rsid w:val="004504F6"/>
    <w:rsid w:val="004509DD"/>
    <w:rsid w:val="00450D43"/>
    <w:rsid w:val="004528D6"/>
    <w:rsid w:val="00452F7E"/>
    <w:rsid w:val="00453CB1"/>
    <w:rsid w:val="00453FBF"/>
    <w:rsid w:val="004546B6"/>
    <w:rsid w:val="00454938"/>
    <w:rsid w:val="00454BFD"/>
    <w:rsid w:val="00455B05"/>
    <w:rsid w:val="0045630D"/>
    <w:rsid w:val="00456ADB"/>
    <w:rsid w:val="00456EA5"/>
    <w:rsid w:val="00457CCD"/>
    <w:rsid w:val="00457D47"/>
    <w:rsid w:val="00460CBD"/>
    <w:rsid w:val="00460CBF"/>
    <w:rsid w:val="00461C41"/>
    <w:rsid w:val="0046201C"/>
    <w:rsid w:val="00462218"/>
    <w:rsid w:val="00462295"/>
    <w:rsid w:val="0046253B"/>
    <w:rsid w:val="004629A5"/>
    <w:rsid w:val="00462F35"/>
    <w:rsid w:val="004631A8"/>
    <w:rsid w:val="004644C4"/>
    <w:rsid w:val="004650DB"/>
    <w:rsid w:val="004651A1"/>
    <w:rsid w:val="004653AF"/>
    <w:rsid w:val="00466A7A"/>
    <w:rsid w:val="00467757"/>
    <w:rsid w:val="00467998"/>
    <w:rsid w:val="00470EE9"/>
    <w:rsid w:val="00471552"/>
    <w:rsid w:val="00471A16"/>
    <w:rsid w:val="00471F3C"/>
    <w:rsid w:val="0047249C"/>
    <w:rsid w:val="00473F99"/>
    <w:rsid w:val="004744F0"/>
    <w:rsid w:val="00475364"/>
    <w:rsid w:val="004753F7"/>
    <w:rsid w:val="00476715"/>
    <w:rsid w:val="00476A4C"/>
    <w:rsid w:val="004778A0"/>
    <w:rsid w:val="00477F84"/>
    <w:rsid w:val="00480F1B"/>
    <w:rsid w:val="00481038"/>
    <w:rsid w:val="00481AB4"/>
    <w:rsid w:val="00483436"/>
    <w:rsid w:val="00484633"/>
    <w:rsid w:val="004854D7"/>
    <w:rsid w:val="0048623B"/>
    <w:rsid w:val="004868BA"/>
    <w:rsid w:val="00487F7A"/>
    <w:rsid w:val="004905BB"/>
    <w:rsid w:val="004905E3"/>
    <w:rsid w:val="0049079F"/>
    <w:rsid w:val="004909CA"/>
    <w:rsid w:val="00491168"/>
    <w:rsid w:val="00491224"/>
    <w:rsid w:val="00491B03"/>
    <w:rsid w:val="00491C43"/>
    <w:rsid w:val="00493271"/>
    <w:rsid w:val="004936E3"/>
    <w:rsid w:val="004937EE"/>
    <w:rsid w:val="0049407F"/>
    <w:rsid w:val="00494313"/>
    <w:rsid w:val="00494703"/>
    <w:rsid w:val="004947FD"/>
    <w:rsid w:val="00494B3A"/>
    <w:rsid w:val="0049517D"/>
    <w:rsid w:val="00496756"/>
    <w:rsid w:val="00496909"/>
    <w:rsid w:val="00496D89"/>
    <w:rsid w:val="004A1B58"/>
    <w:rsid w:val="004A23DA"/>
    <w:rsid w:val="004A2556"/>
    <w:rsid w:val="004A275B"/>
    <w:rsid w:val="004A29D5"/>
    <w:rsid w:val="004A3150"/>
    <w:rsid w:val="004A3376"/>
    <w:rsid w:val="004A491C"/>
    <w:rsid w:val="004A4C11"/>
    <w:rsid w:val="004A51B8"/>
    <w:rsid w:val="004A71E0"/>
    <w:rsid w:val="004A7219"/>
    <w:rsid w:val="004A7F26"/>
    <w:rsid w:val="004B0AB5"/>
    <w:rsid w:val="004B0B24"/>
    <w:rsid w:val="004B1948"/>
    <w:rsid w:val="004B1F29"/>
    <w:rsid w:val="004B2534"/>
    <w:rsid w:val="004B25E6"/>
    <w:rsid w:val="004B2B6C"/>
    <w:rsid w:val="004B3FE1"/>
    <w:rsid w:val="004B437C"/>
    <w:rsid w:val="004B4DF9"/>
    <w:rsid w:val="004B674C"/>
    <w:rsid w:val="004B682C"/>
    <w:rsid w:val="004C14F3"/>
    <w:rsid w:val="004C215F"/>
    <w:rsid w:val="004C26D2"/>
    <w:rsid w:val="004C2BA4"/>
    <w:rsid w:val="004C2F33"/>
    <w:rsid w:val="004C3E5E"/>
    <w:rsid w:val="004C51F7"/>
    <w:rsid w:val="004C589D"/>
    <w:rsid w:val="004C5E55"/>
    <w:rsid w:val="004C6455"/>
    <w:rsid w:val="004C6BD4"/>
    <w:rsid w:val="004C6F0D"/>
    <w:rsid w:val="004C7954"/>
    <w:rsid w:val="004C7CAA"/>
    <w:rsid w:val="004D07E7"/>
    <w:rsid w:val="004D11BE"/>
    <w:rsid w:val="004D196E"/>
    <w:rsid w:val="004D262D"/>
    <w:rsid w:val="004D2CF8"/>
    <w:rsid w:val="004D46F0"/>
    <w:rsid w:val="004D48E3"/>
    <w:rsid w:val="004D64C8"/>
    <w:rsid w:val="004D6CDB"/>
    <w:rsid w:val="004D723B"/>
    <w:rsid w:val="004D7765"/>
    <w:rsid w:val="004D7806"/>
    <w:rsid w:val="004E1687"/>
    <w:rsid w:val="004E2597"/>
    <w:rsid w:val="004E2F26"/>
    <w:rsid w:val="004E3B6D"/>
    <w:rsid w:val="004E3DAE"/>
    <w:rsid w:val="004E4E4C"/>
    <w:rsid w:val="004E5C94"/>
    <w:rsid w:val="004E5E3E"/>
    <w:rsid w:val="004E5F53"/>
    <w:rsid w:val="004E771D"/>
    <w:rsid w:val="004E7B07"/>
    <w:rsid w:val="004E7E05"/>
    <w:rsid w:val="004F002C"/>
    <w:rsid w:val="004F0196"/>
    <w:rsid w:val="004F01D3"/>
    <w:rsid w:val="004F06B6"/>
    <w:rsid w:val="004F0E3A"/>
    <w:rsid w:val="004F1ADD"/>
    <w:rsid w:val="004F2511"/>
    <w:rsid w:val="004F2999"/>
    <w:rsid w:val="004F2B6E"/>
    <w:rsid w:val="004F2EC7"/>
    <w:rsid w:val="004F391C"/>
    <w:rsid w:val="004F43D4"/>
    <w:rsid w:val="004F453A"/>
    <w:rsid w:val="004F4D87"/>
    <w:rsid w:val="004F5EB3"/>
    <w:rsid w:val="005002B9"/>
    <w:rsid w:val="005005AD"/>
    <w:rsid w:val="00501DE4"/>
    <w:rsid w:val="00502445"/>
    <w:rsid w:val="0050260C"/>
    <w:rsid w:val="00502B7F"/>
    <w:rsid w:val="00503802"/>
    <w:rsid w:val="0050726B"/>
    <w:rsid w:val="00507694"/>
    <w:rsid w:val="0051008C"/>
    <w:rsid w:val="00511442"/>
    <w:rsid w:val="00511726"/>
    <w:rsid w:val="005123E2"/>
    <w:rsid w:val="00512482"/>
    <w:rsid w:val="005127F2"/>
    <w:rsid w:val="00512839"/>
    <w:rsid w:val="005144C5"/>
    <w:rsid w:val="00515AFD"/>
    <w:rsid w:val="00516C0C"/>
    <w:rsid w:val="005219F2"/>
    <w:rsid w:val="0052286C"/>
    <w:rsid w:val="00523FDB"/>
    <w:rsid w:val="0052460F"/>
    <w:rsid w:val="00524F9A"/>
    <w:rsid w:val="00525CBB"/>
    <w:rsid w:val="005262E8"/>
    <w:rsid w:val="00526338"/>
    <w:rsid w:val="00526885"/>
    <w:rsid w:val="00526A21"/>
    <w:rsid w:val="00526E55"/>
    <w:rsid w:val="00526F42"/>
    <w:rsid w:val="00527BD0"/>
    <w:rsid w:val="00530667"/>
    <w:rsid w:val="005306AE"/>
    <w:rsid w:val="00530AD7"/>
    <w:rsid w:val="0053145F"/>
    <w:rsid w:val="005316D5"/>
    <w:rsid w:val="0053229F"/>
    <w:rsid w:val="005327D6"/>
    <w:rsid w:val="00532C81"/>
    <w:rsid w:val="00533F8D"/>
    <w:rsid w:val="0053440E"/>
    <w:rsid w:val="00534AD8"/>
    <w:rsid w:val="00535102"/>
    <w:rsid w:val="00535D03"/>
    <w:rsid w:val="00536962"/>
    <w:rsid w:val="005371C1"/>
    <w:rsid w:val="005373FF"/>
    <w:rsid w:val="005378B8"/>
    <w:rsid w:val="00537E56"/>
    <w:rsid w:val="00540D82"/>
    <w:rsid w:val="00541060"/>
    <w:rsid w:val="005419EF"/>
    <w:rsid w:val="00541D71"/>
    <w:rsid w:val="00542651"/>
    <w:rsid w:val="00542EA8"/>
    <w:rsid w:val="005434AD"/>
    <w:rsid w:val="00544329"/>
    <w:rsid w:val="00544CEE"/>
    <w:rsid w:val="00544DB2"/>
    <w:rsid w:val="0054530E"/>
    <w:rsid w:val="005455F1"/>
    <w:rsid w:val="0054586F"/>
    <w:rsid w:val="00545ABF"/>
    <w:rsid w:val="005471CC"/>
    <w:rsid w:val="00547D82"/>
    <w:rsid w:val="005506B4"/>
    <w:rsid w:val="005507C8"/>
    <w:rsid w:val="00550B54"/>
    <w:rsid w:val="005517E5"/>
    <w:rsid w:val="005520CB"/>
    <w:rsid w:val="00552287"/>
    <w:rsid w:val="005532DB"/>
    <w:rsid w:val="0055363F"/>
    <w:rsid w:val="005545E7"/>
    <w:rsid w:val="0055471B"/>
    <w:rsid w:val="00555CF4"/>
    <w:rsid w:val="005576A3"/>
    <w:rsid w:val="00560CDB"/>
    <w:rsid w:val="00561212"/>
    <w:rsid w:val="00562B88"/>
    <w:rsid w:val="0056316B"/>
    <w:rsid w:val="00563801"/>
    <w:rsid w:val="005639C5"/>
    <w:rsid w:val="00564F0E"/>
    <w:rsid w:val="00564F9B"/>
    <w:rsid w:val="00565BC5"/>
    <w:rsid w:val="0056638E"/>
    <w:rsid w:val="005663BB"/>
    <w:rsid w:val="005664E1"/>
    <w:rsid w:val="005672E3"/>
    <w:rsid w:val="005673FE"/>
    <w:rsid w:val="0056751A"/>
    <w:rsid w:val="00567D93"/>
    <w:rsid w:val="005709E6"/>
    <w:rsid w:val="00570A76"/>
    <w:rsid w:val="005714E2"/>
    <w:rsid w:val="00571E4B"/>
    <w:rsid w:val="00571F15"/>
    <w:rsid w:val="00571FB1"/>
    <w:rsid w:val="00572FF7"/>
    <w:rsid w:val="00573196"/>
    <w:rsid w:val="00574FED"/>
    <w:rsid w:val="00575690"/>
    <w:rsid w:val="0057657D"/>
    <w:rsid w:val="00577895"/>
    <w:rsid w:val="00580720"/>
    <w:rsid w:val="005808E1"/>
    <w:rsid w:val="00581122"/>
    <w:rsid w:val="0058172E"/>
    <w:rsid w:val="00581D10"/>
    <w:rsid w:val="00582893"/>
    <w:rsid w:val="005828EE"/>
    <w:rsid w:val="00582B2F"/>
    <w:rsid w:val="00582D7F"/>
    <w:rsid w:val="00583919"/>
    <w:rsid w:val="00583F12"/>
    <w:rsid w:val="0058466B"/>
    <w:rsid w:val="0058554B"/>
    <w:rsid w:val="00585A74"/>
    <w:rsid w:val="00586186"/>
    <w:rsid w:val="0058620C"/>
    <w:rsid w:val="0058701B"/>
    <w:rsid w:val="00587050"/>
    <w:rsid w:val="005873EF"/>
    <w:rsid w:val="0059062E"/>
    <w:rsid w:val="00590987"/>
    <w:rsid w:val="00590FCE"/>
    <w:rsid w:val="00591445"/>
    <w:rsid w:val="0059197B"/>
    <w:rsid w:val="00591E07"/>
    <w:rsid w:val="00592074"/>
    <w:rsid w:val="00592613"/>
    <w:rsid w:val="005926E4"/>
    <w:rsid w:val="005928DF"/>
    <w:rsid w:val="00592FE8"/>
    <w:rsid w:val="00593688"/>
    <w:rsid w:val="0059552C"/>
    <w:rsid w:val="00595D7E"/>
    <w:rsid w:val="00596E2A"/>
    <w:rsid w:val="00596E99"/>
    <w:rsid w:val="0059752F"/>
    <w:rsid w:val="00597D7E"/>
    <w:rsid w:val="005A2079"/>
    <w:rsid w:val="005A266F"/>
    <w:rsid w:val="005A2829"/>
    <w:rsid w:val="005A2E69"/>
    <w:rsid w:val="005A34F6"/>
    <w:rsid w:val="005A3886"/>
    <w:rsid w:val="005A388A"/>
    <w:rsid w:val="005A42ED"/>
    <w:rsid w:val="005A4327"/>
    <w:rsid w:val="005A57CF"/>
    <w:rsid w:val="005A5ADD"/>
    <w:rsid w:val="005A628C"/>
    <w:rsid w:val="005A64DD"/>
    <w:rsid w:val="005A726D"/>
    <w:rsid w:val="005B07A0"/>
    <w:rsid w:val="005B1580"/>
    <w:rsid w:val="005B1606"/>
    <w:rsid w:val="005B2371"/>
    <w:rsid w:val="005B23E3"/>
    <w:rsid w:val="005B4A99"/>
    <w:rsid w:val="005B4BDE"/>
    <w:rsid w:val="005B56FF"/>
    <w:rsid w:val="005B57AF"/>
    <w:rsid w:val="005B62F7"/>
    <w:rsid w:val="005B6B85"/>
    <w:rsid w:val="005B760E"/>
    <w:rsid w:val="005B763A"/>
    <w:rsid w:val="005C00FC"/>
    <w:rsid w:val="005C1A16"/>
    <w:rsid w:val="005C2C02"/>
    <w:rsid w:val="005C4A79"/>
    <w:rsid w:val="005D31C1"/>
    <w:rsid w:val="005D326A"/>
    <w:rsid w:val="005D424E"/>
    <w:rsid w:val="005D48A0"/>
    <w:rsid w:val="005D5E34"/>
    <w:rsid w:val="005D600F"/>
    <w:rsid w:val="005D614F"/>
    <w:rsid w:val="005D6B1A"/>
    <w:rsid w:val="005D6F94"/>
    <w:rsid w:val="005D7CF0"/>
    <w:rsid w:val="005D7FF8"/>
    <w:rsid w:val="005E028A"/>
    <w:rsid w:val="005E1819"/>
    <w:rsid w:val="005E21FA"/>
    <w:rsid w:val="005E2596"/>
    <w:rsid w:val="005E268C"/>
    <w:rsid w:val="005E439D"/>
    <w:rsid w:val="005E459B"/>
    <w:rsid w:val="005E5551"/>
    <w:rsid w:val="005E587F"/>
    <w:rsid w:val="005E58E6"/>
    <w:rsid w:val="005E64C7"/>
    <w:rsid w:val="005E6532"/>
    <w:rsid w:val="005E6DAA"/>
    <w:rsid w:val="005E6EA3"/>
    <w:rsid w:val="005E6EED"/>
    <w:rsid w:val="005E7A6D"/>
    <w:rsid w:val="005F05D1"/>
    <w:rsid w:val="005F0863"/>
    <w:rsid w:val="005F0A42"/>
    <w:rsid w:val="005F173F"/>
    <w:rsid w:val="005F18A3"/>
    <w:rsid w:val="005F2E59"/>
    <w:rsid w:val="005F343D"/>
    <w:rsid w:val="005F5FEE"/>
    <w:rsid w:val="005F682C"/>
    <w:rsid w:val="005F6E72"/>
    <w:rsid w:val="005F6FAE"/>
    <w:rsid w:val="005F6FFB"/>
    <w:rsid w:val="005F77F0"/>
    <w:rsid w:val="00602103"/>
    <w:rsid w:val="00602BF9"/>
    <w:rsid w:val="00602F8F"/>
    <w:rsid w:val="00603321"/>
    <w:rsid w:val="00603D07"/>
    <w:rsid w:val="006040D8"/>
    <w:rsid w:val="006042BC"/>
    <w:rsid w:val="0060438E"/>
    <w:rsid w:val="00604BAE"/>
    <w:rsid w:val="006053FB"/>
    <w:rsid w:val="006054B2"/>
    <w:rsid w:val="00605746"/>
    <w:rsid w:val="0060580F"/>
    <w:rsid w:val="006060AD"/>
    <w:rsid w:val="00606730"/>
    <w:rsid w:val="0060695C"/>
    <w:rsid w:val="00606DAF"/>
    <w:rsid w:val="00607723"/>
    <w:rsid w:val="00607B8C"/>
    <w:rsid w:val="00607C58"/>
    <w:rsid w:val="00607DC0"/>
    <w:rsid w:val="00610483"/>
    <w:rsid w:val="006104A6"/>
    <w:rsid w:val="00610D46"/>
    <w:rsid w:val="00611E0A"/>
    <w:rsid w:val="006122BE"/>
    <w:rsid w:val="006126DB"/>
    <w:rsid w:val="00612890"/>
    <w:rsid w:val="0061413A"/>
    <w:rsid w:val="00615F5D"/>
    <w:rsid w:val="00616027"/>
    <w:rsid w:val="0061618D"/>
    <w:rsid w:val="00616EA5"/>
    <w:rsid w:val="00616EF7"/>
    <w:rsid w:val="00617218"/>
    <w:rsid w:val="00617B89"/>
    <w:rsid w:val="006206D0"/>
    <w:rsid w:val="0062122F"/>
    <w:rsid w:val="006212FC"/>
    <w:rsid w:val="00621476"/>
    <w:rsid w:val="00621876"/>
    <w:rsid w:val="00621B5D"/>
    <w:rsid w:val="00621D9D"/>
    <w:rsid w:val="00622491"/>
    <w:rsid w:val="006226CA"/>
    <w:rsid w:val="00624730"/>
    <w:rsid w:val="00625751"/>
    <w:rsid w:val="006258E5"/>
    <w:rsid w:val="0062625C"/>
    <w:rsid w:val="00626F69"/>
    <w:rsid w:val="00627178"/>
    <w:rsid w:val="006275CD"/>
    <w:rsid w:val="006303A5"/>
    <w:rsid w:val="006319F6"/>
    <w:rsid w:val="00632557"/>
    <w:rsid w:val="00632626"/>
    <w:rsid w:val="00632C5C"/>
    <w:rsid w:val="00632D2A"/>
    <w:rsid w:val="00633289"/>
    <w:rsid w:val="00633790"/>
    <w:rsid w:val="00633E30"/>
    <w:rsid w:val="0063473E"/>
    <w:rsid w:val="00634C99"/>
    <w:rsid w:val="006350BF"/>
    <w:rsid w:val="006354C4"/>
    <w:rsid w:val="0063619C"/>
    <w:rsid w:val="00637E73"/>
    <w:rsid w:val="0064028A"/>
    <w:rsid w:val="00641BC0"/>
    <w:rsid w:val="00642B29"/>
    <w:rsid w:val="00644D73"/>
    <w:rsid w:val="00645861"/>
    <w:rsid w:val="00645C98"/>
    <w:rsid w:val="00646E22"/>
    <w:rsid w:val="0064714E"/>
    <w:rsid w:val="0064742B"/>
    <w:rsid w:val="006503E1"/>
    <w:rsid w:val="00652B2F"/>
    <w:rsid w:val="00652C20"/>
    <w:rsid w:val="00653343"/>
    <w:rsid w:val="006538DC"/>
    <w:rsid w:val="006540C8"/>
    <w:rsid w:val="0065411C"/>
    <w:rsid w:val="00654D18"/>
    <w:rsid w:val="006553BE"/>
    <w:rsid w:val="006555A8"/>
    <w:rsid w:val="0065579B"/>
    <w:rsid w:val="0065596E"/>
    <w:rsid w:val="00655DE4"/>
    <w:rsid w:val="00657881"/>
    <w:rsid w:val="00657AF9"/>
    <w:rsid w:val="00657D2F"/>
    <w:rsid w:val="00657D3F"/>
    <w:rsid w:val="00657F64"/>
    <w:rsid w:val="0066098F"/>
    <w:rsid w:val="00660B5A"/>
    <w:rsid w:val="006614F9"/>
    <w:rsid w:val="006616DE"/>
    <w:rsid w:val="00662011"/>
    <w:rsid w:val="006628B8"/>
    <w:rsid w:val="00663B68"/>
    <w:rsid w:val="006644EB"/>
    <w:rsid w:val="0066568C"/>
    <w:rsid w:val="006657E3"/>
    <w:rsid w:val="00665C3A"/>
    <w:rsid w:val="00665F42"/>
    <w:rsid w:val="006662DD"/>
    <w:rsid w:val="00667934"/>
    <w:rsid w:val="00667FBE"/>
    <w:rsid w:val="00670350"/>
    <w:rsid w:val="006704F3"/>
    <w:rsid w:val="00670CC1"/>
    <w:rsid w:val="00670D6B"/>
    <w:rsid w:val="006719B7"/>
    <w:rsid w:val="00671AF9"/>
    <w:rsid w:val="00673770"/>
    <w:rsid w:val="006758D0"/>
    <w:rsid w:val="006767CE"/>
    <w:rsid w:val="00677C84"/>
    <w:rsid w:val="00680695"/>
    <w:rsid w:val="00681200"/>
    <w:rsid w:val="0068222D"/>
    <w:rsid w:val="006835BF"/>
    <w:rsid w:val="00683AE6"/>
    <w:rsid w:val="00683D12"/>
    <w:rsid w:val="00684076"/>
    <w:rsid w:val="00684218"/>
    <w:rsid w:val="006846FC"/>
    <w:rsid w:val="006852D8"/>
    <w:rsid w:val="006857F5"/>
    <w:rsid w:val="006859B9"/>
    <w:rsid w:val="00686C3A"/>
    <w:rsid w:val="00690C8F"/>
    <w:rsid w:val="00690F6D"/>
    <w:rsid w:val="00691653"/>
    <w:rsid w:val="006939C0"/>
    <w:rsid w:val="00693EFD"/>
    <w:rsid w:val="006942E3"/>
    <w:rsid w:val="00694332"/>
    <w:rsid w:val="0069486E"/>
    <w:rsid w:val="00694B09"/>
    <w:rsid w:val="006965FD"/>
    <w:rsid w:val="006968E8"/>
    <w:rsid w:val="00696E4B"/>
    <w:rsid w:val="006970F0"/>
    <w:rsid w:val="006A1439"/>
    <w:rsid w:val="006A191A"/>
    <w:rsid w:val="006A1C98"/>
    <w:rsid w:val="006A23F9"/>
    <w:rsid w:val="006A2AC7"/>
    <w:rsid w:val="006A2F66"/>
    <w:rsid w:val="006A4439"/>
    <w:rsid w:val="006A4B7F"/>
    <w:rsid w:val="006A71C8"/>
    <w:rsid w:val="006A753B"/>
    <w:rsid w:val="006A7721"/>
    <w:rsid w:val="006A7B3F"/>
    <w:rsid w:val="006B013C"/>
    <w:rsid w:val="006B08CB"/>
    <w:rsid w:val="006B0EEB"/>
    <w:rsid w:val="006B102B"/>
    <w:rsid w:val="006B1424"/>
    <w:rsid w:val="006B19C9"/>
    <w:rsid w:val="006B1EE4"/>
    <w:rsid w:val="006B442C"/>
    <w:rsid w:val="006B4DFF"/>
    <w:rsid w:val="006B50EA"/>
    <w:rsid w:val="006B5525"/>
    <w:rsid w:val="006B6094"/>
    <w:rsid w:val="006B633C"/>
    <w:rsid w:val="006B676B"/>
    <w:rsid w:val="006B6914"/>
    <w:rsid w:val="006B6AA3"/>
    <w:rsid w:val="006B7E3E"/>
    <w:rsid w:val="006C074C"/>
    <w:rsid w:val="006C082C"/>
    <w:rsid w:val="006C08CE"/>
    <w:rsid w:val="006C0A83"/>
    <w:rsid w:val="006C0A89"/>
    <w:rsid w:val="006C0D46"/>
    <w:rsid w:val="006C0EE6"/>
    <w:rsid w:val="006C2158"/>
    <w:rsid w:val="006C26C3"/>
    <w:rsid w:val="006C26C6"/>
    <w:rsid w:val="006C2CA4"/>
    <w:rsid w:val="006C2CBE"/>
    <w:rsid w:val="006C3563"/>
    <w:rsid w:val="006C3680"/>
    <w:rsid w:val="006C3E75"/>
    <w:rsid w:val="006C40ED"/>
    <w:rsid w:val="006C5365"/>
    <w:rsid w:val="006D04C4"/>
    <w:rsid w:val="006D0761"/>
    <w:rsid w:val="006D1340"/>
    <w:rsid w:val="006D2428"/>
    <w:rsid w:val="006D26C1"/>
    <w:rsid w:val="006D2B38"/>
    <w:rsid w:val="006D4378"/>
    <w:rsid w:val="006D5077"/>
    <w:rsid w:val="006D5158"/>
    <w:rsid w:val="006D56FD"/>
    <w:rsid w:val="006D6C27"/>
    <w:rsid w:val="006D6DB3"/>
    <w:rsid w:val="006D7569"/>
    <w:rsid w:val="006D7B6D"/>
    <w:rsid w:val="006D7C1B"/>
    <w:rsid w:val="006E03A2"/>
    <w:rsid w:val="006E058A"/>
    <w:rsid w:val="006E06E2"/>
    <w:rsid w:val="006E0710"/>
    <w:rsid w:val="006E2F73"/>
    <w:rsid w:val="006E54DA"/>
    <w:rsid w:val="006E6AC1"/>
    <w:rsid w:val="006E72D9"/>
    <w:rsid w:val="006E7AC0"/>
    <w:rsid w:val="006F0661"/>
    <w:rsid w:val="006F0ACA"/>
    <w:rsid w:val="006F14B6"/>
    <w:rsid w:val="006F175E"/>
    <w:rsid w:val="006F1AC6"/>
    <w:rsid w:val="006F1D53"/>
    <w:rsid w:val="006F1F03"/>
    <w:rsid w:val="006F2ABA"/>
    <w:rsid w:val="006F2F62"/>
    <w:rsid w:val="006F3854"/>
    <w:rsid w:val="006F5BB3"/>
    <w:rsid w:val="006F5ED9"/>
    <w:rsid w:val="006F61B6"/>
    <w:rsid w:val="006F6C71"/>
    <w:rsid w:val="006F6F55"/>
    <w:rsid w:val="006F779C"/>
    <w:rsid w:val="006F7A45"/>
    <w:rsid w:val="006F7FB8"/>
    <w:rsid w:val="0070054C"/>
    <w:rsid w:val="00700A00"/>
    <w:rsid w:val="00701CA3"/>
    <w:rsid w:val="0070224A"/>
    <w:rsid w:val="00703284"/>
    <w:rsid w:val="0070357E"/>
    <w:rsid w:val="00704166"/>
    <w:rsid w:val="007044D2"/>
    <w:rsid w:val="007045AB"/>
    <w:rsid w:val="007076DA"/>
    <w:rsid w:val="00711B4A"/>
    <w:rsid w:val="00712790"/>
    <w:rsid w:val="007127D5"/>
    <w:rsid w:val="0071314B"/>
    <w:rsid w:val="0071402F"/>
    <w:rsid w:val="00714AAF"/>
    <w:rsid w:val="007157A0"/>
    <w:rsid w:val="0071681C"/>
    <w:rsid w:val="007203C7"/>
    <w:rsid w:val="00720D55"/>
    <w:rsid w:val="007223F6"/>
    <w:rsid w:val="007230F0"/>
    <w:rsid w:val="00723F39"/>
    <w:rsid w:val="00723FD3"/>
    <w:rsid w:val="0072467C"/>
    <w:rsid w:val="00724CAC"/>
    <w:rsid w:val="00724D1E"/>
    <w:rsid w:val="00725D14"/>
    <w:rsid w:val="00725ECC"/>
    <w:rsid w:val="00725F65"/>
    <w:rsid w:val="007265B4"/>
    <w:rsid w:val="00726DAF"/>
    <w:rsid w:val="00730F69"/>
    <w:rsid w:val="007325B1"/>
    <w:rsid w:val="00732B3B"/>
    <w:rsid w:val="00732EF2"/>
    <w:rsid w:val="00733B1D"/>
    <w:rsid w:val="00734156"/>
    <w:rsid w:val="00735510"/>
    <w:rsid w:val="0073565E"/>
    <w:rsid w:val="007359E9"/>
    <w:rsid w:val="00735AE4"/>
    <w:rsid w:val="00736260"/>
    <w:rsid w:val="00736305"/>
    <w:rsid w:val="007363EF"/>
    <w:rsid w:val="00736B32"/>
    <w:rsid w:val="00736BD9"/>
    <w:rsid w:val="007377EB"/>
    <w:rsid w:val="007406A4"/>
    <w:rsid w:val="00741C76"/>
    <w:rsid w:val="00742AFE"/>
    <w:rsid w:val="00742BE0"/>
    <w:rsid w:val="007433CE"/>
    <w:rsid w:val="007433DC"/>
    <w:rsid w:val="0074369B"/>
    <w:rsid w:val="007439DC"/>
    <w:rsid w:val="00744517"/>
    <w:rsid w:val="00744B36"/>
    <w:rsid w:val="00745B3B"/>
    <w:rsid w:val="007463E6"/>
    <w:rsid w:val="007470AF"/>
    <w:rsid w:val="007475F3"/>
    <w:rsid w:val="00750142"/>
    <w:rsid w:val="00750169"/>
    <w:rsid w:val="0075155D"/>
    <w:rsid w:val="00753EE3"/>
    <w:rsid w:val="007543D9"/>
    <w:rsid w:val="007544CF"/>
    <w:rsid w:val="007546D0"/>
    <w:rsid w:val="00754A4F"/>
    <w:rsid w:val="0075526B"/>
    <w:rsid w:val="0075545B"/>
    <w:rsid w:val="007564D6"/>
    <w:rsid w:val="00756E57"/>
    <w:rsid w:val="00756F02"/>
    <w:rsid w:val="00757C55"/>
    <w:rsid w:val="007602F4"/>
    <w:rsid w:val="007608AA"/>
    <w:rsid w:val="007611B9"/>
    <w:rsid w:val="00761C8C"/>
    <w:rsid w:val="007620AE"/>
    <w:rsid w:val="00762B74"/>
    <w:rsid w:val="00762D7A"/>
    <w:rsid w:val="00762F9F"/>
    <w:rsid w:val="0076397B"/>
    <w:rsid w:val="00763BDD"/>
    <w:rsid w:val="00764A70"/>
    <w:rsid w:val="00764B57"/>
    <w:rsid w:val="00765EEF"/>
    <w:rsid w:val="00766254"/>
    <w:rsid w:val="00766462"/>
    <w:rsid w:val="00766B9E"/>
    <w:rsid w:val="00767D9D"/>
    <w:rsid w:val="0077078F"/>
    <w:rsid w:val="007707DE"/>
    <w:rsid w:val="00770AED"/>
    <w:rsid w:val="007714BD"/>
    <w:rsid w:val="007715EA"/>
    <w:rsid w:val="0077437F"/>
    <w:rsid w:val="00774D8F"/>
    <w:rsid w:val="00776D0D"/>
    <w:rsid w:val="00777AC9"/>
    <w:rsid w:val="007808F7"/>
    <w:rsid w:val="00780D60"/>
    <w:rsid w:val="00781603"/>
    <w:rsid w:val="007833FD"/>
    <w:rsid w:val="00783E03"/>
    <w:rsid w:val="00784C17"/>
    <w:rsid w:val="007859C1"/>
    <w:rsid w:val="00785F6D"/>
    <w:rsid w:val="007866A4"/>
    <w:rsid w:val="00786942"/>
    <w:rsid w:val="0078766C"/>
    <w:rsid w:val="00792685"/>
    <w:rsid w:val="00792AC2"/>
    <w:rsid w:val="00792AF6"/>
    <w:rsid w:val="00792B98"/>
    <w:rsid w:val="00793212"/>
    <w:rsid w:val="00793517"/>
    <w:rsid w:val="0079385A"/>
    <w:rsid w:val="00794397"/>
    <w:rsid w:val="00794A5A"/>
    <w:rsid w:val="00794C6D"/>
    <w:rsid w:val="00795203"/>
    <w:rsid w:val="00795214"/>
    <w:rsid w:val="007954BE"/>
    <w:rsid w:val="00795F4C"/>
    <w:rsid w:val="00796E93"/>
    <w:rsid w:val="007A04B3"/>
    <w:rsid w:val="007A1699"/>
    <w:rsid w:val="007A205F"/>
    <w:rsid w:val="007A3151"/>
    <w:rsid w:val="007A31F2"/>
    <w:rsid w:val="007A33C3"/>
    <w:rsid w:val="007A4CEE"/>
    <w:rsid w:val="007A5117"/>
    <w:rsid w:val="007A5135"/>
    <w:rsid w:val="007A5D84"/>
    <w:rsid w:val="007A63DB"/>
    <w:rsid w:val="007A69BF"/>
    <w:rsid w:val="007A6EA1"/>
    <w:rsid w:val="007A7587"/>
    <w:rsid w:val="007A7F1B"/>
    <w:rsid w:val="007B0AB3"/>
    <w:rsid w:val="007B11B4"/>
    <w:rsid w:val="007B1215"/>
    <w:rsid w:val="007B13B9"/>
    <w:rsid w:val="007B1605"/>
    <w:rsid w:val="007B2C59"/>
    <w:rsid w:val="007B322E"/>
    <w:rsid w:val="007B5628"/>
    <w:rsid w:val="007B5FED"/>
    <w:rsid w:val="007B7763"/>
    <w:rsid w:val="007B79BA"/>
    <w:rsid w:val="007C0112"/>
    <w:rsid w:val="007C0246"/>
    <w:rsid w:val="007C1F98"/>
    <w:rsid w:val="007C234B"/>
    <w:rsid w:val="007C2D78"/>
    <w:rsid w:val="007C2E06"/>
    <w:rsid w:val="007C3D00"/>
    <w:rsid w:val="007C413A"/>
    <w:rsid w:val="007C44AC"/>
    <w:rsid w:val="007C4B63"/>
    <w:rsid w:val="007C4D0E"/>
    <w:rsid w:val="007C4D77"/>
    <w:rsid w:val="007C4F1A"/>
    <w:rsid w:val="007C4FC3"/>
    <w:rsid w:val="007C77EA"/>
    <w:rsid w:val="007C789C"/>
    <w:rsid w:val="007C7C91"/>
    <w:rsid w:val="007D019A"/>
    <w:rsid w:val="007D043A"/>
    <w:rsid w:val="007D1838"/>
    <w:rsid w:val="007D3794"/>
    <w:rsid w:val="007D4443"/>
    <w:rsid w:val="007D4767"/>
    <w:rsid w:val="007D4775"/>
    <w:rsid w:val="007D4C89"/>
    <w:rsid w:val="007D59B8"/>
    <w:rsid w:val="007D66C3"/>
    <w:rsid w:val="007D6A72"/>
    <w:rsid w:val="007E03E5"/>
    <w:rsid w:val="007E0C78"/>
    <w:rsid w:val="007E0D8B"/>
    <w:rsid w:val="007E12B7"/>
    <w:rsid w:val="007E283A"/>
    <w:rsid w:val="007E3090"/>
    <w:rsid w:val="007E3529"/>
    <w:rsid w:val="007E3886"/>
    <w:rsid w:val="007E3A62"/>
    <w:rsid w:val="007E3C78"/>
    <w:rsid w:val="007E4628"/>
    <w:rsid w:val="007E52DB"/>
    <w:rsid w:val="007E59C3"/>
    <w:rsid w:val="007E5FBB"/>
    <w:rsid w:val="007E6090"/>
    <w:rsid w:val="007E7263"/>
    <w:rsid w:val="007E7E0E"/>
    <w:rsid w:val="007F118C"/>
    <w:rsid w:val="007F1489"/>
    <w:rsid w:val="007F2AF0"/>
    <w:rsid w:val="007F332E"/>
    <w:rsid w:val="007F35D5"/>
    <w:rsid w:val="007F39A3"/>
    <w:rsid w:val="007F3F36"/>
    <w:rsid w:val="007F49D7"/>
    <w:rsid w:val="007F4C66"/>
    <w:rsid w:val="007F53AC"/>
    <w:rsid w:val="007F6552"/>
    <w:rsid w:val="007F74CF"/>
    <w:rsid w:val="007F75DB"/>
    <w:rsid w:val="007F7E0F"/>
    <w:rsid w:val="007F7F7C"/>
    <w:rsid w:val="008002BA"/>
    <w:rsid w:val="0080038E"/>
    <w:rsid w:val="0080077C"/>
    <w:rsid w:val="0080103F"/>
    <w:rsid w:val="00802E94"/>
    <w:rsid w:val="00802FDC"/>
    <w:rsid w:val="008037DD"/>
    <w:rsid w:val="0080386E"/>
    <w:rsid w:val="00803E98"/>
    <w:rsid w:val="00804F23"/>
    <w:rsid w:val="00805740"/>
    <w:rsid w:val="00805C40"/>
    <w:rsid w:val="00805EF4"/>
    <w:rsid w:val="008061C3"/>
    <w:rsid w:val="00806FC6"/>
    <w:rsid w:val="00807694"/>
    <w:rsid w:val="00807C57"/>
    <w:rsid w:val="00810063"/>
    <w:rsid w:val="0081033F"/>
    <w:rsid w:val="008107A1"/>
    <w:rsid w:val="00810A02"/>
    <w:rsid w:val="008118EC"/>
    <w:rsid w:val="00811DFD"/>
    <w:rsid w:val="008129DE"/>
    <w:rsid w:val="00812D49"/>
    <w:rsid w:val="00813666"/>
    <w:rsid w:val="00813972"/>
    <w:rsid w:val="00813AAF"/>
    <w:rsid w:val="0081442E"/>
    <w:rsid w:val="00814872"/>
    <w:rsid w:val="0081536E"/>
    <w:rsid w:val="008153BF"/>
    <w:rsid w:val="008154C6"/>
    <w:rsid w:val="00815B6A"/>
    <w:rsid w:val="008161A9"/>
    <w:rsid w:val="00816939"/>
    <w:rsid w:val="00817F5B"/>
    <w:rsid w:val="00820378"/>
    <w:rsid w:val="00820475"/>
    <w:rsid w:val="0082066D"/>
    <w:rsid w:val="00820B9B"/>
    <w:rsid w:val="008218CD"/>
    <w:rsid w:val="00821FD2"/>
    <w:rsid w:val="0082263A"/>
    <w:rsid w:val="00822B2B"/>
    <w:rsid w:val="008230F4"/>
    <w:rsid w:val="00823AEE"/>
    <w:rsid w:val="00823F1D"/>
    <w:rsid w:val="008243B9"/>
    <w:rsid w:val="008249E2"/>
    <w:rsid w:val="00824D16"/>
    <w:rsid w:val="0082510F"/>
    <w:rsid w:val="008253A1"/>
    <w:rsid w:val="00825EFF"/>
    <w:rsid w:val="0082688F"/>
    <w:rsid w:val="00830039"/>
    <w:rsid w:val="0083052C"/>
    <w:rsid w:val="00830A36"/>
    <w:rsid w:val="00831184"/>
    <w:rsid w:val="0083299C"/>
    <w:rsid w:val="00832A43"/>
    <w:rsid w:val="00832B05"/>
    <w:rsid w:val="00832B35"/>
    <w:rsid w:val="00832B5A"/>
    <w:rsid w:val="0083488D"/>
    <w:rsid w:val="00834B34"/>
    <w:rsid w:val="00834C7C"/>
    <w:rsid w:val="008358DC"/>
    <w:rsid w:val="00835D0D"/>
    <w:rsid w:val="0083631E"/>
    <w:rsid w:val="008363AF"/>
    <w:rsid w:val="00836565"/>
    <w:rsid w:val="00836662"/>
    <w:rsid w:val="00836CFB"/>
    <w:rsid w:val="00837266"/>
    <w:rsid w:val="00837C7B"/>
    <w:rsid w:val="00840EF2"/>
    <w:rsid w:val="0084168B"/>
    <w:rsid w:val="00842868"/>
    <w:rsid w:val="008430E4"/>
    <w:rsid w:val="008430EB"/>
    <w:rsid w:val="008432FB"/>
    <w:rsid w:val="00843D53"/>
    <w:rsid w:val="00844456"/>
    <w:rsid w:val="00844953"/>
    <w:rsid w:val="0084499D"/>
    <w:rsid w:val="00845192"/>
    <w:rsid w:val="008455F0"/>
    <w:rsid w:val="008456EA"/>
    <w:rsid w:val="00845C39"/>
    <w:rsid w:val="00846445"/>
    <w:rsid w:val="0084695E"/>
    <w:rsid w:val="00846A57"/>
    <w:rsid w:val="00846D15"/>
    <w:rsid w:val="008472F1"/>
    <w:rsid w:val="0084787F"/>
    <w:rsid w:val="0085068B"/>
    <w:rsid w:val="00850F57"/>
    <w:rsid w:val="00852246"/>
    <w:rsid w:val="0085392D"/>
    <w:rsid w:val="00853A7F"/>
    <w:rsid w:val="00853EC4"/>
    <w:rsid w:val="00854543"/>
    <w:rsid w:val="00854B67"/>
    <w:rsid w:val="00854F22"/>
    <w:rsid w:val="0085629A"/>
    <w:rsid w:val="008563C0"/>
    <w:rsid w:val="008569F4"/>
    <w:rsid w:val="0085724B"/>
    <w:rsid w:val="008577CC"/>
    <w:rsid w:val="008600C6"/>
    <w:rsid w:val="00860699"/>
    <w:rsid w:val="00860BC0"/>
    <w:rsid w:val="00862BC9"/>
    <w:rsid w:val="00862E7F"/>
    <w:rsid w:val="00865369"/>
    <w:rsid w:val="00865EF1"/>
    <w:rsid w:val="00865FFB"/>
    <w:rsid w:val="00866554"/>
    <w:rsid w:val="0086714F"/>
    <w:rsid w:val="00870418"/>
    <w:rsid w:val="008704E6"/>
    <w:rsid w:val="00871226"/>
    <w:rsid w:val="00871816"/>
    <w:rsid w:val="00871941"/>
    <w:rsid w:val="008729FD"/>
    <w:rsid w:val="0087361D"/>
    <w:rsid w:val="00874063"/>
    <w:rsid w:val="0087439E"/>
    <w:rsid w:val="00874664"/>
    <w:rsid w:val="00874C47"/>
    <w:rsid w:val="00874CB3"/>
    <w:rsid w:val="00874CD0"/>
    <w:rsid w:val="008752BC"/>
    <w:rsid w:val="008767D6"/>
    <w:rsid w:val="00876EBE"/>
    <w:rsid w:val="00877731"/>
    <w:rsid w:val="00880122"/>
    <w:rsid w:val="00880DC9"/>
    <w:rsid w:val="00882483"/>
    <w:rsid w:val="00882D97"/>
    <w:rsid w:val="00883401"/>
    <w:rsid w:val="00883B7F"/>
    <w:rsid w:val="00884380"/>
    <w:rsid w:val="008847F2"/>
    <w:rsid w:val="00885FED"/>
    <w:rsid w:val="0088677A"/>
    <w:rsid w:val="008868B7"/>
    <w:rsid w:val="00886B5D"/>
    <w:rsid w:val="008870CB"/>
    <w:rsid w:val="008876FF"/>
    <w:rsid w:val="00887DCC"/>
    <w:rsid w:val="00887FB4"/>
    <w:rsid w:val="008906D4"/>
    <w:rsid w:val="00890A3F"/>
    <w:rsid w:val="00891D59"/>
    <w:rsid w:val="00892311"/>
    <w:rsid w:val="00892CFD"/>
    <w:rsid w:val="008938C7"/>
    <w:rsid w:val="00893964"/>
    <w:rsid w:val="00894525"/>
    <w:rsid w:val="0089461C"/>
    <w:rsid w:val="0089463A"/>
    <w:rsid w:val="00895C2B"/>
    <w:rsid w:val="00895D94"/>
    <w:rsid w:val="008964B4"/>
    <w:rsid w:val="00896C38"/>
    <w:rsid w:val="00897043"/>
    <w:rsid w:val="00897C54"/>
    <w:rsid w:val="008A008A"/>
    <w:rsid w:val="008A0185"/>
    <w:rsid w:val="008A0CA8"/>
    <w:rsid w:val="008A0D3C"/>
    <w:rsid w:val="008A1915"/>
    <w:rsid w:val="008A1D79"/>
    <w:rsid w:val="008A200C"/>
    <w:rsid w:val="008A35B9"/>
    <w:rsid w:val="008A3F56"/>
    <w:rsid w:val="008A4026"/>
    <w:rsid w:val="008A4A0E"/>
    <w:rsid w:val="008A4C98"/>
    <w:rsid w:val="008A4DFE"/>
    <w:rsid w:val="008A5720"/>
    <w:rsid w:val="008A5CD9"/>
    <w:rsid w:val="008A5E3A"/>
    <w:rsid w:val="008A66F7"/>
    <w:rsid w:val="008A6B8A"/>
    <w:rsid w:val="008A6ED8"/>
    <w:rsid w:val="008A79EB"/>
    <w:rsid w:val="008B014E"/>
    <w:rsid w:val="008B0D38"/>
    <w:rsid w:val="008B0E96"/>
    <w:rsid w:val="008B21E9"/>
    <w:rsid w:val="008B27C6"/>
    <w:rsid w:val="008B282C"/>
    <w:rsid w:val="008B2CAD"/>
    <w:rsid w:val="008B3010"/>
    <w:rsid w:val="008B3859"/>
    <w:rsid w:val="008B3B82"/>
    <w:rsid w:val="008B418D"/>
    <w:rsid w:val="008B46DB"/>
    <w:rsid w:val="008B470F"/>
    <w:rsid w:val="008B4A56"/>
    <w:rsid w:val="008B4ADD"/>
    <w:rsid w:val="008B4C07"/>
    <w:rsid w:val="008B5A2F"/>
    <w:rsid w:val="008B5AE9"/>
    <w:rsid w:val="008B67F5"/>
    <w:rsid w:val="008B6A42"/>
    <w:rsid w:val="008B73E6"/>
    <w:rsid w:val="008C0345"/>
    <w:rsid w:val="008C0A96"/>
    <w:rsid w:val="008C16F9"/>
    <w:rsid w:val="008C30D5"/>
    <w:rsid w:val="008C3260"/>
    <w:rsid w:val="008C33FB"/>
    <w:rsid w:val="008C3554"/>
    <w:rsid w:val="008C4456"/>
    <w:rsid w:val="008C4E1D"/>
    <w:rsid w:val="008C5F13"/>
    <w:rsid w:val="008C60B3"/>
    <w:rsid w:val="008C6104"/>
    <w:rsid w:val="008C64C0"/>
    <w:rsid w:val="008D01D2"/>
    <w:rsid w:val="008D1961"/>
    <w:rsid w:val="008D20D7"/>
    <w:rsid w:val="008D27FC"/>
    <w:rsid w:val="008D2F61"/>
    <w:rsid w:val="008D3B40"/>
    <w:rsid w:val="008D43B0"/>
    <w:rsid w:val="008D4827"/>
    <w:rsid w:val="008D4B1C"/>
    <w:rsid w:val="008D4FE3"/>
    <w:rsid w:val="008D565A"/>
    <w:rsid w:val="008D5B2E"/>
    <w:rsid w:val="008D68BE"/>
    <w:rsid w:val="008D6926"/>
    <w:rsid w:val="008D6D6A"/>
    <w:rsid w:val="008D795B"/>
    <w:rsid w:val="008D7AB1"/>
    <w:rsid w:val="008E00FA"/>
    <w:rsid w:val="008E1A21"/>
    <w:rsid w:val="008E2ED6"/>
    <w:rsid w:val="008E3352"/>
    <w:rsid w:val="008E3B83"/>
    <w:rsid w:val="008E3E50"/>
    <w:rsid w:val="008E4E32"/>
    <w:rsid w:val="008E5A31"/>
    <w:rsid w:val="008E5B5C"/>
    <w:rsid w:val="008E5CA3"/>
    <w:rsid w:val="008E6D2B"/>
    <w:rsid w:val="008F0097"/>
    <w:rsid w:val="008F03FD"/>
    <w:rsid w:val="008F0BCF"/>
    <w:rsid w:val="008F26E2"/>
    <w:rsid w:val="008F282A"/>
    <w:rsid w:val="008F2ABF"/>
    <w:rsid w:val="008F5074"/>
    <w:rsid w:val="008F57E1"/>
    <w:rsid w:val="008F5BE3"/>
    <w:rsid w:val="008F5BE5"/>
    <w:rsid w:val="008F61BA"/>
    <w:rsid w:val="008F6FB0"/>
    <w:rsid w:val="008F7754"/>
    <w:rsid w:val="008F7981"/>
    <w:rsid w:val="008F7CEE"/>
    <w:rsid w:val="008F7D0D"/>
    <w:rsid w:val="008F7D71"/>
    <w:rsid w:val="00901F6D"/>
    <w:rsid w:val="00902619"/>
    <w:rsid w:val="0090313C"/>
    <w:rsid w:val="009032B7"/>
    <w:rsid w:val="00903411"/>
    <w:rsid w:val="00903A5C"/>
    <w:rsid w:val="00904072"/>
    <w:rsid w:val="00905F3D"/>
    <w:rsid w:val="00906AA4"/>
    <w:rsid w:val="00907393"/>
    <w:rsid w:val="009074C1"/>
    <w:rsid w:val="00910056"/>
    <w:rsid w:val="009106D7"/>
    <w:rsid w:val="00910D2F"/>
    <w:rsid w:val="0091189D"/>
    <w:rsid w:val="00912438"/>
    <w:rsid w:val="009126A6"/>
    <w:rsid w:val="00912C9D"/>
    <w:rsid w:val="00912E45"/>
    <w:rsid w:val="00913028"/>
    <w:rsid w:val="009134B3"/>
    <w:rsid w:val="00914084"/>
    <w:rsid w:val="00914C3D"/>
    <w:rsid w:val="00914CBD"/>
    <w:rsid w:val="00914F03"/>
    <w:rsid w:val="00915E71"/>
    <w:rsid w:val="00916342"/>
    <w:rsid w:val="009169A4"/>
    <w:rsid w:val="00916D79"/>
    <w:rsid w:val="00916F46"/>
    <w:rsid w:val="00920D88"/>
    <w:rsid w:val="00921E65"/>
    <w:rsid w:val="00922902"/>
    <w:rsid w:val="00922C1D"/>
    <w:rsid w:val="009234AC"/>
    <w:rsid w:val="0092369D"/>
    <w:rsid w:val="009247D0"/>
    <w:rsid w:val="00924949"/>
    <w:rsid w:val="00924BB0"/>
    <w:rsid w:val="00925DFD"/>
    <w:rsid w:val="009268BF"/>
    <w:rsid w:val="009268F5"/>
    <w:rsid w:val="009269AF"/>
    <w:rsid w:val="00926BE1"/>
    <w:rsid w:val="00930D6E"/>
    <w:rsid w:val="009314D1"/>
    <w:rsid w:val="009319BD"/>
    <w:rsid w:val="009326A6"/>
    <w:rsid w:val="00932791"/>
    <w:rsid w:val="009327D9"/>
    <w:rsid w:val="00932AA4"/>
    <w:rsid w:val="009339A2"/>
    <w:rsid w:val="00933A1A"/>
    <w:rsid w:val="00935A99"/>
    <w:rsid w:val="00935E6E"/>
    <w:rsid w:val="0093616D"/>
    <w:rsid w:val="009361A6"/>
    <w:rsid w:val="00936412"/>
    <w:rsid w:val="009405A6"/>
    <w:rsid w:val="00941108"/>
    <w:rsid w:val="00941C90"/>
    <w:rsid w:val="0094207F"/>
    <w:rsid w:val="00942393"/>
    <w:rsid w:val="009423DD"/>
    <w:rsid w:val="0094243A"/>
    <w:rsid w:val="009431E8"/>
    <w:rsid w:val="0094366B"/>
    <w:rsid w:val="0094366E"/>
    <w:rsid w:val="00943914"/>
    <w:rsid w:val="00943A93"/>
    <w:rsid w:val="00943D1D"/>
    <w:rsid w:val="00943E5C"/>
    <w:rsid w:val="0094425C"/>
    <w:rsid w:val="0094425E"/>
    <w:rsid w:val="00944EEA"/>
    <w:rsid w:val="0094577F"/>
    <w:rsid w:val="009457F1"/>
    <w:rsid w:val="0094634C"/>
    <w:rsid w:val="009466C6"/>
    <w:rsid w:val="00946810"/>
    <w:rsid w:val="00946C11"/>
    <w:rsid w:val="0095013A"/>
    <w:rsid w:val="00951DC2"/>
    <w:rsid w:val="00952304"/>
    <w:rsid w:val="00953BC7"/>
    <w:rsid w:val="00953D80"/>
    <w:rsid w:val="009544F7"/>
    <w:rsid w:val="00954A12"/>
    <w:rsid w:val="00955FDE"/>
    <w:rsid w:val="00956344"/>
    <w:rsid w:val="00956DF7"/>
    <w:rsid w:val="00956FA1"/>
    <w:rsid w:val="009574FC"/>
    <w:rsid w:val="009579DD"/>
    <w:rsid w:val="00957B59"/>
    <w:rsid w:val="00960F9C"/>
    <w:rsid w:val="00961381"/>
    <w:rsid w:val="0096221A"/>
    <w:rsid w:val="009635E9"/>
    <w:rsid w:val="00964028"/>
    <w:rsid w:val="00964A16"/>
    <w:rsid w:val="00964A3B"/>
    <w:rsid w:val="00965520"/>
    <w:rsid w:val="009656A3"/>
    <w:rsid w:val="0096771C"/>
    <w:rsid w:val="0097088C"/>
    <w:rsid w:val="00970E5C"/>
    <w:rsid w:val="00971074"/>
    <w:rsid w:val="00971634"/>
    <w:rsid w:val="00972792"/>
    <w:rsid w:val="00972DC6"/>
    <w:rsid w:val="00973F5A"/>
    <w:rsid w:val="009744EC"/>
    <w:rsid w:val="00974BF9"/>
    <w:rsid w:val="0097502E"/>
    <w:rsid w:val="009765EF"/>
    <w:rsid w:val="00976680"/>
    <w:rsid w:val="0097680E"/>
    <w:rsid w:val="00976965"/>
    <w:rsid w:val="00976A9F"/>
    <w:rsid w:val="00977317"/>
    <w:rsid w:val="0098003A"/>
    <w:rsid w:val="00981B53"/>
    <w:rsid w:val="00981C86"/>
    <w:rsid w:val="009825B0"/>
    <w:rsid w:val="009836B3"/>
    <w:rsid w:val="00983E47"/>
    <w:rsid w:val="009844CC"/>
    <w:rsid w:val="00984AF6"/>
    <w:rsid w:val="009867FD"/>
    <w:rsid w:val="00986809"/>
    <w:rsid w:val="0098699E"/>
    <w:rsid w:val="00986CDD"/>
    <w:rsid w:val="00986D93"/>
    <w:rsid w:val="009873D3"/>
    <w:rsid w:val="0098750D"/>
    <w:rsid w:val="0098792A"/>
    <w:rsid w:val="00987DA0"/>
    <w:rsid w:val="009900B4"/>
    <w:rsid w:val="009901F0"/>
    <w:rsid w:val="009913BC"/>
    <w:rsid w:val="00991B9F"/>
    <w:rsid w:val="009927D8"/>
    <w:rsid w:val="00993C98"/>
    <w:rsid w:val="0099411C"/>
    <w:rsid w:val="0099614D"/>
    <w:rsid w:val="00996795"/>
    <w:rsid w:val="009968CF"/>
    <w:rsid w:val="00996EB5"/>
    <w:rsid w:val="00997082"/>
    <w:rsid w:val="0099750D"/>
    <w:rsid w:val="00997EBF"/>
    <w:rsid w:val="009A020D"/>
    <w:rsid w:val="009A1765"/>
    <w:rsid w:val="009A1820"/>
    <w:rsid w:val="009A2352"/>
    <w:rsid w:val="009A26E6"/>
    <w:rsid w:val="009A322D"/>
    <w:rsid w:val="009A3438"/>
    <w:rsid w:val="009A4D4D"/>
    <w:rsid w:val="009A5105"/>
    <w:rsid w:val="009A5685"/>
    <w:rsid w:val="009A5E33"/>
    <w:rsid w:val="009A62B4"/>
    <w:rsid w:val="009A6313"/>
    <w:rsid w:val="009A6316"/>
    <w:rsid w:val="009A6C54"/>
    <w:rsid w:val="009A6C61"/>
    <w:rsid w:val="009A7564"/>
    <w:rsid w:val="009B0278"/>
    <w:rsid w:val="009B06C9"/>
    <w:rsid w:val="009B12DF"/>
    <w:rsid w:val="009B1B20"/>
    <w:rsid w:val="009B505F"/>
    <w:rsid w:val="009B5B73"/>
    <w:rsid w:val="009B5FB1"/>
    <w:rsid w:val="009B6372"/>
    <w:rsid w:val="009B684A"/>
    <w:rsid w:val="009B6D11"/>
    <w:rsid w:val="009B77AE"/>
    <w:rsid w:val="009B7AC1"/>
    <w:rsid w:val="009C0B89"/>
    <w:rsid w:val="009C0E84"/>
    <w:rsid w:val="009C0EFA"/>
    <w:rsid w:val="009C1982"/>
    <w:rsid w:val="009C1F04"/>
    <w:rsid w:val="009C258C"/>
    <w:rsid w:val="009C2608"/>
    <w:rsid w:val="009C3D63"/>
    <w:rsid w:val="009C4103"/>
    <w:rsid w:val="009C4306"/>
    <w:rsid w:val="009C4753"/>
    <w:rsid w:val="009C4D15"/>
    <w:rsid w:val="009C5906"/>
    <w:rsid w:val="009C5CF8"/>
    <w:rsid w:val="009C6A59"/>
    <w:rsid w:val="009C7C00"/>
    <w:rsid w:val="009D00C6"/>
    <w:rsid w:val="009D12DF"/>
    <w:rsid w:val="009D1689"/>
    <w:rsid w:val="009D349F"/>
    <w:rsid w:val="009D388C"/>
    <w:rsid w:val="009D3AFA"/>
    <w:rsid w:val="009D3B83"/>
    <w:rsid w:val="009D40AB"/>
    <w:rsid w:val="009D455D"/>
    <w:rsid w:val="009D6EF4"/>
    <w:rsid w:val="009D771A"/>
    <w:rsid w:val="009E005E"/>
    <w:rsid w:val="009E0E40"/>
    <w:rsid w:val="009E0EB1"/>
    <w:rsid w:val="009E1314"/>
    <w:rsid w:val="009E13F9"/>
    <w:rsid w:val="009E1C5B"/>
    <w:rsid w:val="009E2063"/>
    <w:rsid w:val="009E2155"/>
    <w:rsid w:val="009E21DE"/>
    <w:rsid w:val="009E2890"/>
    <w:rsid w:val="009E30F2"/>
    <w:rsid w:val="009E3C29"/>
    <w:rsid w:val="009E4AE9"/>
    <w:rsid w:val="009E560B"/>
    <w:rsid w:val="009E7D8D"/>
    <w:rsid w:val="009F0333"/>
    <w:rsid w:val="009F1640"/>
    <w:rsid w:val="009F2161"/>
    <w:rsid w:val="009F289E"/>
    <w:rsid w:val="009F30D3"/>
    <w:rsid w:val="009F365D"/>
    <w:rsid w:val="009F3C9E"/>
    <w:rsid w:val="009F40D0"/>
    <w:rsid w:val="009F414D"/>
    <w:rsid w:val="009F4266"/>
    <w:rsid w:val="009F4EC4"/>
    <w:rsid w:val="009F4EF2"/>
    <w:rsid w:val="009F56ED"/>
    <w:rsid w:val="009F5AC7"/>
    <w:rsid w:val="009F5B0D"/>
    <w:rsid w:val="009F6FC0"/>
    <w:rsid w:val="009F70B5"/>
    <w:rsid w:val="009F7116"/>
    <w:rsid w:val="009F7346"/>
    <w:rsid w:val="009F7D54"/>
    <w:rsid w:val="00A0090C"/>
    <w:rsid w:val="00A00B9C"/>
    <w:rsid w:val="00A016AC"/>
    <w:rsid w:val="00A01DAA"/>
    <w:rsid w:val="00A029B5"/>
    <w:rsid w:val="00A03910"/>
    <w:rsid w:val="00A03F34"/>
    <w:rsid w:val="00A04B43"/>
    <w:rsid w:val="00A054BD"/>
    <w:rsid w:val="00A056E8"/>
    <w:rsid w:val="00A05758"/>
    <w:rsid w:val="00A06E64"/>
    <w:rsid w:val="00A1048A"/>
    <w:rsid w:val="00A1157F"/>
    <w:rsid w:val="00A12C03"/>
    <w:rsid w:val="00A12D1B"/>
    <w:rsid w:val="00A138DC"/>
    <w:rsid w:val="00A13C4F"/>
    <w:rsid w:val="00A14D50"/>
    <w:rsid w:val="00A1514D"/>
    <w:rsid w:val="00A160E2"/>
    <w:rsid w:val="00A161A6"/>
    <w:rsid w:val="00A17657"/>
    <w:rsid w:val="00A17753"/>
    <w:rsid w:val="00A17A17"/>
    <w:rsid w:val="00A17B04"/>
    <w:rsid w:val="00A17D30"/>
    <w:rsid w:val="00A20361"/>
    <w:rsid w:val="00A20437"/>
    <w:rsid w:val="00A21D80"/>
    <w:rsid w:val="00A2225F"/>
    <w:rsid w:val="00A225A8"/>
    <w:rsid w:val="00A230B7"/>
    <w:rsid w:val="00A23782"/>
    <w:rsid w:val="00A24069"/>
    <w:rsid w:val="00A24DBB"/>
    <w:rsid w:val="00A24EA0"/>
    <w:rsid w:val="00A25031"/>
    <w:rsid w:val="00A250D2"/>
    <w:rsid w:val="00A25ED0"/>
    <w:rsid w:val="00A262D4"/>
    <w:rsid w:val="00A27054"/>
    <w:rsid w:val="00A3035E"/>
    <w:rsid w:val="00A30812"/>
    <w:rsid w:val="00A3111B"/>
    <w:rsid w:val="00A31788"/>
    <w:rsid w:val="00A32665"/>
    <w:rsid w:val="00A32D7A"/>
    <w:rsid w:val="00A33256"/>
    <w:rsid w:val="00A33CB0"/>
    <w:rsid w:val="00A33D46"/>
    <w:rsid w:val="00A341E3"/>
    <w:rsid w:val="00A34937"/>
    <w:rsid w:val="00A3587E"/>
    <w:rsid w:val="00A3635E"/>
    <w:rsid w:val="00A36E54"/>
    <w:rsid w:val="00A40101"/>
    <w:rsid w:val="00A401B6"/>
    <w:rsid w:val="00A402B4"/>
    <w:rsid w:val="00A40839"/>
    <w:rsid w:val="00A42788"/>
    <w:rsid w:val="00A42AEB"/>
    <w:rsid w:val="00A43031"/>
    <w:rsid w:val="00A433C7"/>
    <w:rsid w:val="00A4436B"/>
    <w:rsid w:val="00A46AA6"/>
    <w:rsid w:val="00A470CE"/>
    <w:rsid w:val="00A474CC"/>
    <w:rsid w:val="00A50553"/>
    <w:rsid w:val="00A50AFC"/>
    <w:rsid w:val="00A51441"/>
    <w:rsid w:val="00A52DC9"/>
    <w:rsid w:val="00A531EF"/>
    <w:rsid w:val="00A5398A"/>
    <w:rsid w:val="00A54076"/>
    <w:rsid w:val="00A54D53"/>
    <w:rsid w:val="00A54D71"/>
    <w:rsid w:val="00A55A95"/>
    <w:rsid w:val="00A55BC4"/>
    <w:rsid w:val="00A55D70"/>
    <w:rsid w:val="00A560BD"/>
    <w:rsid w:val="00A56239"/>
    <w:rsid w:val="00A57E30"/>
    <w:rsid w:val="00A57E6A"/>
    <w:rsid w:val="00A616D4"/>
    <w:rsid w:val="00A617E4"/>
    <w:rsid w:val="00A61D17"/>
    <w:rsid w:val="00A630D3"/>
    <w:rsid w:val="00A6314E"/>
    <w:rsid w:val="00A63B26"/>
    <w:rsid w:val="00A64B98"/>
    <w:rsid w:val="00A651D5"/>
    <w:rsid w:val="00A67C16"/>
    <w:rsid w:val="00A67DD6"/>
    <w:rsid w:val="00A67EB5"/>
    <w:rsid w:val="00A708ED"/>
    <w:rsid w:val="00A710B6"/>
    <w:rsid w:val="00A71C39"/>
    <w:rsid w:val="00A71D8F"/>
    <w:rsid w:val="00A71D97"/>
    <w:rsid w:val="00A7306D"/>
    <w:rsid w:val="00A742D0"/>
    <w:rsid w:val="00A74DCB"/>
    <w:rsid w:val="00A7512D"/>
    <w:rsid w:val="00A759F6"/>
    <w:rsid w:val="00A75CC4"/>
    <w:rsid w:val="00A765E5"/>
    <w:rsid w:val="00A77074"/>
    <w:rsid w:val="00A773A6"/>
    <w:rsid w:val="00A7752F"/>
    <w:rsid w:val="00A77A48"/>
    <w:rsid w:val="00A77D26"/>
    <w:rsid w:val="00A804F2"/>
    <w:rsid w:val="00A819E3"/>
    <w:rsid w:val="00A82140"/>
    <w:rsid w:val="00A830B9"/>
    <w:rsid w:val="00A83483"/>
    <w:rsid w:val="00A836FF"/>
    <w:rsid w:val="00A86549"/>
    <w:rsid w:val="00A879AB"/>
    <w:rsid w:val="00A87B2F"/>
    <w:rsid w:val="00A90F6A"/>
    <w:rsid w:val="00A913C8"/>
    <w:rsid w:val="00A91856"/>
    <w:rsid w:val="00A91CFC"/>
    <w:rsid w:val="00A92702"/>
    <w:rsid w:val="00A9383A"/>
    <w:rsid w:val="00A93E9E"/>
    <w:rsid w:val="00A94913"/>
    <w:rsid w:val="00A9515F"/>
    <w:rsid w:val="00A95936"/>
    <w:rsid w:val="00A97829"/>
    <w:rsid w:val="00AA11B3"/>
    <w:rsid w:val="00AA1D05"/>
    <w:rsid w:val="00AA3945"/>
    <w:rsid w:val="00AA3D7D"/>
    <w:rsid w:val="00AA4319"/>
    <w:rsid w:val="00AA437D"/>
    <w:rsid w:val="00AA44E1"/>
    <w:rsid w:val="00AA58A2"/>
    <w:rsid w:val="00AA5D17"/>
    <w:rsid w:val="00AA5DCE"/>
    <w:rsid w:val="00AB0AB7"/>
    <w:rsid w:val="00AB0D51"/>
    <w:rsid w:val="00AB103D"/>
    <w:rsid w:val="00AB1FE6"/>
    <w:rsid w:val="00AB2C9C"/>
    <w:rsid w:val="00AB2D94"/>
    <w:rsid w:val="00AB3293"/>
    <w:rsid w:val="00AB3F0F"/>
    <w:rsid w:val="00AB40CC"/>
    <w:rsid w:val="00AB62A9"/>
    <w:rsid w:val="00AB6802"/>
    <w:rsid w:val="00AB75B5"/>
    <w:rsid w:val="00AB7C8C"/>
    <w:rsid w:val="00AC04C9"/>
    <w:rsid w:val="00AC0D7A"/>
    <w:rsid w:val="00AC1A26"/>
    <w:rsid w:val="00AC1F75"/>
    <w:rsid w:val="00AC314C"/>
    <w:rsid w:val="00AC414F"/>
    <w:rsid w:val="00AC476C"/>
    <w:rsid w:val="00AC4E50"/>
    <w:rsid w:val="00AC5B34"/>
    <w:rsid w:val="00AC5D8A"/>
    <w:rsid w:val="00AC6184"/>
    <w:rsid w:val="00AC6326"/>
    <w:rsid w:val="00AC6649"/>
    <w:rsid w:val="00AC67BE"/>
    <w:rsid w:val="00AC6DEC"/>
    <w:rsid w:val="00AC70F8"/>
    <w:rsid w:val="00AC7377"/>
    <w:rsid w:val="00AC776D"/>
    <w:rsid w:val="00AC7972"/>
    <w:rsid w:val="00AC7BC1"/>
    <w:rsid w:val="00AD0832"/>
    <w:rsid w:val="00AD16A5"/>
    <w:rsid w:val="00AD16EA"/>
    <w:rsid w:val="00AD197D"/>
    <w:rsid w:val="00AD26FB"/>
    <w:rsid w:val="00AD27AA"/>
    <w:rsid w:val="00AD2962"/>
    <w:rsid w:val="00AD2AD4"/>
    <w:rsid w:val="00AD2DAF"/>
    <w:rsid w:val="00AD355C"/>
    <w:rsid w:val="00AD4134"/>
    <w:rsid w:val="00AD530F"/>
    <w:rsid w:val="00AD5AAA"/>
    <w:rsid w:val="00AD6819"/>
    <w:rsid w:val="00AD69EC"/>
    <w:rsid w:val="00AD6E3B"/>
    <w:rsid w:val="00AD7D5E"/>
    <w:rsid w:val="00AE024B"/>
    <w:rsid w:val="00AE0CA5"/>
    <w:rsid w:val="00AE12A3"/>
    <w:rsid w:val="00AE2ECC"/>
    <w:rsid w:val="00AE379D"/>
    <w:rsid w:val="00AE37F6"/>
    <w:rsid w:val="00AE3836"/>
    <w:rsid w:val="00AE387E"/>
    <w:rsid w:val="00AE3BB5"/>
    <w:rsid w:val="00AE3FF0"/>
    <w:rsid w:val="00AE4143"/>
    <w:rsid w:val="00AE52F3"/>
    <w:rsid w:val="00AE5A9B"/>
    <w:rsid w:val="00AE5C63"/>
    <w:rsid w:val="00AE6056"/>
    <w:rsid w:val="00AE61ED"/>
    <w:rsid w:val="00AE6219"/>
    <w:rsid w:val="00AE6EB1"/>
    <w:rsid w:val="00AE7281"/>
    <w:rsid w:val="00AF02A3"/>
    <w:rsid w:val="00AF063A"/>
    <w:rsid w:val="00AF0CD5"/>
    <w:rsid w:val="00AF1D6E"/>
    <w:rsid w:val="00AF1E15"/>
    <w:rsid w:val="00AF27FF"/>
    <w:rsid w:val="00AF39EC"/>
    <w:rsid w:val="00AF3E69"/>
    <w:rsid w:val="00AF3F40"/>
    <w:rsid w:val="00AF40D8"/>
    <w:rsid w:val="00AF42F9"/>
    <w:rsid w:val="00AF4EE9"/>
    <w:rsid w:val="00AF500F"/>
    <w:rsid w:val="00AF5DE5"/>
    <w:rsid w:val="00AF630C"/>
    <w:rsid w:val="00AF6941"/>
    <w:rsid w:val="00AF7499"/>
    <w:rsid w:val="00AF78C8"/>
    <w:rsid w:val="00AF7926"/>
    <w:rsid w:val="00AF7B6F"/>
    <w:rsid w:val="00B001A2"/>
    <w:rsid w:val="00B0021A"/>
    <w:rsid w:val="00B010BF"/>
    <w:rsid w:val="00B01F17"/>
    <w:rsid w:val="00B028D8"/>
    <w:rsid w:val="00B02AC1"/>
    <w:rsid w:val="00B02E1C"/>
    <w:rsid w:val="00B04F23"/>
    <w:rsid w:val="00B056F1"/>
    <w:rsid w:val="00B05CE4"/>
    <w:rsid w:val="00B06309"/>
    <w:rsid w:val="00B070D1"/>
    <w:rsid w:val="00B071E6"/>
    <w:rsid w:val="00B07469"/>
    <w:rsid w:val="00B07E7B"/>
    <w:rsid w:val="00B103A6"/>
    <w:rsid w:val="00B104DA"/>
    <w:rsid w:val="00B10A93"/>
    <w:rsid w:val="00B12ED4"/>
    <w:rsid w:val="00B12F0B"/>
    <w:rsid w:val="00B13FF6"/>
    <w:rsid w:val="00B144FA"/>
    <w:rsid w:val="00B154C3"/>
    <w:rsid w:val="00B157A5"/>
    <w:rsid w:val="00B1660B"/>
    <w:rsid w:val="00B168E0"/>
    <w:rsid w:val="00B16BDA"/>
    <w:rsid w:val="00B16C58"/>
    <w:rsid w:val="00B20927"/>
    <w:rsid w:val="00B21841"/>
    <w:rsid w:val="00B21C89"/>
    <w:rsid w:val="00B21E0E"/>
    <w:rsid w:val="00B233AE"/>
    <w:rsid w:val="00B23F2A"/>
    <w:rsid w:val="00B24150"/>
    <w:rsid w:val="00B254CF"/>
    <w:rsid w:val="00B25AB9"/>
    <w:rsid w:val="00B25D25"/>
    <w:rsid w:val="00B25E57"/>
    <w:rsid w:val="00B2622C"/>
    <w:rsid w:val="00B27ED6"/>
    <w:rsid w:val="00B3077B"/>
    <w:rsid w:val="00B312C3"/>
    <w:rsid w:val="00B314E2"/>
    <w:rsid w:val="00B32122"/>
    <w:rsid w:val="00B321FF"/>
    <w:rsid w:val="00B32549"/>
    <w:rsid w:val="00B32789"/>
    <w:rsid w:val="00B32BC5"/>
    <w:rsid w:val="00B32D44"/>
    <w:rsid w:val="00B32FD6"/>
    <w:rsid w:val="00B336EB"/>
    <w:rsid w:val="00B33B07"/>
    <w:rsid w:val="00B33BC4"/>
    <w:rsid w:val="00B35191"/>
    <w:rsid w:val="00B3598B"/>
    <w:rsid w:val="00B35E9E"/>
    <w:rsid w:val="00B36743"/>
    <w:rsid w:val="00B36AC7"/>
    <w:rsid w:val="00B3733F"/>
    <w:rsid w:val="00B37CE2"/>
    <w:rsid w:val="00B37E59"/>
    <w:rsid w:val="00B40370"/>
    <w:rsid w:val="00B4073B"/>
    <w:rsid w:val="00B44AFA"/>
    <w:rsid w:val="00B45C24"/>
    <w:rsid w:val="00B46261"/>
    <w:rsid w:val="00B46D2B"/>
    <w:rsid w:val="00B47BB7"/>
    <w:rsid w:val="00B518ED"/>
    <w:rsid w:val="00B5211A"/>
    <w:rsid w:val="00B5237C"/>
    <w:rsid w:val="00B52861"/>
    <w:rsid w:val="00B5316B"/>
    <w:rsid w:val="00B53737"/>
    <w:rsid w:val="00B5402B"/>
    <w:rsid w:val="00B5425B"/>
    <w:rsid w:val="00B543CB"/>
    <w:rsid w:val="00B54A25"/>
    <w:rsid w:val="00B5546F"/>
    <w:rsid w:val="00B55B2D"/>
    <w:rsid w:val="00B55BD2"/>
    <w:rsid w:val="00B55CE6"/>
    <w:rsid w:val="00B5672E"/>
    <w:rsid w:val="00B56F18"/>
    <w:rsid w:val="00B57C5A"/>
    <w:rsid w:val="00B60A18"/>
    <w:rsid w:val="00B60C48"/>
    <w:rsid w:val="00B61549"/>
    <w:rsid w:val="00B61AE1"/>
    <w:rsid w:val="00B61B00"/>
    <w:rsid w:val="00B62478"/>
    <w:rsid w:val="00B624CF"/>
    <w:rsid w:val="00B626B6"/>
    <w:rsid w:val="00B63230"/>
    <w:rsid w:val="00B6442F"/>
    <w:rsid w:val="00B64656"/>
    <w:rsid w:val="00B64AA3"/>
    <w:rsid w:val="00B6580D"/>
    <w:rsid w:val="00B66029"/>
    <w:rsid w:val="00B6603A"/>
    <w:rsid w:val="00B6666C"/>
    <w:rsid w:val="00B670EB"/>
    <w:rsid w:val="00B6745E"/>
    <w:rsid w:val="00B67574"/>
    <w:rsid w:val="00B67BA7"/>
    <w:rsid w:val="00B67D81"/>
    <w:rsid w:val="00B67F2C"/>
    <w:rsid w:val="00B709D5"/>
    <w:rsid w:val="00B712A2"/>
    <w:rsid w:val="00B71345"/>
    <w:rsid w:val="00B71752"/>
    <w:rsid w:val="00B717E8"/>
    <w:rsid w:val="00B7187E"/>
    <w:rsid w:val="00B7311D"/>
    <w:rsid w:val="00B747B5"/>
    <w:rsid w:val="00B74AD2"/>
    <w:rsid w:val="00B75985"/>
    <w:rsid w:val="00B761E9"/>
    <w:rsid w:val="00B76434"/>
    <w:rsid w:val="00B76938"/>
    <w:rsid w:val="00B76D8F"/>
    <w:rsid w:val="00B77021"/>
    <w:rsid w:val="00B77247"/>
    <w:rsid w:val="00B77EA5"/>
    <w:rsid w:val="00B805EC"/>
    <w:rsid w:val="00B80AFA"/>
    <w:rsid w:val="00B8165B"/>
    <w:rsid w:val="00B82591"/>
    <w:rsid w:val="00B8285F"/>
    <w:rsid w:val="00B82A7F"/>
    <w:rsid w:val="00B82E5C"/>
    <w:rsid w:val="00B8322C"/>
    <w:rsid w:val="00B83B43"/>
    <w:rsid w:val="00B842E8"/>
    <w:rsid w:val="00B8467B"/>
    <w:rsid w:val="00B84B5A"/>
    <w:rsid w:val="00B85B44"/>
    <w:rsid w:val="00B867A1"/>
    <w:rsid w:val="00B869AA"/>
    <w:rsid w:val="00B87732"/>
    <w:rsid w:val="00B90C32"/>
    <w:rsid w:val="00B91097"/>
    <w:rsid w:val="00B92B14"/>
    <w:rsid w:val="00B92CD6"/>
    <w:rsid w:val="00B9475D"/>
    <w:rsid w:val="00B94F35"/>
    <w:rsid w:val="00B9540D"/>
    <w:rsid w:val="00B95C56"/>
    <w:rsid w:val="00B95D3F"/>
    <w:rsid w:val="00B9754E"/>
    <w:rsid w:val="00BA04CF"/>
    <w:rsid w:val="00BA0698"/>
    <w:rsid w:val="00BA1800"/>
    <w:rsid w:val="00BA1D3B"/>
    <w:rsid w:val="00BA2175"/>
    <w:rsid w:val="00BA21FD"/>
    <w:rsid w:val="00BA2DA6"/>
    <w:rsid w:val="00BA3596"/>
    <w:rsid w:val="00BA390F"/>
    <w:rsid w:val="00BA3F34"/>
    <w:rsid w:val="00BA440C"/>
    <w:rsid w:val="00BA547F"/>
    <w:rsid w:val="00BA6706"/>
    <w:rsid w:val="00BA6DB4"/>
    <w:rsid w:val="00BA7567"/>
    <w:rsid w:val="00BA7622"/>
    <w:rsid w:val="00BB198C"/>
    <w:rsid w:val="00BB1BE2"/>
    <w:rsid w:val="00BB1EFE"/>
    <w:rsid w:val="00BB25F4"/>
    <w:rsid w:val="00BB2B78"/>
    <w:rsid w:val="00BB2DDE"/>
    <w:rsid w:val="00BB30E6"/>
    <w:rsid w:val="00BB4238"/>
    <w:rsid w:val="00BB4876"/>
    <w:rsid w:val="00BB76A5"/>
    <w:rsid w:val="00BB7EE1"/>
    <w:rsid w:val="00BC0159"/>
    <w:rsid w:val="00BC12EA"/>
    <w:rsid w:val="00BC240B"/>
    <w:rsid w:val="00BC26E1"/>
    <w:rsid w:val="00BC3338"/>
    <w:rsid w:val="00BC3EB9"/>
    <w:rsid w:val="00BC4DE3"/>
    <w:rsid w:val="00BC4E41"/>
    <w:rsid w:val="00BC5B3F"/>
    <w:rsid w:val="00BC62FE"/>
    <w:rsid w:val="00BC6305"/>
    <w:rsid w:val="00BC6A8E"/>
    <w:rsid w:val="00BC7865"/>
    <w:rsid w:val="00BC799F"/>
    <w:rsid w:val="00BC7DC5"/>
    <w:rsid w:val="00BD1513"/>
    <w:rsid w:val="00BD16B1"/>
    <w:rsid w:val="00BD18AB"/>
    <w:rsid w:val="00BD27B8"/>
    <w:rsid w:val="00BD40F5"/>
    <w:rsid w:val="00BD441C"/>
    <w:rsid w:val="00BD56F8"/>
    <w:rsid w:val="00BD5E53"/>
    <w:rsid w:val="00BD5FDC"/>
    <w:rsid w:val="00BD7945"/>
    <w:rsid w:val="00BE01F0"/>
    <w:rsid w:val="00BE1115"/>
    <w:rsid w:val="00BE1461"/>
    <w:rsid w:val="00BE1AD1"/>
    <w:rsid w:val="00BE1DB1"/>
    <w:rsid w:val="00BE24E2"/>
    <w:rsid w:val="00BE285F"/>
    <w:rsid w:val="00BE2EE9"/>
    <w:rsid w:val="00BE3E9B"/>
    <w:rsid w:val="00BE6193"/>
    <w:rsid w:val="00BE671E"/>
    <w:rsid w:val="00BE6DB9"/>
    <w:rsid w:val="00BF036A"/>
    <w:rsid w:val="00BF048D"/>
    <w:rsid w:val="00BF0BDE"/>
    <w:rsid w:val="00BF0D86"/>
    <w:rsid w:val="00BF24B1"/>
    <w:rsid w:val="00BF2506"/>
    <w:rsid w:val="00BF3B4B"/>
    <w:rsid w:val="00BF4929"/>
    <w:rsid w:val="00BF4995"/>
    <w:rsid w:val="00BF67B8"/>
    <w:rsid w:val="00BF799A"/>
    <w:rsid w:val="00C01052"/>
    <w:rsid w:val="00C01458"/>
    <w:rsid w:val="00C02348"/>
    <w:rsid w:val="00C023C7"/>
    <w:rsid w:val="00C02CF6"/>
    <w:rsid w:val="00C02D9E"/>
    <w:rsid w:val="00C04405"/>
    <w:rsid w:val="00C04466"/>
    <w:rsid w:val="00C04B54"/>
    <w:rsid w:val="00C0685B"/>
    <w:rsid w:val="00C07BB7"/>
    <w:rsid w:val="00C11202"/>
    <w:rsid w:val="00C11EB8"/>
    <w:rsid w:val="00C1367D"/>
    <w:rsid w:val="00C1522A"/>
    <w:rsid w:val="00C15AF0"/>
    <w:rsid w:val="00C167BA"/>
    <w:rsid w:val="00C16B37"/>
    <w:rsid w:val="00C17E75"/>
    <w:rsid w:val="00C2074E"/>
    <w:rsid w:val="00C21DC0"/>
    <w:rsid w:val="00C21E4A"/>
    <w:rsid w:val="00C22A93"/>
    <w:rsid w:val="00C2302E"/>
    <w:rsid w:val="00C23323"/>
    <w:rsid w:val="00C23454"/>
    <w:rsid w:val="00C2383F"/>
    <w:rsid w:val="00C245AC"/>
    <w:rsid w:val="00C24D78"/>
    <w:rsid w:val="00C250B9"/>
    <w:rsid w:val="00C253C4"/>
    <w:rsid w:val="00C25A95"/>
    <w:rsid w:val="00C25E29"/>
    <w:rsid w:val="00C27AD8"/>
    <w:rsid w:val="00C31530"/>
    <w:rsid w:val="00C31C9D"/>
    <w:rsid w:val="00C31DB5"/>
    <w:rsid w:val="00C31E11"/>
    <w:rsid w:val="00C33304"/>
    <w:rsid w:val="00C339AD"/>
    <w:rsid w:val="00C33B83"/>
    <w:rsid w:val="00C342DC"/>
    <w:rsid w:val="00C3432C"/>
    <w:rsid w:val="00C34444"/>
    <w:rsid w:val="00C348FA"/>
    <w:rsid w:val="00C34A08"/>
    <w:rsid w:val="00C36B21"/>
    <w:rsid w:val="00C36EAE"/>
    <w:rsid w:val="00C3710F"/>
    <w:rsid w:val="00C37143"/>
    <w:rsid w:val="00C37337"/>
    <w:rsid w:val="00C37760"/>
    <w:rsid w:val="00C40281"/>
    <w:rsid w:val="00C41122"/>
    <w:rsid w:val="00C413FC"/>
    <w:rsid w:val="00C42ECF"/>
    <w:rsid w:val="00C43B8A"/>
    <w:rsid w:val="00C44147"/>
    <w:rsid w:val="00C44585"/>
    <w:rsid w:val="00C45047"/>
    <w:rsid w:val="00C45600"/>
    <w:rsid w:val="00C45BB1"/>
    <w:rsid w:val="00C46861"/>
    <w:rsid w:val="00C46EA7"/>
    <w:rsid w:val="00C504BF"/>
    <w:rsid w:val="00C50743"/>
    <w:rsid w:val="00C511DB"/>
    <w:rsid w:val="00C5138B"/>
    <w:rsid w:val="00C5315B"/>
    <w:rsid w:val="00C53862"/>
    <w:rsid w:val="00C53F5A"/>
    <w:rsid w:val="00C540D9"/>
    <w:rsid w:val="00C5518B"/>
    <w:rsid w:val="00C563C9"/>
    <w:rsid w:val="00C563EB"/>
    <w:rsid w:val="00C565BF"/>
    <w:rsid w:val="00C5689F"/>
    <w:rsid w:val="00C60558"/>
    <w:rsid w:val="00C6109C"/>
    <w:rsid w:val="00C6213F"/>
    <w:rsid w:val="00C639B6"/>
    <w:rsid w:val="00C63F31"/>
    <w:rsid w:val="00C646DE"/>
    <w:rsid w:val="00C67490"/>
    <w:rsid w:val="00C67543"/>
    <w:rsid w:val="00C67B70"/>
    <w:rsid w:val="00C701B5"/>
    <w:rsid w:val="00C71109"/>
    <w:rsid w:val="00C71E32"/>
    <w:rsid w:val="00C72428"/>
    <w:rsid w:val="00C726E9"/>
    <w:rsid w:val="00C72810"/>
    <w:rsid w:val="00C72EEA"/>
    <w:rsid w:val="00C7519C"/>
    <w:rsid w:val="00C75843"/>
    <w:rsid w:val="00C75903"/>
    <w:rsid w:val="00C76940"/>
    <w:rsid w:val="00C76D4A"/>
    <w:rsid w:val="00C77987"/>
    <w:rsid w:val="00C77BC8"/>
    <w:rsid w:val="00C80CAC"/>
    <w:rsid w:val="00C80F7D"/>
    <w:rsid w:val="00C8119B"/>
    <w:rsid w:val="00C8188E"/>
    <w:rsid w:val="00C81AD6"/>
    <w:rsid w:val="00C823D6"/>
    <w:rsid w:val="00C82860"/>
    <w:rsid w:val="00C84216"/>
    <w:rsid w:val="00C84D21"/>
    <w:rsid w:val="00C8506C"/>
    <w:rsid w:val="00C8510D"/>
    <w:rsid w:val="00C854C8"/>
    <w:rsid w:val="00C8591C"/>
    <w:rsid w:val="00C85EDD"/>
    <w:rsid w:val="00C8631E"/>
    <w:rsid w:val="00C87152"/>
    <w:rsid w:val="00C87412"/>
    <w:rsid w:val="00C87CE2"/>
    <w:rsid w:val="00C90831"/>
    <w:rsid w:val="00C90C16"/>
    <w:rsid w:val="00C91472"/>
    <w:rsid w:val="00C91D47"/>
    <w:rsid w:val="00C91EE4"/>
    <w:rsid w:val="00C920AE"/>
    <w:rsid w:val="00C92137"/>
    <w:rsid w:val="00C92AFD"/>
    <w:rsid w:val="00C943C9"/>
    <w:rsid w:val="00C94624"/>
    <w:rsid w:val="00C94971"/>
    <w:rsid w:val="00C94BF1"/>
    <w:rsid w:val="00C94F54"/>
    <w:rsid w:val="00C9518F"/>
    <w:rsid w:val="00C95896"/>
    <w:rsid w:val="00C965C9"/>
    <w:rsid w:val="00C96861"/>
    <w:rsid w:val="00CA01B8"/>
    <w:rsid w:val="00CA0200"/>
    <w:rsid w:val="00CA0989"/>
    <w:rsid w:val="00CA09A7"/>
    <w:rsid w:val="00CA1A2F"/>
    <w:rsid w:val="00CA2F00"/>
    <w:rsid w:val="00CA3F7D"/>
    <w:rsid w:val="00CA43D3"/>
    <w:rsid w:val="00CA4495"/>
    <w:rsid w:val="00CA4A26"/>
    <w:rsid w:val="00CA61A5"/>
    <w:rsid w:val="00CA6685"/>
    <w:rsid w:val="00CA6793"/>
    <w:rsid w:val="00CA6D68"/>
    <w:rsid w:val="00CA6DC3"/>
    <w:rsid w:val="00CA71D5"/>
    <w:rsid w:val="00CA78B4"/>
    <w:rsid w:val="00CA7A5E"/>
    <w:rsid w:val="00CB0507"/>
    <w:rsid w:val="00CB106A"/>
    <w:rsid w:val="00CB24BB"/>
    <w:rsid w:val="00CB2C33"/>
    <w:rsid w:val="00CB3537"/>
    <w:rsid w:val="00CB42D8"/>
    <w:rsid w:val="00CB4670"/>
    <w:rsid w:val="00CB46F7"/>
    <w:rsid w:val="00CB4730"/>
    <w:rsid w:val="00CB48E2"/>
    <w:rsid w:val="00CB4C9A"/>
    <w:rsid w:val="00CB56C7"/>
    <w:rsid w:val="00CB6ACC"/>
    <w:rsid w:val="00CB7F7F"/>
    <w:rsid w:val="00CC06F0"/>
    <w:rsid w:val="00CC1402"/>
    <w:rsid w:val="00CC1978"/>
    <w:rsid w:val="00CC2BB6"/>
    <w:rsid w:val="00CC2C52"/>
    <w:rsid w:val="00CC2D4C"/>
    <w:rsid w:val="00CC3397"/>
    <w:rsid w:val="00CC3849"/>
    <w:rsid w:val="00CC3D03"/>
    <w:rsid w:val="00CC47B6"/>
    <w:rsid w:val="00CC5287"/>
    <w:rsid w:val="00CC54A1"/>
    <w:rsid w:val="00CC5812"/>
    <w:rsid w:val="00CC5CEF"/>
    <w:rsid w:val="00CC622F"/>
    <w:rsid w:val="00CC628D"/>
    <w:rsid w:val="00CC64FA"/>
    <w:rsid w:val="00CC6D4A"/>
    <w:rsid w:val="00CC7C65"/>
    <w:rsid w:val="00CC7EFB"/>
    <w:rsid w:val="00CD140E"/>
    <w:rsid w:val="00CD1568"/>
    <w:rsid w:val="00CD1C00"/>
    <w:rsid w:val="00CD25F9"/>
    <w:rsid w:val="00CD2EDF"/>
    <w:rsid w:val="00CD432F"/>
    <w:rsid w:val="00CD4342"/>
    <w:rsid w:val="00CD4CCF"/>
    <w:rsid w:val="00CD546C"/>
    <w:rsid w:val="00CD5FF4"/>
    <w:rsid w:val="00CD62A5"/>
    <w:rsid w:val="00CD655C"/>
    <w:rsid w:val="00CD6825"/>
    <w:rsid w:val="00CD760E"/>
    <w:rsid w:val="00CD7F44"/>
    <w:rsid w:val="00CE038A"/>
    <w:rsid w:val="00CE0647"/>
    <w:rsid w:val="00CE09CA"/>
    <w:rsid w:val="00CE14D8"/>
    <w:rsid w:val="00CE1BB7"/>
    <w:rsid w:val="00CE24AC"/>
    <w:rsid w:val="00CE251B"/>
    <w:rsid w:val="00CE3B9D"/>
    <w:rsid w:val="00CE3F07"/>
    <w:rsid w:val="00CE417E"/>
    <w:rsid w:val="00CE4BD7"/>
    <w:rsid w:val="00CE6718"/>
    <w:rsid w:val="00CE6FAC"/>
    <w:rsid w:val="00CE722F"/>
    <w:rsid w:val="00CE7D27"/>
    <w:rsid w:val="00CF0051"/>
    <w:rsid w:val="00CF0A0E"/>
    <w:rsid w:val="00CF0D84"/>
    <w:rsid w:val="00CF0DDE"/>
    <w:rsid w:val="00CF114F"/>
    <w:rsid w:val="00CF235E"/>
    <w:rsid w:val="00CF2730"/>
    <w:rsid w:val="00CF2B08"/>
    <w:rsid w:val="00CF2F44"/>
    <w:rsid w:val="00CF3D0A"/>
    <w:rsid w:val="00CF412E"/>
    <w:rsid w:val="00CF4E18"/>
    <w:rsid w:val="00CF59A8"/>
    <w:rsid w:val="00CF68AA"/>
    <w:rsid w:val="00CF6CA7"/>
    <w:rsid w:val="00CF772C"/>
    <w:rsid w:val="00D00949"/>
    <w:rsid w:val="00D015C7"/>
    <w:rsid w:val="00D01842"/>
    <w:rsid w:val="00D018C4"/>
    <w:rsid w:val="00D02CEB"/>
    <w:rsid w:val="00D02E33"/>
    <w:rsid w:val="00D041EB"/>
    <w:rsid w:val="00D043A0"/>
    <w:rsid w:val="00D04C53"/>
    <w:rsid w:val="00D04E01"/>
    <w:rsid w:val="00D07769"/>
    <w:rsid w:val="00D077C3"/>
    <w:rsid w:val="00D07F18"/>
    <w:rsid w:val="00D1049F"/>
    <w:rsid w:val="00D10654"/>
    <w:rsid w:val="00D12F7E"/>
    <w:rsid w:val="00D142E1"/>
    <w:rsid w:val="00D145F3"/>
    <w:rsid w:val="00D152EE"/>
    <w:rsid w:val="00D15932"/>
    <w:rsid w:val="00D171BD"/>
    <w:rsid w:val="00D20149"/>
    <w:rsid w:val="00D20459"/>
    <w:rsid w:val="00D20CA4"/>
    <w:rsid w:val="00D21D6D"/>
    <w:rsid w:val="00D2288C"/>
    <w:rsid w:val="00D22CAD"/>
    <w:rsid w:val="00D230C4"/>
    <w:rsid w:val="00D241E7"/>
    <w:rsid w:val="00D242AC"/>
    <w:rsid w:val="00D242DD"/>
    <w:rsid w:val="00D245A9"/>
    <w:rsid w:val="00D249EE"/>
    <w:rsid w:val="00D24D48"/>
    <w:rsid w:val="00D2523A"/>
    <w:rsid w:val="00D25E3F"/>
    <w:rsid w:val="00D26757"/>
    <w:rsid w:val="00D26DCE"/>
    <w:rsid w:val="00D271FD"/>
    <w:rsid w:val="00D279E0"/>
    <w:rsid w:val="00D27B06"/>
    <w:rsid w:val="00D27B08"/>
    <w:rsid w:val="00D30596"/>
    <w:rsid w:val="00D308FC"/>
    <w:rsid w:val="00D3130A"/>
    <w:rsid w:val="00D31ED4"/>
    <w:rsid w:val="00D3504F"/>
    <w:rsid w:val="00D355D2"/>
    <w:rsid w:val="00D365DA"/>
    <w:rsid w:val="00D368FF"/>
    <w:rsid w:val="00D36A0A"/>
    <w:rsid w:val="00D36B9C"/>
    <w:rsid w:val="00D378A8"/>
    <w:rsid w:val="00D379AB"/>
    <w:rsid w:val="00D37A1A"/>
    <w:rsid w:val="00D4029E"/>
    <w:rsid w:val="00D406A0"/>
    <w:rsid w:val="00D41CA8"/>
    <w:rsid w:val="00D449B4"/>
    <w:rsid w:val="00D44C74"/>
    <w:rsid w:val="00D4515C"/>
    <w:rsid w:val="00D45280"/>
    <w:rsid w:val="00D4558C"/>
    <w:rsid w:val="00D4589C"/>
    <w:rsid w:val="00D45C4D"/>
    <w:rsid w:val="00D46655"/>
    <w:rsid w:val="00D46AC5"/>
    <w:rsid w:val="00D46BC4"/>
    <w:rsid w:val="00D46ECD"/>
    <w:rsid w:val="00D47144"/>
    <w:rsid w:val="00D51CC0"/>
    <w:rsid w:val="00D51DDC"/>
    <w:rsid w:val="00D5237E"/>
    <w:rsid w:val="00D528E3"/>
    <w:rsid w:val="00D54E2F"/>
    <w:rsid w:val="00D555A1"/>
    <w:rsid w:val="00D55C7E"/>
    <w:rsid w:val="00D55C8C"/>
    <w:rsid w:val="00D563E7"/>
    <w:rsid w:val="00D56426"/>
    <w:rsid w:val="00D56A8E"/>
    <w:rsid w:val="00D573F7"/>
    <w:rsid w:val="00D57C66"/>
    <w:rsid w:val="00D606C5"/>
    <w:rsid w:val="00D60F1D"/>
    <w:rsid w:val="00D61512"/>
    <w:rsid w:val="00D6287F"/>
    <w:rsid w:val="00D628D7"/>
    <w:rsid w:val="00D63203"/>
    <w:rsid w:val="00D63620"/>
    <w:rsid w:val="00D64036"/>
    <w:rsid w:val="00D65C80"/>
    <w:rsid w:val="00D65FF6"/>
    <w:rsid w:val="00D66CD5"/>
    <w:rsid w:val="00D67333"/>
    <w:rsid w:val="00D677D0"/>
    <w:rsid w:val="00D70272"/>
    <w:rsid w:val="00D70545"/>
    <w:rsid w:val="00D714F4"/>
    <w:rsid w:val="00D7153E"/>
    <w:rsid w:val="00D71BFA"/>
    <w:rsid w:val="00D71D7D"/>
    <w:rsid w:val="00D72478"/>
    <w:rsid w:val="00D73A57"/>
    <w:rsid w:val="00D73F5D"/>
    <w:rsid w:val="00D73FFB"/>
    <w:rsid w:val="00D748CE"/>
    <w:rsid w:val="00D7569A"/>
    <w:rsid w:val="00D756C0"/>
    <w:rsid w:val="00D75CBA"/>
    <w:rsid w:val="00D77018"/>
    <w:rsid w:val="00D777FB"/>
    <w:rsid w:val="00D77981"/>
    <w:rsid w:val="00D77ADA"/>
    <w:rsid w:val="00D8025A"/>
    <w:rsid w:val="00D80456"/>
    <w:rsid w:val="00D80644"/>
    <w:rsid w:val="00D80A78"/>
    <w:rsid w:val="00D81CF9"/>
    <w:rsid w:val="00D81E43"/>
    <w:rsid w:val="00D825A4"/>
    <w:rsid w:val="00D8273A"/>
    <w:rsid w:val="00D84641"/>
    <w:rsid w:val="00D8488C"/>
    <w:rsid w:val="00D84E39"/>
    <w:rsid w:val="00D84F58"/>
    <w:rsid w:val="00D8502A"/>
    <w:rsid w:val="00D8519B"/>
    <w:rsid w:val="00D854E2"/>
    <w:rsid w:val="00D85B31"/>
    <w:rsid w:val="00D860DB"/>
    <w:rsid w:val="00D86C76"/>
    <w:rsid w:val="00D86D8E"/>
    <w:rsid w:val="00D870EE"/>
    <w:rsid w:val="00D87641"/>
    <w:rsid w:val="00D902A9"/>
    <w:rsid w:val="00D903DC"/>
    <w:rsid w:val="00D90432"/>
    <w:rsid w:val="00D9067F"/>
    <w:rsid w:val="00D9073B"/>
    <w:rsid w:val="00D908B1"/>
    <w:rsid w:val="00D90CC7"/>
    <w:rsid w:val="00D912AB"/>
    <w:rsid w:val="00D91473"/>
    <w:rsid w:val="00D9148A"/>
    <w:rsid w:val="00D91D10"/>
    <w:rsid w:val="00D9261B"/>
    <w:rsid w:val="00D92AC0"/>
    <w:rsid w:val="00D931D6"/>
    <w:rsid w:val="00D937B1"/>
    <w:rsid w:val="00D93FAE"/>
    <w:rsid w:val="00D93FB8"/>
    <w:rsid w:val="00D95590"/>
    <w:rsid w:val="00D95973"/>
    <w:rsid w:val="00D962AA"/>
    <w:rsid w:val="00D9680F"/>
    <w:rsid w:val="00D96FFA"/>
    <w:rsid w:val="00D97753"/>
    <w:rsid w:val="00DA0406"/>
    <w:rsid w:val="00DA13D5"/>
    <w:rsid w:val="00DA1DA2"/>
    <w:rsid w:val="00DA2011"/>
    <w:rsid w:val="00DA24B4"/>
    <w:rsid w:val="00DA2783"/>
    <w:rsid w:val="00DA294B"/>
    <w:rsid w:val="00DA2B0C"/>
    <w:rsid w:val="00DA2EA3"/>
    <w:rsid w:val="00DA2F54"/>
    <w:rsid w:val="00DA3396"/>
    <w:rsid w:val="00DA428A"/>
    <w:rsid w:val="00DA4676"/>
    <w:rsid w:val="00DA6A7E"/>
    <w:rsid w:val="00DA6F7B"/>
    <w:rsid w:val="00DA7217"/>
    <w:rsid w:val="00DA75DD"/>
    <w:rsid w:val="00DA7DEB"/>
    <w:rsid w:val="00DB054B"/>
    <w:rsid w:val="00DB120A"/>
    <w:rsid w:val="00DB1493"/>
    <w:rsid w:val="00DB1C43"/>
    <w:rsid w:val="00DB1D2E"/>
    <w:rsid w:val="00DB32B9"/>
    <w:rsid w:val="00DB32FF"/>
    <w:rsid w:val="00DB4CD9"/>
    <w:rsid w:val="00DB561D"/>
    <w:rsid w:val="00DB6A48"/>
    <w:rsid w:val="00DB6FFA"/>
    <w:rsid w:val="00DB79A1"/>
    <w:rsid w:val="00DB7D2C"/>
    <w:rsid w:val="00DC0433"/>
    <w:rsid w:val="00DC0B51"/>
    <w:rsid w:val="00DC0B8D"/>
    <w:rsid w:val="00DC2393"/>
    <w:rsid w:val="00DC2ABF"/>
    <w:rsid w:val="00DC2C91"/>
    <w:rsid w:val="00DC2EA8"/>
    <w:rsid w:val="00DC307A"/>
    <w:rsid w:val="00DC3503"/>
    <w:rsid w:val="00DC352A"/>
    <w:rsid w:val="00DC4363"/>
    <w:rsid w:val="00DD0253"/>
    <w:rsid w:val="00DD03B5"/>
    <w:rsid w:val="00DD06F3"/>
    <w:rsid w:val="00DD07D2"/>
    <w:rsid w:val="00DD18EB"/>
    <w:rsid w:val="00DD3482"/>
    <w:rsid w:val="00DD34C7"/>
    <w:rsid w:val="00DD3B8F"/>
    <w:rsid w:val="00DD3C6A"/>
    <w:rsid w:val="00DD4192"/>
    <w:rsid w:val="00DD4486"/>
    <w:rsid w:val="00DD4B22"/>
    <w:rsid w:val="00DD4EA6"/>
    <w:rsid w:val="00DD5513"/>
    <w:rsid w:val="00DD65C1"/>
    <w:rsid w:val="00DD718E"/>
    <w:rsid w:val="00DD75C3"/>
    <w:rsid w:val="00DD76D6"/>
    <w:rsid w:val="00DE0E1F"/>
    <w:rsid w:val="00DE0EDA"/>
    <w:rsid w:val="00DE100A"/>
    <w:rsid w:val="00DE14A5"/>
    <w:rsid w:val="00DE1A6D"/>
    <w:rsid w:val="00DE27DE"/>
    <w:rsid w:val="00DE3297"/>
    <w:rsid w:val="00DE42FA"/>
    <w:rsid w:val="00DE4A2D"/>
    <w:rsid w:val="00DE5733"/>
    <w:rsid w:val="00DE5AB7"/>
    <w:rsid w:val="00DE612B"/>
    <w:rsid w:val="00DE639C"/>
    <w:rsid w:val="00DE6954"/>
    <w:rsid w:val="00DF0B9A"/>
    <w:rsid w:val="00DF1766"/>
    <w:rsid w:val="00DF1F6C"/>
    <w:rsid w:val="00DF2969"/>
    <w:rsid w:val="00DF2B21"/>
    <w:rsid w:val="00DF312D"/>
    <w:rsid w:val="00DF3B7C"/>
    <w:rsid w:val="00DF3F0F"/>
    <w:rsid w:val="00DF458D"/>
    <w:rsid w:val="00DF459F"/>
    <w:rsid w:val="00DF631D"/>
    <w:rsid w:val="00DF7693"/>
    <w:rsid w:val="00DF7B1C"/>
    <w:rsid w:val="00E005F8"/>
    <w:rsid w:val="00E023C0"/>
    <w:rsid w:val="00E023E6"/>
    <w:rsid w:val="00E033B7"/>
    <w:rsid w:val="00E0454B"/>
    <w:rsid w:val="00E058FC"/>
    <w:rsid w:val="00E059CC"/>
    <w:rsid w:val="00E06744"/>
    <w:rsid w:val="00E07818"/>
    <w:rsid w:val="00E079AA"/>
    <w:rsid w:val="00E07ACB"/>
    <w:rsid w:val="00E07CD0"/>
    <w:rsid w:val="00E10F06"/>
    <w:rsid w:val="00E112DA"/>
    <w:rsid w:val="00E11E01"/>
    <w:rsid w:val="00E11F18"/>
    <w:rsid w:val="00E12CE6"/>
    <w:rsid w:val="00E12DCA"/>
    <w:rsid w:val="00E13750"/>
    <w:rsid w:val="00E14380"/>
    <w:rsid w:val="00E144CF"/>
    <w:rsid w:val="00E1466B"/>
    <w:rsid w:val="00E155B4"/>
    <w:rsid w:val="00E156DE"/>
    <w:rsid w:val="00E16A56"/>
    <w:rsid w:val="00E173FA"/>
    <w:rsid w:val="00E20219"/>
    <w:rsid w:val="00E20248"/>
    <w:rsid w:val="00E204A4"/>
    <w:rsid w:val="00E206C7"/>
    <w:rsid w:val="00E20F8E"/>
    <w:rsid w:val="00E21270"/>
    <w:rsid w:val="00E21492"/>
    <w:rsid w:val="00E214F7"/>
    <w:rsid w:val="00E21DFA"/>
    <w:rsid w:val="00E2265E"/>
    <w:rsid w:val="00E23199"/>
    <w:rsid w:val="00E233E5"/>
    <w:rsid w:val="00E23CD7"/>
    <w:rsid w:val="00E24019"/>
    <w:rsid w:val="00E25751"/>
    <w:rsid w:val="00E257E5"/>
    <w:rsid w:val="00E266F0"/>
    <w:rsid w:val="00E26FD9"/>
    <w:rsid w:val="00E3038C"/>
    <w:rsid w:val="00E30A8E"/>
    <w:rsid w:val="00E30E58"/>
    <w:rsid w:val="00E31CDA"/>
    <w:rsid w:val="00E31CF0"/>
    <w:rsid w:val="00E32B48"/>
    <w:rsid w:val="00E32E96"/>
    <w:rsid w:val="00E330F3"/>
    <w:rsid w:val="00E338B5"/>
    <w:rsid w:val="00E33AC7"/>
    <w:rsid w:val="00E35354"/>
    <w:rsid w:val="00E35B2E"/>
    <w:rsid w:val="00E35F1A"/>
    <w:rsid w:val="00E36565"/>
    <w:rsid w:val="00E36BC8"/>
    <w:rsid w:val="00E3710B"/>
    <w:rsid w:val="00E37BC4"/>
    <w:rsid w:val="00E40EE9"/>
    <w:rsid w:val="00E41814"/>
    <w:rsid w:val="00E41CC4"/>
    <w:rsid w:val="00E429B9"/>
    <w:rsid w:val="00E4394C"/>
    <w:rsid w:val="00E443CD"/>
    <w:rsid w:val="00E44CFF"/>
    <w:rsid w:val="00E45561"/>
    <w:rsid w:val="00E45716"/>
    <w:rsid w:val="00E45BA3"/>
    <w:rsid w:val="00E45F41"/>
    <w:rsid w:val="00E4662B"/>
    <w:rsid w:val="00E467E9"/>
    <w:rsid w:val="00E47EF7"/>
    <w:rsid w:val="00E5033A"/>
    <w:rsid w:val="00E511C8"/>
    <w:rsid w:val="00E51EF1"/>
    <w:rsid w:val="00E51F56"/>
    <w:rsid w:val="00E52B15"/>
    <w:rsid w:val="00E53A6F"/>
    <w:rsid w:val="00E54915"/>
    <w:rsid w:val="00E54DB2"/>
    <w:rsid w:val="00E5524D"/>
    <w:rsid w:val="00E558B7"/>
    <w:rsid w:val="00E55A18"/>
    <w:rsid w:val="00E56436"/>
    <w:rsid w:val="00E5667B"/>
    <w:rsid w:val="00E57016"/>
    <w:rsid w:val="00E5712A"/>
    <w:rsid w:val="00E579B8"/>
    <w:rsid w:val="00E603F1"/>
    <w:rsid w:val="00E61114"/>
    <w:rsid w:val="00E61237"/>
    <w:rsid w:val="00E62605"/>
    <w:rsid w:val="00E63143"/>
    <w:rsid w:val="00E63523"/>
    <w:rsid w:val="00E636DE"/>
    <w:rsid w:val="00E63E95"/>
    <w:rsid w:val="00E6450A"/>
    <w:rsid w:val="00E646F6"/>
    <w:rsid w:val="00E64C61"/>
    <w:rsid w:val="00E64CF8"/>
    <w:rsid w:val="00E6532B"/>
    <w:rsid w:val="00E65725"/>
    <w:rsid w:val="00E65F69"/>
    <w:rsid w:val="00E66B6A"/>
    <w:rsid w:val="00E67460"/>
    <w:rsid w:val="00E67624"/>
    <w:rsid w:val="00E70359"/>
    <w:rsid w:val="00E714FF"/>
    <w:rsid w:val="00E71C7D"/>
    <w:rsid w:val="00E72D95"/>
    <w:rsid w:val="00E74E8A"/>
    <w:rsid w:val="00E74F3F"/>
    <w:rsid w:val="00E755B3"/>
    <w:rsid w:val="00E757A4"/>
    <w:rsid w:val="00E75B5F"/>
    <w:rsid w:val="00E76115"/>
    <w:rsid w:val="00E7626E"/>
    <w:rsid w:val="00E769E9"/>
    <w:rsid w:val="00E77519"/>
    <w:rsid w:val="00E77DA7"/>
    <w:rsid w:val="00E8115D"/>
    <w:rsid w:val="00E81424"/>
    <w:rsid w:val="00E8147A"/>
    <w:rsid w:val="00E81745"/>
    <w:rsid w:val="00E81E88"/>
    <w:rsid w:val="00E841B0"/>
    <w:rsid w:val="00E84932"/>
    <w:rsid w:val="00E84B1A"/>
    <w:rsid w:val="00E84BDB"/>
    <w:rsid w:val="00E84F57"/>
    <w:rsid w:val="00E85598"/>
    <w:rsid w:val="00E85A6A"/>
    <w:rsid w:val="00E863B6"/>
    <w:rsid w:val="00E87A27"/>
    <w:rsid w:val="00E87EB2"/>
    <w:rsid w:val="00E90677"/>
    <w:rsid w:val="00E910A5"/>
    <w:rsid w:val="00E910D0"/>
    <w:rsid w:val="00E914B5"/>
    <w:rsid w:val="00E91E53"/>
    <w:rsid w:val="00E92886"/>
    <w:rsid w:val="00E9347A"/>
    <w:rsid w:val="00E93556"/>
    <w:rsid w:val="00E93A42"/>
    <w:rsid w:val="00E94048"/>
    <w:rsid w:val="00E949BD"/>
    <w:rsid w:val="00E94A6A"/>
    <w:rsid w:val="00E94FB5"/>
    <w:rsid w:val="00E959F9"/>
    <w:rsid w:val="00E95A97"/>
    <w:rsid w:val="00E95AC7"/>
    <w:rsid w:val="00E962A3"/>
    <w:rsid w:val="00E96415"/>
    <w:rsid w:val="00E96EF4"/>
    <w:rsid w:val="00E97153"/>
    <w:rsid w:val="00E97642"/>
    <w:rsid w:val="00E97B6D"/>
    <w:rsid w:val="00EA012D"/>
    <w:rsid w:val="00EA0726"/>
    <w:rsid w:val="00EA0F0A"/>
    <w:rsid w:val="00EA1AF7"/>
    <w:rsid w:val="00EA1C44"/>
    <w:rsid w:val="00EA28D6"/>
    <w:rsid w:val="00EA2CA6"/>
    <w:rsid w:val="00EA2EB4"/>
    <w:rsid w:val="00EA4545"/>
    <w:rsid w:val="00EA4951"/>
    <w:rsid w:val="00EA4A6E"/>
    <w:rsid w:val="00EA5863"/>
    <w:rsid w:val="00EA5E4B"/>
    <w:rsid w:val="00EA6C53"/>
    <w:rsid w:val="00EA6EED"/>
    <w:rsid w:val="00EA7F99"/>
    <w:rsid w:val="00EB0CBC"/>
    <w:rsid w:val="00EB1DAA"/>
    <w:rsid w:val="00EB2544"/>
    <w:rsid w:val="00EB2CF1"/>
    <w:rsid w:val="00EB32D6"/>
    <w:rsid w:val="00EB3F08"/>
    <w:rsid w:val="00EB529D"/>
    <w:rsid w:val="00EB5540"/>
    <w:rsid w:val="00EB58A9"/>
    <w:rsid w:val="00EB6969"/>
    <w:rsid w:val="00EB6F1B"/>
    <w:rsid w:val="00EB7C5E"/>
    <w:rsid w:val="00EC01C2"/>
    <w:rsid w:val="00EC02DF"/>
    <w:rsid w:val="00EC1620"/>
    <w:rsid w:val="00EC1C9C"/>
    <w:rsid w:val="00EC2B69"/>
    <w:rsid w:val="00EC2D0D"/>
    <w:rsid w:val="00EC2D4F"/>
    <w:rsid w:val="00EC40B0"/>
    <w:rsid w:val="00EC4410"/>
    <w:rsid w:val="00EC4A58"/>
    <w:rsid w:val="00EC6418"/>
    <w:rsid w:val="00EC7525"/>
    <w:rsid w:val="00EC7F97"/>
    <w:rsid w:val="00ED0CC1"/>
    <w:rsid w:val="00ED1493"/>
    <w:rsid w:val="00ED19D8"/>
    <w:rsid w:val="00ED26AE"/>
    <w:rsid w:val="00ED275B"/>
    <w:rsid w:val="00ED4E2B"/>
    <w:rsid w:val="00ED503D"/>
    <w:rsid w:val="00ED5A86"/>
    <w:rsid w:val="00ED5ADB"/>
    <w:rsid w:val="00ED5EA7"/>
    <w:rsid w:val="00ED63AF"/>
    <w:rsid w:val="00ED6F8A"/>
    <w:rsid w:val="00EE136A"/>
    <w:rsid w:val="00EE15AA"/>
    <w:rsid w:val="00EE2859"/>
    <w:rsid w:val="00EE3AC9"/>
    <w:rsid w:val="00EE3B36"/>
    <w:rsid w:val="00EE3D92"/>
    <w:rsid w:val="00EE65E4"/>
    <w:rsid w:val="00EE7129"/>
    <w:rsid w:val="00EF10D1"/>
    <w:rsid w:val="00EF12D4"/>
    <w:rsid w:val="00EF2214"/>
    <w:rsid w:val="00EF290A"/>
    <w:rsid w:val="00EF2C71"/>
    <w:rsid w:val="00EF3E39"/>
    <w:rsid w:val="00EF3FCC"/>
    <w:rsid w:val="00EF4055"/>
    <w:rsid w:val="00EF6731"/>
    <w:rsid w:val="00EF6881"/>
    <w:rsid w:val="00EF6A51"/>
    <w:rsid w:val="00EF789C"/>
    <w:rsid w:val="00EF7C65"/>
    <w:rsid w:val="00EF7D17"/>
    <w:rsid w:val="00EF7F0D"/>
    <w:rsid w:val="00F00F42"/>
    <w:rsid w:val="00F01542"/>
    <w:rsid w:val="00F02868"/>
    <w:rsid w:val="00F036A6"/>
    <w:rsid w:val="00F03DFF"/>
    <w:rsid w:val="00F042F0"/>
    <w:rsid w:val="00F0438A"/>
    <w:rsid w:val="00F056BD"/>
    <w:rsid w:val="00F058C8"/>
    <w:rsid w:val="00F05D78"/>
    <w:rsid w:val="00F06370"/>
    <w:rsid w:val="00F068A2"/>
    <w:rsid w:val="00F06CB8"/>
    <w:rsid w:val="00F10549"/>
    <w:rsid w:val="00F111E0"/>
    <w:rsid w:val="00F12029"/>
    <w:rsid w:val="00F12576"/>
    <w:rsid w:val="00F12BCC"/>
    <w:rsid w:val="00F13021"/>
    <w:rsid w:val="00F13238"/>
    <w:rsid w:val="00F139EE"/>
    <w:rsid w:val="00F13F1A"/>
    <w:rsid w:val="00F14650"/>
    <w:rsid w:val="00F14D8A"/>
    <w:rsid w:val="00F150CD"/>
    <w:rsid w:val="00F16021"/>
    <w:rsid w:val="00F16580"/>
    <w:rsid w:val="00F16752"/>
    <w:rsid w:val="00F1692C"/>
    <w:rsid w:val="00F175E9"/>
    <w:rsid w:val="00F17691"/>
    <w:rsid w:val="00F1775A"/>
    <w:rsid w:val="00F20810"/>
    <w:rsid w:val="00F21177"/>
    <w:rsid w:val="00F22FA5"/>
    <w:rsid w:val="00F2365A"/>
    <w:rsid w:val="00F23BE2"/>
    <w:rsid w:val="00F2477E"/>
    <w:rsid w:val="00F247D3"/>
    <w:rsid w:val="00F25093"/>
    <w:rsid w:val="00F2538E"/>
    <w:rsid w:val="00F2634B"/>
    <w:rsid w:val="00F26F05"/>
    <w:rsid w:val="00F27321"/>
    <w:rsid w:val="00F27C08"/>
    <w:rsid w:val="00F27C13"/>
    <w:rsid w:val="00F27CC0"/>
    <w:rsid w:val="00F303F7"/>
    <w:rsid w:val="00F30806"/>
    <w:rsid w:val="00F308E7"/>
    <w:rsid w:val="00F3112F"/>
    <w:rsid w:val="00F3135A"/>
    <w:rsid w:val="00F3149B"/>
    <w:rsid w:val="00F32C6F"/>
    <w:rsid w:val="00F33E3E"/>
    <w:rsid w:val="00F34E67"/>
    <w:rsid w:val="00F352E5"/>
    <w:rsid w:val="00F35B82"/>
    <w:rsid w:val="00F35FD5"/>
    <w:rsid w:val="00F364C7"/>
    <w:rsid w:val="00F3792B"/>
    <w:rsid w:val="00F4089D"/>
    <w:rsid w:val="00F40CD0"/>
    <w:rsid w:val="00F415E0"/>
    <w:rsid w:val="00F41C28"/>
    <w:rsid w:val="00F4227F"/>
    <w:rsid w:val="00F425D1"/>
    <w:rsid w:val="00F42789"/>
    <w:rsid w:val="00F43107"/>
    <w:rsid w:val="00F463AE"/>
    <w:rsid w:val="00F4688B"/>
    <w:rsid w:val="00F46FA1"/>
    <w:rsid w:val="00F47B1F"/>
    <w:rsid w:val="00F47B70"/>
    <w:rsid w:val="00F50BAA"/>
    <w:rsid w:val="00F51714"/>
    <w:rsid w:val="00F52FBF"/>
    <w:rsid w:val="00F536E9"/>
    <w:rsid w:val="00F537FE"/>
    <w:rsid w:val="00F53D98"/>
    <w:rsid w:val="00F541B8"/>
    <w:rsid w:val="00F54EC8"/>
    <w:rsid w:val="00F6059A"/>
    <w:rsid w:val="00F609E3"/>
    <w:rsid w:val="00F60B3C"/>
    <w:rsid w:val="00F61B28"/>
    <w:rsid w:val="00F61FBB"/>
    <w:rsid w:val="00F62358"/>
    <w:rsid w:val="00F6265C"/>
    <w:rsid w:val="00F63135"/>
    <w:rsid w:val="00F6369C"/>
    <w:rsid w:val="00F63B46"/>
    <w:rsid w:val="00F6468A"/>
    <w:rsid w:val="00F64BD9"/>
    <w:rsid w:val="00F64DA4"/>
    <w:rsid w:val="00F6551F"/>
    <w:rsid w:val="00F6636E"/>
    <w:rsid w:val="00F6728A"/>
    <w:rsid w:val="00F67AA6"/>
    <w:rsid w:val="00F70795"/>
    <w:rsid w:val="00F70C88"/>
    <w:rsid w:val="00F71166"/>
    <w:rsid w:val="00F71198"/>
    <w:rsid w:val="00F71FD9"/>
    <w:rsid w:val="00F72F5B"/>
    <w:rsid w:val="00F73A3C"/>
    <w:rsid w:val="00F73D35"/>
    <w:rsid w:val="00F73F39"/>
    <w:rsid w:val="00F74089"/>
    <w:rsid w:val="00F7589C"/>
    <w:rsid w:val="00F76033"/>
    <w:rsid w:val="00F76B60"/>
    <w:rsid w:val="00F76D27"/>
    <w:rsid w:val="00F77190"/>
    <w:rsid w:val="00F77C3C"/>
    <w:rsid w:val="00F80A90"/>
    <w:rsid w:val="00F81536"/>
    <w:rsid w:val="00F81C5F"/>
    <w:rsid w:val="00F823CE"/>
    <w:rsid w:val="00F825A8"/>
    <w:rsid w:val="00F82627"/>
    <w:rsid w:val="00F82AF8"/>
    <w:rsid w:val="00F82C0B"/>
    <w:rsid w:val="00F82CD2"/>
    <w:rsid w:val="00F83036"/>
    <w:rsid w:val="00F8347A"/>
    <w:rsid w:val="00F83A77"/>
    <w:rsid w:val="00F83E7A"/>
    <w:rsid w:val="00F84271"/>
    <w:rsid w:val="00F84FDA"/>
    <w:rsid w:val="00F85768"/>
    <w:rsid w:val="00F85F92"/>
    <w:rsid w:val="00F8668C"/>
    <w:rsid w:val="00F87FFD"/>
    <w:rsid w:val="00F91CF2"/>
    <w:rsid w:val="00F927A0"/>
    <w:rsid w:val="00F934B9"/>
    <w:rsid w:val="00F93A97"/>
    <w:rsid w:val="00F942D1"/>
    <w:rsid w:val="00F94632"/>
    <w:rsid w:val="00F94887"/>
    <w:rsid w:val="00F95491"/>
    <w:rsid w:val="00F95A96"/>
    <w:rsid w:val="00F96363"/>
    <w:rsid w:val="00F96642"/>
    <w:rsid w:val="00F97175"/>
    <w:rsid w:val="00F977A5"/>
    <w:rsid w:val="00F97A81"/>
    <w:rsid w:val="00F97BB1"/>
    <w:rsid w:val="00FA078A"/>
    <w:rsid w:val="00FA0DB5"/>
    <w:rsid w:val="00FA133A"/>
    <w:rsid w:val="00FA152A"/>
    <w:rsid w:val="00FA1D1B"/>
    <w:rsid w:val="00FA3014"/>
    <w:rsid w:val="00FA4413"/>
    <w:rsid w:val="00FA49E9"/>
    <w:rsid w:val="00FA4CFE"/>
    <w:rsid w:val="00FA627D"/>
    <w:rsid w:val="00FA628D"/>
    <w:rsid w:val="00FA6344"/>
    <w:rsid w:val="00FA768C"/>
    <w:rsid w:val="00FB0665"/>
    <w:rsid w:val="00FB0C65"/>
    <w:rsid w:val="00FB14A8"/>
    <w:rsid w:val="00FB1A40"/>
    <w:rsid w:val="00FB1A45"/>
    <w:rsid w:val="00FB1CF2"/>
    <w:rsid w:val="00FB3216"/>
    <w:rsid w:val="00FB389C"/>
    <w:rsid w:val="00FB4797"/>
    <w:rsid w:val="00FB7E5F"/>
    <w:rsid w:val="00FC023E"/>
    <w:rsid w:val="00FC02E9"/>
    <w:rsid w:val="00FC0E25"/>
    <w:rsid w:val="00FC1ABD"/>
    <w:rsid w:val="00FC21C3"/>
    <w:rsid w:val="00FC23CC"/>
    <w:rsid w:val="00FC24C4"/>
    <w:rsid w:val="00FC29B6"/>
    <w:rsid w:val="00FC32DA"/>
    <w:rsid w:val="00FC332F"/>
    <w:rsid w:val="00FC408E"/>
    <w:rsid w:val="00FC451E"/>
    <w:rsid w:val="00FC5742"/>
    <w:rsid w:val="00FC5C86"/>
    <w:rsid w:val="00FC60C9"/>
    <w:rsid w:val="00FC66BF"/>
    <w:rsid w:val="00FC680F"/>
    <w:rsid w:val="00FC75AA"/>
    <w:rsid w:val="00FC7C09"/>
    <w:rsid w:val="00FC7C70"/>
    <w:rsid w:val="00FD1590"/>
    <w:rsid w:val="00FD180C"/>
    <w:rsid w:val="00FD2589"/>
    <w:rsid w:val="00FD3BAA"/>
    <w:rsid w:val="00FD562C"/>
    <w:rsid w:val="00FD5F43"/>
    <w:rsid w:val="00FD62E1"/>
    <w:rsid w:val="00FD6BE0"/>
    <w:rsid w:val="00FD7118"/>
    <w:rsid w:val="00FD711D"/>
    <w:rsid w:val="00FE0AE8"/>
    <w:rsid w:val="00FE0E9D"/>
    <w:rsid w:val="00FE190D"/>
    <w:rsid w:val="00FE2873"/>
    <w:rsid w:val="00FE30B8"/>
    <w:rsid w:val="00FE3DF2"/>
    <w:rsid w:val="00FE400D"/>
    <w:rsid w:val="00FE4939"/>
    <w:rsid w:val="00FE4AA1"/>
    <w:rsid w:val="00FE4BAD"/>
    <w:rsid w:val="00FE56E8"/>
    <w:rsid w:val="00FE57B2"/>
    <w:rsid w:val="00FE5966"/>
    <w:rsid w:val="00FE7694"/>
    <w:rsid w:val="00FE770D"/>
    <w:rsid w:val="00FE7850"/>
    <w:rsid w:val="00FF005E"/>
    <w:rsid w:val="00FF02DA"/>
    <w:rsid w:val="00FF3798"/>
    <w:rsid w:val="00FF3D4B"/>
    <w:rsid w:val="00FF5849"/>
    <w:rsid w:val="00FF6833"/>
    <w:rsid w:val="00FF6A21"/>
    <w:rsid w:val="00FF6A50"/>
    <w:rsid w:val="00FF6BC4"/>
    <w:rsid w:val="00FF75C3"/>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9F6DBC"/>
    <w:rsid w:val="174F68B0"/>
    <w:rsid w:val="1935D3BE"/>
    <w:rsid w:val="19410630"/>
    <w:rsid w:val="1A338346"/>
    <w:rsid w:val="1AC76242"/>
    <w:rsid w:val="1B622138"/>
    <w:rsid w:val="1C170E12"/>
    <w:rsid w:val="1C18E2D0"/>
    <w:rsid w:val="1C802DC7"/>
    <w:rsid w:val="1C93F963"/>
    <w:rsid w:val="1FEB260E"/>
    <w:rsid w:val="1FF77365"/>
    <w:rsid w:val="20358222"/>
    <w:rsid w:val="206C9F24"/>
    <w:rsid w:val="20E4CD9E"/>
    <w:rsid w:val="20F1850B"/>
    <w:rsid w:val="222974C3"/>
    <w:rsid w:val="225B2D79"/>
    <w:rsid w:val="22AF3430"/>
    <w:rsid w:val="235888FB"/>
    <w:rsid w:val="251A8B6E"/>
    <w:rsid w:val="25D21E4A"/>
    <w:rsid w:val="266E64F0"/>
    <w:rsid w:val="29BAF2F9"/>
    <w:rsid w:val="2A529129"/>
    <w:rsid w:val="2A62FF34"/>
    <w:rsid w:val="2B72049A"/>
    <w:rsid w:val="2BAC3E44"/>
    <w:rsid w:val="30229191"/>
    <w:rsid w:val="319454B0"/>
    <w:rsid w:val="3246FA09"/>
    <w:rsid w:val="326D19D7"/>
    <w:rsid w:val="332FE2B9"/>
    <w:rsid w:val="33D26570"/>
    <w:rsid w:val="33D8AA64"/>
    <w:rsid w:val="33F20109"/>
    <w:rsid w:val="34BC5CE7"/>
    <w:rsid w:val="34BED7C9"/>
    <w:rsid w:val="34DF532E"/>
    <w:rsid w:val="34EFDB96"/>
    <w:rsid w:val="3825841A"/>
    <w:rsid w:val="3A0D3BD6"/>
    <w:rsid w:val="3D1A4486"/>
    <w:rsid w:val="3D57DDD7"/>
    <w:rsid w:val="3FE17BE3"/>
    <w:rsid w:val="40A17A51"/>
    <w:rsid w:val="40F9F5BE"/>
    <w:rsid w:val="42FEAAEC"/>
    <w:rsid w:val="43091FF2"/>
    <w:rsid w:val="43CC86C8"/>
    <w:rsid w:val="45F9C253"/>
    <w:rsid w:val="4638D2F5"/>
    <w:rsid w:val="463F60D7"/>
    <w:rsid w:val="47B3FE2F"/>
    <w:rsid w:val="480FAF8F"/>
    <w:rsid w:val="499B0FF1"/>
    <w:rsid w:val="4AECBF5F"/>
    <w:rsid w:val="4B0F0337"/>
    <w:rsid w:val="4B83B145"/>
    <w:rsid w:val="4CBCA0CF"/>
    <w:rsid w:val="52BD24C0"/>
    <w:rsid w:val="530B0459"/>
    <w:rsid w:val="57BC42AF"/>
    <w:rsid w:val="57D16985"/>
    <w:rsid w:val="588C7832"/>
    <w:rsid w:val="588E7070"/>
    <w:rsid w:val="5958ECCB"/>
    <w:rsid w:val="598A52BF"/>
    <w:rsid w:val="59FDE55F"/>
    <w:rsid w:val="5AF28860"/>
    <w:rsid w:val="5D24D312"/>
    <w:rsid w:val="5F49994F"/>
    <w:rsid w:val="5FA58D8C"/>
    <w:rsid w:val="6105B516"/>
    <w:rsid w:val="6165A02B"/>
    <w:rsid w:val="61E14BFF"/>
    <w:rsid w:val="644AE3A9"/>
    <w:rsid w:val="6542459A"/>
    <w:rsid w:val="659DBA38"/>
    <w:rsid w:val="65D76A9D"/>
    <w:rsid w:val="67E08B86"/>
    <w:rsid w:val="69B7E316"/>
    <w:rsid w:val="69CF2339"/>
    <w:rsid w:val="6AB4F35A"/>
    <w:rsid w:val="6AD9F59C"/>
    <w:rsid w:val="6EB24880"/>
    <w:rsid w:val="6F3B4F2D"/>
    <w:rsid w:val="6FAF5595"/>
    <w:rsid w:val="719B49B6"/>
    <w:rsid w:val="719DDF0F"/>
    <w:rsid w:val="71BDAFB4"/>
    <w:rsid w:val="7220172D"/>
    <w:rsid w:val="7261E6EE"/>
    <w:rsid w:val="72C5FA87"/>
    <w:rsid w:val="7371F871"/>
    <w:rsid w:val="75902AE3"/>
    <w:rsid w:val="763879A3"/>
    <w:rsid w:val="78D81114"/>
    <w:rsid w:val="78E01DF2"/>
    <w:rsid w:val="78F3A022"/>
    <w:rsid w:val="79A1AD59"/>
    <w:rsid w:val="79F146D7"/>
    <w:rsid w:val="7A6BFCB4"/>
    <w:rsid w:val="7BC0D255"/>
    <w:rsid w:val="7BE021D0"/>
    <w:rsid w:val="7D2F4B25"/>
    <w:rsid w:val="7E7F342B"/>
    <w:rsid w:val="7FCF3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5A606A29-5F4B-4116-9DBD-B2C1D2E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3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 w:type="paragraph" w:customStyle="1" w:styleId="paragraph">
    <w:name w:val="paragraph"/>
    <w:basedOn w:val="Normal"/>
    <w:rsid w:val="00AF6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941"/>
  </w:style>
  <w:style w:type="character" w:customStyle="1" w:styleId="eop">
    <w:name w:val="eop"/>
    <w:basedOn w:val="DefaultParagraphFont"/>
    <w:rsid w:val="00AF6941"/>
  </w:style>
  <w:style w:type="character" w:customStyle="1" w:styleId="spellingerror">
    <w:name w:val="spellingerror"/>
    <w:basedOn w:val="DefaultParagraphFont"/>
    <w:rsid w:val="0007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4437">
      <w:bodyDiv w:val="1"/>
      <w:marLeft w:val="0"/>
      <w:marRight w:val="0"/>
      <w:marTop w:val="0"/>
      <w:marBottom w:val="0"/>
      <w:divBdr>
        <w:top w:val="none" w:sz="0" w:space="0" w:color="auto"/>
        <w:left w:val="none" w:sz="0" w:space="0" w:color="auto"/>
        <w:bottom w:val="none" w:sz="0" w:space="0" w:color="auto"/>
        <w:right w:val="none" w:sz="0" w:space="0" w:color="auto"/>
      </w:divBdr>
    </w:div>
    <w:div w:id="322584149">
      <w:bodyDiv w:val="1"/>
      <w:marLeft w:val="0"/>
      <w:marRight w:val="0"/>
      <w:marTop w:val="0"/>
      <w:marBottom w:val="0"/>
      <w:divBdr>
        <w:top w:val="none" w:sz="0" w:space="0" w:color="auto"/>
        <w:left w:val="none" w:sz="0" w:space="0" w:color="auto"/>
        <w:bottom w:val="none" w:sz="0" w:space="0" w:color="auto"/>
        <w:right w:val="none" w:sz="0" w:space="0" w:color="auto"/>
      </w:divBdr>
      <w:divsChild>
        <w:div w:id="918172486">
          <w:marLeft w:val="0"/>
          <w:marRight w:val="0"/>
          <w:marTop w:val="0"/>
          <w:marBottom w:val="0"/>
          <w:divBdr>
            <w:top w:val="none" w:sz="0" w:space="0" w:color="auto"/>
            <w:left w:val="none" w:sz="0" w:space="0" w:color="auto"/>
            <w:bottom w:val="none" w:sz="0" w:space="0" w:color="auto"/>
            <w:right w:val="none" w:sz="0" w:space="0" w:color="auto"/>
          </w:divBdr>
        </w:div>
        <w:div w:id="303855801">
          <w:marLeft w:val="0"/>
          <w:marRight w:val="0"/>
          <w:marTop w:val="0"/>
          <w:marBottom w:val="0"/>
          <w:divBdr>
            <w:top w:val="none" w:sz="0" w:space="0" w:color="auto"/>
            <w:left w:val="none" w:sz="0" w:space="0" w:color="auto"/>
            <w:bottom w:val="none" w:sz="0" w:space="0" w:color="auto"/>
            <w:right w:val="none" w:sz="0" w:space="0" w:color="auto"/>
          </w:divBdr>
        </w:div>
        <w:div w:id="2097823985">
          <w:marLeft w:val="0"/>
          <w:marRight w:val="0"/>
          <w:marTop w:val="0"/>
          <w:marBottom w:val="0"/>
          <w:divBdr>
            <w:top w:val="none" w:sz="0" w:space="0" w:color="auto"/>
            <w:left w:val="none" w:sz="0" w:space="0" w:color="auto"/>
            <w:bottom w:val="none" w:sz="0" w:space="0" w:color="auto"/>
            <w:right w:val="none" w:sz="0" w:space="0" w:color="auto"/>
          </w:divBdr>
        </w:div>
        <w:div w:id="2011248509">
          <w:marLeft w:val="0"/>
          <w:marRight w:val="0"/>
          <w:marTop w:val="0"/>
          <w:marBottom w:val="0"/>
          <w:divBdr>
            <w:top w:val="none" w:sz="0" w:space="0" w:color="auto"/>
            <w:left w:val="none" w:sz="0" w:space="0" w:color="auto"/>
            <w:bottom w:val="none" w:sz="0" w:space="0" w:color="auto"/>
            <w:right w:val="none" w:sz="0" w:space="0" w:color="auto"/>
          </w:divBdr>
        </w:div>
        <w:div w:id="1396200157">
          <w:marLeft w:val="0"/>
          <w:marRight w:val="0"/>
          <w:marTop w:val="0"/>
          <w:marBottom w:val="0"/>
          <w:divBdr>
            <w:top w:val="none" w:sz="0" w:space="0" w:color="auto"/>
            <w:left w:val="none" w:sz="0" w:space="0" w:color="auto"/>
            <w:bottom w:val="none" w:sz="0" w:space="0" w:color="auto"/>
            <w:right w:val="none" w:sz="0" w:space="0" w:color="auto"/>
          </w:divBdr>
        </w:div>
      </w:divsChild>
    </w:div>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963653603">
      <w:bodyDiv w:val="1"/>
      <w:marLeft w:val="0"/>
      <w:marRight w:val="0"/>
      <w:marTop w:val="0"/>
      <w:marBottom w:val="0"/>
      <w:divBdr>
        <w:top w:val="none" w:sz="0" w:space="0" w:color="auto"/>
        <w:left w:val="none" w:sz="0" w:space="0" w:color="auto"/>
        <w:bottom w:val="none" w:sz="0" w:space="0" w:color="auto"/>
        <w:right w:val="none" w:sz="0" w:space="0" w:color="auto"/>
      </w:divBdr>
      <w:divsChild>
        <w:div w:id="1870490572">
          <w:marLeft w:val="0"/>
          <w:marRight w:val="0"/>
          <w:marTop w:val="0"/>
          <w:marBottom w:val="0"/>
          <w:divBdr>
            <w:top w:val="none" w:sz="0" w:space="0" w:color="auto"/>
            <w:left w:val="none" w:sz="0" w:space="0" w:color="auto"/>
            <w:bottom w:val="none" w:sz="0" w:space="0" w:color="auto"/>
            <w:right w:val="none" w:sz="0" w:space="0" w:color="auto"/>
          </w:divBdr>
        </w:div>
        <w:div w:id="139884260">
          <w:marLeft w:val="0"/>
          <w:marRight w:val="0"/>
          <w:marTop w:val="0"/>
          <w:marBottom w:val="0"/>
          <w:divBdr>
            <w:top w:val="none" w:sz="0" w:space="0" w:color="auto"/>
            <w:left w:val="none" w:sz="0" w:space="0" w:color="auto"/>
            <w:bottom w:val="none" w:sz="0" w:space="0" w:color="auto"/>
            <w:right w:val="none" w:sz="0" w:space="0" w:color="auto"/>
          </w:divBdr>
        </w:div>
        <w:div w:id="998196200">
          <w:marLeft w:val="0"/>
          <w:marRight w:val="0"/>
          <w:marTop w:val="0"/>
          <w:marBottom w:val="0"/>
          <w:divBdr>
            <w:top w:val="none" w:sz="0" w:space="0" w:color="auto"/>
            <w:left w:val="none" w:sz="0" w:space="0" w:color="auto"/>
            <w:bottom w:val="none" w:sz="0" w:space="0" w:color="auto"/>
            <w:right w:val="none" w:sz="0" w:space="0" w:color="auto"/>
          </w:divBdr>
        </w:div>
        <w:div w:id="997655123">
          <w:marLeft w:val="0"/>
          <w:marRight w:val="0"/>
          <w:marTop w:val="0"/>
          <w:marBottom w:val="0"/>
          <w:divBdr>
            <w:top w:val="none" w:sz="0" w:space="0" w:color="auto"/>
            <w:left w:val="none" w:sz="0" w:space="0" w:color="auto"/>
            <w:bottom w:val="none" w:sz="0" w:space="0" w:color="auto"/>
            <w:right w:val="none" w:sz="0" w:space="0" w:color="auto"/>
          </w:divBdr>
        </w:div>
        <w:div w:id="970134513">
          <w:marLeft w:val="0"/>
          <w:marRight w:val="0"/>
          <w:marTop w:val="0"/>
          <w:marBottom w:val="0"/>
          <w:divBdr>
            <w:top w:val="none" w:sz="0" w:space="0" w:color="auto"/>
            <w:left w:val="none" w:sz="0" w:space="0" w:color="auto"/>
            <w:bottom w:val="none" w:sz="0" w:space="0" w:color="auto"/>
            <w:right w:val="none" w:sz="0" w:space="0" w:color="auto"/>
          </w:divBdr>
        </w:div>
        <w:div w:id="618224713">
          <w:marLeft w:val="0"/>
          <w:marRight w:val="0"/>
          <w:marTop w:val="0"/>
          <w:marBottom w:val="0"/>
          <w:divBdr>
            <w:top w:val="none" w:sz="0" w:space="0" w:color="auto"/>
            <w:left w:val="none" w:sz="0" w:space="0" w:color="auto"/>
            <w:bottom w:val="none" w:sz="0" w:space="0" w:color="auto"/>
            <w:right w:val="none" w:sz="0" w:space="0" w:color="auto"/>
          </w:divBdr>
        </w:div>
        <w:div w:id="201862581">
          <w:marLeft w:val="0"/>
          <w:marRight w:val="0"/>
          <w:marTop w:val="0"/>
          <w:marBottom w:val="0"/>
          <w:divBdr>
            <w:top w:val="none" w:sz="0" w:space="0" w:color="auto"/>
            <w:left w:val="none" w:sz="0" w:space="0" w:color="auto"/>
            <w:bottom w:val="none" w:sz="0" w:space="0" w:color="auto"/>
            <w:right w:val="none" w:sz="0" w:space="0" w:color="auto"/>
          </w:divBdr>
        </w:div>
        <w:div w:id="448547686">
          <w:marLeft w:val="0"/>
          <w:marRight w:val="0"/>
          <w:marTop w:val="0"/>
          <w:marBottom w:val="0"/>
          <w:divBdr>
            <w:top w:val="none" w:sz="0" w:space="0" w:color="auto"/>
            <w:left w:val="none" w:sz="0" w:space="0" w:color="auto"/>
            <w:bottom w:val="none" w:sz="0" w:space="0" w:color="auto"/>
            <w:right w:val="none" w:sz="0" w:space="0" w:color="auto"/>
          </w:divBdr>
        </w:div>
        <w:div w:id="675882005">
          <w:marLeft w:val="0"/>
          <w:marRight w:val="0"/>
          <w:marTop w:val="0"/>
          <w:marBottom w:val="0"/>
          <w:divBdr>
            <w:top w:val="none" w:sz="0" w:space="0" w:color="auto"/>
            <w:left w:val="none" w:sz="0" w:space="0" w:color="auto"/>
            <w:bottom w:val="none" w:sz="0" w:space="0" w:color="auto"/>
            <w:right w:val="none" w:sz="0" w:space="0" w:color="auto"/>
          </w:divBdr>
        </w:div>
        <w:div w:id="1549489331">
          <w:marLeft w:val="0"/>
          <w:marRight w:val="0"/>
          <w:marTop w:val="0"/>
          <w:marBottom w:val="0"/>
          <w:divBdr>
            <w:top w:val="none" w:sz="0" w:space="0" w:color="auto"/>
            <w:left w:val="none" w:sz="0" w:space="0" w:color="auto"/>
            <w:bottom w:val="none" w:sz="0" w:space="0" w:color="auto"/>
            <w:right w:val="none" w:sz="0" w:space="0" w:color="auto"/>
          </w:divBdr>
        </w:div>
        <w:div w:id="1827553903">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439108355">
      <w:bodyDiv w:val="1"/>
      <w:marLeft w:val="0"/>
      <w:marRight w:val="0"/>
      <w:marTop w:val="0"/>
      <w:marBottom w:val="0"/>
      <w:divBdr>
        <w:top w:val="none" w:sz="0" w:space="0" w:color="auto"/>
        <w:left w:val="none" w:sz="0" w:space="0" w:color="auto"/>
        <w:bottom w:val="none" w:sz="0" w:space="0" w:color="auto"/>
        <w:right w:val="none" w:sz="0" w:space="0" w:color="auto"/>
      </w:divBdr>
      <w:divsChild>
        <w:div w:id="359169350">
          <w:marLeft w:val="0"/>
          <w:marRight w:val="0"/>
          <w:marTop w:val="0"/>
          <w:marBottom w:val="0"/>
          <w:divBdr>
            <w:top w:val="none" w:sz="0" w:space="0" w:color="auto"/>
            <w:left w:val="none" w:sz="0" w:space="0" w:color="auto"/>
            <w:bottom w:val="none" w:sz="0" w:space="0" w:color="auto"/>
            <w:right w:val="none" w:sz="0" w:space="0" w:color="auto"/>
          </w:divBdr>
        </w:div>
        <w:div w:id="244658060">
          <w:marLeft w:val="0"/>
          <w:marRight w:val="0"/>
          <w:marTop w:val="0"/>
          <w:marBottom w:val="0"/>
          <w:divBdr>
            <w:top w:val="none" w:sz="0" w:space="0" w:color="auto"/>
            <w:left w:val="none" w:sz="0" w:space="0" w:color="auto"/>
            <w:bottom w:val="none" w:sz="0" w:space="0" w:color="auto"/>
            <w:right w:val="none" w:sz="0" w:space="0" w:color="auto"/>
          </w:divBdr>
        </w:div>
        <w:div w:id="505362353">
          <w:marLeft w:val="0"/>
          <w:marRight w:val="0"/>
          <w:marTop w:val="0"/>
          <w:marBottom w:val="0"/>
          <w:divBdr>
            <w:top w:val="none" w:sz="0" w:space="0" w:color="auto"/>
            <w:left w:val="none" w:sz="0" w:space="0" w:color="auto"/>
            <w:bottom w:val="none" w:sz="0" w:space="0" w:color="auto"/>
            <w:right w:val="none" w:sz="0" w:space="0" w:color="auto"/>
          </w:divBdr>
        </w:div>
        <w:div w:id="575435083">
          <w:marLeft w:val="0"/>
          <w:marRight w:val="0"/>
          <w:marTop w:val="0"/>
          <w:marBottom w:val="0"/>
          <w:divBdr>
            <w:top w:val="none" w:sz="0" w:space="0" w:color="auto"/>
            <w:left w:val="none" w:sz="0" w:space="0" w:color="auto"/>
            <w:bottom w:val="none" w:sz="0" w:space="0" w:color="auto"/>
            <w:right w:val="none" w:sz="0" w:space="0" w:color="auto"/>
          </w:divBdr>
        </w:div>
        <w:div w:id="1966277762">
          <w:marLeft w:val="0"/>
          <w:marRight w:val="0"/>
          <w:marTop w:val="0"/>
          <w:marBottom w:val="0"/>
          <w:divBdr>
            <w:top w:val="none" w:sz="0" w:space="0" w:color="auto"/>
            <w:left w:val="none" w:sz="0" w:space="0" w:color="auto"/>
            <w:bottom w:val="none" w:sz="0" w:space="0" w:color="auto"/>
            <w:right w:val="none" w:sz="0" w:space="0" w:color="auto"/>
          </w:divBdr>
        </w:div>
        <w:div w:id="2098017805">
          <w:marLeft w:val="0"/>
          <w:marRight w:val="0"/>
          <w:marTop w:val="0"/>
          <w:marBottom w:val="0"/>
          <w:divBdr>
            <w:top w:val="none" w:sz="0" w:space="0" w:color="auto"/>
            <w:left w:val="none" w:sz="0" w:space="0" w:color="auto"/>
            <w:bottom w:val="none" w:sz="0" w:space="0" w:color="auto"/>
            <w:right w:val="none" w:sz="0" w:space="0" w:color="auto"/>
          </w:divBdr>
        </w:div>
        <w:div w:id="725450590">
          <w:marLeft w:val="0"/>
          <w:marRight w:val="0"/>
          <w:marTop w:val="0"/>
          <w:marBottom w:val="0"/>
          <w:divBdr>
            <w:top w:val="none" w:sz="0" w:space="0" w:color="auto"/>
            <w:left w:val="none" w:sz="0" w:space="0" w:color="auto"/>
            <w:bottom w:val="none" w:sz="0" w:space="0" w:color="auto"/>
            <w:right w:val="none" w:sz="0" w:space="0" w:color="auto"/>
          </w:divBdr>
        </w:div>
        <w:div w:id="1465660200">
          <w:marLeft w:val="0"/>
          <w:marRight w:val="0"/>
          <w:marTop w:val="0"/>
          <w:marBottom w:val="0"/>
          <w:divBdr>
            <w:top w:val="none" w:sz="0" w:space="0" w:color="auto"/>
            <w:left w:val="none" w:sz="0" w:space="0" w:color="auto"/>
            <w:bottom w:val="none" w:sz="0" w:space="0" w:color="auto"/>
            <w:right w:val="none" w:sz="0" w:space="0" w:color="auto"/>
          </w:divBdr>
        </w:div>
        <w:div w:id="680274877">
          <w:marLeft w:val="0"/>
          <w:marRight w:val="0"/>
          <w:marTop w:val="0"/>
          <w:marBottom w:val="0"/>
          <w:divBdr>
            <w:top w:val="none" w:sz="0" w:space="0" w:color="auto"/>
            <w:left w:val="none" w:sz="0" w:space="0" w:color="auto"/>
            <w:bottom w:val="none" w:sz="0" w:space="0" w:color="auto"/>
            <w:right w:val="none" w:sz="0" w:space="0" w:color="auto"/>
          </w:divBdr>
        </w:div>
        <w:div w:id="872571242">
          <w:marLeft w:val="0"/>
          <w:marRight w:val="0"/>
          <w:marTop w:val="0"/>
          <w:marBottom w:val="0"/>
          <w:divBdr>
            <w:top w:val="none" w:sz="0" w:space="0" w:color="auto"/>
            <w:left w:val="none" w:sz="0" w:space="0" w:color="auto"/>
            <w:bottom w:val="none" w:sz="0" w:space="0" w:color="auto"/>
            <w:right w:val="none" w:sz="0" w:space="0" w:color="auto"/>
          </w:divBdr>
          <w:divsChild>
            <w:div w:id="252670780">
              <w:marLeft w:val="0"/>
              <w:marRight w:val="0"/>
              <w:marTop w:val="0"/>
              <w:marBottom w:val="0"/>
              <w:divBdr>
                <w:top w:val="none" w:sz="0" w:space="0" w:color="auto"/>
                <w:left w:val="none" w:sz="0" w:space="0" w:color="auto"/>
                <w:bottom w:val="none" w:sz="0" w:space="0" w:color="auto"/>
                <w:right w:val="none" w:sz="0" w:space="0" w:color="auto"/>
              </w:divBdr>
            </w:div>
            <w:div w:id="2069378043">
              <w:marLeft w:val="0"/>
              <w:marRight w:val="0"/>
              <w:marTop w:val="0"/>
              <w:marBottom w:val="0"/>
              <w:divBdr>
                <w:top w:val="none" w:sz="0" w:space="0" w:color="auto"/>
                <w:left w:val="none" w:sz="0" w:space="0" w:color="auto"/>
                <w:bottom w:val="none" w:sz="0" w:space="0" w:color="auto"/>
                <w:right w:val="none" w:sz="0" w:space="0" w:color="auto"/>
              </w:divBdr>
            </w:div>
            <w:div w:id="802891124">
              <w:marLeft w:val="0"/>
              <w:marRight w:val="0"/>
              <w:marTop w:val="0"/>
              <w:marBottom w:val="0"/>
              <w:divBdr>
                <w:top w:val="none" w:sz="0" w:space="0" w:color="auto"/>
                <w:left w:val="none" w:sz="0" w:space="0" w:color="auto"/>
                <w:bottom w:val="none" w:sz="0" w:space="0" w:color="auto"/>
                <w:right w:val="none" w:sz="0" w:space="0" w:color="auto"/>
              </w:divBdr>
            </w:div>
            <w:div w:id="1625884657">
              <w:marLeft w:val="0"/>
              <w:marRight w:val="0"/>
              <w:marTop w:val="0"/>
              <w:marBottom w:val="0"/>
              <w:divBdr>
                <w:top w:val="none" w:sz="0" w:space="0" w:color="auto"/>
                <w:left w:val="none" w:sz="0" w:space="0" w:color="auto"/>
                <w:bottom w:val="none" w:sz="0" w:space="0" w:color="auto"/>
                <w:right w:val="none" w:sz="0" w:space="0" w:color="auto"/>
              </w:divBdr>
            </w:div>
            <w:div w:id="1080369062">
              <w:marLeft w:val="0"/>
              <w:marRight w:val="0"/>
              <w:marTop w:val="0"/>
              <w:marBottom w:val="0"/>
              <w:divBdr>
                <w:top w:val="none" w:sz="0" w:space="0" w:color="auto"/>
                <w:left w:val="none" w:sz="0" w:space="0" w:color="auto"/>
                <w:bottom w:val="none" w:sz="0" w:space="0" w:color="auto"/>
                <w:right w:val="none" w:sz="0" w:space="0" w:color="auto"/>
              </w:divBdr>
            </w:div>
          </w:divsChild>
        </w:div>
        <w:div w:id="1493645931">
          <w:marLeft w:val="0"/>
          <w:marRight w:val="0"/>
          <w:marTop w:val="0"/>
          <w:marBottom w:val="0"/>
          <w:divBdr>
            <w:top w:val="none" w:sz="0" w:space="0" w:color="auto"/>
            <w:left w:val="none" w:sz="0" w:space="0" w:color="auto"/>
            <w:bottom w:val="none" w:sz="0" w:space="0" w:color="auto"/>
            <w:right w:val="none" w:sz="0" w:space="0" w:color="auto"/>
          </w:divBdr>
          <w:divsChild>
            <w:div w:id="521238115">
              <w:marLeft w:val="0"/>
              <w:marRight w:val="0"/>
              <w:marTop w:val="0"/>
              <w:marBottom w:val="0"/>
              <w:divBdr>
                <w:top w:val="none" w:sz="0" w:space="0" w:color="auto"/>
                <w:left w:val="none" w:sz="0" w:space="0" w:color="auto"/>
                <w:bottom w:val="none" w:sz="0" w:space="0" w:color="auto"/>
                <w:right w:val="none" w:sz="0" w:space="0" w:color="auto"/>
              </w:divBdr>
            </w:div>
            <w:div w:id="1483233891">
              <w:marLeft w:val="0"/>
              <w:marRight w:val="0"/>
              <w:marTop w:val="0"/>
              <w:marBottom w:val="0"/>
              <w:divBdr>
                <w:top w:val="none" w:sz="0" w:space="0" w:color="auto"/>
                <w:left w:val="none" w:sz="0" w:space="0" w:color="auto"/>
                <w:bottom w:val="none" w:sz="0" w:space="0" w:color="auto"/>
                <w:right w:val="none" w:sz="0" w:space="0" w:color="auto"/>
              </w:divBdr>
            </w:div>
            <w:div w:id="806820869">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223640788">
              <w:marLeft w:val="0"/>
              <w:marRight w:val="0"/>
              <w:marTop w:val="0"/>
              <w:marBottom w:val="0"/>
              <w:divBdr>
                <w:top w:val="none" w:sz="0" w:space="0" w:color="auto"/>
                <w:left w:val="none" w:sz="0" w:space="0" w:color="auto"/>
                <w:bottom w:val="none" w:sz="0" w:space="0" w:color="auto"/>
                <w:right w:val="none" w:sz="0" w:space="0" w:color="auto"/>
              </w:divBdr>
            </w:div>
          </w:divsChild>
        </w:div>
        <w:div w:id="1025908600">
          <w:marLeft w:val="0"/>
          <w:marRight w:val="0"/>
          <w:marTop w:val="0"/>
          <w:marBottom w:val="0"/>
          <w:divBdr>
            <w:top w:val="none" w:sz="0" w:space="0" w:color="auto"/>
            <w:left w:val="none" w:sz="0" w:space="0" w:color="auto"/>
            <w:bottom w:val="none" w:sz="0" w:space="0" w:color="auto"/>
            <w:right w:val="none" w:sz="0" w:space="0" w:color="auto"/>
          </w:divBdr>
        </w:div>
      </w:divsChild>
    </w:div>
    <w:div w:id="1467967577">
      <w:bodyDiv w:val="1"/>
      <w:marLeft w:val="0"/>
      <w:marRight w:val="0"/>
      <w:marTop w:val="0"/>
      <w:marBottom w:val="0"/>
      <w:divBdr>
        <w:top w:val="none" w:sz="0" w:space="0" w:color="auto"/>
        <w:left w:val="none" w:sz="0" w:space="0" w:color="auto"/>
        <w:bottom w:val="none" w:sz="0" w:space="0" w:color="auto"/>
        <w:right w:val="none" w:sz="0" w:space="0" w:color="auto"/>
      </w:divBdr>
      <w:divsChild>
        <w:div w:id="2078090745">
          <w:marLeft w:val="0"/>
          <w:marRight w:val="0"/>
          <w:marTop w:val="0"/>
          <w:marBottom w:val="0"/>
          <w:divBdr>
            <w:top w:val="none" w:sz="0" w:space="0" w:color="auto"/>
            <w:left w:val="none" w:sz="0" w:space="0" w:color="auto"/>
            <w:bottom w:val="none" w:sz="0" w:space="0" w:color="auto"/>
            <w:right w:val="none" w:sz="0" w:space="0" w:color="auto"/>
          </w:divBdr>
        </w:div>
        <w:div w:id="1157841716">
          <w:marLeft w:val="0"/>
          <w:marRight w:val="0"/>
          <w:marTop w:val="0"/>
          <w:marBottom w:val="0"/>
          <w:divBdr>
            <w:top w:val="none" w:sz="0" w:space="0" w:color="auto"/>
            <w:left w:val="none" w:sz="0" w:space="0" w:color="auto"/>
            <w:bottom w:val="none" w:sz="0" w:space="0" w:color="auto"/>
            <w:right w:val="none" w:sz="0" w:space="0" w:color="auto"/>
          </w:divBdr>
        </w:div>
        <w:div w:id="1088190046">
          <w:marLeft w:val="0"/>
          <w:marRight w:val="0"/>
          <w:marTop w:val="0"/>
          <w:marBottom w:val="0"/>
          <w:divBdr>
            <w:top w:val="none" w:sz="0" w:space="0" w:color="auto"/>
            <w:left w:val="none" w:sz="0" w:space="0" w:color="auto"/>
            <w:bottom w:val="none" w:sz="0" w:space="0" w:color="auto"/>
            <w:right w:val="none" w:sz="0" w:space="0" w:color="auto"/>
          </w:divBdr>
        </w:div>
        <w:div w:id="800147655">
          <w:marLeft w:val="0"/>
          <w:marRight w:val="0"/>
          <w:marTop w:val="0"/>
          <w:marBottom w:val="0"/>
          <w:divBdr>
            <w:top w:val="none" w:sz="0" w:space="0" w:color="auto"/>
            <w:left w:val="none" w:sz="0" w:space="0" w:color="auto"/>
            <w:bottom w:val="none" w:sz="0" w:space="0" w:color="auto"/>
            <w:right w:val="none" w:sz="0" w:space="0" w:color="auto"/>
          </w:divBdr>
        </w:div>
        <w:div w:id="110438552">
          <w:marLeft w:val="0"/>
          <w:marRight w:val="0"/>
          <w:marTop w:val="0"/>
          <w:marBottom w:val="0"/>
          <w:divBdr>
            <w:top w:val="none" w:sz="0" w:space="0" w:color="auto"/>
            <w:left w:val="none" w:sz="0" w:space="0" w:color="auto"/>
            <w:bottom w:val="none" w:sz="0" w:space="0" w:color="auto"/>
            <w:right w:val="none" w:sz="0" w:space="0" w:color="auto"/>
          </w:divBdr>
        </w:div>
      </w:divsChild>
    </w:div>
    <w:div w:id="1594585179">
      <w:bodyDiv w:val="1"/>
      <w:marLeft w:val="0"/>
      <w:marRight w:val="0"/>
      <w:marTop w:val="0"/>
      <w:marBottom w:val="0"/>
      <w:divBdr>
        <w:top w:val="none" w:sz="0" w:space="0" w:color="auto"/>
        <w:left w:val="none" w:sz="0" w:space="0" w:color="auto"/>
        <w:bottom w:val="none" w:sz="0" w:space="0" w:color="auto"/>
        <w:right w:val="none" w:sz="0" w:space="0" w:color="auto"/>
      </w:divBdr>
      <w:divsChild>
        <w:div w:id="1282035561">
          <w:marLeft w:val="0"/>
          <w:marRight w:val="0"/>
          <w:marTop w:val="0"/>
          <w:marBottom w:val="0"/>
          <w:divBdr>
            <w:top w:val="none" w:sz="0" w:space="0" w:color="auto"/>
            <w:left w:val="none" w:sz="0" w:space="0" w:color="auto"/>
            <w:bottom w:val="none" w:sz="0" w:space="0" w:color="auto"/>
            <w:right w:val="none" w:sz="0" w:space="0" w:color="auto"/>
          </w:divBdr>
        </w:div>
        <w:div w:id="495076892">
          <w:marLeft w:val="0"/>
          <w:marRight w:val="0"/>
          <w:marTop w:val="0"/>
          <w:marBottom w:val="0"/>
          <w:divBdr>
            <w:top w:val="none" w:sz="0" w:space="0" w:color="auto"/>
            <w:left w:val="none" w:sz="0" w:space="0" w:color="auto"/>
            <w:bottom w:val="none" w:sz="0" w:space="0" w:color="auto"/>
            <w:right w:val="none" w:sz="0" w:space="0" w:color="auto"/>
          </w:divBdr>
        </w:div>
        <w:div w:id="1344241025">
          <w:marLeft w:val="0"/>
          <w:marRight w:val="0"/>
          <w:marTop w:val="0"/>
          <w:marBottom w:val="0"/>
          <w:divBdr>
            <w:top w:val="none" w:sz="0" w:space="0" w:color="auto"/>
            <w:left w:val="none" w:sz="0" w:space="0" w:color="auto"/>
            <w:bottom w:val="none" w:sz="0" w:space="0" w:color="auto"/>
            <w:right w:val="none" w:sz="0" w:space="0" w:color="auto"/>
          </w:divBdr>
        </w:div>
        <w:div w:id="425351063">
          <w:marLeft w:val="0"/>
          <w:marRight w:val="0"/>
          <w:marTop w:val="0"/>
          <w:marBottom w:val="0"/>
          <w:divBdr>
            <w:top w:val="none" w:sz="0" w:space="0" w:color="auto"/>
            <w:left w:val="none" w:sz="0" w:space="0" w:color="auto"/>
            <w:bottom w:val="none" w:sz="0" w:space="0" w:color="auto"/>
            <w:right w:val="none" w:sz="0" w:space="0" w:color="auto"/>
          </w:divBdr>
        </w:div>
      </w:divsChild>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223756865">
          <w:marLeft w:val="0"/>
          <w:marRight w:val="0"/>
          <w:marTop w:val="0"/>
          <w:marBottom w:val="0"/>
          <w:divBdr>
            <w:top w:val="none" w:sz="0" w:space="0" w:color="auto"/>
            <w:left w:val="none" w:sz="0" w:space="0" w:color="auto"/>
            <w:bottom w:val="none" w:sz="0" w:space="0" w:color="auto"/>
            <w:right w:val="none" w:sz="0" w:space="0" w:color="auto"/>
          </w:divBdr>
        </w:div>
        <w:div w:id="427820409">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fdround@dca.ga.gov" TargetMode="External"/><Relationship Id="rId18" Type="http://schemas.openxmlformats.org/officeDocument/2006/relationships/hyperlink" Target="https://www.dca.ga.gov/node/4593" TargetMode="External"/><Relationship Id="rId26" Type="http://schemas.openxmlformats.org/officeDocument/2006/relationships/hyperlink" Target="https://www.dca.ga.gov/node/3814" TargetMode="External"/><Relationship Id="rId39" Type="http://schemas.openxmlformats.org/officeDocument/2006/relationships/hyperlink" Target="https://www.dca.ga.gov/safe-affordable-housing/rental-housing-development/housing-tax-credit-program-lihtc" TargetMode="External"/><Relationship Id="rId21" Type="http://schemas.openxmlformats.org/officeDocument/2006/relationships/image" Target="media/image2.png"/><Relationship Id="rId34" Type="http://schemas.openxmlformats.org/officeDocument/2006/relationships/hyperlink" Target="https://www.dca.ga.gov/node/6478" TargetMode="External"/><Relationship Id="rId42" Type="http://schemas.openxmlformats.org/officeDocument/2006/relationships/hyperlink" Target="https://www.dca.ga.gov/sites/default/files/ccrpi_scores_table.pdf"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ca.ga.gov/node/7252" TargetMode="External"/><Relationship Id="rId29" Type="http://schemas.openxmlformats.org/officeDocument/2006/relationships/hyperlink" Target="https://www.cdfifund.gov/programs-training/programs/cdfi-pro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dca.ga.gov/safe-affordable-housing/rental-housing-development/housing-tax-credit-program-lihtc/qualified-0/2021" TargetMode="External"/><Relationship Id="rId32" Type="http://schemas.openxmlformats.org/officeDocument/2006/relationships/hyperlink" Target="https://www.dca.ga.gov/safe-affordable-housing/rental-housing-development/housing-tax-credit-program-lihtc/qualified-0/2021" TargetMode="External"/><Relationship Id="rId37" Type="http://schemas.openxmlformats.org/officeDocument/2006/relationships/hyperlink" Target="https://www.hud.gov/sites/documents/19787_CH03.PDF" TargetMode="External"/><Relationship Id="rId40"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45" Type="http://schemas.openxmlformats.org/officeDocument/2006/relationships/hyperlink" Target="https://gcc02.safelinks.protection.outlook.com/?url=https%3A%2F%2Fwww.dca.ga.gov%2Fsafe-affordable-housing%2Frental-housing-development%2Fhousing-tax-credit-program-lihtc%2Fqualified-0%2F2021&amp;data=04%7C01%7CBryce.Farbstein%40dca.ga.gov%7C89ae262f65464ffd6a5208d8b98d13d1%7Cdc9db449fad64fcd899014394088d4ec%7C1%7C0%7C637463362872978216%7CUnknown%7CTWFpbGZsb3d8eyJWIjoiMC4wLjAwMDAiLCJQIjoiV2luMzIiLCJBTiI6Ik1haWwiLCJXVCI6Mn0%3D%7C1000&amp;sdata=riLDUih8DPBiUDSwZ7lYCK6t6HtPeVPBUIYjlAK6zwQ%3D&amp;reserved=0" TargetMode="External"/><Relationship Id="rId5" Type="http://schemas.openxmlformats.org/officeDocument/2006/relationships/numbering" Target="numbering.xml"/><Relationship Id="rId15" Type="http://schemas.openxmlformats.org/officeDocument/2006/relationships/hyperlink" Target="https://www.dca.ga.gov/safe-affordable-housing/rental-housing-development/housing-tax-credit-program-lihtc/qualified-0/2021" TargetMode="External"/><Relationship Id="rId23" Type="http://schemas.openxmlformats.org/officeDocument/2006/relationships/hyperlink" Target="https://www.legis.ga.gov/" TargetMode="External"/><Relationship Id="rId28" Type="http://schemas.openxmlformats.org/officeDocument/2006/relationships/hyperlink" Target="https://www.dca.ga.gov/safe-affordable-housing/rental-housing-development/housing-tax-credit-program-lihtc/qualified-0/2021" TargetMode="External"/><Relationship Id="rId36" Type="http://schemas.openxmlformats.org/officeDocument/2006/relationships/hyperlink" Target="https://gcc02.safelinks.protection.outlook.com/?url=https%3A%2F%2Fwww.dca.ga.gov%2Fsites%2Fdefault%2Ffiles%2Fmanagement_company_approval_policy-12-29-2020_-_final.pdf&amp;data=04%7C01%7CJack.Popper%40dca.ga.gov%7Cbe76b7f2e68045158ada08d8d90e6202%7Cdc9db449fad64fcd899014394088d4ec%7C1%7C0%7C637498003571273979%7CUnknown%7CTWFpbGZsb3d8eyJWIjoiMC4wLjAwMDAiLCJQIjoiV2luMzIiLCJBTiI6Ik1haWwiLCJXVCI6Mn0%3D%7C1000&amp;sdata=j3tKAusZvKoj%2F77vYXoPIVQxXenKc4PK1ocRiYNpTp4%3D&amp;reserved=0" TargetMode="External"/><Relationship Id="rId10" Type="http://schemas.openxmlformats.org/officeDocument/2006/relationships/endnotes" Target="endnotes.xml"/><Relationship Id="rId19" Type="http://schemas.openxmlformats.org/officeDocument/2006/relationships/hyperlink" Target="mailto:HomelessInfo@dca.ga.gov" TargetMode="External"/><Relationship Id="rId31" Type="http://schemas.openxmlformats.org/officeDocument/2006/relationships/hyperlink" Target="https://www.dca.ga.gov/safe-affordable-housing/rental-housing-development/housing-tax-credit-program-lihtc/qualified-0/2021" TargetMode="External"/><Relationship Id="rId44" Type="http://schemas.openxmlformats.org/officeDocument/2006/relationships/hyperlink" Target="https://www.dca.ga.gov/safe-affordable-housing/rental-housing-development/housing-tax-credit-program-lihtc/qualified-0/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fdround@dca.ga.gov" TargetMode="External"/><Relationship Id="rId22" Type="http://schemas.openxmlformats.org/officeDocument/2006/relationships/hyperlink" Target="https://www.dca.ga.gov/safe-affordable-housing/rental-housing-development/housing-tax-credit-program-lihtc/qualified-0/2021" TargetMode="External"/><Relationship Id="rId27" Type="http://schemas.openxmlformats.org/officeDocument/2006/relationships/hyperlink" Target="https://www.dca.ga.gov/safe-affordable-housing/rental-housing-development/housing-tax-credit-program-lihtc/qualified-0/2021" TargetMode="External"/><Relationship Id="rId30" Type="http://schemas.openxmlformats.org/officeDocument/2006/relationships/hyperlink" Target="https://www.dca.ga.gov/node/7253" TargetMode="External"/><Relationship Id="rId35" Type="http://schemas.openxmlformats.org/officeDocument/2006/relationships/hyperlink" Target="https://gcc02.safelinks.protection.outlook.com/?url=https%3A%2F%2Fwww.dca.ga.gov%2Fsites%2Fdefault%2Ffiles%2Fmanagement_company_approval_policy-12-29-2020_-_final.pdf&amp;data=04%7C01%7CJack.Popper%40dca.ga.gov%7Cbe76b7f2e68045158ada08d8d90e6202%7Cdc9db449fad64fcd899014394088d4ec%7C1%7C0%7C637498003571273979%7CUnknown%7CTWFpbGZsb3d8eyJWIjoiMC4wLjAwMDAiLCJQIjoiV2luMzIiLCJBTiI6Ik1haWwiLCJXVCI6Mn0%3D%7C1000&amp;sdata=j3tKAusZvKoj%2F77vYXoPIVQxXenKc4PK1ocRiYNpTp4%3D&amp;reserved=0" TargetMode="External"/><Relationship Id="rId43" Type="http://schemas.openxmlformats.org/officeDocument/2006/relationships/hyperlink" Target="https://www.dca.ga.gov/sites/default/files/2021ccrpi_scores_table.pdf"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dca.ga.gov/safe-affordable-housing/rental-housing-development/housing-tax-credit-program-lihtc/qualified-0/2021" TargetMode="External"/><Relationship Id="rId17" Type="http://schemas.openxmlformats.org/officeDocument/2006/relationships/hyperlink" Target="mailto:hfdround@dca.ga.gov" TargetMode="External"/><Relationship Id="rId25" Type="http://schemas.openxmlformats.org/officeDocument/2006/relationships/hyperlink" Target="mailto:HFDround@dca.ga.gov" TargetMode="External"/><Relationship Id="rId33" Type="http://schemas.openxmlformats.org/officeDocument/2006/relationships/hyperlink" Target="https://www.dca.ga.gov/node/7252" TargetMode="External"/><Relationship Id="rId38" Type="http://schemas.openxmlformats.org/officeDocument/2006/relationships/hyperlink" Target="https://www.dca.ga.gov/sites/default/files/2017_chdo_certification_application_0.docx" TargetMode="External"/><Relationship Id="rId46" Type="http://schemas.openxmlformats.org/officeDocument/2006/relationships/header" Target="header1.xml"/><Relationship Id="rId20" Type="http://schemas.openxmlformats.org/officeDocument/2006/relationships/hyperlink" Target="https://www.youtube.com/watch?v=VozXGGf8Ueg&amp;t=503s%20" TargetMode="External"/><Relationship Id="rId41"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4" ma:contentTypeDescription="Create a new document." ma:contentTypeScope="" ma:versionID="937cf091ff9b8ca6a5f2ce0f55e71f72">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397051bf7eafc94cf147e13b5c5da1b"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8AE88-C3A1-40A0-8531-0D091172E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A9A69-CD3B-44FD-A2A0-AD4169BB2B1F}">
  <ds:schemaRefs>
    <ds:schemaRef ds:uri="http://schemas.microsoft.com/office/2006/metadata/properties"/>
    <ds:schemaRef ds:uri="http://schemas.microsoft.com/office/infopath/2007/PartnerControls"/>
    <ds:schemaRef ds:uri="431100d4-4470-42c1-96bc-46686c1829ae"/>
  </ds:schemaRefs>
</ds:datastoreItem>
</file>

<file path=customXml/itemProps3.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customXml/itemProps4.xml><?xml version="1.0" encoding="utf-8"?>
<ds:datastoreItem xmlns:ds="http://schemas.openxmlformats.org/officeDocument/2006/customXml" ds:itemID="{93CB819E-9CCA-4FCD-90F4-6C873F641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58</Pages>
  <Words>18030</Words>
  <Characters>102776</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37</cp:revision>
  <dcterms:created xsi:type="dcterms:W3CDTF">2021-05-12T12:14:00Z</dcterms:created>
  <dcterms:modified xsi:type="dcterms:W3CDTF">2021-05-12T16:42:00Z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0x010100FD36E2DBE9C0E34A916604E87FFB7DA5</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