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61F03AC1"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6</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D41295"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D41295"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3B3771" w:rsidRPr="00AC6DEC" w14:paraId="42F892B1"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695350BD" w14:textId="77777777" w:rsidR="003B3771" w:rsidRPr="00AC6DEC" w:rsidRDefault="003B3771"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3C4D3FA6" w14:textId="77777777" w:rsidR="003B3771" w:rsidRPr="00AC6DEC" w:rsidRDefault="003B3771"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7A8F86BD" w14:textId="77777777" w:rsidR="003B3771" w:rsidRPr="00AC6DEC" w:rsidRDefault="003B3771"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6F30ECC7" w14:textId="77777777" w:rsidR="003B3771" w:rsidRPr="00AC6DEC" w:rsidRDefault="003B3771"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3B3771" w:rsidRPr="00AC6DEC" w14:paraId="2C279461" w14:textId="77777777" w:rsidTr="2A62FF34">
        <w:trPr>
          <w:jc w:val="center"/>
        </w:trPr>
        <w:tc>
          <w:tcPr>
            <w:tcW w:w="2157" w:type="dxa"/>
            <w:tcMar>
              <w:top w:w="72" w:type="dxa"/>
              <w:left w:w="115" w:type="dxa"/>
              <w:bottom w:w="72" w:type="dxa"/>
              <w:right w:w="115" w:type="dxa"/>
            </w:tcMar>
            <w:vAlign w:val="center"/>
          </w:tcPr>
          <w:p w14:paraId="552068A4"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75B3B56" w14:textId="77777777" w:rsidR="003B3771" w:rsidRPr="00AC6DEC" w:rsidRDefault="003B3771" w:rsidP="000A11E1">
            <w:pPr>
              <w:rPr>
                <w:rFonts w:ascii="Times New Roman" w:hAnsi="Times New Roman" w:cs="Times New Roman"/>
                <w:noProof/>
              </w:rPr>
            </w:pPr>
            <w:r w:rsidRPr="00AC6DEC">
              <w:rPr>
                <w:rFonts w:ascii="Times New Roman" w:hAnsi="Times New Roman" w:cs="Times New Roman"/>
                <w:noProof/>
              </w:rPr>
              <w:t>1.23</w:t>
            </w:r>
          </w:p>
          <w:p w14:paraId="62003153" w14:textId="77777777" w:rsidR="003B3771" w:rsidRDefault="003B3771" w:rsidP="000A11E1">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C712A40" w14:textId="77777777" w:rsidR="003B3771" w:rsidRPr="001B5696" w:rsidRDefault="003B3771" w:rsidP="001038D1">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5C6E9EB5" w14:textId="77777777" w:rsidR="003B3771" w:rsidRPr="001B5696" w:rsidRDefault="003B3771" w:rsidP="001038D1">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1ACB6E35" w14:textId="77777777" w:rsidR="003B3771" w:rsidRPr="001B5696" w:rsidRDefault="003B3771" w:rsidP="001038D1">
            <w:pPr>
              <w:contextualSpacing/>
              <w:rPr>
                <w:rFonts w:ascii="Times New Roman" w:hAnsi="Times New Roman" w:cs="Times New Roman"/>
              </w:rPr>
            </w:pPr>
          </w:p>
          <w:p w14:paraId="094FA2AD" w14:textId="77777777" w:rsidR="003B3771" w:rsidRPr="001B5696" w:rsidRDefault="003B3771" w:rsidP="001038D1">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4F207BE5" w14:textId="77777777" w:rsidR="003B3771" w:rsidRPr="001B5696" w:rsidRDefault="003B3771" w:rsidP="001038D1">
            <w:pPr>
              <w:contextualSpacing/>
              <w:rPr>
                <w:rFonts w:ascii="Times New Roman" w:hAnsi="Times New Roman" w:cs="Times New Roman"/>
              </w:rPr>
            </w:pPr>
          </w:p>
          <w:p w14:paraId="2C3DF11C" w14:textId="77777777" w:rsidR="003B3771" w:rsidRPr="001B5696" w:rsidRDefault="003B3771" w:rsidP="001038D1">
            <w:pPr>
              <w:contextualSpacing/>
              <w:rPr>
                <w:rFonts w:ascii="Times New Roman" w:hAnsi="Times New Roman" w:cs="Times New Roman"/>
                <w:b/>
                <w:bCs/>
              </w:rPr>
            </w:pPr>
            <w:r w:rsidRPr="001B5696">
              <w:rPr>
                <w:rFonts w:ascii="Times New Roman" w:hAnsi="Times New Roman" w:cs="Times New Roman"/>
                <w:b/>
                <w:bCs/>
              </w:rPr>
              <w:t xml:space="preserve">Answer: </w:t>
            </w:r>
          </w:p>
          <w:p w14:paraId="5F578EBE" w14:textId="77777777" w:rsidR="003B3771" w:rsidRDefault="003B3771" w:rsidP="001038D1">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3D0C0B7B" w14:textId="77777777" w:rsidR="003B3771" w:rsidRDefault="003B3771" w:rsidP="001038D1">
            <w:pPr>
              <w:contextualSpacing/>
              <w:rPr>
                <w:rFonts w:ascii="Times New Roman" w:hAnsi="Times New Roman" w:cs="Times New Roman"/>
              </w:rPr>
            </w:pPr>
          </w:p>
          <w:p w14:paraId="12213C36" w14:textId="77777777" w:rsidR="003B3771" w:rsidRPr="001B5696" w:rsidRDefault="003B3771" w:rsidP="00FD3BAA">
            <w:pPr>
              <w:ind w:left="720"/>
              <w:contextualSpacing/>
              <w:rPr>
                <w:rFonts w:ascii="Times New Roman" w:hAnsi="Times New Roman" w:cs="Times New Roman"/>
              </w:rPr>
            </w:pPr>
            <w:r w:rsidRPr="00FD3BAA">
              <w:rPr>
                <w:rFonts w:ascii="Times New Roman" w:hAnsi="Times New Roman" w:cs="Times New Roman"/>
                <w:b/>
                <w:bCs/>
              </w:rPr>
              <w:t>Threshold</w:t>
            </w:r>
            <w:r w:rsidRPr="00FD3BAA">
              <w:rPr>
                <w:rFonts w:ascii="Times New Roman" w:hAnsi="Times New Roman" w:cs="Times New Roman"/>
                <w:b/>
                <w:bCs/>
              </w:rPr>
              <w:t>,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 </w:t>
            </w:r>
          </w:p>
          <w:p w14:paraId="200FA4E2" w14:textId="77777777" w:rsidR="003B3771" w:rsidRPr="001B5696" w:rsidRDefault="003B3771" w:rsidP="001038D1">
            <w:pPr>
              <w:contextualSpacing/>
              <w:rPr>
                <w:rFonts w:ascii="Times New Roman" w:hAnsi="Times New Roman" w:cs="Times New Roman"/>
              </w:rPr>
            </w:pPr>
          </w:p>
          <w:p w14:paraId="13352D99" w14:textId="77777777" w:rsidR="003B3771" w:rsidRPr="001B5696" w:rsidRDefault="003B3771" w:rsidP="001038D1">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7A230299" w14:textId="77777777" w:rsidR="003B3771" w:rsidRPr="001B5696" w:rsidRDefault="003B3771" w:rsidP="001038D1">
            <w:pPr>
              <w:contextualSpacing/>
              <w:rPr>
                <w:rFonts w:ascii="Times New Roman" w:hAnsi="Times New Roman" w:cs="Times New Roman"/>
                <w:b/>
                <w:bCs/>
              </w:rPr>
            </w:pPr>
          </w:p>
        </w:tc>
      </w:tr>
      <w:tr w:rsidR="003B3771" w:rsidRPr="00AC6DEC" w14:paraId="65E1C29D" w14:textId="77777777" w:rsidTr="2A62FF34">
        <w:trPr>
          <w:jc w:val="center"/>
        </w:trPr>
        <w:tc>
          <w:tcPr>
            <w:tcW w:w="2157" w:type="dxa"/>
            <w:tcMar>
              <w:top w:w="72" w:type="dxa"/>
              <w:left w:w="115" w:type="dxa"/>
              <w:bottom w:w="72" w:type="dxa"/>
              <w:right w:w="115" w:type="dxa"/>
            </w:tcMar>
            <w:vAlign w:val="center"/>
          </w:tcPr>
          <w:p w14:paraId="05741D31"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2908D02" w14:textId="77777777" w:rsidR="003B3771" w:rsidRDefault="003B3771" w:rsidP="00F95491">
            <w:pPr>
              <w:rPr>
                <w:rFonts w:ascii="Times New Roman" w:hAnsi="Times New Roman" w:cs="Times New Roman"/>
                <w:noProof/>
              </w:rPr>
            </w:pPr>
            <w:r>
              <w:rPr>
                <w:rFonts w:ascii="Times New Roman" w:hAnsi="Times New Roman" w:cs="Times New Roman"/>
                <w:noProof/>
              </w:rPr>
              <w:t xml:space="preserve">2.01 </w:t>
            </w:r>
          </w:p>
          <w:p w14:paraId="0E7E6603" w14:textId="77777777" w:rsidR="003B3771" w:rsidRDefault="003B3771" w:rsidP="00F95491">
            <w:pPr>
              <w:rPr>
                <w:rFonts w:ascii="Times New Roman" w:hAnsi="Times New Roman" w:cs="Times New Roman"/>
                <w:noProof/>
              </w:rPr>
            </w:pPr>
            <w:r>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221C443A" w14:textId="77777777" w:rsidR="003B3771" w:rsidRPr="008B21E9" w:rsidRDefault="003B3771" w:rsidP="00961381">
            <w:pPr>
              <w:contextualSpacing/>
              <w:rPr>
                <w:rFonts w:ascii="Times New Roman" w:hAnsi="Times New Roman" w:cs="Times New Roman"/>
              </w:rPr>
            </w:pPr>
            <w:r w:rsidRPr="008B21E9">
              <w:rPr>
                <w:rFonts w:ascii="Times New Roman" w:hAnsi="Times New Roman" w:cs="Times New Roman"/>
                <w:b/>
                <w:bCs/>
              </w:rPr>
              <w:t>Question: Q0422_04</w:t>
            </w:r>
            <w:r w:rsidRPr="008B21E9">
              <w:tab/>
            </w:r>
          </w:p>
          <w:p w14:paraId="31723552" w14:textId="77777777" w:rsidR="003B3771" w:rsidRPr="008B21E9" w:rsidRDefault="003B3771" w:rsidP="00961381">
            <w:pPr>
              <w:contextualSpacing/>
              <w:rPr>
                <w:rFonts w:ascii="Times New Roman" w:hAnsi="Times New Roman" w:cs="Times New Roman"/>
              </w:rPr>
            </w:pPr>
            <w:r w:rsidRPr="008B21E9">
              <w:rPr>
                <w:rFonts w:ascii="Times New Roman" w:hAnsi="Times New Roman" w:cs="Times New Roman"/>
              </w:rPr>
              <w:t xml:space="preserve">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w:t>
            </w:r>
            <w:r w:rsidRPr="008B21E9">
              <w:rPr>
                <w:rFonts w:ascii="Times New Roman" w:hAnsi="Times New Roman" w:cs="Times New Roman"/>
              </w:rPr>
              <w:lastRenderedPageBreak/>
              <w:t>instance PHA capital funds, DDTF, RAD, etc.?  Conversely, would a loan from a housing authority be considered restricted if the source of the loan is from operating cash or developer fees earned?"</w:t>
            </w:r>
          </w:p>
          <w:p w14:paraId="057452E0" w14:textId="77777777" w:rsidR="003B3771" w:rsidRPr="008B21E9" w:rsidRDefault="003B3771" w:rsidP="00961381">
            <w:pPr>
              <w:contextualSpacing/>
              <w:rPr>
                <w:rFonts w:ascii="Times New Roman" w:hAnsi="Times New Roman" w:cs="Times New Roman"/>
                <w:b/>
                <w:bCs/>
              </w:rPr>
            </w:pPr>
          </w:p>
          <w:p w14:paraId="5A9C04CF" w14:textId="77777777" w:rsidR="003B3771" w:rsidRPr="008B21E9" w:rsidRDefault="003B3771" w:rsidP="00961381">
            <w:pPr>
              <w:contextualSpacing/>
              <w:rPr>
                <w:rFonts w:ascii="Times New Roman" w:hAnsi="Times New Roman" w:cs="Times New Roman"/>
                <w:b/>
                <w:bCs/>
              </w:rPr>
            </w:pPr>
            <w:r w:rsidRPr="008B21E9">
              <w:rPr>
                <w:rFonts w:ascii="Times New Roman" w:hAnsi="Times New Roman" w:cs="Times New Roman"/>
                <w:b/>
                <w:bCs/>
              </w:rPr>
              <w:t xml:space="preserve">Answer: </w:t>
            </w:r>
          </w:p>
          <w:p w14:paraId="2E716433" w14:textId="77777777" w:rsidR="003B3771" w:rsidRPr="008B21E9" w:rsidRDefault="003B3771" w:rsidP="00961381">
            <w:pPr>
              <w:contextualSpacing/>
              <w:rPr>
                <w:rFonts w:ascii="Times New Roman" w:hAnsi="Times New Roman" w:cs="Times New Roman"/>
              </w:rPr>
            </w:pPr>
            <w:r w:rsidRPr="008B21E9">
              <w:rPr>
                <w:rFonts w:ascii="Times New Roman" w:hAnsi="Times New Roman" w:cs="Times New Roman"/>
              </w:rPr>
              <w:t>The QAP states:</w:t>
            </w:r>
          </w:p>
          <w:p w14:paraId="4F1DBAB0" w14:textId="77777777" w:rsidR="003B3771" w:rsidRPr="008B21E9" w:rsidRDefault="003B3771" w:rsidP="00961381">
            <w:pPr>
              <w:contextualSpacing/>
              <w:rPr>
                <w:rFonts w:ascii="Times New Roman" w:hAnsi="Times New Roman" w:cs="Times New Roman"/>
              </w:rPr>
            </w:pPr>
          </w:p>
          <w:p w14:paraId="428FDAB0" w14:textId="77777777" w:rsidR="003B3771" w:rsidRPr="008B21E9" w:rsidRDefault="003B3771" w:rsidP="00961381">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23C5693B" w14:textId="77777777" w:rsidR="003B3771" w:rsidRPr="008B21E9" w:rsidRDefault="003B3771" w:rsidP="00961381">
            <w:pPr>
              <w:contextualSpacing/>
              <w:rPr>
                <w:rFonts w:ascii="Times New Roman" w:hAnsi="Times New Roman" w:cs="Times New Roman"/>
              </w:rPr>
            </w:pPr>
          </w:p>
          <w:p w14:paraId="6762C75C" w14:textId="77777777" w:rsidR="003B3771" w:rsidRPr="008B21E9" w:rsidRDefault="003B3771" w:rsidP="00961381">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538706D6" w14:textId="77777777" w:rsidR="003B3771" w:rsidRPr="008B21E9" w:rsidRDefault="003B3771" w:rsidP="002322C7">
            <w:pPr>
              <w:contextualSpacing/>
              <w:rPr>
                <w:rFonts w:ascii="Times New Roman" w:hAnsi="Times New Roman" w:cs="Times New Roman"/>
              </w:rPr>
            </w:pPr>
            <w:r w:rsidRPr="008B21E9">
              <w:rPr>
                <w:rFonts w:ascii="Times New Roman" w:hAnsi="Times New Roman" w:cs="Times New Roman"/>
              </w:rPr>
              <w:t xml:space="preserve"> </w:t>
            </w:r>
          </w:p>
          <w:p w14:paraId="7E1E2797" w14:textId="77777777" w:rsidR="003B3771" w:rsidRPr="008B21E9" w:rsidRDefault="003B3771" w:rsidP="008472F1">
            <w:pPr>
              <w:contextualSpacing/>
              <w:rPr>
                <w:rFonts w:ascii="Times New Roman" w:hAnsi="Times New Roman" w:cs="Times New Roman"/>
                <w:b/>
                <w:bCs/>
              </w:rPr>
            </w:pPr>
          </w:p>
        </w:tc>
      </w:tr>
      <w:tr w:rsidR="003B3771" w:rsidRPr="00AC6DEC" w14:paraId="463CBD81" w14:textId="77777777" w:rsidTr="2A62FF34">
        <w:trPr>
          <w:jc w:val="center"/>
        </w:trPr>
        <w:tc>
          <w:tcPr>
            <w:tcW w:w="2157" w:type="dxa"/>
            <w:tcMar>
              <w:top w:w="72" w:type="dxa"/>
              <w:left w:w="115" w:type="dxa"/>
              <w:bottom w:w="72" w:type="dxa"/>
              <w:right w:w="115" w:type="dxa"/>
            </w:tcMar>
            <w:vAlign w:val="center"/>
          </w:tcPr>
          <w:p w14:paraId="20F3FD7E" w14:textId="77777777" w:rsidR="003B3771" w:rsidRDefault="003B3771"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4B50994C" w14:textId="77777777" w:rsidR="003B3771" w:rsidRDefault="003B3771" w:rsidP="00F95491">
            <w:pPr>
              <w:rPr>
                <w:rFonts w:ascii="Times New Roman" w:hAnsi="Times New Roman" w:cs="Times New Roman"/>
                <w:noProof/>
              </w:rPr>
            </w:pPr>
            <w:r>
              <w:rPr>
                <w:rFonts w:ascii="Times New Roman" w:hAnsi="Times New Roman" w:cs="Times New Roman"/>
                <w:noProof/>
              </w:rPr>
              <w:t>2.03</w:t>
            </w:r>
          </w:p>
          <w:p w14:paraId="6E15E03C" w14:textId="77777777" w:rsidR="003B3771" w:rsidRDefault="003B3771" w:rsidP="00F95491">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58483FA7" w14:textId="77777777" w:rsidR="003B3771" w:rsidRPr="001B5696" w:rsidRDefault="003B3771" w:rsidP="00B33BC4">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66BECC32" w14:textId="77777777" w:rsidR="003B3771" w:rsidRPr="001B5696" w:rsidRDefault="003B3771" w:rsidP="00B33BC4">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40AC94E6" w14:textId="77777777" w:rsidR="003B3771" w:rsidRPr="001B5696" w:rsidRDefault="003B3771" w:rsidP="00B33BC4">
            <w:pPr>
              <w:contextualSpacing/>
              <w:rPr>
                <w:rFonts w:ascii="Times New Roman" w:hAnsi="Times New Roman" w:cs="Times New Roman"/>
                <w:b/>
                <w:bCs/>
              </w:rPr>
            </w:pPr>
          </w:p>
          <w:p w14:paraId="37D90343" w14:textId="77777777" w:rsidR="003B3771" w:rsidRPr="001B5696" w:rsidRDefault="003B3771" w:rsidP="00B33BC4">
            <w:pPr>
              <w:contextualSpacing/>
              <w:rPr>
                <w:rFonts w:ascii="Times New Roman" w:hAnsi="Times New Roman" w:cs="Times New Roman"/>
                <w:b/>
                <w:bCs/>
              </w:rPr>
            </w:pPr>
            <w:r w:rsidRPr="001B5696">
              <w:rPr>
                <w:rFonts w:ascii="Times New Roman" w:hAnsi="Times New Roman" w:cs="Times New Roman"/>
                <w:b/>
                <w:bCs/>
              </w:rPr>
              <w:t xml:space="preserve">Answer: </w:t>
            </w:r>
          </w:p>
          <w:p w14:paraId="1B5EF4AA" w14:textId="77777777" w:rsidR="003B3771" w:rsidRPr="001B5696" w:rsidRDefault="003B3771" w:rsidP="00B33BC4">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24DCD0A3" w14:textId="77777777" w:rsidR="003B3771" w:rsidRPr="001B5696" w:rsidRDefault="003B3771" w:rsidP="008472F1">
            <w:pPr>
              <w:contextualSpacing/>
              <w:rPr>
                <w:rFonts w:ascii="Times New Roman" w:hAnsi="Times New Roman" w:cs="Times New Roman"/>
                <w:b/>
                <w:bCs/>
              </w:rPr>
            </w:pPr>
          </w:p>
        </w:tc>
      </w:tr>
      <w:tr w:rsidR="003B3771" w:rsidRPr="00AC6DEC" w14:paraId="7BD64865" w14:textId="77777777" w:rsidTr="2A62FF34">
        <w:trPr>
          <w:jc w:val="center"/>
        </w:trPr>
        <w:tc>
          <w:tcPr>
            <w:tcW w:w="2157" w:type="dxa"/>
            <w:tcMar>
              <w:top w:w="72" w:type="dxa"/>
              <w:left w:w="115" w:type="dxa"/>
              <w:bottom w:w="72" w:type="dxa"/>
              <w:right w:w="115" w:type="dxa"/>
            </w:tcMar>
            <w:vAlign w:val="center"/>
          </w:tcPr>
          <w:p w14:paraId="233ED1DC"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3C05B027" w14:textId="77777777" w:rsidR="003B3771" w:rsidRDefault="003B3771" w:rsidP="00F95491">
            <w:pPr>
              <w:rPr>
                <w:rFonts w:ascii="Times New Roman" w:hAnsi="Times New Roman" w:cs="Times New Roman"/>
                <w:noProof/>
              </w:rPr>
            </w:pPr>
            <w:r>
              <w:rPr>
                <w:rFonts w:ascii="Times New Roman" w:hAnsi="Times New Roman" w:cs="Times New Roman"/>
                <w:noProof/>
              </w:rPr>
              <w:t>2.09</w:t>
            </w:r>
          </w:p>
          <w:p w14:paraId="414389BB" w14:textId="77777777" w:rsidR="003B3771" w:rsidRDefault="003B3771" w:rsidP="00F95491">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5707A24D" w14:textId="77777777" w:rsidR="003B3771" w:rsidRPr="001B5696" w:rsidRDefault="003B3771" w:rsidP="007B0AB3">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5AEA35DE" w14:textId="77777777" w:rsidR="003B3771" w:rsidRPr="001B5696" w:rsidRDefault="003B3771" w:rsidP="007B0AB3">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662173F1" w14:textId="77777777" w:rsidR="003B3771" w:rsidRPr="001B5696" w:rsidRDefault="003B3771" w:rsidP="007B0AB3">
            <w:pPr>
              <w:contextualSpacing/>
              <w:rPr>
                <w:rFonts w:ascii="Times New Roman" w:hAnsi="Times New Roman" w:cs="Times New Roman"/>
                <w:b/>
                <w:bCs/>
              </w:rPr>
            </w:pPr>
          </w:p>
          <w:p w14:paraId="2C69CCC7" w14:textId="77777777" w:rsidR="003B3771" w:rsidRPr="001B5696" w:rsidRDefault="003B3771" w:rsidP="007B0AB3">
            <w:pPr>
              <w:contextualSpacing/>
              <w:rPr>
                <w:rFonts w:ascii="Times New Roman" w:hAnsi="Times New Roman" w:cs="Times New Roman"/>
                <w:b/>
                <w:bCs/>
              </w:rPr>
            </w:pPr>
            <w:r w:rsidRPr="001B5696">
              <w:rPr>
                <w:rFonts w:ascii="Times New Roman" w:hAnsi="Times New Roman" w:cs="Times New Roman"/>
                <w:b/>
                <w:bCs/>
              </w:rPr>
              <w:t xml:space="preserve">Answer: </w:t>
            </w:r>
          </w:p>
          <w:p w14:paraId="71E1BB2B" w14:textId="77777777" w:rsidR="003B3771" w:rsidRPr="001B5696" w:rsidRDefault="003B3771" w:rsidP="007B0AB3">
            <w:pPr>
              <w:contextualSpacing/>
              <w:rPr>
                <w:rFonts w:ascii="Times New Roman" w:hAnsi="Times New Roman" w:cs="Times New Roman"/>
                <w:b/>
                <w:bCs/>
              </w:rPr>
            </w:pPr>
            <w:r w:rsidRPr="001B5696">
              <w:rPr>
                <w:rFonts w:ascii="Times New Roman" w:hAnsi="Times New Roman" w:cs="Times New Roman"/>
              </w:rPr>
              <w:t>Proposed easements may be recorded at closing.</w:t>
            </w:r>
          </w:p>
        </w:tc>
      </w:tr>
      <w:tr w:rsidR="003B3771" w:rsidRPr="00AC6DEC" w14:paraId="6B201370" w14:textId="77777777" w:rsidTr="2A62FF34">
        <w:trPr>
          <w:jc w:val="center"/>
        </w:trPr>
        <w:tc>
          <w:tcPr>
            <w:tcW w:w="2157" w:type="dxa"/>
            <w:tcMar>
              <w:top w:w="72" w:type="dxa"/>
              <w:left w:w="115" w:type="dxa"/>
              <w:bottom w:w="72" w:type="dxa"/>
              <w:right w:w="115" w:type="dxa"/>
            </w:tcMar>
            <w:vAlign w:val="center"/>
          </w:tcPr>
          <w:p w14:paraId="66A43A8F"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5676122" w14:textId="77777777" w:rsidR="003B3771" w:rsidRDefault="003B3771" w:rsidP="00A67C16">
            <w:pPr>
              <w:rPr>
                <w:rFonts w:ascii="Times New Roman" w:hAnsi="Times New Roman" w:cs="Times New Roman"/>
                <w:noProof/>
              </w:rPr>
            </w:pPr>
            <w:r>
              <w:rPr>
                <w:rFonts w:ascii="Times New Roman" w:hAnsi="Times New Roman" w:cs="Times New Roman"/>
                <w:noProof/>
              </w:rPr>
              <w:t>2.25</w:t>
            </w:r>
          </w:p>
          <w:p w14:paraId="2A061F62" w14:textId="77777777" w:rsidR="003B3771" w:rsidRDefault="003B3771" w:rsidP="00A67C16">
            <w:pPr>
              <w:rPr>
                <w:rFonts w:ascii="Times New Roman" w:hAnsi="Times New Roman" w:cs="Times New Roman"/>
                <w:noProof/>
              </w:rPr>
            </w:pPr>
            <w:r>
              <w:rPr>
                <w:rFonts w:ascii="Times New Roman" w:hAnsi="Times New Roman" w:cs="Times New Roman"/>
                <w:noProof/>
              </w:rPr>
              <w:lastRenderedPageBreak/>
              <w:t>Occupied Developments / Relocation Manual</w:t>
            </w:r>
          </w:p>
        </w:tc>
        <w:tc>
          <w:tcPr>
            <w:tcW w:w="9590" w:type="dxa"/>
            <w:tcMar>
              <w:top w:w="72" w:type="dxa"/>
              <w:left w:w="115" w:type="dxa"/>
              <w:bottom w:w="72" w:type="dxa"/>
              <w:right w:w="115" w:type="dxa"/>
            </w:tcMar>
            <w:vAlign w:val="center"/>
          </w:tcPr>
          <w:p w14:paraId="47EEB7C3" w14:textId="77777777" w:rsidR="003B3771" w:rsidRPr="001B5696" w:rsidRDefault="003B3771" w:rsidP="0058172E">
            <w:pPr>
              <w:contextualSpacing/>
              <w:rPr>
                <w:rFonts w:ascii="Times New Roman" w:hAnsi="Times New Roman" w:cs="Times New Roman"/>
                <w:b/>
                <w:bCs/>
              </w:rPr>
            </w:pPr>
            <w:r w:rsidRPr="001B5696">
              <w:rPr>
                <w:rFonts w:ascii="Times New Roman" w:hAnsi="Times New Roman" w:cs="Times New Roman"/>
                <w:b/>
                <w:bCs/>
              </w:rPr>
              <w:lastRenderedPageBreak/>
              <w:t>Question: Q-ReloWebinar_09</w:t>
            </w:r>
          </w:p>
          <w:p w14:paraId="2C0C806B" w14:textId="77777777" w:rsidR="003B3771" w:rsidRPr="001B5696" w:rsidRDefault="003B3771" w:rsidP="00525CBB">
            <w:pPr>
              <w:contextualSpacing/>
              <w:rPr>
                <w:rFonts w:ascii="Times New Roman" w:hAnsi="Times New Roman" w:cs="Times New Roman"/>
              </w:rPr>
            </w:pPr>
            <w:r w:rsidRPr="001B5696">
              <w:rPr>
                <w:rFonts w:ascii="Times New Roman" w:hAnsi="Times New Roman" w:cs="Times New Roman"/>
              </w:rPr>
              <w:lastRenderedPageBreak/>
              <w:t>What happens if our Relocation Specialist leaves (no longer able to perform their duties) during the rehab?</w:t>
            </w:r>
          </w:p>
          <w:p w14:paraId="76A754C5" w14:textId="77777777" w:rsidR="003B3771" w:rsidRPr="001B5696" w:rsidRDefault="003B3771" w:rsidP="00525CBB">
            <w:pPr>
              <w:contextualSpacing/>
              <w:rPr>
                <w:rFonts w:ascii="Times New Roman" w:hAnsi="Times New Roman" w:cs="Times New Roman"/>
                <w:b/>
                <w:bCs/>
              </w:rPr>
            </w:pPr>
          </w:p>
          <w:p w14:paraId="0C6C09D9" w14:textId="77777777" w:rsidR="003B3771" w:rsidRPr="001B5696" w:rsidRDefault="003B3771" w:rsidP="00525CBB">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27C27C1C" w14:textId="77777777" w:rsidR="003B3771" w:rsidRPr="001B5696" w:rsidRDefault="003B3771" w:rsidP="00525CBB">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3B3771" w:rsidRPr="00AC6DEC" w14:paraId="6E6333F4" w14:textId="77777777" w:rsidTr="2A62FF34">
        <w:trPr>
          <w:jc w:val="center"/>
        </w:trPr>
        <w:tc>
          <w:tcPr>
            <w:tcW w:w="2157" w:type="dxa"/>
            <w:tcMar>
              <w:top w:w="72" w:type="dxa"/>
              <w:left w:w="115" w:type="dxa"/>
              <w:bottom w:w="72" w:type="dxa"/>
              <w:right w:w="115" w:type="dxa"/>
            </w:tcMar>
            <w:vAlign w:val="center"/>
          </w:tcPr>
          <w:p w14:paraId="4896A4A6" w14:textId="77777777" w:rsidR="003B3771" w:rsidRDefault="003B3771"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563762F9" w14:textId="77777777" w:rsidR="003B3771" w:rsidRDefault="003B3771" w:rsidP="00A67C16">
            <w:pPr>
              <w:rPr>
                <w:rFonts w:ascii="Times New Roman" w:hAnsi="Times New Roman" w:cs="Times New Roman"/>
                <w:noProof/>
              </w:rPr>
            </w:pPr>
            <w:r>
              <w:rPr>
                <w:rFonts w:ascii="Times New Roman" w:hAnsi="Times New Roman" w:cs="Times New Roman"/>
                <w:noProof/>
              </w:rPr>
              <w:t>2.25</w:t>
            </w:r>
          </w:p>
          <w:p w14:paraId="25DCCF2A" w14:textId="77777777" w:rsidR="003B3771" w:rsidRDefault="003B3771"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3043688" w14:textId="77777777" w:rsidR="003B3771" w:rsidRPr="001B5696" w:rsidRDefault="003B3771" w:rsidP="0058172E">
            <w:pPr>
              <w:contextualSpacing/>
              <w:rPr>
                <w:rFonts w:ascii="Times New Roman" w:hAnsi="Times New Roman" w:cs="Times New Roman"/>
                <w:b/>
                <w:bCs/>
              </w:rPr>
            </w:pPr>
            <w:r w:rsidRPr="001B5696">
              <w:rPr>
                <w:rFonts w:ascii="Times New Roman" w:hAnsi="Times New Roman" w:cs="Times New Roman"/>
                <w:b/>
                <w:bCs/>
              </w:rPr>
              <w:t>Question: Q-ReloWebinar_08</w:t>
            </w:r>
          </w:p>
          <w:p w14:paraId="73ACC2B0" w14:textId="77777777" w:rsidR="003B3771" w:rsidRPr="001B5696" w:rsidRDefault="003B3771" w:rsidP="003B0A9B">
            <w:pPr>
              <w:contextualSpacing/>
              <w:rPr>
                <w:rFonts w:ascii="Times New Roman" w:hAnsi="Times New Roman" w:cs="Times New Roman"/>
              </w:rPr>
            </w:pPr>
            <w:r w:rsidRPr="001B5696">
              <w:rPr>
                <w:rFonts w:ascii="Times New Roman" w:hAnsi="Times New Roman" w:cs="Times New Roman"/>
              </w:rPr>
              <w:t>Is there flexibility when the Dev Team has not yet acquired the property and the current owner does not allow full communication with residents?</w:t>
            </w:r>
          </w:p>
          <w:p w14:paraId="45B5DE7C" w14:textId="77777777" w:rsidR="003B3771" w:rsidRPr="001B5696" w:rsidRDefault="003B3771" w:rsidP="003B0A9B">
            <w:pPr>
              <w:contextualSpacing/>
              <w:rPr>
                <w:rFonts w:ascii="Times New Roman" w:hAnsi="Times New Roman" w:cs="Times New Roman"/>
                <w:b/>
                <w:bCs/>
              </w:rPr>
            </w:pPr>
          </w:p>
          <w:p w14:paraId="6D252152" w14:textId="77777777" w:rsidR="003B3771" w:rsidRPr="001B5696" w:rsidRDefault="003B3771" w:rsidP="003B0A9B">
            <w:pPr>
              <w:contextualSpacing/>
              <w:rPr>
                <w:rFonts w:ascii="Times New Roman" w:hAnsi="Times New Roman" w:cs="Times New Roman"/>
                <w:b/>
                <w:bCs/>
              </w:rPr>
            </w:pPr>
            <w:r w:rsidRPr="001B5696">
              <w:rPr>
                <w:rFonts w:ascii="Times New Roman" w:hAnsi="Times New Roman" w:cs="Times New Roman"/>
                <w:b/>
                <w:bCs/>
              </w:rPr>
              <w:t>Answer:</w:t>
            </w:r>
          </w:p>
          <w:p w14:paraId="447C44AB" w14:textId="77777777" w:rsidR="003B3771" w:rsidRPr="001B5696" w:rsidRDefault="003B3771" w:rsidP="003B0A9B">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3B3771" w:rsidRPr="00AC6DEC" w14:paraId="038A788D" w14:textId="77777777" w:rsidTr="2A62FF34">
        <w:trPr>
          <w:jc w:val="center"/>
        </w:trPr>
        <w:tc>
          <w:tcPr>
            <w:tcW w:w="2157" w:type="dxa"/>
            <w:tcMar>
              <w:top w:w="72" w:type="dxa"/>
              <w:left w:w="115" w:type="dxa"/>
              <w:bottom w:w="72" w:type="dxa"/>
              <w:right w:w="115" w:type="dxa"/>
            </w:tcMar>
            <w:vAlign w:val="center"/>
          </w:tcPr>
          <w:p w14:paraId="6ECCFDB1"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92D586D" w14:textId="77777777" w:rsidR="003B3771" w:rsidRDefault="003B3771" w:rsidP="00A67C16">
            <w:pPr>
              <w:rPr>
                <w:rFonts w:ascii="Times New Roman" w:hAnsi="Times New Roman" w:cs="Times New Roman"/>
                <w:noProof/>
              </w:rPr>
            </w:pPr>
            <w:r>
              <w:rPr>
                <w:rFonts w:ascii="Times New Roman" w:hAnsi="Times New Roman" w:cs="Times New Roman"/>
                <w:noProof/>
              </w:rPr>
              <w:t>2.25</w:t>
            </w:r>
          </w:p>
          <w:p w14:paraId="6BA62171" w14:textId="77777777" w:rsidR="003B3771" w:rsidRDefault="003B3771"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F5DCFB4" w14:textId="77777777" w:rsidR="003B3771" w:rsidRPr="001B5696" w:rsidRDefault="003B3771" w:rsidP="0058172E">
            <w:pPr>
              <w:contextualSpacing/>
              <w:rPr>
                <w:rFonts w:ascii="Times New Roman" w:hAnsi="Times New Roman" w:cs="Times New Roman"/>
                <w:b/>
                <w:bCs/>
              </w:rPr>
            </w:pPr>
            <w:r w:rsidRPr="001B5696">
              <w:rPr>
                <w:rFonts w:ascii="Times New Roman" w:hAnsi="Times New Roman" w:cs="Times New Roman"/>
                <w:b/>
                <w:bCs/>
              </w:rPr>
              <w:t>Question: Q-ReloWebinar_07</w:t>
            </w:r>
          </w:p>
          <w:p w14:paraId="2CF61CB6" w14:textId="77777777" w:rsidR="003B3771" w:rsidRPr="001B5696" w:rsidRDefault="003B3771" w:rsidP="00582D7F">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78B8304E" w14:textId="77777777" w:rsidR="003B3771" w:rsidRPr="001B5696" w:rsidRDefault="003B3771" w:rsidP="00582D7F">
            <w:pPr>
              <w:contextualSpacing/>
              <w:rPr>
                <w:rFonts w:ascii="Times New Roman" w:hAnsi="Times New Roman" w:cs="Times New Roman"/>
              </w:rPr>
            </w:pPr>
          </w:p>
          <w:p w14:paraId="4D221766" w14:textId="77777777" w:rsidR="003B3771" w:rsidRPr="001B5696" w:rsidRDefault="003B3771" w:rsidP="00582D7F">
            <w:pPr>
              <w:contextualSpacing/>
              <w:rPr>
                <w:rFonts w:ascii="Times New Roman" w:hAnsi="Times New Roman" w:cs="Times New Roman"/>
                <w:b/>
                <w:bCs/>
              </w:rPr>
            </w:pPr>
            <w:r w:rsidRPr="001B5696">
              <w:rPr>
                <w:rFonts w:ascii="Times New Roman" w:hAnsi="Times New Roman" w:cs="Times New Roman"/>
                <w:b/>
                <w:bCs/>
              </w:rPr>
              <w:t>Answer:</w:t>
            </w:r>
          </w:p>
          <w:p w14:paraId="2FE86FA9" w14:textId="77777777" w:rsidR="003B3771" w:rsidRPr="001B5696" w:rsidRDefault="003B3771" w:rsidP="00582D7F">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03106470" w14:textId="77777777" w:rsidR="003B3771" w:rsidRPr="001B5696" w:rsidRDefault="003B3771" w:rsidP="00582D7F">
            <w:pPr>
              <w:contextualSpacing/>
              <w:rPr>
                <w:rFonts w:ascii="Times New Roman" w:hAnsi="Times New Roman" w:cs="Times New Roman"/>
              </w:rPr>
            </w:pPr>
          </w:p>
          <w:p w14:paraId="26E9DF73" w14:textId="77777777" w:rsidR="003B3771" w:rsidRPr="001B5696" w:rsidRDefault="003B3771" w:rsidP="00582D7F">
            <w:pPr>
              <w:contextualSpacing/>
              <w:rPr>
                <w:rFonts w:ascii="Times New Roman" w:hAnsi="Times New Roman" w:cs="Times New Roman"/>
              </w:rPr>
            </w:pPr>
            <w:r w:rsidRPr="001B5696">
              <w:rPr>
                <w:rFonts w:ascii="Times New Roman" w:hAnsi="Times New Roman" w:cs="Times New Roman"/>
              </w:rPr>
              <w:t>2. Add note to Uses tab of Core Application stating why it is not included in the development budget and the alternative funding source for relocation. This describes the scenario for the DCA Underwriter.</w:t>
            </w:r>
          </w:p>
          <w:p w14:paraId="752E128C" w14:textId="77777777" w:rsidR="003B3771" w:rsidRPr="001B5696" w:rsidRDefault="003B3771" w:rsidP="008472F1">
            <w:pPr>
              <w:contextualSpacing/>
              <w:rPr>
                <w:rFonts w:ascii="Times New Roman" w:hAnsi="Times New Roman" w:cs="Times New Roman"/>
                <w:b/>
                <w:bCs/>
              </w:rPr>
            </w:pPr>
          </w:p>
        </w:tc>
      </w:tr>
      <w:tr w:rsidR="003B3771" w:rsidRPr="00AC6DEC" w14:paraId="4EF3268D" w14:textId="77777777" w:rsidTr="2A62FF34">
        <w:trPr>
          <w:jc w:val="center"/>
        </w:trPr>
        <w:tc>
          <w:tcPr>
            <w:tcW w:w="2157" w:type="dxa"/>
            <w:tcMar>
              <w:top w:w="72" w:type="dxa"/>
              <w:left w:w="115" w:type="dxa"/>
              <w:bottom w:w="72" w:type="dxa"/>
              <w:right w:w="115" w:type="dxa"/>
            </w:tcMar>
            <w:vAlign w:val="center"/>
          </w:tcPr>
          <w:p w14:paraId="723F7E14"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8D4C2B3" w14:textId="77777777" w:rsidR="003B3771" w:rsidRDefault="003B3771" w:rsidP="00A67C16">
            <w:pPr>
              <w:rPr>
                <w:rFonts w:ascii="Times New Roman" w:hAnsi="Times New Roman" w:cs="Times New Roman"/>
                <w:noProof/>
              </w:rPr>
            </w:pPr>
            <w:r>
              <w:rPr>
                <w:rFonts w:ascii="Times New Roman" w:hAnsi="Times New Roman" w:cs="Times New Roman"/>
                <w:noProof/>
              </w:rPr>
              <w:t>2.25</w:t>
            </w:r>
          </w:p>
          <w:p w14:paraId="653E0333" w14:textId="77777777" w:rsidR="003B3771" w:rsidRDefault="003B3771"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70DA1E2" w14:textId="77777777" w:rsidR="003B3771" w:rsidRPr="001B5696" w:rsidRDefault="003B3771" w:rsidP="0058172E">
            <w:pPr>
              <w:contextualSpacing/>
              <w:rPr>
                <w:rFonts w:ascii="Times New Roman" w:hAnsi="Times New Roman" w:cs="Times New Roman"/>
                <w:b/>
                <w:bCs/>
              </w:rPr>
            </w:pPr>
            <w:r w:rsidRPr="001B5696">
              <w:rPr>
                <w:rFonts w:ascii="Times New Roman" w:hAnsi="Times New Roman" w:cs="Times New Roman"/>
                <w:b/>
                <w:bCs/>
              </w:rPr>
              <w:t>Question: Q-ReloWebinar_06</w:t>
            </w:r>
          </w:p>
          <w:p w14:paraId="0108133A" w14:textId="77777777" w:rsidR="003B3771" w:rsidRPr="001B5696" w:rsidRDefault="003B3771" w:rsidP="00B5672E">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wish to move, we ask them to sign a document saying they waive their 30 days.  Is that ok or do we need them to wait 60?</w:t>
            </w:r>
          </w:p>
          <w:p w14:paraId="2DD64D6C" w14:textId="77777777" w:rsidR="003B3771" w:rsidRPr="001B5696" w:rsidRDefault="003B3771" w:rsidP="00B5672E">
            <w:pPr>
              <w:contextualSpacing/>
              <w:rPr>
                <w:rFonts w:ascii="Times New Roman" w:hAnsi="Times New Roman" w:cs="Times New Roman"/>
              </w:rPr>
            </w:pPr>
          </w:p>
          <w:p w14:paraId="1164E84D" w14:textId="77777777" w:rsidR="003B3771" w:rsidRPr="001B5696" w:rsidRDefault="003B3771" w:rsidP="00B5672E">
            <w:pPr>
              <w:contextualSpacing/>
              <w:rPr>
                <w:rFonts w:ascii="Times New Roman" w:hAnsi="Times New Roman" w:cs="Times New Roman"/>
                <w:b/>
                <w:bCs/>
              </w:rPr>
            </w:pPr>
            <w:r w:rsidRPr="001B5696">
              <w:rPr>
                <w:rFonts w:ascii="Times New Roman" w:hAnsi="Times New Roman" w:cs="Times New Roman"/>
                <w:b/>
                <w:bCs/>
              </w:rPr>
              <w:t>Answer:</w:t>
            </w:r>
          </w:p>
          <w:p w14:paraId="67309C90" w14:textId="77777777" w:rsidR="003B3771" w:rsidRPr="001B5696" w:rsidRDefault="003B3771" w:rsidP="00B5672E">
            <w:pPr>
              <w:contextualSpacing/>
              <w:rPr>
                <w:rFonts w:ascii="Times New Roman" w:hAnsi="Times New Roman" w:cs="Times New Roman"/>
                <w:b/>
                <w:bCs/>
              </w:rPr>
            </w:pPr>
            <w:r w:rsidRPr="001B5696">
              <w:rPr>
                <w:rFonts w:ascii="Times New Roman" w:hAnsi="Times New Roman" w:cs="Times New Roman"/>
              </w:rPr>
              <w:lastRenderedPageBreak/>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3B3771" w:rsidRPr="00AC6DEC" w14:paraId="6DEC6F98" w14:textId="77777777" w:rsidTr="2A62FF34">
        <w:trPr>
          <w:jc w:val="center"/>
        </w:trPr>
        <w:tc>
          <w:tcPr>
            <w:tcW w:w="2157" w:type="dxa"/>
            <w:tcMar>
              <w:top w:w="72" w:type="dxa"/>
              <w:left w:w="115" w:type="dxa"/>
              <w:bottom w:w="72" w:type="dxa"/>
              <w:right w:w="115" w:type="dxa"/>
            </w:tcMar>
            <w:vAlign w:val="center"/>
          </w:tcPr>
          <w:p w14:paraId="611AD679" w14:textId="77777777" w:rsidR="003B3771" w:rsidRDefault="003B3771"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5DA2C555" w14:textId="77777777" w:rsidR="003B3771" w:rsidRDefault="003B3771" w:rsidP="00A67C16">
            <w:pPr>
              <w:rPr>
                <w:rFonts w:ascii="Times New Roman" w:hAnsi="Times New Roman" w:cs="Times New Roman"/>
                <w:noProof/>
              </w:rPr>
            </w:pPr>
            <w:r>
              <w:rPr>
                <w:rFonts w:ascii="Times New Roman" w:hAnsi="Times New Roman" w:cs="Times New Roman"/>
                <w:noProof/>
              </w:rPr>
              <w:t>2.25</w:t>
            </w:r>
          </w:p>
          <w:p w14:paraId="487944DD" w14:textId="77777777" w:rsidR="003B3771" w:rsidRDefault="003B3771"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F53BD35" w14:textId="77777777" w:rsidR="003B3771" w:rsidRPr="001B5696" w:rsidRDefault="003B3771" w:rsidP="00E13750">
            <w:pPr>
              <w:contextualSpacing/>
              <w:rPr>
                <w:rFonts w:ascii="Times New Roman" w:hAnsi="Times New Roman" w:cs="Times New Roman"/>
              </w:rPr>
            </w:pPr>
            <w:r w:rsidRPr="001B5696">
              <w:rPr>
                <w:rFonts w:ascii="Times New Roman" w:hAnsi="Times New Roman" w:cs="Times New Roman"/>
                <w:b/>
                <w:bCs/>
              </w:rPr>
              <w:t>Question: Q-ReloWebinar_05</w:t>
            </w:r>
          </w:p>
          <w:p w14:paraId="7A8E7BCF" w14:textId="77777777" w:rsidR="003B3771" w:rsidRPr="001B5696" w:rsidRDefault="003B3771" w:rsidP="00E13750">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4730A138" w14:textId="77777777" w:rsidR="003B3771" w:rsidRPr="001B5696" w:rsidRDefault="003B3771" w:rsidP="00E13750">
            <w:pPr>
              <w:contextualSpacing/>
              <w:rPr>
                <w:rFonts w:ascii="Times New Roman" w:hAnsi="Times New Roman" w:cs="Times New Roman"/>
              </w:rPr>
            </w:pPr>
          </w:p>
          <w:p w14:paraId="2FA5C646" w14:textId="77777777" w:rsidR="003B3771" w:rsidRPr="001B5696" w:rsidRDefault="003B3771" w:rsidP="00E13750">
            <w:pPr>
              <w:contextualSpacing/>
              <w:rPr>
                <w:rFonts w:ascii="Times New Roman" w:hAnsi="Times New Roman" w:cs="Times New Roman"/>
                <w:b/>
                <w:bCs/>
              </w:rPr>
            </w:pPr>
            <w:r w:rsidRPr="001B5696">
              <w:rPr>
                <w:rFonts w:ascii="Times New Roman" w:hAnsi="Times New Roman" w:cs="Times New Roman"/>
                <w:b/>
                <w:bCs/>
              </w:rPr>
              <w:t xml:space="preserve">Answer: </w:t>
            </w:r>
          </w:p>
          <w:p w14:paraId="05B4389C" w14:textId="77777777" w:rsidR="003B3771" w:rsidRPr="001B5696" w:rsidRDefault="003B3771" w:rsidP="00E13750">
            <w:pPr>
              <w:contextualSpacing/>
              <w:rPr>
                <w:rFonts w:ascii="Times New Roman" w:hAnsi="Times New Roman" w:cs="Times New Roman"/>
                <w:b/>
                <w:bCs/>
              </w:rPr>
            </w:pPr>
            <w:r w:rsidRPr="001B5696">
              <w:rPr>
                <w:rFonts w:ascii="Times New Roman" w:hAnsi="Times New Roman" w:cs="Times New Roman"/>
              </w:rPr>
              <w:t>The 30-day notice is the Notice of Moving Date. Two notices would need to be sent, unless the 60 Day Notice states the specific moving date for relocation.</w:t>
            </w:r>
          </w:p>
        </w:tc>
      </w:tr>
      <w:tr w:rsidR="003B3771" w:rsidRPr="00AC6DEC" w14:paraId="637C40AC" w14:textId="77777777" w:rsidTr="2A62FF34">
        <w:trPr>
          <w:jc w:val="center"/>
        </w:trPr>
        <w:tc>
          <w:tcPr>
            <w:tcW w:w="2157" w:type="dxa"/>
            <w:tcMar>
              <w:top w:w="72" w:type="dxa"/>
              <w:left w:w="115" w:type="dxa"/>
              <w:bottom w:w="72" w:type="dxa"/>
              <w:right w:w="115" w:type="dxa"/>
            </w:tcMar>
            <w:vAlign w:val="center"/>
          </w:tcPr>
          <w:p w14:paraId="2281F988" w14:textId="77777777" w:rsidR="003B3771" w:rsidRPr="00AC6DEC"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F4E8BAD" w14:textId="77777777" w:rsidR="003B3771" w:rsidRDefault="003B3771" w:rsidP="00F95491">
            <w:pPr>
              <w:rPr>
                <w:rFonts w:ascii="Times New Roman" w:hAnsi="Times New Roman" w:cs="Times New Roman"/>
                <w:noProof/>
              </w:rPr>
            </w:pPr>
            <w:r>
              <w:rPr>
                <w:rFonts w:ascii="Times New Roman" w:hAnsi="Times New Roman" w:cs="Times New Roman"/>
                <w:noProof/>
              </w:rPr>
              <w:t>2.25</w:t>
            </w:r>
          </w:p>
          <w:p w14:paraId="335171AC" w14:textId="77777777" w:rsidR="003B3771" w:rsidRPr="00AC6DEC" w:rsidRDefault="003B3771" w:rsidP="00F95491">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68296D8" w14:textId="77777777" w:rsidR="003B3771" w:rsidRPr="001B5696" w:rsidRDefault="003B3771" w:rsidP="008472F1">
            <w:pPr>
              <w:contextualSpacing/>
              <w:rPr>
                <w:rFonts w:ascii="Times New Roman" w:hAnsi="Times New Roman" w:cs="Times New Roman"/>
                <w:b/>
                <w:bCs/>
              </w:rPr>
            </w:pPr>
            <w:r w:rsidRPr="001B5696">
              <w:rPr>
                <w:rFonts w:ascii="Times New Roman" w:hAnsi="Times New Roman" w:cs="Times New Roman"/>
                <w:b/>
                <w:bCs/>
              </w:rPr>
              <w:t>Question: Q-ReloWebinar_04</w:t>
            </w:r>
          </w:p>
          <w:p w14:paraId="6AE1C19F" w14:textId="77777777" w:rsidR="003B3771" w:rsidRPr="001B5696" w:rsidRDefault="003B3771" w:rsidP="008472F1">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71CDD2D7" w14:textId="77777777" w:rsidR="003B3771" w:rsidRPr="001B5696" w:rsidRDefault="003B3771" w:rsidP="008472F1">
            <w:pPr>
              <w:contextualSpacing/>
              <w:rPr>
                <w:rFonts w:ascii="Times New Roman" w:hAnsi="Times New Roman" w:cs="Times New Roman"/>
                <w:b/>
                <w:bCs/>
              </w:rPr>
            </w:pPr>
          </w:p>
          <w:p w14:paraId="001E7978" w14:textId="77777777" w:rsidR="003B3771" w:rsidRPr="001B5696" w:rsidRDefault="003B3771" w:rsidP="008472F1">
            <w:pPr>
              <w:contextualSpacing/>
              <w:rPr>
                <w:rFonts w:ascii="Times New Roman" w:hAnsi="Times New Roman" w:cs="Times New Roman"/>
                <w:b/>
                <w:bCs/>
              </w:rPr>
            </w:pPr>
            <w:r w:rsidRPr="001B5696">
              <w:rPr>
                <w:rFonts w:ascii="Times New Roman" w:hAnsi="Times New Roman" w:cs="Times New Roman"/>
                <w:b/>
                <w:bCs/>
              </w:rPr>
              <w:t>Answer:</w:t>
            </w:r>
          </w:p>
          <w:p w14:paraId="2C26B1B5" w14:textId="77777777" w:rsidR="003B3771" w:rsidRPr="001B5696" w:rsidRDefault="003B3771" w:rsidP="008472F1">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3B3771" w:rsidRPr="00AC6DEC" w14:paraId="0A5CFE5C" w14:textId="77777777" w:rsidTr="2A62FF34">
        <w:trPr>
          <w:jc w:val="center"/>
        </w:trPr>
        <w:tc>
          <w:tcPr>
            <w:tcW w:w="2157" w:type="dxa"/>
            <w:tcMar>
              <w:top w:w="72" w:type="dxa"/>
              <w:left w:w="115" w:type="dxa"/>
              <w:bottom w:w="72" w:type="dxa"/>
              <w:right w:w="115" w:type="dxa"/>
            </w:tcMar>
            <w:vAlign w:val="center"/>
          </w:tcPr>
          <w:p w14:paraId="30C9FF7F" w14:textId="77777777" w:rsidR="003B3771" w:rsidRPr="006F6F55" w:rsidRDefault="003B3771" w:rsidP="000078D6">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05B6C06" w14:textId="77777777" w:rsidR="003B3771" w:rsidRDefault="003B3771" w:rsidP="00F95491">
            <w:pPr>
              <w:rPr>
                <w:rFonts w:ascii="Times New Roman" w:hAnsi="Times New Roman" w:cs="Times New Roman"/>
                <w:noProof/>
              </w:rPr>
            </w:pPr>
            <w:r>
              <w:rPr>
                <w:rFonts w:ascii="Times New Roman" w:hAnsi="Times New Roman" w:cs="Times New Roman"/>
                <w:noProof/>
              </w:rPr>
              <w:t>3.21</w:t>
            </w:r>
          </w:p>
          <w:p w14:paraId="5E4C078E" w14:textId="77777777" w:rsidR="003B3771" w:rsidRDefault="003B3771" w:rsidP="00F95491">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25CAC993" w14:textId="77777777" w:rsidR="003B3771" w:rsidRPr="0052267B" w:rsidRDefault="003B3771" w:rsidP="00E14380">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6FA3D0F6" w14:textId="77777777" w:rsidR="003B3771" w:rsidRPr="0052267B" w:rsidRDefault="003B3771" w:rsidP="00E14380">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7A944EEC" w14:textId="77777777" w:rsidR="003B3771" w:rsidRPr="0052267B" w:rsidRDefault="003B3771" w:rsidP="00E14380">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26A4A0C2" w14:textId="77777777" w:rsidR="003B3771" w:rsidRPr="0052267B" w:rsidRDefault="003B3771" w:rsidP="00E14380">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14B7F10B" w14:textId="77777777" w:rsidR="003B3771" w:rsidRPr="0052267B" w:rsidRDefault="003B3771" w:rsidP="00E14380">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6FA7002B" w14:textId="77777777" w:rsidR="003B3771" w:rsidRPr="0052267B" w:rsidRDefault="003B3771" w:rsidP="00E14380">
            <w:pPr>
              <w:ind w:left="720"/>
              <w:contextualSpacing/>
              <w:rPr>
                <w:rFonts w:ascii="Times New Roman" w:hAnsi="Times New Roman" w:cs="Times New Roman"/>
              </w:rPr>
            </w:pPr>
            <w:r w:rsidRPr="0052267B">
              <w:rPr>
                <w:rFonts w:ascii="Times New Roman" w:hAnsi="Times New Roman" w:cs="Times New Roman"/>
              </w:rPr>
              <w:t xml:space="preserve">     factored into the percentage calculation? </w:t>
            </w:r>
          </w:p>
          <w:p w14:paraId="74BE7544" w14:textId="77777777" w:rsidR="003B3771" w:rsidRPr="0052267B" w:rsidRDefault="003B3771" w:rsidP="00E14380">
            <w:pPr>
              <w:contextualSpacing/>
              <w:rPr>
                <w:rFonts w:ascii="Times New Roman" w:hAnsi="Times New Roman" w:cs="Times New Roman"/>
              </w:rPr>
            </w:pPr>
          </w:p>
          <w:p w14:paraId="49A5B773" w14:textId="77777777" w:rsidR="003B3771" w:rsidRPr="0052267B" w:rsidRDefault="003B3771" w:rsidP="00E14380">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757B9974" w14:textId="77777777" w:rsidR="003B3771" w:rsidRPr="0052267B" w:rsidRDefault="003B3771" w:rsidP="00E14380">
            <w:pPr>
              <w:contextualSpacing/>
              <w:rPr>
                <w:rFonts w:ascii="Times New Roman" w:hAnsi="Times New Roman" w:cs="Times New Roman"/>
                <w:b/>
                <w:bCs/>
              </w:rPr>
            </w:pPr>
          </w:p>
          <w:p w14:paraId="21BAFFD0" w14:textId="77777777" w:rsidR="003B3771" w:rsidRPr="0052267B" w:rsidRDefault="003B3771" w:rsidP="00E14380">
            <w:pPr>
              <w:contextualSpacing/>
              <w:rPr>
                <w:rFonts w:ascii="Times New Roman" w:hAnsi="Times New Roman" w:cs="Times New Roman"/>
                <w:b/>
                <w:bCs/>
              </w:rPr>
            </w:pPr>
            <w:r w:rsidRPr="0052267B">
              <w:rPr>
                <w:rFonts w:ascii="Times New Roman" w:hAnsi="Times New Roman" w:cs="Times New Roman"/>
                <w:b/>
                <w:bCs/>
              </w:rPr>
              <w:t xml:space="preserve">Answer: </w:t>
            </w:r>
          </w:p>
          <w:p w14:paraId="1DF48E07" w14:textId="77777777" w:rsidR="003B3771" w:rsidRPr="0052267B" w:rsidRDefault="003B3771" w:rsidP="00E14380">
            <w:pPr>
              <w:contextualSpacing/>
              <w:rPr>
                <w:rFonts w:ascii="Times New Roman" w:hAnsi="Times New Roman" w:cs="Times New Roman"/>
              </w:rPr>
            </w:pPr>
            <w:r w:rsidRPr="0052267B">
              <w:rPr>
                <w:rFonts w:ascii="Times New Roman" w:hAnsi="Times New Roman" w:cs="Times New Roman"/>
              </w:rPr>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18"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49F9769D" w14:textId="77777777" w:rsidR="003B3771" w:rsidRPr="0052267B" w:rsidRDefault="003B3771" w:rsidP="00E14380">
            <w:pPr>
              <w:contextualSpacing/>
              <w:rPr>
                <w:rFonts w:ascii="Times New Roman" w:hAnsi="Times New Roman" w:cs="Times New Roman"/>
              </w:rPr>
            </w:pPr>
          </w:p>
          <w:p w14:paraId="0248373C" w14:textId="77777777" w:rsidR="003B3771" w:rsidRPr="0052267B" w:rsidRDefault="003B3771" w:rsidP="00E14380">
            <w:pPr>
              <w:contextualSpacing/>
              <w:rPr>
                <w:rFonts w:ascii="Times New Roman" w:hAnsi="Times New Roman" w:cs="Times New Roman"/>
              </w:rPr>
            </w:pPr>
            <w:r w:rsidRPr="0052267B">
              <w:rPr>
                <w:rFonts w:ascii="Times New Roman" w:hAnsi="Times New Roman" w:cs="Times New Roman"/>
              </w:rPr>
              <w:lastRenderedPageBreak/>
              <w:t xml:space="preserve">The percentage of units stated in Exhibit B is based upon all “property units”, and therefore does not exclude market rate units:  </w:t>
            </w:r>
          </w:p>
          <w:p w14:paraId="277BB63D" w14:textId="77777777" w:rsidR="003B3771" w:rsidRPr="0052267B" w:rsidRDefault="003B3771" w:rsidP="00E14380">
            <w:pPr>
              <w:contextualSpacing/>
              <w:rPr>
                <w:rFonts w:ascii="Times New Roman" w:hAnsi="Times New Roman" w:cs="Times New Roman"/>
              </w:rPr>
            </w:pPr>
          </w:p>
          <w:p w14:paraId="500B19E7" w14:textId="77777777" w:rsidR="003B3771" w:rsidRPr="0052267B" w:rsidRDefault="003B3771" w:rsidP="00E14380">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54ED984C" w14:textId="77777777" w:rsidR="003B3771" w:rsidRPr="0052267B" w:rsidRDefault="003B3771" w:rsidP="00E14380">
            <w:pPr>
              <w:contextualSpacing/>
              <w:rPr>
                <w:rFonts w:ascii="Times New Roman" w:hAnsi="Times New Roman" w:cs="Times New Roman"/>
              </w:rPr>
            </w:pPr>
          </w:p>
          <w:p w14:paraId="39F86C3C" w14:textId="77777777" w:rsidR="003B3771" w:rsidRPr="00F85768" w:rsidRDefault="003B3771" w:rsidP="00A25ED0">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3B3771" w:rsidRPr="00AC6DEC" w14:paraId="55D8BFB9" w14:textId="77777777" w:rsidTr="2A62FF34">
        <w:trPr>
          <w:jc w:val="center"/>
        </w:trPr>
        <w:tc>
          <w:tcPr>
            <w:tcW w:w="2157" w:type="dxa"/>
            <w:tcMar>
              <w:top w:w="72" w:type="dxa"/>
              <w:left w:w="115" w:type="dxa"/>
              <w:bottom w:w="72" w:type="dxa"/>
              <w:right w:w="115" w:type="dxa"/>
            </w:tcMar>
            <w:vAlign w:val="center"/>
          </w:tcPr>
          <w:p w14:paraId="2C96CA9E" w14:textId="77777777" w:rsidR="003B3771" w:rsidRDefault="003B3771"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2FE7D5E8" w14:textId="77777777" w:rsidR="003B3771" w:rsidRDefault="003B3771" w:rsidP="00F95491">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6C05FC32" w14:textId="77777777" w:rsidR="003B3771" w:rsidRDefault="003B3771" w:rsidP="00F95491">
            <w:pPr>
              <w:rPr>
                <w:rFonts w:ascii="Times New Roman" w:hAnsi="Times New Roman" w:cs="Times New Roman"/>
                <w:noProof/>
              </w:rPr>
            </w:pPr>
            <w:r w:rsidRPr="00D90432">
              <w:rPr>
                <w:rFonts w:ascii="Times New Roman" w:hAnsi="Times New Roman" w:cs="Times New Roman"/>
              </w:rPr>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3CA8FEFA" w14:textId="77777777" w:rsidR="003B3771" w:rsidRPr="001B5696" w:rsidRDefault="003B3771" w:rsidP="00BE2EE9">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Q0422_01</w:t>
            </w:r>
            <w:r w:rsidRPr="001B5696">
              <w:tab/>
            </w:r>
          </w:p>
          <w:p w14:paraId="3A4A9D8E" w14:textId="77777777" w:rsidR="003B3771" w:rsidRPr="001B5696" w:rsidRDefault="003B3771" w:rsidP="00BE2EE9">
            <w:pPr>
              <w:contextualSpacing/>
              <w:rPr>
                <w:rFonts w:ascii="Times New Roman" w:hAnsi="Times New Roman" w:cs="Times New Roman"/>
              </w:rPr>
            </w:pPr>
            <w:r w:rsidRPr="001B5696">
              <w:rPr>
                <w:rFonts w:ascii="Times New Roman" w:hAnsi="Times New Roman" w:cs="Times New Roman"/>
              </w:rPr>
              <w:t>In the 2021 Application Tabs Checklist, 11. XI Operating Utilities 01 states "Letter from Local Gov. official - includes project name, address, or parcel ID and confirms zoning. Dated w/in six (6) months of App Submission."</w:t>
            </w:r>
          </w:p>
          <w:p w14:paraId="5B8B172B" w14:textId="77777777" w:rsidR="003B3771" w:rsidRPr="001B5696" w:rsidRDefault="003B3771" w:rsidP="00BE2EE9">
            <w:pPr>
              <w:contextualSpacing/>
              <w:rPr>
                <w:rFonts w:ascii="Times New Roman" w:hAnsi="Times New Roman" w:cs="Times New Roman"/>
              </w:rPr>
            </w:pPr>
          </w:p>
          <w:p w14:paraId="0204AA83" w14:textId="77777777" w:rsidR="003B3771" w:rsidRPr="001B5696" w:rsidRDefault="003B3771" w:rsidP="00BE2EE9">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080E078F" w14:textId="77777777" w:rsidR="003B3771" w:rsidRPr="001B5696" w:rsidRDefault="003B3771" w:rsidP="00BE2EE9">
            <w:pPr>
              <w:contextualSpacing/>
              <w:rPr>
                <w:rFonts w:ascii="Times New Roman" w:hAnsi="Times New Roman" w:cs="Times New Roman"/>
                <w:b/>
                <w:bCs/>
              </w:rPr>
            </w:pPr>
          </w:p>
          <w:p w14:paraId="1D44B39F" w14:textId="77777777" w:rsidR="003B3771" w:rsidRPr="001B5696" w:rsidRDefault="003B3771" w:rsidP="00BE2EE9">
            <w:pPr>
              <w:contextualSpacing/>
              <w:rPr>
                <w:rFonts w:ascii="Times New Roman" w:hAnsi="Times New Roman" w:cs="Times New Roman"/>
                <w:b/>
                <w:bCs/>
              </w:rPr>
            </w:pPr>
            <w:r w:rsidRPr="001B5696">
              <w:rPr>
                <w:rFonts w:ascii="Times New Roman" w:hAnsi="Times New Roman" w:cs="Times New Roman"/>
                <w:b/>
                <w:bCs/>
              </w:rPr>
              <w:t xml:space="preserve">Answer: </w:t>
            </w:r>
          </w:p>
          <w:p w14:paraId="6FABADD8" w14:textId="77777777" w:rsidR="003B3771" w:rsidRDefault="003B3771" w:rsidP="00BE2EE9">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28393949" w14:textId="77777777" w:rsidR="003B3771" w:rsidRDefault="003B3771" w:rsidP="00BE2EE9">
            <w:pPr>
              <w:contextualSpacing/>
              <w:rPr>
                <w:rFonts w:ascii="Times New Roman" w:hAnsi="Times New Roman" w:cs="Times New Roman"/>
                <w:b/>
                <w:bCs/>
              </w:rPr>
            </w:pPr>
          </w:p>
          <w:p w14:paraId="3657607D" w14:textId="77777777" w:rsidR="003B3771" w:rsidRPr="001B5696" w:rsidRDefault="003B3771" w:rsidP="003F783C">
            <w:pPr>
              <w:ind w:left="720"/>
              <w:contextualSpacing/>
              <w:rPr>
                <w:rFonts w:ascii="Times New Roman" w:hAnsi="Times New Roman" w:cs="Times New Roman"/>
              </w:rPr>
            </w:pPr>
            <w:r w:rsidRPr="003F783C">
              <w:rPr>
                <w:rFonts w:ascii="Times New Roman" w:hAnsi="Times New Roman" w:cs="Times New Roman"/>
                <w:b/>
                <w:bCs/>
              </w:rPr>
              <w:t>Threshold</w:t>
            </w:r>
            <w:r w:rsidRPr="003F783C">
              <w:rPr>
                <w:rFonts w:ascii="Times New Roman" w:hAnsi="Times New Roman" w:cs="Times New Roman"/>
                <w:b/>
                <w:bCs/>
              </w:rPr>
              <w:t>,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511D7360" w14:textId="77777777" w:rsidR="003B3771" w:rsidRDefault="003B3771" w:rsidP="00BE2EE9">
            <w:pPr>
              <w:contextualSpacing/>
              <w:rPr>
                <w:rFonts w:ascii="Times New Roman" w:hAnsi="Times New Roman" w:cs="Times New Roman"/>
              </w:rPr>
            </w:pPr>
          </w:p>
          <w:p w14:paraId="71E00D27" w14:textId="77777777" w:rsidR="003B3771" w:rsidRPr="001B5696" w:rsidRDefault="003B3771" w:rsidP="00BE2EE9">
            <w:pPr>
              <w:contextualSpacing/>
              <w:rPr>
                <w:rFonts w:ascii="Times New Roman" w:hAnsi="Times New Roman" w:cs="Times New Roman"/>
              </w:rPr>
            </w:pPr>
            <w:r w:rsidRPr="001B5696">
              <w:rPr>
                <w:rFonts w:ascii="Times New Roman" w:hAnsi="Times New Roman" w:cs="Times New Roman"/>
              </w:rPr>
              <w:t xml:space="preserve">A letter from the appropriate utility authority satisfies the requirements of the QAP. </w:t>
            </w:r>
          </w:p>
          <w:p w14:paraId="3B6584DC" w14:textId="77777777" w:rsidR="003B3771" w:rsidRPr="001B5696" w:rsidRDefault="003B3771" w:rsidP="00BE2EE9">
            <w:pPr>
              <w:rPr>
                <w:rFonts w:ascii="Times New Roman" w:hAnsi="Times New Roman" w:cs="Times New Roman"/>
              </w:rPr>
            </w:pPr>
          </w:p>
          <w:p w14:paraId="40A6B0C8" w14:textId="77777777" w:rsidR="003B3771" w:rsidRPr="001B5696" w:rsidRDefault="003B3771" w:rsidP="00BE2EE9">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3B3771" w:rsidRPr="00AC6DEC" w14:paraId="727CB5F0" w14:textId="77777777" w:rsidTr="2A62FF34">
        <w:trPr>
          <w:jc w:val="center"/>
        </w:trPr>
        <w:tc>
          <w:tcPr>
            <w:tcW w:w="2157" w:type="dxa"/>
            <w:tcMar>
              <w:top w:w="72" w:type="dxa"/>
              <w:left w:w="115" w:type="dxa"/>
              <w:bottom w:w="72" w:type="dxa"/>
              <w:right w:w="115" w:type="dxa"/>
            </w:tcMar>
            <w:vAlign w:val="center"/>
          </w:tcPr>
          <w:p w14:paraId="773FF897" w14:textId="77777777" w:rsidR="003B3771" w:rsidRDefault="003B3771"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C30B7A2" w14:textId="77777777" w:rsidR="003B3771" w:rsidRDefault="003B3771" w:rsidP="00F95491">
            <w:pPr>
              <w:rPr>
                <w:rFonts w:ascii="Times New Roman" w:hAnsi="Times New Roman" w:cs="Times New Roman"/>
                <w:noProof/>
              </w:rPr>
            </w:pPr>
            <w:r>
              <w:rPr>
                <w:rFonts w:ascii="Times New Roman" w:hAnsi="Times New Roman" w:cs="Times New Roman"/>
                <w:noProof/>
              </w:rPr>
              <w:t>8.00</w:t>
            </w:r>
          </w:p>
          <w:p w14:paraId="2401A895" w14:textId="77777777" w:rsidR="003B3771" w:rsidRDefault="003B3771" w:rsidP="00F95491">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6EAD10CD" w14:textId="77777777" w:rsidR="003B3771" w:rsidRPr="008B21E9" w:rsidRDefault="003B3771" w:rsidP="00A25ED0">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006A7CEA" w14:textId="77777777" w:rsidR="003B3771" w:rsidRPr="008B21E9" w:rsidRDefault="003B3771" w:rsidP="00A25ED0">
            <w:pPr>
              <w:contextualSpacing/>
            </w:pPr>
            <w:r w:rsidRPr="008B21E9">
              <w:rPr>
                <w:rFonts w:ascii="Times New Roman" w:hAnsi="Times New Roman" w:cs="Times New Roman"/>
              </w:rPr>
              <w:t xml:space="preserve">1. </w:t>
            </w:r>
            <w:r w:rsidRPr="008B21E9">
              <w:rPr>
                <w:rFonts w:ascii="Times New Roman" w:hAnsi="Times New Roman" w:cs="Times New Roman"/>
              </w:rPr>
              <w:t>Is the limited partnership entity (in which the General Partner would be the general partner) required to be formed or registered with the Georgia Secretary of State's Office at the time of application?</w:t>
            </w:r>
            <w:r w:rsidRPr="008B21E9">
              <w:tab/>
            </w:r>
            <w:r w:rsidRPr="008B21E9">
              <w:tab/>
            </w:r>
          </w:p>
          <w:p w14:paraId="1046DAFA" w14:textId="77777777" w:rsidR="003B3771" w:rsidRPr="008B21E9" w:rsidRDefault="003B3771" w:rsidP="008B21E9">
            <w:pPr>
              <w:contextualSpacing/>
              <w:rPr>
                <w:rFonts w:ascii="Times New Roman" w:hAnsi="Times New Roman" w:cs="Times New Roman"/>
              </w:rPr>
            </w:pPr>
          </w:p>
          <w:p w14:paraId="094B649E" w14:textId="77777777" w:rsidR="003B3771" w:rsidRPr="008B21E9" w:rsidRDefault="003B3771" w:rsidP="008B21E9">
            <w:pPr>
              <w:contextualSpacing/>
              <w:rPr>
                <w:rFonts w:ascii="Times New Roman" w:hAnsi="Times New Roman" w:cs="Times New Roman"/>
              </w:rPr>
            </w:pPr>
            <w:r w:rsidRPr="008B21E9">
              <w:rPr>
                <w:rFonts w:ascii="Times New Roman" w:hAnsi="Times New Roman" w:cs="Times New Roman"/>
              </w:rPr>
              <w:t xml:space="preserve">2. </w:t>
            </w:r>
            <w:r w:rsidRPr="008B21E9">
              <w:rPr>
                <w:rFonts w:ascii="Times New Roman" w:hAnsi="Times New Roman" w:cs="Times New Roman"/>
              </w:rPr>
              <w:t xml:space="preserve">It has become common practice among equity investors in LIHTC transactions that the general partner in a limited partnership be a single purpose entity.  If the Certifying Entity for the General Partner is </w:t>
            </w:r>
            <w:r w:rsidRPr="008B21E9">
              <w:rPr>
                <w:rFonts w:ascii="Times New Roman" w:hAnsi="Times New Roman" w:cs="Times New Roman"/>
              </w:rPr>
              <w:lastRenderedPageBreak/>
              <w:t>formed and registered with the Georgia Secretary of State's Office, is the General Partner entity required to be formed or registered with the Georgia Secretary of State's Office prior to application?</w:t>
            </w:r>
          </w:p>
          <w:p w14:paraId="2C5FBE6E" w14:textId="77777777" w:rsidR="003B3771" w:rsidRPr="008B21E9" w:rsidRDefault="003B3771" w:rsidP="00A25ED0">
            <w:pPr>
              <w:contextualSpacing/>
              <w:rPr>
                <w:rFonts w:ascii="Times New Roman" w:hAnsi="Times New Roman" w:cs="Times New Roman"/>
              </w:rPr>
            </w:pPr>
            <w:r w:rsidRPr="008B21E9">
              <w:tab/>
            </w:r>
            <w:r w:rsidRPr="008B21E9">
              <w:tab/>
            </w:r>
            <w:r w:rsidRPr="008B21E9">
              <w:tab/>
            </w:r>
            <w:r w:rsidRPr="008B21E9">
              <w:tab/>
            </w:r>
          </w:p>
          <w:p w14:paraId="7019468E" w14:textId="77777777" w:rsidR="003B3771" w:rsidRPr="008B21E9" w:rsidRDefault="003B3771" w:rsidP="00A25ED0">
            <w:pPr>
              <w:contextualSpacing/>
              <w:rPr>
                <w:rFonts w:ascii="Times New Roman" w:hAnsi="Times New Roman" w:cs="Times New Roman"/>
                <w:b/>
                <w:bCs/>
              </w:rPr>
            </w:pPr>
            <w:r w:rsidRPr="008B21E9">
              <w:rPr>
                <w:rFonts w:ascii="Times New Roman" w:hAnsi="Times New Roman" w:cs="Times New Roman"/>
                <w:b/>
                <w:bCs/>
              </w:rPr>
              <w:t xml:space="preserve">Answer: </w:t>
            </w:r>
          </w:p>
          <w:p w14:paraId="14B4ADD0" w14:textId="77777777" w:rsidR="003B3771" w:rsidRPr="008B21E9" w:rsidRDefault="003B3771" w:rsidP="008472F1">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3B3771" w:rsidRPr="00AC6DEC" w14:paraId="023F188C" w14:textId="77777777" w:rsidTr="2A62FF34">
        <w:trPr>
          <w:jc w:val="center"/>
        </w:trPr>
        <w:tc>
          <w:tcPr>
            <w:tcW w:w="2157" w:type="dxa"/>
            <w:tcMar>
              <w:top w:w="72" w:type="dxa"/>
              <w:left w:w="115" w:type="dxa"/>
              <w:bottom w:w="72" w:type="dxa"/>
              <w:right w:w="115" w:type="dxa"/>
            </w:tcMar>
            <w:vAlign w:val="center"/>
          </w:tcPr>
          <w:p w14:paraId="355CACED"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3F62D9F0"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2.01</w:t>
            </w:r>
          </w:p>
          <w:p w14:paraId="4E4F9DDC"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5F67DA4F" w14:textId="77777777" w:rsidR="003B3771" w:rsidRPr="00AC6DEC" w:rsidRDefault="003B3771" w:rsidP="00B867A1">
            <w:pPr>
              <w:contextualSpacing/>
              <w:rPr>
                <w:rFonts w:ascii="Times New Roman" w:hAnsi="Times New Roman" w:cs="Times New Roman"/>
                <w:b/>
                <w:bCs/>
              </w:rPr>
            </w:pPr>
            <w:r w:rsidRPr="00AC6DEC">
              <w:rPr>
                <w:rFonts w:ascii="Times New Roman" w:hAnsi="Times New Roman" w:cs="Times New Roman"/>
                <w:b/>
                <w:bCs/>
              </w:rPr>
              <w:t>Question: Q0331_03</w:t>
            </w:r>
          </w:p>
          <w:p w14:paraId="2E2EFD4A" w14:textId="77777777" w:rsidR="003B3771" w:rsidRPr="00AC6DEC" w:rsidRDefault="003B3771" w:rsidP="00B867A1">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5BB7CBA2" w14:textId="77777777" w:rsidR="003B3771" w:rsidRPr="00AC6DEC" w:rsidRDefault="003B3771" w:rsidP="00B867A1">
            <w:pPr>
              <w:contextualSpacing/>
              <w:rPr>
                <w:rFonts w:ascii="Times New Roman" w:hAnsi="Times New Roman" w:cs="Times New Roman"/>
              </w:rPr>
            </w:pPr>
          </w:p>
          <w:p w14:paraId="350BF831" w14:textId="77777777" w:rsidR="003B3771" w:rsidRPr="00AC6DEC" w:rsidRDefault="003B3771" w:rsidP="00B867A1">
            <w:pPr>
              <w:contextualSpacing/>
              <w:rPr>
                <w:rFonts w:ascii="Times New Roman" w:hAnsi="Times New Roman" w:cs="Times New Roman"/>
                <w:b/>
                <w:bCs/>
              </w:rPr>
            </w:pPr>
            <w:r w:rsidRPr="00AC6DEC">
              <w:rPr>
                <w:rFonts w:ascii="Times New Roman" w:hAnsi="Times New Roman" w:cs="Times New Roman"/>
                <w:b/>
                <w:bCs/>
              </w:rPr>
              <w:t xml:space="preserve">Answer: </w:t>
            </w:r>
          </w:p>
          <w:p w14:paraId="273D50AF" w14:textId="77777777" w:rsidR="003B3771" w:rsidRPr="00AC6DEC" w:rsidRDefault="003B3771" w:rsidP="00B867A1">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764D1E17" w14:textId="77777777" w:rsidR="003B3771" w:rsidRPr="00AC6DEC" w:rsidRDefault="003B3771" w:rsidP="00B867A1">
            <w:pPr>
              <w:contextualSpacing/>
              <w:rPr>
                <w:rFonts w:ascii="Times New Roman" w:hAnsi="Times New Roman" w:cs="Times New Roman"/>
              </w:rPr>
            </w:pPr>
          </w:p>
          <w:p w14:paraId="0788545E" w14:textId="77777777" w:rsidR="003B3771" w:rsidRPr="00AC6DEC" w:rsidRDefault="003B3771" w:rsidP="00B867A1">
            <w:pPr>
              <w:contextualSpacing/>
              <w:rPr>
                <w:rFonts w:ascii="Times New Roman" w:hAnsi="Times New Roman" w:cs="Times New Roman"/>
              </w:rPr>
            </w:pPr>
            <w:r w:rsidRPr="00AC6DEC">
              <w:rPr>
                <w:rFonts w:ascii="Times New Roman" w:hAnsi="Times New Roman" w:cs="Times New Roman"/>
              </w:rPr>
              <w:t xml:space="preserve">The QAP states: </w:t>
            </w:r>
          </w:p>
          <w:p w14:paraId="14193EF1" w14:textId="77777777" w:rsidR="003B3771" w:rsidRPr="00AC6DEC" w:rsidRDefault="003B3771" w:rsidP="00B867A1">
            <w:pPr>
              <w:contextualSpacing/>
              <w:rPr>
                <w:rFonts w:ascii="Times New Roman" w:hAnsi="Times New Roman" w:cs="Times New Roman"/>
                <w:b/>
                <w:bCs/>
              </w:rPr>
            </w:pPr>
          </w:p>
          <w:p w14:paraId="27905E26" w14:textId="77777777" w:rsidR="003B3771" w:rsidRPr="00AC6DEC" w:rsidRDefault="003B3771" w:rsidP="00B74AD2">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68788CED" w14:textId="77777777" w:rsidR="003B3771" w:rsidRPr="00AC6DEC" w:rsidRDefault="003B3771" w:rsidP="00B867A1">
            <w:pPr>
              <w:contextualSpacing/>
              <w:rPr>
                <w:rFonts w:ascii="Times New Roman" w:hAnsi="Times New Roman" w:cs="Times New Roman"/>
              </w:rPr>
            </w:pPr>
          </w:p>
          <w:p w14:paraId="73C357FB" w14:textId="77777777" w:rsidR="003B3771" w:rsidRPr="00AC6DEC" w:rsidRDefault="003B3771" w:rsidP="00B867A1">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28132A00" w14:textId="77777777" w:rsidR="003B3771" w:rsidRPr="00AC6DEC" w:rsidRDefault="003B3771" w:rsidP="00DE639C">
            <w:pPr>
              <w:contextualSpacing/>
              <w:rPr>
                <w:rFonts w:ascii="Times New Roman" w:hAnsi="Times New Roman" w:cs="Times New Roman"/>
                <w:b/>
                <w:bCs/>
              </w:rPr>
            </w:pPr>
          </w:p>
        </w:tc>
      </w:tr>
      <w:tr w:rsidR="003B3771" w:rsidRPr="00AC6DEC" w14:paraId="1E59E704" w14:textId="77777777" w:rsidTr="2A62FF34">
        <w:trPr>
          <w:jc w:val="center"/>
        </w:trPr>
        <w:tc>
          <w:tcPr>
            <w:tcW w:w="2157" w:type="dxa"/>
            <w:tcMar>
              <w:top w:w="72" w:type="dxa"/>
              <w:left w:w="115" w:type="dxa"/>
              <w:bottom w:w="72" w:type="dxa"/>
              <w:right w:w="115" w:type="dxa"/>
            </w:tcMar>
            <w:vAlign w:val="center"/>
          </w:tcPr>
          <w:p w14:paraId="499D5E78"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353DF07F"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2.11</w:t>
            </w:r>
          </w:p>
          <w:p w14:paraId="24400CE2"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483AFE49" w14:textId="77777777" w:rsidR="003B3771" w:rsidRPr="00AC6DEC" w:rsidRDefault="003B3771" w:rsidP="00F95491">
            <w:pPr>
              <w:rPr>
                <w:rFonts w:ascii="Times New Roman" w:hAnsi="Times New Roman" w:cs="Times New Roman"/>
                <w:noProof/>
              </w:rPr>
            </w:pPr>
          </w:p>
          <w:p w14:paraId="1A3A1B9A"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&amp;</w:t>
            </w:r>
          </w:p>
          <w:p w14:paraId="424197B2" w14:textId="77777777" w:rsidR="003B3771" w:rsidRPr="00AC6DEC" w:rsidRDefault="003B3771" w:rsidP="00F95491">
            <w:pPr>
              <w:rPr>
                <w:rFonts w:ascii="Times New Roman" w:hAnsi="Times New Roman" w:cs="Times New Roman"/>
                <w:noProof/>
              </w:rPr>
            </w:pPr>
          </w:p>
          <w:p w14:paraId="69655CB5"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2.12</w:t>
            </w:r>
          </w:p>
          <w:p w14:paraId="70A26BCF"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lastRenderedPageBreak/>
              <w:t>Threshold; Public Water/Sanitary Sewer/Storm Sewer</w:t>
            </w:r>
          </w:p>
        </w:tc>
        <w:tc>
          <w:tcPr>
            <w:tcW w:w="9590" w:type="dxa"/>
            <w:tcMar>
              <w:top w:w="72" w:type="dxa"/>
              <w:left w:w="115" w:type="dxa"/>
              <w:bottom w:w="72" w:type="dxa"/>
              <w:right w:w="115" w:type="dxa"/>
            </w:tcMar>
            <w:vAlign w:val="center"/>
          </w:tcPr>
          <w:p w14:paraId="220EDF29" w14:textId="77777777" w:rsidR="003B3771" w:rsidRPr="00AC6DEC" w:rsidRDefault="003B3771" w:rsidP="00DE639C">
            <w:pPr>
              <w:contextualSpacing/>
              <w:rPr>
                <w:rFonts w:ascii="Times New Roman" w:hAnsi="Times New Roman" w:cs="Times New Roman"/>
                <w:b/>
                <w:bCs/>
              </w:rPr>
            </w:pPr>
            <w:r w:rsidRPr="00AC6DEC">
              <w:rPr>
                <w:rFonts w:ascii="Times New Roman" w:hAnsi="Times New Roman" w:cs="Times New Roman"/>
                <w:b/>
                <w:bCs/>
              </w:rPr>
              <w:lastRenderedPageBreak/>
              <w:t>Question: Q0331_02</w:t>
            </w:r>
          </w:p>
          <w:p w14:paraId="2F93DE38" w14:textId="77777777" w:rsidR="003B3771" w:rsidRPr="00AC6DEC" w:rsidRDefault="003B3771" w:rsidP="00DE639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56C0D845" w14:textId="77777777" w:rsidR="003B3771" w:rsidRPr="00AC6DEC" w:rsidRDefault="003B3771" w:rsidP="00DE639C">
            <w:pPr>
              <w:contextualSpacing/>
              <w:rPr>
                <w:rFonts w:ascii="Times New Roman" w:hAnsi="Times New Roman" w:cs="Times New Roman"/>
              </w:rPr>
            </w:pPr>
          </w:p>
          <w:p w14:paraId="3F35A54F" w14:textId="77777777" w:rsidR="003B3771" w:rsidRPr="00AC6DEC" w:rsidRDefault="003B3771" w:rsidP="00DE639C">
            <w:pPr>
              <w:contextualSpacing/>
              <w:rPr>
                <w:rFonts w:ascii="Times New Roman" w:hAnsi="Times New Roman" w:cs="Times New Roman"/>
                <w:b/>
                <w:bCs/>
              </w:rPr>
            </w:pPr>
            <w:r w:rsidRPr="00AC6DEC">
              <w:rPr>
                <w:rFonts w:ascii="Times New Roman" w:hAnsi="Times New Roman" w:cs="Times New Roman"/>
                <w:b/>
                <w:bCs/>
              </w:rPr>
              <w:t xml:space="preserve">Answer: </w:t>
            </w:r>
          </w:p>
          <w:p w14:paraId="0813A42A" w14:textId="77777777" w:rsidR="003B3771" w:rsidRPr="00AC6DEC" w:rsidRDefault="003B3771" w:rsidP="00DE639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748D9846" w14:textId="77777777" w:rsidR="003B3771" w:rsidRPr="00AC6DEC" w:rsidRDefault="003B3771" w:rsidP="00DE639C">
            <w:pPr>
              <w:contextualSpacing/>
              <w:rPr>
                <w:rFonts w:ascii="Times New Roman" w:hAnsi="Times New Roman" w:cs="Times New Roman"/>
              </w:rPr>
            </w:pPr>
          </w:p>
          <w:p w14:paraId="7717BE65" w14:textId="77777777" w:rsidR="003B3771" w:rsidRPr="00AC6DEC" w:rsidRDefault="003B3771" w:rsidP="00DE639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64F02A64" w14:textId="77777777" w:rsidR="003B3771" w:rsidRPr="00AC6DEC" w:rsidRDefault="003B3771" w:rsidP="00DE639C">
            <w:pPr>
              <w:pStyle w:val="ListParagraph"/>
              <w:numPr>
                <w:ilvl w:val="0"/>
                <w:numId w:val="42"/>
              </w:numPr>
              <w:rPr>
                <w:rFonts w:ascii="Times New Roman" w:hAnsi="Times New Roman" w:cs="Times New Roman"/>
              </w:rPr>
            </w:pPr>
            <w:r w:rsidRPr="00AC6DEC">
              <w:rPr>
                <w:rFonts w:ascii="Times New Roman" w:hAnsi="Times New Roman" w:cs="Times New Roman"/>
              </w:rPr>
              <w:lastRenderedPageBreak/>
              <w:t>“The Application must include a letter from the appropriate authorized utility authorities confirming the availability of operating utilities at the proposed development site.”</w:t>
            </w:r>
          </w:p>
          <w:p w14:paraId="6C972859" w14:textId="77777777" w:rsidR="003B3771" w:rsidRPr="00AC6DEC" w:rsidRDefault="003B3771" w:rsidP="00DE639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7DF3DF5B" w14:textId="77777777" w:rsidR="003B3771" w:rsidRPr="00AC6DEC" w:rsidRDefault="003B3771" w:rsidP="00DE639C">
            <w:pPr>
              <w:contextualSpacing/>
              <w:rPr>
                <w:rFonts w:ascii="Times New Roman" w:hAnsi="Times New Roman" w:cs="Times New Roman"/>
              </w:rPr>
            </w:pPr>
          </w:p>
          <w:p w14:paraId="0FCC9E2C" w14:textId="77777777" w:rsidR="003B3771" w:rsidRPr="00AC6DEC" w:rsidRDefault="003B3771" w:rsidP="00DE639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37DCB80E" w14:textId="77777777" w:rsidR="003B3771" w:rsidRPr="00AC6DEC" w:rsidRDefault="003B3771" w:rsidP="00DE639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298DC229" w14:textId="77777777" w:rsidR="003B3771" w:rsidRPr="00AC6DEC" w:rsidRDefault="003B3771" w:rsidP="00DE639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3E5E66E7" w14:textId="77777777" w:rsidR="003B3771" w:rsidRPr="00AC6DEC" w:rsidRDefault="003B3771" w:rsidP="00DE639C">
            <w:pPr>
              <w:numPr>
                <w:ilvl w:val="1"/>
                <w:numId w:val="41"/>
              </w:numPr>
              <w:contextualSpacing/>
              <w:rPr>
                <w:rFonts w:ascii="Times New Roman" w:hAnsi="Times New Roman" w:cs="Times New Roman"/>
              </w:rPr>
            </w:pPr>
          </w:p>
          <w:p w14:paraId="469E74C0" w14:textId="77777777" w:rsidR="003B3771" w:rsidRPr="00AC6DEC" w:rsidRDefault="003B3771" w:rsidP="00DE639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47F1B281" w14:textId="77777777" w:rsidR="003B3771" w:rsidRPr="00AC6DEC" w:rsidRDefault="003B3771" w:rsidP="00953BC7">
            <w:pPr>
              <w:contextualSpacing/>
              <w:rPr>
                <w:rFonts w:ascii="Times New Roman" w:hAnsi="Times New Roman" w:cs="Times New Roman"/>
                <w:b/>
                <w:bCs/>
              </w:rPr>
            </w:pPr>
          </w:p>
        </w:tc>
      </w:tr>
      <w:tr w:rsidR="003B3771" w:rsidRPr="00AC6DEC" w14:paraId="7DF456DE" w14:textId="77777777" w:rsidTr="2A62FF34">
        <w:trPr>
          <w:jc w:val="center"/>
        </w:trPr>
        <w:tc>
          <w:tcPr>
            <w:tcW w:w="2157" w:type="dxa"/>
            <w:tcMar>
              <w:top w:w="72" w:type="dxa"/>
              <w:left w:w="115" w:type="dxa"/>
              <w:bottom w:w="72" w:type="dxa"/>
              <w:right w:w="115" w:type="dxa"/>
            </w:tcMar>
            <w:vAlign w:val="center"/>
          </w:tcPr>
          <w:p w14:paraId="7A004A5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78319751"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3.04</w:t>
            </w:r>
          </w:p>
          <w:p w14:paraId="2186EDD9"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505F5534" w14:textId="77777777" w:rsidR="003B3771" w:rsidRPr="00AC6DEC" w:rsidRDefault="003B3771" w:rsidP="001A254F">
            <w:pPr>
              <w:contextualSpacing/>
              <w:rPr>
                <w:rFonts w:ascii="Times New Roman" w:hAnsi="Times New Roman" w:cs="Times New Roman"/>
                <w:b/>
                <w:bCs/>
              </w:rPr>
            </w:pPr>
            <w:r w:rsidRPr="00AC6DEC">
              <w:rPr>
                <w:rFonts w:ascii="Times New Roman" w:hAnsi="Times New Roman" w:cs="Times New Roman"/>
                <w:b/>
                <w:bCs/>
              </w:rPr>
              <w:t>Question: Q0303_01b</w:t>
            </w:r>
          </w:p>
          <w:p w14:paraId="74548EA5" w14:textId="77777777" w:rsidR="003B3771" w:rsidRPr="00AC6DEC" w:rsidRDefault="003B3771" w:rsidP="001A254F">
            <w:r w:rsidRPr="00AC6DEC">
              <w:rPr>
                <w:rFonts w:ascii="Times New Roman" w:hAnsi="Times New Roman" w:cs="Times New Roman"/>
              </w:rPr>
              <w:t>Would the assumption of a Housing Assistance Payment (HAP) Contract qualify for 3 points under B. Deeper Targeting Through New PBRA Contracts?</w:t>
            </w:r>
          </w:p>
          <w:p w14:paraId="6AF13937" w14:textId="77777777" w:rsidR="003B3771" w:rsidRPr="00AC6DEC" w:rsidRDefault="003B3771" w:rsidP="001A254F">
            <w:pPr>
              <w:contextualSpacing/>
              <w:rPr>
                <w:rFonts w:ascii="Times New Roman" w:hAnsi="Times New Roman" w:cs="Times New Roman"/>
                <w:b/>
                <w:bCs/>
              </w:rPr>
            </w:pPr>
          </w:p>
          <w:p w14:paraId="432CD4C3" w14:textId="77777777" w:rsidR="003B3771" w:rsidRPr="00AC6DEC" w:rsidRDefault="003B3771" w:rsidP="001A254F">
            <w:pPr>
              <w:rPr>
                <w:rFonts w:ascii="Times New Roman" w:hAnsi="Times New Roman" w:cs="Times New Roman"/>
                <w:b/>
                <w:bCs/>
              </w:rPr>
            </w:pPr>
            <w:r w:rsidRPr="00AC6DEC">
              <w:rPr>
                <w:rFonts w:ascii="Times New Roman" w:hAnsi="Times New Roman" w:cs="Times New Roman"/>
                <w:b/>
                <w:bCs/>
              </w:rPr>
              <w:t>Answer:</w:t>
            </w:r>
          </w:p>
          <w:p w14:paraId="29EB1854" w14:textId="77777777" w:rsidR="003B3771" w:rsidRPr="00AC6DEC" w:rsidRDefault="003B3771" w:rsidP="001A254F">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3B11200A" w14:textId="77777777" w:rsidR="003B3771" w:rsidRPr="00AC6DEC" w:rsidRDefault="003B3771" w:rsidP="001A254F">
            <w:pPr>
              <w:rPr>
                <w:rFonts w:ascii="Times New Roman" w:hAnsi="Times New Roman" w:cs="Times New Roman"/>
              </w:rPr>
            </w:pPr>
          </w:p>
          <w:p w14:paraId="1B06EB17" w14:textId="77777777" w:rsidR="003B3771" w:rsidRPr="00AC6DEC" w:rsidRDefault="003B3771" w:rsidP="001A254F">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73758175" w14:textId="77777777" w:rsidR="003B3771" w:rsidRPr="00AC6DEC" w:rsidRDefault="003B3771" w:rsidP="007D043A">
            <w:pPr>
              <w:contextualSpacing/>
              <w:rPr>
                <w:rFonts w:ascii="Times New Roman" w:hAnsi="Times New Roman" w:cs="Times New Roman"/>
                <w:b/>
                <w:bCs/>
              </w:rPr>
            </w:pPr>
          </w:p>
        </w:tc>
      </w:tr>
      <w:tr w:rsidR="003B3771" w:rsidRPr="00AC6DEC" w14:paraId="0F239580" w14:textId="77777777" w:rsidTr="2A62FF34">
        <w:trPr>
          <w:jc w:val="center"/>
        </w:trPr>
        <w:tc>
          <w:tcPr>
            <w:tcW w:w="2157" w:type="dxa"/>
            <w:tcMar>
              <w:top w:w="72" w:type="dxa"/>
              <w:left w:w="115" w:type="dxa"/>
              <w:bottom w:w="72" w:type="dxa"/>
              <w:right w:w="115" w:type="dxa"/>
            </w:tcMar>
            <w:vAlign w:val="center"/>
          </w:tcPr>
          <w:p w14:paraId="21B57C1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A670295" w14:textId="77777777" w:rsidR="003B3771" w:rsidRPr="00AC6DEC" w:rsidRDefault="003B3771" w:rsidP="0039401E">
            <w:pPr>
              <w:rPr>
                <w:rFonts w:ascii="Times New Roman" w:hAnsi="Times New Roman" w:cs="Times New Roman"/>
                <w:noProof/>
              </w:rPr>
            </w:pPr>
            <w:r w:rsidRPr="00AC6DEC">
              <w:rPr>
                <w:rFonts w:ascii="Times New Roman" w:hAnsi="Times New Roman" w:cs="Times New Roman"/>
                <w:noProof/>
              </w:rPr>
              <w:t>3.04</w:t>
            </w:r>
          </w:p>
          <w:p w14:paraId="6CDAE1BF" w14:textId="77777777" w:rsidR="003B3771" w:rsidRPr="00AC6DEC" w:rsidRDefault="003B3771" w:rsidP="0039401E">
            <w:pPr>
              <w:rPr>
                <w:rFonts w:ascii="Times New Roman" w:hAnsi="Times New Roman" w:cs="Times New Roman"/>
                <w:noProof/>
              </w:rPr>
            </w:pPr>
            <w:r w:rsidRPr="00AC6DEC">
              <w:rPr>
                <w:rFonts w:ascii="Times New Roman" w:hAnsi="Times New Roman" w:cs="Times New Roman"/>
                <w:noProof/>
              </w:rPr>
              <w:lastRenderedPageBreak/>
              <w:t>Scoring; Deeper Targeting</w:t>
            </w:r>
          </w:p>
        </w:tc>
        <w:tc>
          <w:tcPr>
            <w:tcW w:w="9590" w:type="dxa"/>
            <w:tcMar>
              <w:top w:w="72" w:type="dxa"/>
              <w:left w:w="115" w:type="dxa"/>
              <w:bottom w:w="72" w:type="dxa"/>
              <w:right w:w="115" w:type="dxa"/>
            </w:tcMar>
            <w:vAlign w:val="center"/>
          </w:tcPr>
          <w:p w14:paraId="24135180" w14:textId="77777777" w:rsidR="003B3771" w:rsidRPr="00AC6DEC" w:rsidRDefault="003B3771" w:rsidP="00487F7A">
            <w:pPr>
              <w:rPr>
                <w:rFonts w:ascii="Times New Roman" w:hAnsi="Times New Roman" w:cs="Times New Roman"/>
                <w:b/>
                <w:bCs/>
              </w:rPr>
            </w:pPr>
            <w:r w:rsidRPr="00AC6DEC">
              <w:rPr>
                <w:rFonts w:ascii="Times New Roman" w:hAnsi="Times New Roman" w:cs="Times New Roman"/>
                <w:b/>
                <w:bCs/>
              </w:rPr>
              <w:lastRenderedPageBreak/>
              <w:t>Question: Q0218_01</w:t>
            </w:r>
          </w:p>
          <w:p w14:paraId="142A71BF" w14:textId="77777777" w:rsidR="003B3771" w:rsidRPr="00AC6DEC" w:rsidRDefault="003B3771" w:rsidP="00487F7A">
            <w:r w:rsidRPr="00AC6DEC">
              <w:rPr>
                <w:rFonts w:ascii="Times New Roman" w:hAnsi="Times New Roman" w:cs="Times New Roman"/>
              </w:rPr>
              <w:lastRenderedPageBreak/>
              <w:t>We are wondering if DCA could clarify if the specific circumstances of our 2021 9% application would potentially be eligible for the 3 scoring points applicable to Deeper Targeting Through New PBRA Contracts.</w:t>
            </w:r>
          </w:p>
          <w:p w14:paraId="3B5A627C" w14:textId="77777777" w:rsidR="003B3771" w:rsidRPr="00AC6DEC" w:rsidRDefault="003B3771" w:rsidP="00487F7A">
            <w:r w:rsidRPr="00AC6DEC">
              <w:rPr>
                <w:rFonts w:ascii="Times New Roman" w:hAnsi="Times New Roman" w:cs="Times New Roman"/>
              </w:rPr>
              <w:t xml:space="preserve"> </w:t>
            </w:r>
          </w:p>
          <w:p w14:paraId="15810E6F" w14:textId="77777777" w:rsidR="003B3771" w:rsidRPr="00AC6DEC" w:rsidRDefault="003B3771" w:rsidP="00487F7A">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13137492" w14:textId="77777777" w:rsidR="003B3771" w:rsidRPr="00AC6DEC" w:rsidRDefault="003B3771" w:rsidP="00487F7A">
            <w:r w:rsidRPr="00AC6DEC">
              <w:rPr>
                <w:rFonts w:ascii="Times New Roman" w:hAnsi="Times New Roman" w:cs="Times New Roman"/>
              </w:rPr>
              <w:t xml:space="preserve"> </w:t>
            </w:r>
          </w:p>
          <w:p w14:paraId="6C6BBA03" w14:textId="77777777" w:rsidR="003B3771" w:rsidRPr="00AC6DEC" w:rsidRDefault="003B3771" w:rsidP="00487F7A">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7BCBEF09" w14:textId="77777777" w:rsidR="003B3771" w:rsidRPr="00AC6DEC" w:rsidRDefault="003B3771" w:rsidP="00487F7A">
            <w:pPr>
              <w:contextualSpacing/>
              <w:rPr>
                <w:rFonts w:ascii="Times New Roman" w:hAnsi="Times New Roman" w:cs="Times New Roman"/>
              </w:rPr>
            </w:pPr>
          </w:p>
          <w:p w14:paraId="599E267A" w14:textId="77777777" w:rsidR="003B3771" w:rsidRPr="00AC6DEC" w:rsidRDefault="003B3771" w:rsidP="00487F7A">
            <w:pPr>
              <w:rPr>
                <w:rFonts w:ascii="Times New Roman" w:hAnsi="Times New Roman" w:cs="Times New Roman"/>
                <w:b/>
                <w:bCs/>
              </w:rPr>
            </w:pPr>
            <w:r w:rsidRPr="00AC6DEC">
              <w:rPr>
                <w:rFonts w:ascii="Times New Roman" w:hAnsi="Times New Roman" w:cs="Times New Roman"/>
                <w:b/>
                <w:bCs/>
              </w:rPr>
              <w:t xml:space="preserve">Answer: </w:t>
            </w:r>
          </w:p>
          <w:p w14:paraId="2336FA0D" w14:textId="77777777" w:rsidR="003B3771" w:rsidRPr="00AC6DEC" w:rsidRDefault="003B3771" w:rsidP="00487F7A">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3B3771" w:rsidRPr="00AC6DEC" w14:paraId="30C9A844" w14:textId="77777777" w:rsidTr="2A62FF34">
        <w:trPr>
          <w:jc w:val="center"/>
        </w:trPr>
        <w:tc>
          <w:tcPr>
            <w:tcW w:w="2157" w:type="dxa"/>
            <w:tcMar>
              <w:top w:w="72" w:type="dxa"/>
              <w:left w:w="115" w:type="dxa"/>
              <w:bottom w:w="72" w:type="dxa"/>
              <w:right w:w="115" w:type="dxa"/>
            </w:tcMar>
            <w:vAlign w:val="center"/>
          </w:tcPr>
          <w:p w14:paraId="632AFBA2"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3044F2C" w14:textId="77777777" w:rsidR="003B3771" w:rsidRPr="00AC6DEC" w:rsidRDefault="003B3771" w:rsidP="00D66CD5">
            <w:pPr>
              <w:rPr>
                <w:rFonts w:ascii="Times New Roman" w:hAnsi="Times New Roman" w:cs="Times New Roman"/>
                <w:noProof/>
              </w:rPr>
            </w:pPr>
            <w:r w:rsidRPr="00AC6DEC">
              <w:rPr>
                <w:rFonts w:ascii="Times New Roman" w:hAnsi="Times New Roman" w:cs="Times New Roman"/>
                <w:noProof/>
              </w:rPr>
              <w:t>3.05</w:t>
            </w:r>
          </w:p>
          <w:p w14:paraId="575DEBE0" w14:textId="77777777" w:rsidR="003B3771" w:rsidRPr="00AC6DEC" w:rsidRDefault="003B3771" w:rsidP="00D66CD5">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92EE69D" w14:textId="77777777" w:rsidR="003B3771" w:rsidRPr="00AC6DEC" w:rsidRDefault="003B3771" w:rsidP="008430E4">
            <w:pPr>
              <w:contextualSpacing/>
              <w:rPr>
                <w:rFonts w:ascii="Times New Roman" w:hAnsi="Times New Roman" w:cs="Times New Roman"/>
                <w:b/>
                <w:bCs/>
              </w:rPr>
            </w:pPr>
            <w:r w:rsidRPr="00AC6DEC">
              <w:rPr>
                <w:rFonts w:ascii="Times New Roman" w:hAnsi="Times New Roman" w:cs="Times New Roman"/>
                <w:b/>
                <w:bCs/>
              </w:rPr>
              <w:t>Question: Q0419_01</w:t>
            </w:r>
          </w:p>
          <w:p w14:paraId="2751F7A5" w14:textId="77777777" w:rsidR="003B3771" w:rsidRPr="00AC6DEC" w:rsidRDefault="003B3771" w:rsidP="008430E4">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0E9629EB" w14:textId="77777777" w:rsidR="003B3771" w:rsidRPr="00AC6DEC" w:rsidRDefault="003B3771" w:rsidP="008430E4">
            <w:pPr>
              <w:contextualSpacing/>
              <w:rPr>
                <w:rFonts w:ascii="Times New Roman" w:hAnsi="Times New Roman" w:cs="Times New Roman"/>
                <w:b/>
                <w:bCs/>
              </w:rPr>
            </w:pPr>
          </w:p>
          <w:p w14:paraId="31D2DFF5" w14:textId="77777777" w:rsidR="003B3771" w:rsidRPr="00AC6DEC" w:rsidRDefault="003B3771" w:rsidP="008430E4">
            <w:pPr>
              <w:contextualSpacing/>
              <w:rPr>
                <w:rFonts w:ascii="Times New Roman" w:hAnsi="Times New Roman" w:cs="Times New Roman"/>
                <w:b/>
                <w:bCs/>
              </w:rPr>
            </w:pPr>
            <w:r w:rsidRPr="00AC6DEC">
              <w:rPr>
                <w:rFonts w:ascii="Times New Roman" w:hAnsi="Times New Roman" w:cs="Times New Roman"/>
                <w:b/>
                <w:bCs/>
              </w:rPr>
              <w:t xml:space="preserve">Answer: </w:t>
            </w:r>
          </w:p>
          <w:p w14:paraId="01E68DB4" w14:textId="77777777" w:rsidR="003B3771" w:rsidRPr="00AC6DEC" w:rsidRDefault="003B3771" w:rsidP="008430E4">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04D6E1C0" w14:textId="77777777" w:rsidR="003B3771" w:rsidRPr="00AC6DEC" w:rsidRDefault="003B3771" w:rsidP="008430E4">
            <w:pPr>
              <w:contextualSpacing/>
              <w:rPr>
                <w:rFonts w:ascii="Times New Roman" w:hAnsi="Times New Roman" w:cs="Times New Roman"/>
              </w:rPr>
            </w:pPr>
          </w:p>
          <w:p w14:paraId="429F2E70" w14:textId="77777777" w:rsidR="003B3771" w:rsidRPr="00AC6DEC" w:rsidRDefault="003B3771" w:rsidP="006A753B">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6FC5452F" w14:textId="77777777" w:rsidR="003B3771" w:rsidRPr="00AC6DEC" w:rsidRDefault="003B3771" w:rsidP="008430E4">
            <w:pPr>
              <w:contextualSpacing/>
              <w:rPr>
                <w:rFonts w:ascii="Times New Roman" w:hAnsi="Times New Roman" w:cs="Times New Roman"/>
              </w:rPr>
            </w:pPr>
          </w:p>
          <w:p w14:paraId="7DFC0A11" w14:textId="77777777" w:rsidR="003B3771" w:rsidRPr="00AC6DEC" w:rsidRDefault="003B3771" w:rsidP="008430E4">
            <w:pPr>
              <w:contextualSpacing/>
              <w:rPr>
                <w:rFonts w:ascii="Times New Roman" w:eastAsia="Times New Roman" w:hAnsi="Times New Roman" w:cs="Times New Roman"/>
              </w:rPr>
            </w:pPr>
            <w:r w:rsidRPr="00AC6DEC">
              <w:rPr>
                <w:rFonts w:ascii="Times New Roman" w:hAnsi="Times New Roman" w:cs="Times New Roman"/>
              </w:rPr>
              <w:lastRenderedPageBreak/>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491B20E4" w14:textId="77777777" w:rsidR="003B3771" w:rsidRPr="00AC6DEC" w:rsidRDefault="003B3771" w:rsidP="00330100">
            <w:pPr>
              <w:contextualSpacing/>
              <w:rPr>
                <w:rFonts w:ascii="Times New Roman" w:hAnsi="Times New Roman" w:cs="Times New Roman"/>
                <w:b/>
                <w:bCs/>
              </w:rPr>
            </w:pPr>
          </w:p>
        </w:tc>
      </w:tr>
      <w:tr w:rsidR="003B3771" w:rsidRPr="00AC6DEC" w14:paraId="0DEC79E9" w14:textId="77777777" w:rsidTr="2A62FF34">
        <w:trPr>
          <w:jc w:val="center"/>
        </w:trPr>
        <w:tc>
          <w:tcPr>
            <w:tcW w:w="2157" w:type="dxa"/>
            <w:tcMar>
              <w:top w:w="72" w:type="dxa"/>
              <w:left w:w="115" w:type="dxa"/>
              <w:bottom w:w="72" w:type="dxa"/>
              <w:right w:w="115" w:type="dxa"/>
            </w:tcMar>
            <w:vAlign w:val="center"/>
          </w:tcPr>
          <w:p w14:paraId="4348FF9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281F0E3" w14:textId="77777777" w:rsidR="003B3771" w:rsidRPr="00AC6DEC" w:rsidRDefault="003B3771" w:rsidP="002E552E">
            <w:pPr>
              <w:rPr>
                <w:rFonts w:ascii="Times New Roman" w:hAnsi="Times New Roman" w:cs="Times New Roman"/>
                <w:noProof/>
              </w:rPr>
            </w:pPr>
            <w:r w:rsidRPr="00AC6DEC">
              <w:rPr>
                <w:rFonts w:ascii="Times New Roman" w:hAnsi="Times New Roman" w:cs="Times New Roman"/>
                <w:noProof/>
              </w:rPr>
              <w:t>3.08</w:t>
            </w:r>
          </w:p>
          <w:p w14:paraId="2E0314AD" w14:textId="77777777" w:rsidR="003B3771" w:rsidRPr="00AC6DEC" w:rsidRDefault="003B3771" w:rsidP="002E552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473CED04" w14:textId="77777777" w:rsidR="003B3771" w:rsidRPr="00AC6DEC" w:rsidRDefault="003B3771" w:rsidP="007076DA">
            <w:pPr>
              <w:contextualSpacing/>
              <w:rPr>
                <w:rFonts w:ascii="Times New Roman" w:hAnsi="Times New Roman" w:cs="Times New Roman"/>
                <w:b/>
                <w:bCs/>
              </w:rPr>
            </w:pPr>
            <w:r w:rsidRPr="00AC6DEC">
              <w:rPr>
                <w:rFonts w:ascii="Times New Roman" w:hAnsi="Times New Roman" w:cs="Times New Roman"/>
                <w:b/>
                <w:bCs/>
              </w:rPr>
              <w:t>Question: Q0331_01</w:t>
            </w:r>
          </w:p>
          <w:p w14:paraId="075D86D3" w14:textId="77777777" w:rsidR="003B3771" w:rsidRPr="00AC6DEC" w:rsidRDefault="003B3771" w:rsidP="007076DA">
            <w:pPr>
              <w:contextualSpacing/>
              <w:rPr>
                <w:rFonts w:ascii="Times New Roman" w:hAnsi="Times New Roman" w:cs="Times New Roman"/>
              </w:rPr>
            </w:pPr>
            <w:r w:rsidRPr="00AC6DEC">
              <w:rPr>
                <w:rFonts w:ascii="Times New Roman" w:hAnsi="Times New Roman" w:cs="Times New Roman"/>
              </w:rPr>
              <w:t>Regarding QAP, Revitalization/Redevelopment Plans, A, #2: Does a Tax Allocation District (TAD) qualify under this category as a tax incentive?</w:t>
            </w:r>
          </w:p>
          <w:p w14:paraId="2A0A145C" w14:textId="77777777" w:rsidR="003B3771" w:rsidRPr="00AC6DEC" w:rsidRDefault="003B3771" w:rsidP="007076DA">
            <w:pPr>
              <w:contextualSpacing/>
              <w:rPr>
                <w:rFonts w:ascii="Times New Roman" w:hAnsi="Times New Roman" w:cs="Times New Roman"/>
              </w:rPr>
            </w:pPr>
          </w:p>
          <w:p w14:paraId="5FBBE0BE" w14:textId="77777777" w:rsidR="003B3771" w:rsidRPr="00AC6DEC" w:rsidRDefault="003B3771" w:rsidP="007076DA">
            <w:pPr>
              <w:contextualSpacing/>
              <w:rPr>
                <w:rFonts w:ascii="Times New Roman" w:hAnsi="Times New Roman" w:cs="Times New Roman"/>
                <w:b/>
                <w:bCs/>
              </w:rPr>
            </w:pPr>
            <w:r w:rsidRPr="00AC6DEC">
              <w:rPr>
                <w:rFonts w:ascii="Times New Roman" w:hAnsi="Times New Roman" w:cs="Times New Roman"/>
                <w:b/>
                <w:bCs/>
              </w:rPr>
              <w:t xml:space="preserve">Answer: </w:t>
            </w:r>
          </w:p>
          <w:p w14:paraId="45A9B243" w14:textId="77777777" w:rsidR="003B3771" w:rsidRPr="00AC6DEC" w:rsidRDefault="003B3771" w:rsidP="007076DA">
            <w:pPr>
              <w:contextualSpacing/>
              <w:rPr>
                <w:rFonts w:ascii="Times New Roman" w:hAnsi="Times New Roman" w:cs="Times New Roman"/>
              </w:rPr>
            </w:pPr>
            <w:r w:rsidRPr="00AC6DEC">
              <w:rPr>
                <w:rFonts w:ascii="Times New Roman" w:hAnsi="Times New Roman" w:cs="Times New Roman"/>
              </w:rPr>
              <w:t xml:space="preserve">The QAP states:  </w:t>
            </w:r>
          </w:p>
          <w:p w14:paraId="1A289AFF" w14:textId="77777777" w:rsidR="003B3771" w:rsidRPr="00AC6DEC" w:rsidRDefault="003B3771" w:rsidP="007076DA">
            <w:pPr>
              <w:contextualSpacing/>
              <w:rPr>
                <w:rFonts w:ascii="Times New Roman" w:hAnsi="Times New Roman" w:cs="Times New Roman"/>
              </w:rPr>
            </w:pPr>
          </w:p>
          <w:p w14:paraId="22CED645" w14:textId="77777777" w:rsidR="003B3771" w:rsidRPr="00AC6DEC" w:rsidRDefault="003B3771" w:rsidP="007076DA">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73FEE04B" w14:textId="77777777" w:rsidR="003B3771" w:rsidRPr="00AC6DEC" w:rsidRDefault="003B3771" w:rsidP="007076DA">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13EF852D" w14:textId="77777777" w:rsidR="003B3771" w:rsidRPr="00AC6DEC" w:rsidRDefault="003B3771" w:rsidP="007076DA">
            <w:pPr>
              <w:rPr>
                <w:rFonts w:ascii="Times New Roman" w:hAnsi="Times New Roman" w:cs="Times New Roman"/>
              </w:rPr>
            </w:pPr>
          </w:p>
          <w:p w14:paraId="66D4C06C" w14:textId="77777777" w:rsidR="003B3771" w:rsidRPr="00AC6DEC" w:rsidRDefault="003B3771" w:rsidP="007076DA">
            <w:pPr>
              <w:rPr>
                <w:rFonts w:ascii="Times New Roman" w:hAnsi="Times New Roman" w:cs="Times New Roman"/>
              </w:rPr>
            </w:pPr>
            <w:r w:rsidRPr="00AC6DEC">
              <w:rPr>
                <w:rFonts w:ascii="Times New Roman" w:hAnsi="Times New Roman" w:cs="Times New Roman"/>
              </w:rPr>
              <w:t>O.C.G.A. 36-44-3(13) (</w:t>
            </w:r>
            <w:hyperlink r:id="rId19"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0AE6EE77" w14:textId="77777777" w:rsidR="003B3771" w:rsidRPr="00AC6DEC" w:rsidRDefault="003B3771" w:rsidP="007076DA">
            <w:pPr>
              <w:rPr>
                <w:rFonts w:ascii="Times New Roman" w:hAnsi="Times New Roman" w:cs="Times New Roman"/>
              </w:rPr>
            </w:pPr>
          </w:p>
          <w:p w14:paraId="58570F0A" w14:textId="77777777" w:rsidR="003B3771" w:rsidRPr="00AC6DEC" w:rsidRDefault="003B3771" w:rsidP="00DC307A">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1EE8DB3C" w14:textId="77777777" w:rsidR="003B3771" w:rsidRPr="00AC6DEC" w:rsidRDefault="003B3771" w:rsidP="007076DA">
            <w:pPr>
              <w:rPr>
                <w:rFonts w:ascii="Times New Roman" w:hAnsi="Times New Roman" w:cs="Times New Roman"/>
              </w:rPr>
            </w:pPr>
          </w:p>
          <w:p w14:paraId="662F5626" w14:textId="77777777" w:rsidR="003B3771" w:rsidRPr="00AC6DEC" w:rsidRDefault="003B3771" w:rsidP="007076DA">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4108E957" w14:textId="77777777" w:rsidR="003B3771" w:rsidRPr="00AC6DEC" w:rsidRDefault="003B3771" w:rsidP="00DF0B9A">
            <w:pPr>
              <w:pStyle w:val="paragraph"/>
              <w:spacing w:before="0" w:beforeAutospacing="0" w:after="0" w:afterAutospacing="0"/>
              <w:textAlignment w:val="baseline"/>
              <w:rPr>
                <w:rStyle w:val="normaltextrun"/>
                <w:b/>
                <w:bCs/>
                <w:sz w:val="22"/>
                <w:szCs w:val="22"/>
              </w:rPr>
            </w:pPr>
          </w:p>
        </w:tc>
      </w:tr>
      <w:tr w:rsidR="003B3771" w:rsidRPr="00AC6DEC" w14:paraId="398C53AB" w14:textId="77777777" w:rsidTr="2A62FF34">
        <w:trPr>
          <w:jc w:val="center"/>
        </w:trPr>
        <w:tc>
          <w:tcPr>
            <w:tcW w:w="2157" w:type="dxa"/>
            <w:tcMar>
              <w:top w:w="72" w:type="dxa"/>
              <w:left w:w="115" w:type="dxa"/>
              <w:bottom w:w="72" w:type="dxa"/>
              <w:right w:w="115" w:type="dxa"/>
            </w:tcMar>
            <w:vAlign w:val="center"/>
          </w:tcPr>
          <w:p w14:paraId="440DA82D"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AF99997" w14:textId="77777777" w:rsidR="003B3771" w:rsidRPr="00AC6DEC" w:rsidRDefault="003B3771" w:rsidP="001A7E4E">
            <w:pPr>
              <w:rPr>
                <w:rFonts w:ascii="Times New Roman" w:hAnsi="Times New Roman" w:cs="Times New Roman"/>
                <w:noProof/>
              </w:rPr>
            </w:pPr>
            <w:r w:rsidRPr="00AC6DEC">
              <w:rPr>
                <w:rFonts w:ascii="Times New Roman" w:hAnsi="Times New Roman" w:cs="Times New Roman"/>
                <w:noProof/>
              </w:rPr>
              <w:t>3.08</w:t>
            </w:r>
          </w:p>
          <w:p w14:paraId="34862E7E" w14:textId="77777777" w:rsidR="003B3771" w:rsidRPr="00AC6DEC" w:rsidRDefault="003B3771" w:rsidP="001A7E4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1AB25C30" w14:textId="77777777" w:rsidR="003B3771" w:rsidRPr="00AC6DEC" w:rsidRDefault="003B3771" w:rsidP="00673770">
            <w:pPr>
              <w:contextualSpacing/>
              <w:rPr>
                <w:rFonts w:ascii="Times New Roman" w:hAnsi="Times New Roman" w:cs="Times New Roman"/>
                <w:b/>
                <w:bCs/>
              </w:rPr>
            </w:pPr>
            <w:r w:rsidRPr="00AC6DEC">
              <w:rPr>
                <w:rFonts w:ascii="Times New Roman" w:hAnsi="Times New Roman" w:cs="Times New Roman"/>
                <w:b/>
                <w:bCs/>
              </w:rPr>
              <w:t>Question: Q0413_01</w:t>
            </w:r>
          </w:p>
          <w:p w14:paraId="47874AB2" w14:textId="77777777" w:rsidR="003B3771" w:rsidRPr="00AC6DEC" w:rsidRDefault="003B3771" w:rsidP="00673770">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2C495D6A" w14:textId="77777777" w:rsidR="003B3771" w:rsidRPr="00AC6DEC" w:rsidRDefault="003B3771" w:rsidP="00673770">
            <w:pPr>
              <w:contextualSpacing/>
              <w:rPr>
                <w:rFonts w:ascii="Times New Roman" w:hAnsi="Times New Roman" w:cs="Times New Roman"/>
              </w:rPr>
            </w:pPr>
          </w:p>
          <w:p w14:paraId="159181AE" w14:textId="77777777" w:rsidR="003B3771" w:rsidRPr="00AC6DEC" w:rsidRDefault="003B3771" w:rsidP="00673770">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0A289F58" w14:textId="77777777" w:rsidR="003B3771" w:rsidRPr="00AC6DEC" w:rsidRDefault="003B3771" w:rsidP="00673770">
            <w:pPr>
              <w:contextualSpacing/>
              <w:rPr>
                <w:rFonts w:ascii="Times New Roman" w:hAnsi="Times New Roman" w:cs="Times New Roman"/>
              </w:rPr>
            </w:pPr>
          </w:p>
          <w:p w14:paraId="5375B01C" w14:textId="77777777" w:rsidR="003B3771" w:rsidRPr="00AC6DEC" w:rsidRDefault="003B3771" w:rsidP="00673770">
            <w:pPr>
              <w:contextualSpacing/>
              <w:rPr>
                <w:rFonts w:ascii="Times New Roman" w:hAnsi="Times New Roman" w:cs="Times New Roman"/>
                <w:b/>
                <w:bCs/>
              </w:rPr>
            </w:pPr>
            <w:r w:rsidRPr="00AC6DEC">
              <w:rPr>
                <w:rFonts w:ascii="Times New Roman" w:hAnsi="Times New Roman" w:cs="Times New Roman"/>
                <w:b/>
                <w:bCs/>
              </w:rPr>
              <w:t xml:space="preserve">Answer: </w:t>
            </w:r>
          </w:p>
          <w:p w14:paraId="64F20467" w14:textId="77777777" w:rsidR="003B3771" w:rsidRPr="00AC6DEC" w:rsidRDefault="003B3771" w:rsidP="00673770">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339FC247" w14:textId="77777777" w:rsidR="003B3771" w:rsidRPr="00AC6DEC" w:rsidRDefault="003B3771" w:rsidP="00673770">
            <w:pPr>
              <w:contextualSpacing/>
              <w:rPr>
                <w:rFonts w:ascii="Times New Roman" w:hAnsi="Times New Roman" w:cs="Times New Roman"/>
                <w:b/>
                <w:bCs/>
              </w:rPr>
            </w:pPr>
          </w:p>
          <w:p w14:paraId="12ECF5FD" w14:textId="77777777" w:rsidR="003B3771" w:rsidRPr="00AC6DEC" w:rsidRDefault="003B3771" w:rsidP="00673770">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27A5965F" w14:textId="77777777" w:rsidR="003B3771" w:rsidRPr="00AC6DEC" w:rsidRDefault="003B3771"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16867B7A" w14:textId="77777777" w:rsidR="003B3771" w:rsidRPr="00AC6DEC" w:rsidRDefault="003B3771"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403BBD4E" w14:textId="77777777" w:rsidR="003B3771" w:rsidRPr="00AC6DEC" w:rsidRDefault="003B3771" w:rsidP="00673770">
            <w:pPr>
              <w:contextualSpacing/>
              <w:rPr>
                <w:rFonts w:ascii="Times New Roman" w:hAnsi="Times New Roman" w:cs="Times New Roman"/>
              </w:rPr>
            </w:pPr>
          </w:p>
          <w:p w14:paraId="4EDA25D6" w14:textId="77777777" w:rsidR="003B3771" w:rsidRPr="00AC6DEC" w:rsidRDefault="003B3771" w:rsidP="00673770">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21EA6E0B" w14:textId="77777777" w:rsidR="003B3771" w:rsidRPr="00AC6DEC" w:rsidRDefault="003B3771" w:rsidP="008430E4">
            <w:pPr>
              <w:contextualSpacing/>
              <w:rPr>
                <w:rFonts w:ascii="Times New Roman" w:hAnsi="Times New Roman" w:cs="Times New Roman"/>
                <w:b/>
                <w:bCs/>
              </w:rPr>
            </w:pPr>
          </w:p>
        </w:tc>
      </w:tr>
      <w:tr w:rsidR="003B3771" w:rsidRPr="00AC6DEC" w14:paraId="1F5FE39C" w14:textId="77777777" w:rsidTr="2A62FF34">
        <w:trPr>
          <w:jc w:val="center"/>
        </w:trPr>
        <w:tc>
          <w:tcPr>
            <w:tcW w:w="2157" w:type="dxa"/>
            <w:tcMar>
              <w:top w:w="72" w:type="dxa"/>
              <w:left w:w="115" w:type="dxa"/>
              <w:bottom w:w="72" w:type="dxa"/>
              <w:right w:w="115" w:type="dxa"/>
            </w:tcMar>
            <w:vAlign w:val="center"/>
          </w:tcPr>
          <w:p w14:paraId="57729F63"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35971C1"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3.09</w:t>
            </w:r>
          </w:p>
          <w:p w14:paraId="796DDC51"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06A9FC27" w14:textId="77777777" w:rsidR="003B3771" w:rsidRPr="00B5402B" w:rsidRDefault="003B3771" w:rsidP="00B5402B">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423B06DC" w14:textId="77777777" w:rsidR="003B3771" w:rsidRPr="00B5402B" w:rsidRDefault="003B3771" w:rsidP="00B5402B">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6D830394" w14:textId="77777777" w:rsidR="003B3771" w:rsidRPr="00B5402B" w:rsidRDefault="003B3771" w:rsidP="00B5402B">
            <w:pPr>
              <w:textAlignment w:val="baseline"/>
              <w:rPr>
                <w:rFonts w:ascii="Segoe UI" w:eastAsia="Times New Roman" w:hAnsi="Segoe UI" w:cs="Segoe UI"/>
              </w:rPr>
            </w:pPr>
            <w:r w:rsidRPr="00B5402B">
              <w:rPr>
                <w:rFonts w:ascii="Times New Roman" w:eastAsia="Times New Roman" w:hAnsi="Times New Roman" w:cs="Times New Roman"/>
              </w:rPr>
              <w:t> </w:t>
            </w:r>
          </w:p>
          <w:p w14:paraId="562D46EA" w14:textId="77777777" w:rsidR="003B3771" w:rsidRPr="00B5402B" w:rsidRDefault="003B3771" w:rsidP="00B5402B">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22066C7B" w14:textId="77777777" w:rsidR="003B3771" w:rsidRPr="00B5402B" w:rsidRDefault="003B3771" w:rsidP="00B5402B">
            <w:pPr>
              <w:textAlignment w:val="baseline"/>
              <w:rPr>
                <w:rFonts w:ascii="Segoe UI" w:eastAsia="Times New Roman" w:hAnsi="Segoe UI" w:cs="Segoe UI"/>
              </w:rPr>
            </w:pPr>
            <w:r w:rsidRPr="00B5402B">
              <w:rPr>
                <w:rFonts w:ascii="Times New Roman" w:eastAsia="Times New Roman" w:hAnsi="Times New Roman" w:cs="Times New Roman"/>
              </w:rPr>
              <w:lastRenderedPageBreak/>
              <w:t>The “Community Transformation List and Maps” document posted to the DCA website (</w:t>
            </w:r>
            <w:hyperlink r:id="rId20"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6B7C6C9E" w14:textId="77777777" w:rsidR="003B3771" w:rsidRPr="00AC6DEC" w:rsidRDefault="003B3771" w:rsidP="009E7D8D">
            <w:pPr>
              <w:contextualSpacing/>
              <w:rPr>
                <w:rFonts w:ascii="Times New Roman" w:hAnsi="Times New Roman" w:cs="Times New Roman"/>
                <w:b/>
                <w:bCs/>
              </w:rPr>
            </w:pPr>
          </w:p>
        </w:tc>
      </w:tr>
      <w:tr w:rsidR="003B3771" w:rsidRPr="00AC6DEC" w14:paraId="72F75BFC" w14:textId="77777777" w:rsidTr="2A62FF34">
        <w:trPr>
          <w:jc w:val="center"/>
        </w:trPr>
        <w:tc>
          <w:tcPr>
            <w:tcW w:w="2157" w:type="dxa"/>
            <w:tcMar>
              <w:top w:w="72" w:type="dxa"/>
              <w:left w:w="115" w:type="dxa"/>
              <w:bottom w:w="72" w:type="dxa"/>
              <w:right w:w="115" w:type="dxa"/>
            </w:tcMar>
            <w:vAlign w:val="center"/>
          </w:tcPr>
          <w:p w14:paraId="3CAB950A"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D817168"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3.16</w:t>
            </w:r>
          </w:p>
          <w:p w14:paraId="09E87548"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35E7FE1C" w14:textId="77777777" w:rsidR="003B3771" w:rsidRPr="00AC6DEC" w:rsidRDefault="003B3771" w:rsidP="00330100">
            <w:pPr>
              <w:contextualSpacing/>
              <w:rPr>
                <w:rFonts w:ascii="Times New Roman" w:hAnsi="Times New Roman" w:cs="Times New Roman"/>
                <w:b/>
                <w:bCs/>
              </w:rPr>
            </w:pPr>
            <w:r w:rsidRPr="00AC6DEC">
              <w:rPr>
                <w:rFonts w:ascii="Times New Roman" w:hAnsi="Times New Roman" w:cs="Times New Roman"/>
                <w:b/>
                <w:bCs/>
              </w:rPr>
              <w:t>Question: Q0406_01</w:t>
            </w:r>
          </w:p>
          <w:p w14:paraId="200C3F6E" w14:textId="77777777" w:rsidR="003B3771" w:rsidRPr="00AC6DEC" w:rsidRDefault="003B3771" w:rsidP="00330100">
            <w:pPr>
              <w:contextualSpacing/>
              <w:rPr>
                <w:rFonts w:ascii="Times New Roman" w:hAnsi="Times New Roman" w:cs="Times New Roman"/>
              </w:rPr>
            </w:pPr>
            <w:r w:rsidRPr="00AC6DEC">
              <w:rPr>
                <w:rFonts w:ascii="Times New Roman" w:hAnsi="Times New Roman" w:cs="Times New Roman"/>
              </w:rPr>
              <w:t>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10EA2ED6" w14:textId="77777777" w:rsidR="003B3771" w:rsidRPr="00AC6DEC" w:rsidRDefault="003B3771" w:rsidP="00330100">
            <w:pPr>
              <w:contextualSpacing/>
              <w:rPr>
                <w:rFonts w:ascii="Times New Roman" w:hAnsi="Times New Roman" w:cs="Times New Roman"/>
                <w:b/>
                <w:bCs/>
              </w:rPr>
            </w:pPr>
          </w:p>
          <w:p w14:paraId="03139359" w14:textId="77777777" w:rsidR="003B3771" w:rsidRPr="00AC6DEC" w:rsidRDefault="003B3771" w:rsidP="00330100">
            <w:pPr>
              <w:contextualSpacing/>
              <w:rPr>
                <w:rFonts w:ascii="Times New Roman" w:hAnsi="Times New Roman" w:cs="Times New Roman"/>
                <w:b/>
                <w:bCs/>
              </w:rPr>
            </w:pPr>
            <w:r w:rsidRPr="00AC6DEC">
              <w:rPr>
                <w:rFonts w:ascii="Times New Roman" w:hAnsi="Times New Roman" w:cs="Times New Roman"/>
                <w:b/>
                <w:bCs/>
              </w:rPr>
              <w:t>Answer:</w:t>
            </w:r>
          </w:p>
          <w:p w14:paraId="21087B60" w14:textId="77777777" w:rsidR="003B3771" w:rsidRPr="00AC6DEC" w:rsidRDefault="003B3771" w:rsidP="00330100">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5D71D4A3" w14:textId="77777777" w:rsidR="003B3771" w:rsidRPr="00AC6DEC" w:rsidRDefault="003B3771" w:rsidP="00B867A1">
            <w:pPr>
              <w:contextualSpacing/>
              <w:rPr>
                <w:rFonts w:ascii="Times New Roman" w:hAnsi="Times New Roman" w:cs="Times New Roman"/>
                <w:b/>
                <w:bCs/>
              </w:rPr>
            </w:pPr>
          </w:p>
        </w:tc>
      </w:tr>
      <w:tr w:rsidR="003B3771" w:rsidRPr="00AC6DEC" w14:paraId="5481ABA1" w14:textId="77777777" w:rsidTr="2A62FF34">
        <w:trPr>
          <w:jc w:val="center"/>
        </w:trPr>
        <w:tc>
          <w:tcPr>
            <w:tcW w:w="2157" w:type="dxa"/>
            <w:tcMar>
              <w:top w:w="72" w:type="dxa"/>
              <w:left w:w="115" w:type="dxa"/>
              <w:bottom w:w="72" w:type="dxa"/>
              <w:right w:w="115" w:type="dxa"/>
            </w:tcMar>
            <w:vAlign w:val="center"/>
          </w:tcPr>
          <w:p w14:paraId="1690CC88"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C034C28" w14:textId="77777777" w:rsidR="003B3771" w:rsidRPr="00AC6DEC" w:rsidRDefault="003B3771" w:rsidP="006B633C">
            <w:pPr>
              <w:rPr>
                <w:rFonts w:ascii="Times New Roman" w:hAnsi="Times New Roman" w:cs="Times New Roman"/>
                <w:noProof/>
              </w:rPr>
            </w:pPr>
            <w:r w:rsidRPr="00AC6DEC">
              <w:rPr>
                <w:rFonts w:ascii="Times New Roman" w:hAnsi="Times New Roman" w:cs="Times New Roman"/>
                <w:noProof/>
              </w:rPr>
              <w:t>3.18</w:t>
            </w:r>
          </w:p>
          <w:p w14:paraId="358D70B3" w14:textId="77777777" w:rsidR="003B3771" w:rsidRPr="00AC6DEC" w:rsidRDefault="003B3771" w:rsidP="006B633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E295886" w14:textId="77777777" w:rsidR="003B3771" w:rsidRPr="00AC6DEC" w:rsidRDefault="003B3771" w:rsidP="007D043A">
            <w:pPr>
              <w:contextualSpacing/>
              <w:rPr>
                <w:rFonts w:ascii="Times New Roman" w:hAnsi="Times New Roman" w:cs="Times New Roman"/>
                <w:b/>
                <w:bCs/>
              </w:rPr>
            </w:pPr>
            <w:r w:rsidRPr="00AC6DEC">
              <w:rPr>
                <w:rFonts w:ascii="Times New Roman" w:hAnsi="Times New Roman" w:cs="Times New Roman"/>
                <w:b/>
                <w:bCs/>
              </w:rPr>
              <w:t>Question: Q0324_01</w:t>
            </w:r>
          </w:p>
          <w:p w14:paraId="6335C9D2" w14:textId="77777777" w:rsidR="003B3771" w:rsidRPr="00AC6DEC" w:rsidRDefault="003B3771" w:rsidP="007D043A">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218C5F86" w14:textId="77777777" w:rsidR="003B3771" w:rsidRPr="00AC6DEC" w:rsidRDefault="003B3771" w:rsidP="007D043A">
            <w:pPr>
              <w:contextualSpacing/>
              <w:rPr>
                <w:rFonts w:ascii="Times New Roman" w:hAnsi="Times New Roman" w:cs="Times New Roman"/>
                <w:b/>
                <w:bCs/>
              </w:rPr>
            </w:pPr>
          </w:p>
          <w:p w14:paraId="2139502E" w14:textId="77777777" w:rsidR="003B3771" w:rsidRPr="00AC6DEC" w:rsidRDefault="003B3771" w:rsidP="007D043A">
            <w:pPr>
              <w:contextualSpacing/>
              <w:rPr>
                <w:rFonts w:ascii="Times New Roman" w:hAnsi="Times New Roman" w:cs="Times New Roman"/>
                <w:b/>
                <w:bCs/>
              </w:rPr>
            </w:pPr>
            <w:r w:rsidRPr="00AC6DEC">
              <w:rPr>
                <w:rFonts w:ascii="Times New Roman" w:hAnsi="Times New Roman" w:cs="Times New Roman"/>
                <w:b/>
                <w:bCs/>
              </w:rPr>
              <w:t xml:space="preserve">Answer: </w:t>
            </w:r>
          </w:p>
          <w:p w14:paraId="2EC5A68A" w14:textId="77777777" w:rsidR="003B3771" w:rsidRPr="00AC6DEC" w:rsidRDefault="003B3771" w:rsidP="007D043A">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6F92CDF4" w14:textId="77777777" w:rsidR="003B3771" w:rsidRPr="00AC6DEC" w:rsidRDefault="003B3771" w:rsidP="007D043A">
            <w:pPr>
              <w:rPr>
                <w:rFonts w:ascii="Times New Roman" w:hAnsi="Times New Roman" w:cs="Times New Roman"/>
              </w:rPr>
            </w:pPr>
          </w:p>
          <w:p w14:paraId="6DF3F0F7" w14:textId="77777777" w:rsidR="003B3771" w:rsidRPr="00AC6DEC" w:rsidRDefault="003B3771" w:rsidP="007D043A">
            <w:r w:rsidRPr="00AC6DEC">
              <w:rPr>
                <w:rFonts w:ascii="Times New Roman" w:eastAsia="Times New Roman" w:hAnsi="Times New Roman" w:cs="Times New Roman"/>
              </w:rPr>
              <w:lastRenderedPageBreak/>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42702027" w14:textId="77777777" w:rsidR="003B3771" w:rsidRPr="00AC6DEC" w:rsidRDefault="003B3771" w:rsidP="007D043A">
            <w:pPr>
              <w:rPr>
                <w:rFonts w:ascii="Times New Roman" w:hAnsi="Times New Roman" w:cs="Times New Roman"/>
              </w:rPr>
            </w:pPr>
          </w:p>
          <w:p w14:paraId="628E4BB6" w14:textId="77777777" w:rsidR="003B3771" w:rsidRPr="00AC6DEC" w:rsidRDefault="003B3771" w:rsidP="007D043A">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07FB7344" w14:textId="77777777" w:rsidR="003B3771" w:rsidRPr="00AC6DEC" w:rsidRDefault="003B3771" w:rsidP="00487F7A">
            <w:pPr>
              <w:rPr>
                <w:rFonts w:ascii="Times New Roman" w:hAnsi="Times New Roman" w:cs="Times New Roman"/>
                <w:b/>
                <w:bCs/>
              </w:rPr>
            </w:pPr>
          </w:p>
        </w:tc>
      </w:tr>
      <w:tr w:rsidR="003B3771" w:rsidRPr="00AC6DEC" w14:paraId="081EC539" w14:textId="77777777" w:rsidTr="2A62FF34">
        <w:trPr>
          <w:jc w:val="center"/>
        </w:trPr>
        <w:tc>
          <w:tcPr>
            <w:tcW w:w="2157" w:type="dxa"/>
            <w:tcMar>
              <w:top w:w="72" w:type="dxa"/>
              <w:left w:w="115" w:type="dxa"/>
              <w:bottom w:w="72" w:type="dxa"/>
              <w:right w:w="115" w:type="dxa"/>
            </w:tcMar>
            <w:vAlign w:val="center"/>
          </w:tcPr>
          <w:p w14:paraId="0DA2149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DFD6556"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 xml:space="preserve">3.19 </w:t>
            </w:r>
          </w:p>
          <w:p w14:paraId="1D2564B8"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Scoring; Historic Preservation</w:t>
            </w:r>
          </w:p>
          <w:p w14:paraId="3E959D78" w14:textId="77777777" w:rsidR="003B3771" w:rsidRPr="00AC6DEC" w:rsidRDefault="003B3771" w:rsidP="00F95491">
            <w:pPr>
              <w:rPr>
                <w:rFonts w:ascii="Times New Roman" w:hAnsi="Times New Roman" w:cs="Times New Roman"/>
                <w:noProof/>
              </w:rPr>
            </w:pPr>
          </w:p>
          <w:p w14:paraId="0CC6C808"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 xml:space="preserve">&amp; </w:t>
            </w:r>
          </w:p>
          <w:p w14:paraId="40F4A0AA" w14:textId="77777777" w:rsidR="003B3771" w:rsidRPr="00AC6DEC" w:rsidRDefault="003B3771" w:rsidP="00F95491">
            <w:pPr>
              <w:rPr>
                <w:rFonts w:ascii="Times New Roman" w:hAnsi="Times New Roman" w:cs="Times New Roman"/>
                <w:noProof/>
              </w:rPr>
            </w:pPr>
          </w:p>
          <w:p w14:paraId="03C477B9"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3.18</w:t>
            </w:r>
          </w:p>
          <w:p w14:paraId="23319F25" w14:textId="77777777" w:rsidR="003B3771" w:rsidRPr="00AC6DEC" w:rsidRDefault="003B3771" w:rsidP="00F9549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1B304FD" w14:textId="77777777" w:rsidR="003B3771" w:rsidRPr="00AC6DEC" w:rsidRDefault="003B3771" w:rsidP="00953BC7">
            <w:pPr>
              <w:contextualSpacing/>
              <w:rPr>
                <w:rFonts w:ascii="Times New Roman" w:hAnsi="Times New Roman" w:cs="Times New Roman"/>
                <w:b/>
                <w:bCs/>
              </w:rPr>
            </w:pPr>
            <w:r w:rsidRPr="00AC6DEC">
              <w:rPr>
                <w:rFonts w:ascii="Times New Roman" w:hAnsi="Times New Roman" w:cs="Times New Roman"/>
                <w:b/>
                <w:bCs/>
              </w:rPr>
              <w:t>Question: Q0308_01</w:t>
            </w:r>
          </w:p>
          <w:p w14:paraId="0BD340BE" w14:textId="77777777" w:rsidR="003B3771" w:rsidRPr="00AC6DEC" w:rsidRDefault="003B3771" w:rsidP="00953BC7">
            <w:pPr>
              <w:rPr>
                <w:rFonts w:ascii="Times New Roman" w:hAnsi="Times New Roman" w:cs="Times New Roman"/>
              </w:rPr>
            </w:pPr>
            <w:r w:rsidRPr="00AC6DEC">
              <w:rPr>
                <w:rFonts w:ascii="Times New Roman" w:hAnsi="Times New Roman" w:cs="Times New Roman"/>
              </w:rPr>
              <w:t>Has DCA discussed extending the due date for Historic Part 2 and Georgia Part A documentation as they did in 2020 due to the Historic Preservation Division and National Park Service delays created by Covid 19?</w:t>
            </w:r>
          </w:p>
          <w:p w14:paraId="426782E7" w14:textId="77777777" w:rsidR="003B3771" w:rsidRPr="00AC6DEC" w:rsidRDefault="003B3771" w:rsidP="00953BC7">
            <w:pPr>
              <w:contextualSpacing/>
              <w:rPr>
                <w:rFonts w:ascii="Times New Roman" w:hAnsi="Times New Roman" w:cs="Times New Roman"/>
                <w:b/>
                <w:bCs/>
              </w:rPr>
            </w:pPr>
          </w:p>
          <w:p w14:paraId="1815B582" w14:textId="77777777" w:rsidR="003B3771" w:rsidRPr="00AC6DEC" w:rsidRDefault="003B3771" w:rsidP="00953BC7">
            <w:pPr>
              <w:contextualSpacing/>
              <w:rPr>
                <w:rFonts w:ascii="Times New Roman" w:hAnsi="Times New Roman" w:cs="Times New Roman"/>
                <w:b/>
                <w:bCs/>
              </w:rPr>
            </w:pPr>
            <w:r w:rsidRPr="00AC6DEC">
              <w:rPr>
                <w:rFonts w:ascii="Times New Roman" w:hAnsi="Times New Roman" w:cs="Times New Roman"/>
                <w:b/>
                <w:bCs/>
              </w:rPr>
              <w:t xml:space="preserve">Answer: </w:t>
            </w:r>
          </w:p>
          <w:p w14:paraId="13E0EAAF" w14:textId="77777777" w:rsidR="003B3771" w:rsidRPr="00AC6DEC" w:rsidRDefault="003B3771" w:rsidP="00953BC7">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369806BA" w14:textId="77777777" w:rsidR="003B3771" w:rsidRPr="00AC6DEC" w:rsidRDefault="003B3771" w:rsidP="00953BC7">
            <w:pPr>
              <w:contextualSpacing/>
              <w:rPr>
                <w:rFonts w:ascii="Times New Roman" w:hAnsi="Times New Roman" w:cs="Times New Roman"/>
              </w:rPr>
            </w:pPr>
          </w:p>
          <w:p w14:paraId="0146EE88" w14:textId="77777777" w:rsidR="003B3771" w:rsidRPr="00AC6DEC" w:rsidRDefault="003B3771" w:rsidP="00953BC7">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19398C88" w14:textId="77777777" w:rsidR="003B3771" w:rsidRPr="00AC6DEC" w:rsidRDefault="003B3771" w:rsidP="00953BC7">
            <w:pPr>
              <w:contextualSpacing/>
              <w:rPr>
                <w:rFonts w:ascii="Times New Roman" w:hAnsi="Times New Roman" w:cs="Times New Roman"/>
              </w:rPr>
            </w:pPr>
          </w:p>
          <w:p w14:paraId="4FD10EEE" w14:textId="77777777" w:rsidR="003B3771" w:rsidRPr="00AC6DEC" w:rsidRDefault="003B3771" w:rsidP="00953BC7">
            <w:pPr>
              <w:contextualSpacing/>
              <w:rPr>
                <w:rFonts w:ascii="Times New Roman" w:hAnsi="Times New Roman" w:cs="Times New Roman"/>
              </w:rPr>
            </w:pPr>
            <w:r w:rsidRPr="00AC6DEC">
              <w:rPr>
                <w:rFonts w:ascii="Times New Roman" w:hAnsi="Times New Roman" w:cs="Times New Roman"/>
              </w:rPr>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2236976B" w14:textId="77777777" w:rsidR="003B3771" w:rsidRPr="00AC6DEC" w:rsidRDefault="003B3771" w:rsidP="00953BC7">
            <w:pPr>
              <w:contextualSpacing/>
              <w:rPr>
                <w:rFonts w:ascii="Times New Roman" w:hAnsi="Times New Roman" w:cs="Times New Roman"/>
              </w:rPr>
            </w:pPr>
          </w:p>
          <w:p w14:paraId="235BA2AA" w14:textId="77777777" w:rsidR="003B3771" w:rsidRPr="00AC6DEC" w:rsidRDefault="003B3771" w:rsidP="00953BC7">
            <w:pPr>
              <w:pStyle w:val="ListParagraph"/>
              <w:numPr>
                <w:ilvl w:val="0"/>
                <w:numId w:val="40"/>
              </w:numPr>
              <w:rPr>
                <w:rFonts w:eastAsiaTheme="minorEastAsia"/>
              </w:rPr>
            </w:pPr>
            <w:r w:rsidRPr="00AC6DEC">
              <w:rPr>
                <w:rFonts w:ascii="Times New Roman" w:hAnsi="Times New Roman" w:cs="Times New Roman"/>
                <w:b/>
                <w:bCs/>
              </w:rPr>
              <w:t>Favorable Financing</w:t>
            </w:r>
          </w:p>
          <w:p w14:paraId="0D7C0F7B" w14:textId="77777777" w:rsidR="003B3771" w:rsidRPr="00AC6DEC" w:rsidRDefault="003B3771" w:rsidP="00953BC7">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6B6A8C3E" w14:textId="77777777" w:rsidR="003B3771" w:rsidRPr="00AC6DEC" w:rsidRDefault="003B3771" w:rsidP="00953BC7">
            <w:pPr>
              <w:contextualSpacing/>
              <w:rPr>
                <w:rFonts w:ascii="Times New Roman" w:hAnsi="Times New Roman" w:cs="Times New Roman"/>
              </w:rPr>
            </w:pPr>
          </w:p>
          <w:p w14:paraId="719306F4" w14:textId="77777777" w:rsidR="003B3771" w:rsidRPr="00AC6DEC" w:rsidRDefault="003B3771" w:rsidP="00953BC7">
            <w:pPr>
              <w:contextualSpacing/>
              <w:rPr>
                <w:rFonts w:ascii="Times New Roman" w:hAnsi="Times New Roman" w:cs="Times New Roman"/>
              </w:rPr>
            </w:pPr>
            <w:r w:rsidRPr="00AC6DEC">
              <w:rPr>
                <w:rFonts w:ascii="Times New Roman" w:hAnsi="Times New Roman" w:cs="Times New Roman"/>
              </w:rPr>
              <w:lastRenderedPageBreak/>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307EB627" w14:textId="77777777" w:rsidR="003B3771" w:rsidRPr="00AC6DEC" w:rsidRDefault="003B3771" w:rsidP="001A254F">
            <w:pPr>
              <w:contextualSpacing/>
              <w:rPr>
                <w:rFonts w:ascii="Times New Roman" w:hAnsi="Times New Roman" w:cs="Times New Roman"/>
                <w:b/>
                <w:bCs/>
              </w:rPr>
            </w:pPr>
          </w:p>
        </w:tc>
      </w:tr>
      <w:tr w:rsidR="003B3771" w:rsidRPr="00AC6DEC" w14:paraId="2B7C0440" w14:textId="77777777" w:rsidTr="2A62FF34">
        <w:trPr>
          <w:jc w:val="center"/>
        </w:trPr>
        <w:tc>
          <w:tcPr>
            <w:tcW w:w="2157" w:type="dxa"/>
            <w:tcMar>
              <w:top w:w="72" w:type="dxa"/>
              <w:left w:w="115" w:type="dxa"/>
              <w:bottom w:w="72" w:type="dxa"/>
              <w:right w:w="115" w:type="dxa"/>
            </w:tcMar>
            <w:vAlign w:val="center"/>
          </w:tcPr>
          <w:p w14:paraId="1F80C10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2979C831" w14:textId="77777777" w:rsidR="003B3771" w:rsidRPr="00AC6DEC" w:rsidRDefault="003B3771" w:rsidP="002E552E">
            <w:pPr>
              <w:rPr>
                <w:rFonts w:ascii="Times New Roman" w:hAnsi="Times New Roman" w:cs="Times New Roman"/>
                <w:noProof/>
              </w:rPr>
            </w:pPr>
            <w:r w:rsidRPr="00AC6DEC">
              <w:rPr>
                <w:rFonts w:ascii="Times New Roman" w:hAnsi="Times New Roman" w:cs="Times New Roman"/>
                <w:noProof/>
              </w:rPr>
              <w:t>3.21</w:t>
            </w:r>
          </w:p>
          <w:p w14:paraId="4001BE71" w14:textId="77777777" w:rsidR="003B3771" w:rsidRPr="00AC6DEC" w:rsidRDefault="003B3771" w:rsidP="002E552E">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1DF3C933" w14:textId="77777777" w:rsidR="003B3771" w:rsidRPr="00AC6DEC" w:rsidRDefault="003B3771" w:rsidP="006F1F03">
            <w:pPr>
              <w:contextualSpacing/>
              <w:rPr>
                <w:rFonts w:ascii="Times New Roman" w:hAnsi="Times New Roman" w:cs="Times New Roman"/>
                <w:b/>
                <w:bCs/>
              </w:rPr>
            </w:pPr>
            <w:r w:rsidRPr="00AC6DEC">
              <w:rPr>
                <w:rFonts w:ascii="Times New Roman" w:hAnsi="Times New Roman" w:cs="Times New Roman"/>
                <w:b/>
                <w:bCs/>
              </w:rPr>
              <w:t>Question: Q0326_02</w:t>
            </w:r>
          </w:p>
          <w:p w14:paraId="2C7A5C55" w14:textId="77777777" w:rsidR="003B3771" w:rsidRPr="00AC6DEC" w:rsidRDefault="003B3771" w:rsidP="006F1F03">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6D34E232" w14:textId="77777777" w:rsidR="003B3771" w:rsidRPr="00AC6DEC" w:rsidRDefault="003B3771" w:rsidP="006F1F03">
            <w:pPr>
              <w:rPr>
                <w:rFonts w:ascii="Times New Roman" w:hAnsi="Times New Roman" w:cs="Times New Roman"/>
              </w:rPr>
            </w:pPr>
          </w:p>
          <w:p w14:paraId="20D696A5" w14:textId="77777777" w:rsidR="003B3771" w:rsidRPr="00AC6DEC" w:rsidRDefault="003B3771" w:rsidP="006F1F03">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635E02CB" w14:textId="77777777" w:rsidR="003B3771" w:rsidRPr="00AC6DEC" w:rsidRDefault="003B3771" w:rsidP="006F1F03">
            <w:pPr>
              <w:rPr>
                <w:rFonts w:ascii="Times New Roman" w:hAnsi="Times New Roman" w:cs="Times New Roman"/>
              </w:rPr>
            </w:pPr>
          </w:p>
          <w:p w14:paraId="289E1132" w14:textId="77777777" w:rsidR="003B3771" w:rsidRPr="00AC6DEC" w:rsidRDefault="003B3771" w:rsidP="006F1F03">
            <w:r w:rsidRPr="00AC6DEC">
              <w:rPr>
                <w:rFonts w:ascii="Times New Roman" w:hAnsi="Times New Roman" w:cs="Times New Roman"/>
              </w:rPr>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530670C6" w14:textId="77777777" w:rsidR="003B3771" w:rsidRPr="00AC6DEC" w:rsidRDefault="003B3771" w:rsidP="006F1F03">
            <w:pPr>
              <w:contextualSpacing/>
              <w:rPr>
                <w:rFonts w:ascii="Times New Roman" w:hAnsi="Times New Roman" w:cs="Times New Roman"/>
                <w:b/>
                <w:bCs/>
              </w:rPr>
            </w:pPr>
          </w:p>
          <w:p w14:paraId="39212BF4" w14:textId="77777777" w:rsidR="003B3771" w:rsidRPr="00AC6DEC" w:rsidRDefault="003B3771" w:rsidP="006F1F03">
            <w:pPr>
              <w:contextualSpacing/>
              <w:rPr>
                <w:rFonts w:ascii="Times New Roman" w:hAnsi="Times New Roman" w:cs="Times New Roman"/>
                <w:b/>
                <w:bCs/>
              </w:rPr>
            </w:pPr>
            <w:r w:rsidRPr="00AC6DEC">
              <w:rPr>
                <w:rFonts w:ascii="Times New Roman" w:hAnsi="Times New Roman" w:cs="Times New Roman"/>
                <w:b/>
                <w:bCs/>
              </w:rPr>
              <w:t xml:space="preserve">Answer: </w:t>
            </w:r>
          </w:p>
          <w:p w14:paraId="48A0092E" w14:textId="77777777" w:rsidR="003B3771" w:rsidRPr="00AC6DEC" w:rsidRDefault="003B3771" w:rsidP="006F1F03">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similar section under prior QAPs. This explanation is for clarification of DCA policy purposes only and cannot be used as legal advice. </w:t>
            </w:r>
          </w:p>
          <w:p w14:paraId="3E8D05E0" w14:textId="77777777" w:rsidR="003B3771" w:rsidRPr="00AC6DEC" w:rsidRDefault="003B3771" w:rsidP="006F1F03">
            <w:pPr>
              <w:contextualSpacing/>
              <w:rPr>
                <w:rFonts w:ascii="Times New Roman" w:hAnsi="Times New Roman" w:cs="Times New Roman"/>
              </w:rPr>
            </w:pPr>
          </w:p>
          <w:p w14:paraId="432725E3" w14:textId="77777777" w:rsidR="003B3771" w:rsidRPr="00AC6DEC" w:rsidRDefault="003B3771" w:rsidP="006F1F03">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4FE54231" w14:textId="77777777" w:rsidR="003B3771" w:rsidRPr="00AC6DEC" w:rsidRDefault="003B3771" w:rsidP="006F1F03">
            <w:pPr>
              <w:contextualSpacing/>
              <w:rPr>
                <w:rFonts w:ascii="Times New Roman" w:hAnsi="Times New Roman" w:cs="Times New Roman"/>
              </w:rPr>
            </w:pPr>
          </w:p>
          <w:p w14:paraId="29292BA4" w14:textId="77777777" w:rsidR="003B3771" w:rsidRPr="00AC6DEC" w:rsidRDefault="003B3771" w:rsidP="006F1F03">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3B3771" w:rsidRPr="00AC6DEC" w14:paraId="5F47671D" w14:textId="77777777" w:rsidTr="2A62FF34">
        <w:trPr>
          <w:jc w:val="center"/>
        </w:trPr>
        <w:tc>
          <w:tcPr>
            <w:tcW w:w="2157" w:type="dxa"/>
            <w:tcMar>
              <w:top w:w="72" w:type="dxa"/>
              <w:left w:w="115" w:type="dxa"/>
              <w:bottom w:w="72" w:type="dxa"/>
              <w:right w:w="115" w:type="dxa"/>
            </w:tcMar>
            <w:vAlign w:val="center"/>
          </w:tcPr>
          <w:p w14:paraId="4FBBE4A4"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763F35CD" w14:textId="77777777" w:rsidR="003B3771" w:rsidRPr="00AC6DEC" w:rsidRDefault="003B3771" w:rsidP="001A7E4E">
            <w:pPr>
              <w:rPr>
                <w:rFonts w:ascii="Times New Roman" w:hAnsi="Times New Roman" w:cs="Times New Roman"/>
                <w:noProof/>
              </w:rPr>
            </w:pPr>
            <w:r w:rsidRPr="00AC6DEC">
              <w:rPr>
                <w:rFonts w:ascii="Times New Roman" w:hAnsi="Times New Roman" w:cs="Times New Roman"/>
                <w:noProof/>
              </w:rPr>
              <w:t>3.25</w:t>
            </w:r>
          </w:p>
          <w:p w14:paraId="71FFEB96" w14:textId="77777777" w:rsidR="003B3771" w:rsidRPr="00AC6DEC" w:rsidRDefault="003B3771" w:rsidP="001A7E4E">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01FDCBE9" w14:textId="77777777" w:rsidR="003B3771" w:rsidRPr="00AC6DEC" w:rsidRDefault="003B3771"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00846B36" w14:textId="77777777" w:rsidR="003B3771" w:rsidRPr="00AC6DEC" w:rsidRDefault="003B3771"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7311A79F" w14:textId="77777777" w:rsidR="003B3771" w:rsidRPr="00AC6DEC" w:rsidRDefault="003B3771" w:rsidP="00DF0B9A">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075867A9" w14:textId="77777777" w:rsidR="003B3771" w:rsidRPr="00AC6DEC" w:rsidRDefault="003B3771"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658D6A3A" w14:textId="77777777" w:rsidR="003B3771" w:rsidRPr="00AC6DEC" w:rsidRDefault="003B3771"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7D3116DF" w14:textId="77777777" w:rsidR="003B3771" w:rsidRPr="00AC6DEC" w:rsidRDefault="003B3771" w:rsidP="00673770">
            <w:pPr>
              <w:contextualSpacing/>
              <w:rPr>
                <w:rFonts w:ascii="Times New Roman" w:hAnsi="Times New Roman" w:cs="Times New Roman"/>
                <w:b/>
                <w:bCs/>
              </w:rPr>
            </w:pPr>
          </w:p>
        </w:tc>
      </w:tr>
      <w:tr w:rsidR="003B3771" w:rsidRPr="00AC6DEC" w14:paraId="60326EB5" w14:textId="77777777" w:rsidTr="2A62FF34">
        <w:trPr>
          <w:jc w:val="center"/>
        </w:trPr>
        <w:tc>
          <w:tcPr>
            <w:tcW w:w="2157" w:type="dxa"/>
            <w:tcMar>
              <w:top w:w="72" w:type="dxa"/>
              <w:left w:w="115" w:type="dxa"/>
              <w:bottom w:w="72" w:type="dxa"/>
              <w:right w:w="115" w:type="dxa"/>
            </w:tcMar>
            <w:vAlign w:val="center"/>
          </w:tcPr>
          <w:p w14:paraId="514BB85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0EC0EFD" w14:textId="77777777" w:rsidR="003B3771" w:rsidRPr="00AC6DEC" w:rsidRDefault="003B3771" w:rsidP="00A12C03">
            <w:pPr>
              <w:rPr>
                <w:rFonts w:ascii="Times New Roman" w:hAnsi="Times New Roman" w:cs="Times New Roman"/>
                <w:noProof/>
              </w:rPr>
            </w:pPr>
            <w:r w:rsidRPr="00AC6DEC">
              <w:rPr>
                <w:rFonts w:ascii="Times New Roman" w:hAnsi="Times New Roman" w:cs="Times New Roman"/>
                <w:noProof/>
              </w:rPr>
              <w:t>5.00</w:t>
            </w:r>
          </w:p>
          <w:p w14:paraId="5B07E5E3" w14:textId="77777777" w:rsidR="003B3771" w:rsidRPr="00AC6DEC" w:rsidRDefault="003B3771" w:rsidP="00A12C03">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590B1778" w14:textId="77777777" w:rsidR="003B3771" w:rsidRPr="000734AC" w:rsidRDefault="003B3771" w:rsidP="000734A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199046EA" w14:textId="77777777" w:rsidR="003B3771" w:rsidRPr="000734AC" w:rsidRDefault="003B3771" w:rsidP="000734A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4EFD3D33"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64219E39"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78BFE298"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7464E504"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5DB2B7C6"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2C41015F"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54DE5634"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709DE7AC" w14:textId="77777777" w:rsidR="003B3771" w:rsidRPr="000734A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74CDA911" w14:textId="77777777" w:rsidR="003B3771" w:rsidRPr="00AC6DEC" w:rsidRDefault="003B3771" w:rsidP="000734AC">
            <w:pPr>
              <w:textAlignment w:val="baseline"/>
              <w:rPr>
                <w:rFonts w:ascii="Segoe UI" w:eastAsia="Times New Roman" w:hAnsi="Segoe UI" w:cs="Segoe UI"/>
              </w:rPr>
            </w:pPr>
            <w:r w:rsidRPr="000734AC">
              <w:rPr>
                <w:rFonts w:ascii="Times New Roman" w:eastAsia="Times New Roman" w:hAnsi="Times New Roman" w:cs="Times New Roman"/>
                <w:color w:val="FF0000"/>
              </w:rPr>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10DBED7C" w14:textId="77777777" w:rsidR="003B3771" w:rsidRPr="00AC6DEC" w:rsidRDefault="003B3771" w:rsidP="00454938">
            <w:pPr>
              <w:contextualSpacing/>
              <w:rPr>
                <w:rFonts w:ascii="Times New Roman" w:hAnsi="Times New Roman" w:cs="Times New Roman"/>
                <w:b/>
                <w:bCs/>
              </w:rPr>
            </w:pPr>
          </w:p>
        </w:tc>
      </w:tr>
      <w:tr w:rsidR="003B3771" w:rsidRPr="00AC6DEC" w14:paraId="126365C9" w14:textId="77777777" w:rsidTr="2A62FF34">
        <w:trPr>
          <w:jc w:val="center"/>
        </w:trPr>
        <w:tc>
          <w:tcPr>
            <w:tcW w:w="2157" w:type="dxa"/>
            <w:tcMar>
              <w:top w:w="72" w:type="dxa"/>
              <w:left w:w="115" w:type="dxa"/>
              <w:bottom w:w="72" w:type="dxa"/>
              <w:right w:w="115" w:type="dxa"/>
            </w:tcMar>
            <w:vAlign w:val="center"/>
          </w:tcPr>
          <w:p w14:paraId="09CE0C98"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0C5D9D7"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2.07</w:t>
            </w:r>
          </w:p>
          <w:p w14:paraId="0142F6E9"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0106E80B" w14:textId="77777777" w:rsidR="003B3771" w:rsidRPr="00AC6DEC" w:rsidRDefault="003B3771" w:rsidP="006A1439">
            <w:pPr>
              <w:contextualSpacing/>
              <w:rPr>
                <w:rFonts w:ascii="Times New Roman" w:hAnsi="Times New Roman" w:cs="Times New Roman"/>
                <w:b/>
                <w:bCs/>
              </w:rPr>
            </w:pPr>
            <w:r w:rsidRPr="00AC6DEC">
              <w:rPr>
                <w:rFonts w:ascii="Times New Roman" w:hAnsi="Times New Roman" w:cs="Times New Roman"/>
                <w:b/>
                <w:bCs/>
              </w:rPr>
              <w:t>Question: Q1106_01</w:t>
            </w:r>
          </w:p>
          <w:p w14:paraId="0100A599" w14:textId="77777777" w:rsidR="003B3771" w:rsidRPr="00AC6DEC" w:rsidRDefault="003B3771" w:rsidP="006A1439">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10DD9505" w14:textId="77777777" w:rsidR="003B3771" w:rsidRPr="00AC6DEC" w:rsidRDefault="003B3771" w:rsidP="006A1439">
            <w:pPr>
              <w:contextualSpacing/>
              <w:rPr>
                <w:rFonts w:ascii="Times New Roman" w:hAnsi="Times New Roman" w:cs="Times New Roman"/>
              </w:rPr>
            </w:pPr>
          </w:p>
          <w:p w14:paraId="1FAA8F05" w14:textId="77777777" w:rsidR="003B3771" w:rsidRPr="00AC6DEC" w:rsidRDefault="003B3771" w:rsidP="006A1439">
            <w:pPr>
              <w:contextualSpacing/>
              <w:rPr>
                <w:rFonts w:ascii="Times New Roman" w:hAnsi="Times New Roman" w:cs="Times New Roman"/>
                <w:b/>
                <w:bCs/>
              </w:rPr>
            </w:pPr>
            <w:r w:rsidRPr="00AC6DEC">
              <w:rPr>
                <w:rFonts w:ascii="Times New Roman" w:hAnsi="Times New Roman" w:cs="Times New Roman"/>
                <w:b/>
                <w:bCs/>
              </w:rPr>
              <w:t xml:space="preserve">Answer: </w:t>
            </w:r>
          </w:p>
          <w:p w14:paraId="6D3D7C86" w14:textId="77777777" w:rsidR="003B3771" w:rsidRPr="00AC6DEC" w:rsidRDefault="003B3771" w:rsidP="006A1439">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6ADF1E8F" w14:textId="77777777" w:rsidR="003B3771" w:rsidRPr="00AC6DEC" w:rsidRDefault="003B3771" w:rsidP="006A1439">
            <w:pPr>
              <w:contextualSpacing/>
              <w:rPr>
                <w:rFonts w:ascii="Times New Roman" w:hAnsi="Times New Roman" w:cs="Times New Roman"/>
              </w:rPr>
            </w:pPr>
          </w:p>
          <w:p w14:paraId="0CA433C9" w14:textId="77777777" w:rsidR="003B3771" w:rsidRPr="00AC6DEC" w:rsidRDefault="003B3771" w:rsidP="006A1439">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1"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3B3771" w:rsidRPr="00AC6DEC" w14:paraId="07A3B89B" w14:textId="77777777" w:rsidTr="2A62FF34">
        <w:trPr>
          <w:jc w:val="center"/>
        </w:trPr>
        <w:tc>
          <w:tcPr>
            <w:tcW w:w="2157" w:type="dxa"/>
            <w:tcMar>
              <w:top w:w="72" w:type="dxa"/>
              <w:left w:w="115" w:type="dxa"/>
              <w:bottom w:w="72" w:type="dxa"/>
              <w:right w:w="115" w:type="dxa"/>
            </w:tcMar>
            <w:vAlign w:val="center"/>
          </w:tcPr>
          <w:p w14:paraId="0A44999A"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04C56AA9" w14:textId="77777777" w:rsidR="003B3771" w:rsidRPr="00AC6DEC" w:rsidRDefault="003B3771" w:rsidP="00494703">
            <w:pPr>
              <w:rPr>
                <w:rFonts w:ascii="Times New Roman" w:hAnsi="Times New Roman" w:cs="Times New Roman"/>
              </w:rPr>
            </w:pPr>
            <w:r w:rsidRPr="00AC6DEC">
              <w:rPr>
                <w:rFonts w:ascii="Times New Roman" w:hAnsi="Times New Roman" w:cs="Times New Roman"/>
              </w:rPr>
              <w:t>2.17</w:t>
            </w:r>
          </w:p>
          <w:p w14:paraId="24999456" w14:textId="77777777" w:rsidR="003B3771" w:rsidRPr="00AC6DEC" w:rsidRDefault="003B3771" w:rsidP="00494703">
            <w:pPr>
              <w:rPr>
                <w:rFonts w:ascii="Times New Roman" w:hAnsi="Times New Roman" w:cs="Times New Roman"/>
              </w:rPr>
            </w:pPr>
            <w:r w:rsidRPr="00AC6DEC">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32DC70E6" w14:textId="77777777" w:rsidR="003B3771" w:rsidRPr="00AC6DEC" w:rsidRDefault="003B3771" w:rsidP="008752BC">
            <w:pPr>
              <w:contextualSpacing/>
              <w:rPr>
                <w:rFonts w:ascii="Times New Roman" w:hAnsi="Times New Roman" w:cs="Times New Roman"/>
                <w:b/>
                <w:bCs/>
              </w:rPr>
            </w:pPr>
            <w:r w:rsidRPr="00AC6DEC">
              <w:rPr>
                <w:rFonts w:ascii="Times New Roman" w:hAnsi="Times New Roman" w:cs="Times New Roman"/>
                <w:b/>
                <w:bCs/>
              </w:rPr>
              <w:t>Question: Q0310_01</w:t>
            </w:r>
          </w:p>
          <w:p w14:paraId="4DE3F03C" w14:textId="77777777" w:rsidR="003B3771" w:rsidRPr="00AC6DEC" w:rsidRDefault="003B3771" w:rsidP="008752B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3C840EFB" w14:textId="77777777" w:rsidR="003B3771" w:rsidRPr="00AC6DEC" w:rsidRDefault="003B3771" w:rsidP="008752BC">
            <w:pPr>
              <w:rPr>
                <w:rFonts w:ascii="Times New Roman" w:hAnsi="Times New Roman" w:cs="Times New Roman"/>
              </w:rPr>
            </w:pPr>
          </w:p>
          <w:p w14:paraId="313F7D37" w14:textId="77777777" w:rsidR="003B3771" w:rsidRPr="00AC6DEC" w:rsidRDefault="003B3771" w:rsidP="008752B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6BB36C23" w14:textId="77777777" w:rsidR="003B3771" w:rsidRPr="00AC6DEC" w:rsidRDefault="003B3771" w:rsidP="008752BC">
            <w:pPr>
              <w:rPr>
                <w:rFonts w:ascii="Times New Roman" w:hAnsi="Times New Roman" w:cs="Times New Roman"/>
              </w:rPr>
            </w:pPr>
          </w:p>
          <w:p w14:paraId="5D486DA7" w14:textId="77777777" w:rsidR="003B3771" w:rsidRPr="00AC6DEC" w:rsidRDefault="003B3771" w:rsidP="008752B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3EA39215" w14:textId="77777777" w:rsidR="003B3771" w:rsidRPr="00AC6DEC" w:rsidRDefault="003B3771" w:rsidP="008752BC">
            <w:pPr>
              <w:contextualSpacing/>
              <w:rPr>
                <w:rFonts w:ascii="Times New Roman" w:hAnsi="Times New Roman" w:cs="Times New Roman"/>
                <w:b/>
                <w:bCs/>
              </w:rPr>
            </w:pPr>
          </w:p>
          <w:p w14:paraId="2428177B" w14:textId="77777777" w:rsidR="003B3771" w:rsidRPr="00AC6DEC" w:rsidRDefault="003B3771" w:rsidP="008752B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31199A15" w14:textId="77777777" w:rsidR="003B3771" w:rsidRPr="00AC6DEC" w:rsidRDefault="003B3771" w:rsidP="008752B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3E38EDA6" w14:textId="77777777" w:rsidR="003B3771" w:rsidRPr="00AC6DEC" w:rsidRDefault="003B3771" w:rsidP="008752BC">
            <w:pPr>
              <w:rPr>
                <w:rFonts w:ascii="Times New Roman" w:eastAsia="Times New Roman" w:hAnsi="Times New Roman" w:cs="Times New Roman"/>
              </w:rPr>
            </w:pPr>
          </w:p>
          <w:p w14:paraId="2901C0DD" w14:textId="77777777" w:rsidR="003B3771" w:rsidRPr="00AC6DEC" w:rsidRDefault="003B3771" w:rsidP="008752B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4350A3AB" w14:textId="77777777" w:rsidR="003B3771" w:rsidRPr="00AC6DEC" w:rsidRDefault="003B3771" w:rsidP="00A91CFC">
            <w:pPr>
              <w:contextualSpacing/>
              <w:rPr>
                <w:rFonts w:ascii="Times New Roman" w:hAnsi="Times New Roman" w:cs="Times New Roman"/>
                <w:b/>
                <w:bCs/>
              </w:rPr>
            </w:pPr>
          </w:p>
        </w:tc>
      </w:tr>
      <w:tr w:rsidR="003B3771" w:rsidRPr="00AC6DEC" w14:paraId="7C34CD5D" w14:textId="77777777" w:rsidTr="2A62FF34">
        <w:trPr>
          <w:jc w:val="center"/>
        </w:trPr>
        <w:tc>
          <w:tcPr>
            <w:tcW w:w="2157" w:type="dxa"/>
            <w:tcMar>
              <w:top w:w="72" w:type="dxa"/>
              <w:left w:w="115" w:type="dxa"/>
              <w:bottom w:w="72" w:type="dxa"/>
              <w:right w:w="115" w:type="dxa"/>
            </w:tcMar>
            <w:vAlign w:val="center"/>
          </w:tcPr>
          <w:p w14:paraId="2EEDD1D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74984CDE"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3.04</w:t>
            </w:r>
          </w:p>
          <w:p w14:paraId="11C9D517"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07009153" w14:textId="77777777" w:rsidR="003B3771" w:rsidRPr="00AC6DEC" w:rsidRDefault="003B3771" w:rsidP="009E7D8D">
            <w:pPr>
              <w:contextualSpacing/>
              <w:rPr>
                <w:rFonts w:ascii="Times New Roman" w:hAnsi="Times New Roman" w:cs="Times New Roman"/>
                <w:b/>
                <w:bCs/>
              </w:rPr>
            </w:pPr>
            <w:r w:rsidRPr="00AC6DEC">
              <w:rPr>
                <w:rFonts w:ascii="Times New Roman" w:hAnsi="Times New Roman" w:cs="Times New Roman"/>
                <w:b/>
                <w:bCs/>
              </w:rPr>
              <w:t>Question: Q0312_01</w:t>
            </w:r>
          </w:p>
          <w:p w14:paraId="3BD3D8F2" w14:textId="77777777" w:rsidR="003B3771" w:rsidRPr="00AC6DEC" w:rsidRDefault="003B3771" w:rsidP="009E7D8D">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w:t>
            </w:r>
            <w:r w:rsidRPr="00AC6DEC">
              <w:rPr>
                <w:rFonts w:ascii="Times New Roman" w:hAnsi="Times New Roman" w:cs="Times New Roman"/>
              </w:rPr>
              <w:lastRenderedPageBreak/>
              <w:t>Development while also meeting the 58% Deeper Targeting threshold if the calculation is based on "total residential units" vs. "total affordable units."</w:t>
            </w:r>
          </w:p>
          <w:p w14:paraId="493693CE" w14:textId="77777777" w:rsidR="003B3771" w:rsidRPr="00AC6DEC" w:rsidRDefault="003B3771" w:rsidP="009E7D8D">
            <w:pPr>
              <w:contextualSpacing/>
              <w:rPr>
                <w:rFonts w:ascii="Times New Roman" w:hAnsi="Times New Roman" w:cs="Times New Roman"/>
                <w:b/>
                <w:bCs/>
              </w:rPr>
            </w:pPr>
          </w:p>
          <w:p w14:paraId="4DD12226" w14:textId="77777777" w:rsidR="003B3771" w:rsidRPr="00AC6DEC" w:rsidRDefault="003B3771" w:rsidP="009E7D8D">
            <w:pPr>
              <w:contextualSpacing/>
              <w:rPr>
                <w:rFonts w:ascii="Times New Roman" w:hAnsi="Times New Roman" w:cs="Times New Roman"/>
              </w:rPr>
            </w:pPr>
            <w:r w:rsidRPr="00AC6DEC">
              <w:rPr>
                <w:rFonts w:ascii="Times New Roman" w:hAnsi="Times New Roman" w:cs="Times New Roman"/>
                <w:b/>
                <w:bCs/>
              </w:rPr>
              <w:t xml:space="preserve">Answer: </w:t>
            </w:r>
          </w:p>
          <w:p w14:paraId="6B17DD40" w14:textId="77777777" w:rsidR="003B3771" w:rsidRPr="00AC6DEC" w:rsidRDefault="003B3771" w:rsidP="009E7D8D">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0D8FCB1A" w14:textId="77777777" w:rsidR="003B3771" w:rsidRPr="00AC6DEC" w:rsidRDefault="003B3771" w:rsidP="009E7D8D">
            <w:pPr>
              <w:rPr>
                <w:rFonts w:ascii="Times New Roman" w:hAnsi="Times New Roman" w:cs="Times New Roman"/>
              </w:rPr>
            </w:pPr>
          </w:p>
          <w:p w14:paraId="606F58D2" w14:textId="77777777" w:rsidR="003B3771" w:rsidRPr="00AC6DEC" w:rsidRDefault="003B3771" w:rsidP="004154B1">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2AAF48DB" w14:textId="77777777" w:rsidR="003B3771" w:rsidRPr="00AC6DEC" w:rsidRDefault="003B3771" w:rsidP="009E7D8D">
            <w:pPr>
              <w:rPr>
                <w:rFonts w:ascii="Times New Roman" w:eastAsia="Times New Roman" w:hAnsi="Times New Roman" w:cs="Times New Roman"/>
                <w:i/>
                <w:iCs/>
              </w:rPr>
            </w:pPr>
          </w:p>
          <w:p w14:paraId="218AC7DC" w14:textId="77777777" w:rsidR="003B3771" w:rsidRPr="00AC6DEC" w:rsidRDefault="003B3771" w:rsidP="004154B1">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642215A4" w14:textId="77777777" w:rsidR="003B3771" w:rsidRPr="00AC6DEC" w:rsidRDefault="003B3771" w:rsidP="009E7D8D">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0AA522CD" w14:textId="77777777" w:rsidR="003B3771" w:rsidRPr="00AC6DEC" w:rsidRDefault="003B3771" w:rsidP="009E7D8D">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3B3771" w:rsidRPr="00AC6DEC" w14:paraId="64AE75E9" w14:textId="77777777" w:rsidTr="2A62FF34">
        <w:trPr>
          <w:jc w:val="center"/>
        </w:trPr>
        <w:tc>
          <w:tcPr>
            <w:tcW w:w="2157" w:type="dxa"/>
            <w:tcMar>
              <w:top w:w="72" w:type="dxa"/>
              <w:left w:w="115" w:type="dxa"/>
              <w:bottom w:w="72" w:type="dxa"/>
              <w:right w:w="115" w:type="dxa"/>
            </w:tcMar>
            <w:vAlign w:val="center"/>
          </w:tcPr>
          <w:p w14:paraId="10B7602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65F052EA" w14:textId="77777777" w:rsidR="003B3771" w:rsidRPr="00AC6DEC" w:rsidRDefault="003B3771" w:rsidP="007544CF">
            <w:pPr>
              <w:rPr>
                <w:rFonts w:ascii="Times New Roman" w:hAnsi="Times New Roman" w:cs="Times New Roman"/>
                <w:noProof/>
              </w:rPr>
            </w:pPr>
            <w:r w:rsidRPr="00AC6DEC">
              <w:rPr>
                <w:rFonts w:ascii="Times New Roman" w:hAnsi="Times New Roman" w:cs="Times New Roman"/>
                <w:noProof/>
              </w:rPr>
              <w:t>3.05</w:t>
            </w:r>
          </w:p>
          <w:p w14:paraId="4FA9D54A" w14:textId="77777777" w:rsidR="003B3771" w:rsidRPr="00AC6DEC" w:rsidRDefault="003B3771" w:rsidP="007544CF">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1686282" w14:textId="77777777" w:rsidR="003B3771" w:rsidRPr="00AC6DEC" w:rsidRDefault="003B3771" w:rsidP="005E028A">
            <w:pPr>
              <w:contextualSpacing/>
              <w:rPr>
                <w:rFonts w:ascii="Times New Roman" w:hAnsi="Times New Roman" w:cs="Times New Roman"/>
                <w:b/>
                <w:bCs/>
              </w:rPr>
            </w:pPr>
            <w:r w:rsidRPr="00AC6DEC">
              <w:rPr>
                <w:rFonts w:ascii="Times New Roman" w:hAnsi="Times New Roman" w:cs="Times New Roman"/>
                <w:b/>
                <w:bCs/>
              </w:rPr>
              <w:t>Question: Q0304_01</w:t>
            </w:r>
          </w:p>
          <w:p w14:paraId="5C97DAE9" w14:textId="77777777" w:rsidR="003B3771" w:rsidRPr="00AC6DEC" w:rsidRDefault="003B3771" w:rsidP="005E028A">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48B5F3A3" w14:textId="77777777" w:rsidR="003B3771" w:rsidRPr="00AC6DEC" w:rsidRDefault="003B3771" w:rsidP="005E028A">
            <w:pPr>
              <w:contextualSpacing/>
              <w:rPr>
                <w:rFonts w:ascii="Times New Roman" w:hAnsi="Times New Roman" w:cs="Times New Roman"/>
                <w:b/>
                <w:bCs/>
              </w:rPr>
            </w:pPr>
          </w:p>
          <w:p w14:paraId="075089A3" w14:textId="77777777" w:rsidR="003B3771" w:rsidRPr="00AC6DEC" w:rsidRDefault="003B3771" w:rsidP="005E028A">
            <w:pPr>
              <w:contextualSpacing/>
              <w:rPr>
                <w:rFonts w:ascii="Times New Roman" w:hAnsi="Times New Roman" w:cs="Times New Roman"/>
                <w:b/>
                <w:bCs/>
              </w:rPr>
            </w:pPr>
            <w:r w:rsidRPr="00AC6DEC">
              <w:rPr>
                <w:rFonts w:ascii="Times New Roman" w:hAnsi="Times New Roman" w:cs="Times New Roman"/>
                <w:b/>
                <w:bCs/>
              </w:rPr>
              <w:t xml:space="preserve">Answer: </w:t>
            </w:r>
          </w:p>
          <w:p w14:paraId="37BCE864" w14:textId="77777777" w:rsidR="003B3771" w:rsidRPr="00AC6DEC" w:rsidRDefault="003B3771" w:rsidP="005E028A">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652C0451" w14:textId="77777777" w:rsidR="003B3771" w:rsidRPr="00AC6DEC" w:rsidRDefault="003B3771" w:rsidP="008752BC">
            <w:pPr>
              <w:contextualSpacing/>
              <w:rPr>
                <w:rFonts w:ascii="Times New Roman" w:hAnsi="Times New Roman" w:cs="Times New Roman"/>
                <w:b/>
                <w:bCs/>
              </w:rPr>
            </w:pPr>
          </w:p>
        </w:tc>
      </w:tr>
      <w:tr w:rsidR="003B3771" w:rsidRPr="00AC6DEC" w14:paraId="6A0DCFDF" w14:textId="77777777" w:rsidTr="2A62FF34">
        <w:trPr>
          <w:jc w:val="center"/>
        </w:trPr>
        <w:tc>
          <w:tcPr>
            <w:tcW w:w="2157" w:type="dxa"/>
            <w:tcMar>
              <w:top w:w="72" w:type="dxa"/>
              <w:left w:w="115" w:type="dxa"/>
              <w:bottom w:w="72" w:type="dxa"/>
              <w:right w:w="115" w:type="dxa"/>
            </w:tcMar>
            <w:vAlign w:val="center"/>
          </w:tcPr>
          <w:p w14:paraId="13EE475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3734547D" w14:textId="77777777" w:rsidR="003B3771" w:rsidRPr="00AC6DEC" w:rsidRDefault="003B3771" w:rsidP="00494703">
            <w:pPr>
              <w:rPr>
                <w:rFonts w:ascii="Times New Roman" w:hAnsi="Times New Roman" w:cs="Times New Roman"/>
              </w:rPr>
            </w:pPr>
            <w:r w:rsidRPr="00AC6DEC">
              <w:rPr>
                <w:rFonts w:ascii="Times New Roman" w:hAnsi="Times New Roman" w:cs="Times New Roman"/>
              </w:rPr>
              <w:t>3.14</w:t>
            </w:r>
          </w:p>
          <w:p w14:paraId="6D99FE7F" w14:textId="77777777" w:rsidR="003B3771" w:rsidRPr="00AC6DEC" w:rsidRDefault="003B3771" w:rsidP="00494703">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47C54C17" w14:textId="77777777" w:rsidR="003B3771" w:rsidRPr="00AC6DEC" w:rsidRDefault="003B3771" w:rsidP="00A91CFC">
            <w:pPr>
              <w:contextualSpacing/>
              <w:rPr>
                <w:rFonts w:ascii="Times New Roman" w:hAnsi="Times New Roman" w:cs="Times New Roman"/>
                <w:b/>
                <w:bCs/>
              </w:rPr>
            </w:pPr>
            <w:r w:rsidRPr="00AC6DEC">
              <w:rPr>
                <w:rFonts w:ascii="Times New Roman" w:hAnsi="Times New Roman" w:cs="Times New Roman"/>
                <w:b/>
                <w:bCs/>
              </w:rPr>
              <w:t>Question: Q0309_02</w:t>
            </w:r>
          </w:p>
          <w:p w14:paraId="7704F53B" w14:textId="77777777" w:rsidR="003B3771" w:rsidRPr="00AC6DEC" w:rsidRDefault="003B3771" w:rsidP="00A91CF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1440C156" w14:textId="77777777" w:rsidR="003B3771" w:rsidRPr="00AC6DEC" w:rsidRDefault="003B3771" w:rsidP="00A91CFC">
            <w:pPr>
              <w:contextualSpacing/>
              <w:rPr>
                <w:rFonts w:ascii="Times New Roman" w:hAnsi="Times New Roman" w:cs="Times New Roman"/>
                <w:b/>
                <w:bCs/>
              </w:rPr>
            </w:pPr>
          </w:p>
          <w:p w14:paraId="1345BF1C" w14:textId="77777777" w:rsidR="003B3771" w:rsidRPr="00AC6DEC" w:rsidRDefault="003B3771" w:rsidP="00A91CFC">
            <w:pPr>
              <w:contextualSpacing/>
              <w:rPr>
                <w:rFonts w:ascii="Times New Roman" w:hAnsi="Times New Roman" w:cs="Times New Roman"/>
                <w:b/>
                <w:bCs/>
              </w:rPr>
            </w:pPr>
            <w:r w:rsidRPr="00AC6DEC">
              <w:rPr>
                <w:rFonts w:ascii="Times New Roman" w:hAnsi="Times New Roman" w:cs="Times New Roman"/>
                <w:b/>
                <w:bCs/>
              </w:rPr>
              <w:t xml:space="preserve">Answer: </w:t>
            </w:r>
          </w:p>
          <w:p w14:paraId="75C157DB" w14:textId="77777777" w:rsidR="003B3771" w:rsidRPr="00AC6DEC" w:rsidRDefault="003B3771" w:rsidP="00A91CF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22">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15545FBA" w14:textId="77777777" w:rsidR="003B3771" w:rsidRPr="00AC6DEC" w:rsidRDefault="003B3771" w:rsidP="00A91CFC">
            <w:pPr>
              <w:rPr>
                <w:rFonts w:ascii="Times New Roman" w:hAnsi="Times New Roman" w:cs="Times New Roman"/>
              </w:rPr>
            </w:pPr>
          </w:p>
          <w:p w14:paraId="60E91D16" w14:textId="77777777" w:rsidR="003B3771" w:rsidRPr="00AC6DEC" w:rsidRDefault="003B3771" w:rsidP="00316317">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3B3771" w:rsidRPr="00AC6DEC" w14:paraId="53BF9CB8" w14:textId="77777777" w:rsidTr="2A62FF34">
        <w:trPr>
          <w:jc w:val="center"/>
        </w:trPr>
        <w:tc>
          <w:tcPr>
            <w:tcW w:w="2157" w:type="dxa"/>
            <w:tcMar>
              <w:top w:w="72" w:type="dxa"/>
              <w:left w:w="115" w:type="dxa"/>
              <w:bottom w:w="72" w:type="dxa"/>
              <w:right w:w="115" w:type="dxa"/>
            </w:tcMar>
            <w:vAlign w:val="center"/>
          </w:tcPr>
          <w:p w14:paraId="2EEC9A05"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5DD7CE5" w14:textId="77777777" w:rsidR="003B3771" w:rsidRPr="00AC6DEC" w:rsidRDefault="003B3771" w:rsidP="0083488D">
            <w:pPr>
              <w:rPr>
                <w:rFonts w:ascii="Times New Roman" w:hAnsi="Times New Roman" w:cs="Times New Roman"/>
                <w:noProof/>
              </w:rPr>
            </w:pPr>
            <w:r w:rsidRPr="00AC6DEC">
              <w:rPr>
                <w:rFonts w:ascii="Times New Roman" w:hAnsi="Times New Roman" w:cs="Times New Roman"/>
                <w:noProof/>
              </w:rPr>
              <w:t>3.18</w:t>
            </w:r>
          </w:p>
          <w:p w14:paraId="5D0D372E" w14:textId="77777777" w:rsidR="003B3771" w:rsidRPr="00AC6DEC" w:rsidRDefault="003B3771" w:rsidP="0083488D">
            <w:pPr>
              <w:rPr>
                <w:rFonts w:ascii="Times New Roman" w:hAnsi="Times New Roman" w:cs="Times New Roman"/>
                <w:noProof/>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5F0ABF51" w14:textId="77777777" w:rsidR="003B3771" w:rsidRPr="00AC6DEC" w:rsidRDefault="003B3771" w:rsidP="00E7626E">
            <w:pPr>
              <w:contextualSpacing/>
              <w:rPr>
                <w:rFonts w:ascii="Times New Roman" w:hAnsi="Times New Roman" w:cs="Times New Roman"/>
                <w:b/>
                <w:bCs/>
              </w:rPr>
            </w:pPr>
            <w:r w:rsidRPr="00AC6DEC">
              <w:rPr>
                <w:rFonts w:ascii="Times New Roman" w:hAnsi="Times New Roman" w:cs="Times New Roman"/>
                <w:b/>
                <w:bCs/>
              </w:rPr>
              <w:lastRenderedPageBreak/>
              <w:t>Question: Q0309_01</w:t>
            </w:r>
          </w:p>
          <w:p w14:paraId="3A5A7DF0" w14:textId="77777777" w:rsidR="003B3771" w:rsidRPr="00AC6DEC" w:rsidRDefault="003B3771" w:rsidP="00E7626E">
            <w:pPr>
              <w:rPr>
                <w:rFonts w:ascii="Times New Roman" w:hAnsi="Times New Roman" w:cs="Times New Roman"/>
              </w:rPr>
            </w:pPr>
            <w:r w:rsidRPr="00AC6DEC">
              <w:rPr>
                <w:rFonts w:ascii="Times New Roman" w:hAnsi="Times New Roman" w:cs="Times New Roman"/>
              </w:rPr>
              <w:lastRenderedPageBreak/>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3C9E2F2A" w14:textId="77777777" w:rsidR="003B3771" w:rsidRPr="00AC6DEC" w:rsidRDefault="003B3771" w:rsidP="00E7626E">
            <w:r w:rsidRPr="00AC6DEC">
              <w:rPr>
                <w:rFonts w:ascii="Times New Roman" w:hAnsi="Times New Roman" w:cs="Times New Roman"/>
              </w:rPr>
              <w:t xml:space="preserve"> </w:t>
            </w:r>
          </w:p>
          <w:p w14:paraId="1B8422F8" w14:textId="77777777" w:rsidR="003B3771" w:rsidRPr="00AC6DEC" w:rsidRDefault="003B3771" w:rsidP="00E7626E">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373E4D3A" w14:textId="77777777" w:rsidR="003B3771" w:rsidRPr="00AC6DEC" w:rsidRDefault="003B3771" w:rsidP="00E7626E">
            <w:pPr>
              <w:contextualSpacing/>
              <w:rPr>
                <w:rFonts w:ascii="Times New Roman" w:hAnsi="Times New Roman" w:cs="Times New Roman"/>
                <w:b/>
                <w:bCs/>
              </w:rPr>
            </w:pPr>
          </w:p>
          <w:p w14:paraId="6C256855" w14:textId="77777777" w:rsidR="003B3771" w:rsidRPr="00AC6DEC" w:rsidRDefault="003B3771" w:rsidP="00E7626E">
            <w:pPr>
              <w:contextualSpacing/>
              <w:rPr>
                <w:rFonts w:ascii="Times New Roman" w:hAnsi="Times New Roman" w:cs="Times New Roman"/>
                <w:b/>
                <w:bCs/>
              </w:rPr>
            </w:pPr>
            <w:r w:rsidRPr="00AC6DEC">
              <w:rPr>
                <w:rFonts w:ascii="Times New Roman" w:hAnsi="Times New Roman" w:cs="Times New Roman"/>
                <w:b/>
                <w:bCs/>
              </w:rPr>
              <w:t xml:space="preserve">Answer: </w:t>
            </w:r>
          </w:p>
          <w:p w14:paraId="722082E8"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644AEC33" w14:textId="77777777" w:rsidR="003B3771" w:rsidRPr="00AC6DEC" w:rsidRDefault="003B3771" w:rsidP="00E7626E">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3B3771" w:rsidRPr="00AC6DEC" w14:paraId="3C330C70" w14:textId="77777777" w:rsidTr="00BA35D9">
              <w:trPr>
                <w:jc w:val="center"/>
              </w:trPr>
              <w:tc>
                <w:tcPr>
                  <w:tcW w:w="4320" w:type="dxa"/>
                </w:tcPr>
                <w:p w14:paraId="29544C5A" w14:textId="77777777" w:rsidR="003B3771" w:rsidRPr="00AC6DEC" w:rsidRDefault="003B3771" w:rsidP="00E7626E">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2201DAC9"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$2M</w:t>
                  </w:r>
                </w:p>
              </w:tc>
            </w:tr>
            <w:tr w:rsidR="003B3771" w:rsidRPr="00AC6DEC" w14:paraId="64F5BF92" w14:textId="77777777" w:rsidTr="00BA35D9">
              <w:trPr>
                <w:jc w:val="center"/>
              </w:trPr>
              <w:tc>
                <w:tcPr>
                  <w:tcW w:w="4320" w:type="dxa"/>
                </w:tcPr>
                <w:p w14:paraId="0D71001A" w14:textId="77777777" w:rsidR="003B3771" w:rsidRPr="00AC6DEC" w:rsidRDefault="003B3771" w:rsidP="00E7626E">
                  <w:pPr>
                    <w:contextualSpacing/>
                    <w:jc w:val="right"/>
                    <w:rPr>
                      <w:rFonts w:ascii="Times New Roman" w:hAnsi="Times New Roman" w:cs="Times New Roman"/>
                    </w:rPr>
                  </w:pPr>
                  <w:r w:rsidRPr="00AC6DEC">
                    <w:rPr>
                      <w:rFonts w:ascii="Times New Roman" w:hAnsi="Times New Roman" w:cs="Times New Roman"/>
                    </w:rPr>
                    <w:t xml:space="preserve">Loan from seller  </w:t>
                  </w:r>
                </w:p>
              </w:tc>
              <w:tc>
                <w:tcPr>
                  <w:tcW w:w="1980" w:type="dxa"/>
                </w:tcPr>
                <w:p w14:paraId="431DB000"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$5M</w:t>
                  </w:r>
                </w:p>
              </w:tc>
            </w:tr>
            <w:tr w:rsidR="003B3771" w:rsidRPr="00AC6DEC" w14:paraId="01083906" w14:textId="77777777" w:rsidTr="00BA35D9">
              <w:trPr>
                <w:jc w:val="center"/>
              </w:trPr>
              <w:tc>
                <w:tcPr>
                  <w:tcW w:w="4320" w:type="dxa"/>
                </w:tcPr>
                <w:p w14:paraId="42C3407F" w14:textId="77777777" w:rsidR="003B3771" w:rsidRPr="00AC6DEC" w:rsidRDefault="003B3771" w:rsidP="00E7626E">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578E16A9"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$5M - $2M = $3M</w:t>
                  </w:r>
                </w:p>
              </w:tc>
            </w:tr>
            <w:tr w:rsidR="003B3771" w:rsidRPr="00AC6DEC" w14:paraId="0E6AA496" w14:textId="77777777" w:rsidTr="00BA35D9">
              <w:trPr>
                <w:jc w:val="center"/>
              </w:trPr>
              <w:tc>
                <w:tcPr>
                  <w:tcW w:w="4320" w:type="dxa"/>
                </w:tcPr>
                <w:p w14:paraId="338056AD" w14:textId="77777777" w:rsidR="003B3771" w:rsidRPr="00AC6DEC" w:rsidRDefault="003B3771" w:rsidP="00E7626E">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5D89E6DD"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80</w:t>
                  </w:r>
                </w:p>
              </w:tc>
            </w:tr>
            <w:tr w:rsidR="003B3771" w:rsidRPr="00AC6DEC" w14:paraId="28F4FFB5" w14:textId="77777777" w:rsidTr="00BA35D9">
              <w:trPr>
                <w:jc w:val="center"/>
              </w:trPr>
              <w:tc>
                <w:tcPr>
                  <w:tcW w:w="4320" w:type="dxa"/>
                </w:tcPr>
                <w:p w14:paraId="2C38C6B1" w14:textId="77777777" w:rsidR="003B3771" w:rsidRPr="00AC6DEC" w:rsidRDefault="003B3771" w:rsidP="00E7626E">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192B309F"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$3M / 80 = $37,500</w:t>
                  </w:r>
                </w:p>
              </w:tc>
            </w:tr>
          </w:tbl>
          <w:p w14:paraId="5A028238" w14:textId="77777777" w:rsidR="003B3771" w:rsidRPr="00AC6DEC" w:rsidRDefault="003B3771" w:rsidP="00E7626E">
            <w:pPr>
              <w:contextualSpacing/>
              <w:rPr>
                <w:rFonts w:ascii="Times New Roman" w:hAnsi="Times New Roman" w:cs="Times New Roman"/>
              </w:rPr>
            </w:pPr>
          </w:p>
          <w:p w14:paraId="2D4A726A"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1C141EB5" w14:textId="77777777" w:rsidR="003B3771" w:rsidRPr="00AC6DEC" w:rsidRDefault="003B3771" w:rsidP="00E7626E">
            <w:pPr>
              <w:contextualSpacing/>
              <w:rPr>
                <w:rFonts w:ascii="Times New Roman" w:hAnsi="Times New Roman" w:cs="Times New Roman"/>
              </w:rPr>
            </w:pPr>
          </w:p>
          <w:p w14:paraId="4AEAC332" w14:textId="77777777" w:rsidR="003B3771" w:rsidRPr="00AC6DEC" w:rsidRDefault="003B3771" w:rsidP="00E7626E">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2B4F2CE8" w14:textId="77777777" w:rsidR="003B3771" w:rsidRPr="00AC6DEC" w:rsidRDefault="003B3771" w:rsidP="0080038E">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177A8EA9" w14:textId="77777777" w:rsidR="003B3771" w:rsidRPr="00AC6DEC" w:rsidRDefault="003B3771" w:rsidP="005E028A">
            <w:pPr>
              <w:contextualSpacing/>
              <w:rPr>
                <w:rFonts w:ascii="Times New Roman" w:hAnsi="Times New Roman" w:cs="Times New Roman"/>
                <w:b/>
                <w:bCs/>
              </w:rPr>
            </w:pPr>
          </w:p>
        </w:tc>
      </w:tr>
      <w:tr w:rsidR="003B3771" w:rsidRPr="00AC6DEC" w14:paraId="05F44EEC" w14:textId="77777777" w:rsidTr="2A62FF34">
        <w:trPr>
          <w:jc w:val="center"/>
        </w:trPr>
        <w:tc>
          <w:tcPr>
            <w:tcW w:w="2157" w:type="dxa"/>
            <w:tcMar>
              <w:top w:w="72" w:type="dxa"/>
              <w:left w:w="115" w:type="dxa"/>
              <w:bottom w:w="72" w:type="dxa"/>
              <w:right w:w="115" w:type="dxa"/>
            </w:tcMar>
            <w:vAlign w:val="center"/>
          </w:tcPr>
          <w:p w14:paraId="78EC28F0"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16EB872F"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3.18</w:t>
            </w:r>
          </w:p>
          <w:p w14:paraId="64ADE3A0" w14:textId="77777777" w:rsidR="003B3771" w:rsidRPr="00AC6DEC" w:rsidRDefault="003B3771" w:rsidP="007A6EA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E024AE3" w14:textId="77777777" w:rsidR="003B3771" w:rsidRPr="00AC6DEC" w:rsidRDefault="003B3771" w:rsidP="002731FC">
            <w:pPr>
              <w:contextualSpacing/>
              <w:rPr>
                <w:rFonts w:ascii="Times New Roman" w:hAnsi="Times New Roman" w:cs="Times New Roman"/>
                <w:b/>
                <w:bCs/>
              </w:rPr>
            </w:pPr>
            <w:r w:rsidRPr="00AC6DEC">
              <w:rPr>
                <w:rFonts w:ascii="Times New Roman" w:hAnsi="Times New Roman" w:cs="Times New Roman"/>
                <w:b/>
                <w:bCs/>
              </w:rPr>
              <w:t>Question: Q0303_01c</w:t>
            </w:r>
          </w:p>
          <w:p w14:paraId="38FFD788" w14:textId="77777777" w:rsidR="003B3771" w:rsidRPr="00AC6DEC" w:rsidRDefault="003B3771" w:rsidP="002731F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49FC59FE" w14:textId="77777777" w:rsidR="003B3771" w:rsidRPr="00AC6DEC" w:rsidRDefault="003B3771" w:rsidP="002731FC">
            <w:pPr>
              <w:contextualSpacing/>
              <w:rPr>
                <w:rFonts w:ascii="Times New Roman" w:hAnsi="Times New Roman" w:cs="Times New Roman"/>
                <w:b/>
                <w:bCs/>
              </w:rPr>
            </w:pPr>
          </w:p>
          <w:p w14:paraId="71153A17" w14:textId="77777777" w:rsidR="003B3771" w:rsidRPr="00AC6DEC" w:rsidRDefault="003B3771" w:rsidP="002731FC">
            <w:pPr>
              <w:contextualSpacing/>
              <w:rPr>
                <w:rFonts w:ascii="Times New Roman" w:hAnsi="Times New Roman" w:cs="Times New Roman"/>
                <w:b/>
                <w:bCs/>
              </w:rPr>
            </w:pPr>
            <w:r w:rsidRPr="00AC6DEC">
              <w:rPr>
                <w:rFonts w:ascii="Times New Roman" w:hAnsi="Times New Roman" w:cs="Times New Roman"/>
                <w:b/>
                <w:bCs/>
              </w:rPr>
              <w:t xml:space="preserve">Answer: </w:t>
            </w:r>
          </w:p>
          <w:p w14:paraId="566275DF" w14:textId="77777777" w:rsidR="003B3771" w:rsidRPr="00AC6DEC" w:rsidRDefault="003B3771" w:rsidP="002731F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1A50CD0C" w14:textId="77777777" w:rsidR="003B3771" w:rsidRPr="00AC6DEC" w:rsidRDefault="003B3771" w:rsidP="002731FC">
            <w:pPr>
              <w:contextualSpacing/>
              <w:rPr>
                <w:rFonts w:ascii="Times New Roman" w:hAnsi="Times New Roman" w:cs="Times New Roman"/>
              </w:rPr>
            </w:pPr>
          </w:p>
          <w:p w14:paraId="28D70174" w14:textId="77777777" w:rsidR="003B3771" w:rsidRPr="00AC6DEC" w:rsidRDefault="003B3771" w:rsidP="002731F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5B5F8C8A" w14:textId="77777777" w:rsidR="003B3771" w:rsidRPr="00AC6DEC" w:rsidRDefault="003B3771" w:rsidP="002731FC">
            <w:pPr>
              <w:contextualSpacing/>
              <w:rPr>
                <w:rFonts w:ascii="Times New Roman" w:hAnsi="Times New Roman" w:cs="Times New Roman"/>
              </w:rPr>
            </w:pPr>
          </w:p>
          <w:p w14:paraId="7B9F7C52" w14:textId="77777777" w:rsidR="003B3771" w:rsidRPr="00AC6DEC" w:rsidRDefault="003B3771" w:rsidP="002731F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30714F19" w14:textId="77777777" w:rsidR="003B3771" w:rsidRPr="00AC6DEC" w:rsidRDefault="003B3771" w:rsidP="006A1439">
            <w:pPr>
              <w:contextualSpacing/>
              <w:rPr>
                <w:rFonts w:ascii="Times New Roman" w:hAnsi="Times New Roman" w:cs="Times New Roman"/>
                <w:b/>
                <w:bCs/>
              </w:rPr>
            </w:pPr>
          </w:p>
        </w:tc>
      </w:tr>
      <w:tr w:rsidR="003B3771" w:rsidRPr="00AC6DEC" w14:paraId="50BA07AD" w14:textId="77777777" w:rsidTr="2A62FF34">
        <w:trPr>
          <w:jc w:val="center"/>
        </w:trPr>
        <w:tc>
          <w:tcPr>
            <w:tcW w:w="2157" w:type="dxa"/>
            <w:tcMar>
              <w:top w:w="72" w:type="dxa"/>
              <w:left w:w="115" w:type="dxa"/>
              <w:bottom w:w="72" w:type="dxa"/>
              <w:right w:w="115" w:type="dxa"/>
            </w:tcMar>
            <w:vAlign w:val="center"/>
          </w:tcPr>
          <w:p w14:paraId="0884693D"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AC5F0CC"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1.12</w:t>
            </w:r>
          </w:p>
          <w:p w14:paraId="76B39F51"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63F3E521" w14:textId="77777777" w:rsidR="003B3771" w:rsidRPr="00AC6DEC" w:rsidRDefault="003B3771" w:rsidP="00353DB1">
            <w:pPr>
              <w:contextualSpacing/>
              <w:rPr>
                <w:rFonts w:ascii="Times New Roman" w:hAnsi="Times New Roman" w:cs="Times New Roman"/>
                <w:b/>
                <w:bCs/>
              </w:rPr>
            </w:pPr>
            <w:r w:rsidRPr="00AC6DEC">
              <w:rPr>
                <w:rFonts w:ascii="Times New Roman" w:hAnsi="Times New Roman" w:cs="Times New Roman"/>
                <w:b/>
                <w:bCs/>
              </w:rPr>
              <w:t>Question: Q0222_03b</w:t>
            </w:r>
          </w:p>
          <w:p w14:paraId="1EAA02D3" w14:textId="77777777" w:rsidR="003B3771" w:rsidRPr="00AC6DEC" w:rsidRDefault="003B3771" w:rsidP="00353DB1">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7B3B1857" w14:textId="77777777" w:rsidR="003B3771" w:rsidRPr="00AC6DEC" w:rsidRDefault="003B3771" w:rsidP="00353DB1">
            <w:pPr>
              <w:contextualSpacing/>
              <w:rPr>
                <w:rFonts w:ascii="Times New Roman" w:hAnsi="Times New Roman" w:cs="Times New Roman"/>
                <w:b/>
                <w:bCs/>
              </w:rPr>
            </w:pPr>
          </w:p>
          <w:p w14:paraId="2521AA95" w14:textId="77777777" w:rsidR="003B3771" w:rsidRPr="00AC6DEC" w:rsidRDefault="003B3771" w:rsidP="00353DB1">
            <w:pPr>
              <w:contextualSpacing/>
              <w:rPr>
                <w:rFonts w:ascii="Times New Roman" w:hAnsi="Times New Roman" w:cs="Times New Roman"/>
                <w:b/>
                <w:bCs/>
              </w:rPr>
            </w:pPr>
            <w:r w:rsidRPr="00AC6DEC">
              <w:rPr>
                <w:rFonts w:ascii="Times New Roman" w:hAnsi="Times New Roman" w:cs="Times New Roman"/>
                <w:b/>
                <w:bCs/>
              </w:rPr>
              <w:t xml:space="preserve">Answer: </w:t>
            </w:r>
          </w:p>
          <w:p w14:paraId="1799DC0A" w14:textId="77777777" w:rsidR="003B3771" w:rsidRPr="00AC6DEC" w:rsidRDefault="003B3771" w:rsidP="00353DB1">
            <w:pPr>
              <w:rPr>
                <w:rFonts w:ascii="Times New Roman" w:hAnsi="Times New Roman" w:cs="Times New Roman"/>
                <w:lang w:val="fr-FR"/>
              </w:rPr>
            </w:pPr>
            <w:r w:rsidRPr="00AC6DEC">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049B312C" w14:textId="77777777" w:rsidR="003B3771" w:rsidRPr="00AC6DEC" w:rsidRDefault="003B3771" w:rsidP="00096554">
            <w:pPr>
              <w:contextualSpacing/>
              <w:rPr>
                <w:rFonts w:ascii="Times New Roman" w:hAnsi="Times New Roman" w:cs="Times New Roman"/>
                <w:b/>
                <w:bCs/>
              </w:rPr>
            </w:pPr>
          </w:p>
        </w:tc>
      </w:tr>
      <w:tr w:rsidR="003B3771" w:rsidRPr="00AC6DEC" w14:paraId="4DA23EE7" w14:textId="77777777" w:rsidTr="2A62FF34">
        <w:trPr>
          <w:jc w:val="center"/>
        </w:trPr>
        <w:tc>
          <w:tcPr>
            <w:tcW w:w="2157" w:type="dxa"/>
            <w:tcMar>
              <w:top w:w="72" w:type="dxa"/>
              <w:left w:w="115" w:type="dxa"/>
              <w:bottom w:w="72" w:type="dxa"/>
              <w:right w:w="115" w:type="dxa"/>
            </w:tcMar>
            <w:vAlign w:val="center"/>
          </w:tcPr>
          <w:p w14:paraId="0BC55583"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C6E3804"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 xml:space="preserve">1.18 </w:t>
            </w:r>
          </w:p>
          <w:p w14:paraId="1B67B87D"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751D4E60" w14:textId="77777777" w:rsidR="003B3771" w:rsidRPr="00AC6DEC" w:rsidRDefault="003B3771" w:rsidP="00496909">
            <w:pPr>
              <w:contextualSpacing/>
              <w:rPr>
                <w:rFonts w:ascii="Times New Roman" w:hAnsi="Times New Roman" w:cs="Times New Roman"/>
                <w:b/>
                <w:bCs/>
              </w:rPr>
            </w:pPr>
            <w:r w:rsidRPr="00AC6DEC">
              <w:rPr>
                <w:rFonts w:ascii="Times New Roman" w:hAnsi="Times New Roman" w:cs="Times New Roman"/>
                <w:b/>
                <w:bCs/>
              </w:rPr>
              <w:t>Question: Q0224_04</w:t>
            </w:r>
          </w:p>
          <w:p w14:paraId="0054B735" w14:textId="77777777" w:rsidR="003B3771" w:rsidRPr="00AC6DEC" w:rsidRDefault="003B3771" w:rsidP="00496909">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4D052952" w14:textId="77777777" w:rsidR="003B3771" w:rsidRPr="00AC6DEC" w:rsidRDefault="003B3771" w:rsidP="00496909">
            <w:pPr>
              <w:contextualSpacing/>
              <w:rPr>
                <w:rFonts w:ascii="Times New Roman" w:hAnsi="Times New Roman" w:cs="Times New Roman"/>
                <w:b/>
                <w:bCs/>
              </w:rPr>
            </w:pPr>
          </w:p>
          <w:p w14:paraId="5A0F0A0D" w14:textId="77777777" w:rsidR="003B3771" w:rsidRPr="00AC6DEC" w:rsidRDefault="003B3771" w:rsidP="00496909">
            <w:pPr>
              <w:rPr>
                <w:rFonts w:ascii="Times New Roman" w:hAnsi="Times New Roman" w:cs="Times New Roman"/>
                <w:b/>
                <w:bCs/>
              </w:rPr>
            </w:pPr>
            <w:r w:rsidRPr="00AC6DEC">
              <w:rPr>
                <w:rFonts w:ascii="Times New Roman" w:hAnsi="Times New Roman" w:cs="Times New Roman"/>
                <w:b/>
                <w:bCs/>
              </w:rPr>
              <w:t xml:space="preserve">Answer: </w:t>
            </w:r>
          </w:p>
          <w:p w14:paraId="0E018618" w14:textId="77777777" w:rsidR="003B3771" w:rsidRPr="00AC6DEC" w:rsidRDefault="003B3771" w:rsidP="00496909">
            <w:r w:rsidRPr="00AC6DEC">
              <w:rPr>
                <w:rFonts w:ascii="Times New Roman" w:hAnsi="Times New Roman" w:cs="Times New Roman"/>
              </w:rPr>
              <w:t>It is possible, but not a guarantee, both will be funded.</w:t>
            </w:r>
          </w:p>
          <w:p w14:paraId="6B81F360" w14:textId="77777777" w:rsidR="003B3771" w:rsidRPr="00AC6DEC" w:rsidRDefault="003B3771" w:rsidP="00496909">
            <w:pPr>
              <w:rPr>
                <w:rFonts w:ascii="Times New Roman" w:hAnsi="Times New Roman" w:cs="Times New Roman"/>
              </w:rPr>
            </w:pPr>
          </w:p>
          <w:p w14:paraId="73628D9A" w14:textId="77777777" w:rsidR="003B3771" w:rsidRPr="00AC6DEC" w:rsidRDefault="003B3771" w:rsidP="00496909">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26DF4428" w14:textId="77777777" w:rsidR="003B3771" w:rsidRPr="00AC6DEC" w:rsidRDefault="003B3771" w:rsidP="00496909">
            <w:pPr>
              <w:rPr>
                <w:rFonts w:ascii="Times New Roman" w:eastAsia="Times New Roman" w:hAnsi="Times New Roman" w:cs="Times New Roman"/>
              </w:rPr>
            </w:pPr>
          </w:p>
          <w:p w14:paraId="5E468C12" w14:textId="77777777" w:rsidR="003B3771" w:rsidRPr="00AC6DEC" w:rsidRDefault="003B3771" w:rsidP="00496909">
            <w:pPr>
              <w:rPr>
                <w:rFonts w:ascii="Times New Roman" w:eastAsia="Times New Roman" w:hAnsi="Times New Roman" w:cs="Times New Roman"/>
              </w:rPr>
            </w:pPr>
            <w:r w:rsidRPr="00AC6DEC">
              <w:rPr>
                <w:rFonts w:ascii="Times New Roman" w:eastAsia="Times New Roman" w:hAnsi="Times New Roman" w:cs="Times New Roman"/>
              </w:rPr>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53786AB3" w14:textId="77777777" w:rsidR="003B3771" w:rsidRPr="00AC6DEC" w:rsidRDefault="003B3771" w:rsidP="00353DB1">
            <w:pPr>
              <w:contextualSpacing/>
              <w:rPr>
                <w:rFonts w:ascii="Times New Roman" w:hAnsi="Times New Roman" w:cs="Times New Roman"/>
                <w:b/>
                <w:bCs/>
              </w:rPr>
            </w:pPr>
          </w:p>
        </w:tc>
      </w:tr>
      <w:tr w:rsidR="003B3771" w:rsidRPr="00AC6DEC" w14:paraId="4403E17C" w14:textId="77777777" w:rsidTr="2A62FF34">
        <w:trPr>
          <w:jc w:val="center"/>
        </w:trPr>
        <w:tc>
          <w:tcPr>
            <w:tcW w:w="2157" w:type="dxa"/>
            <w:tcMar>
              <w:top w:w="72" w:type="dxa"/>
              <w:left w:w="115" w:type="dxa"/>
              <w:bottom w:w="72" w:type="dxa"/>
              <w:right w:w="115" w:type="dxa"/>
            </w:tcMar>
            <w:vAlign w:val="center"/>
          </w:tcPr>
          <w:p w14:paraId="6453F0A5"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0343C3C9" w14:textId="77777777" w:rsidR="003B3771" w:rsidRPr="00AC6DEC" w:rsidRDefault="003B3771" w:rsidP="00A12C03">
            <w:pPr>
              <w:rPr>
                <w:rFonts w:ascii="Times New Roman" w:hAnsi="Times New Roman" w:cs="Times New Roman"/>
                <w:noProof/>
              </w:rPr>
            </w:pPr>
            <w:r w:rsidRPr="00AC6DEC">
              <w:rPr>
                <w:rFonts w:ascii="Times New Roman" w:hAnsi="Times New Roman" w:cs="Times New Roman"/>
                <w:noProof/>
              </w:rPr>
              <w:t>3.05</w:t>
            </w:r>
          </w:p>
          <w:p w14:paraId="59BAA154" w14:textId="77777777" w:rsidR="003B3771" w:rsidRPr="00AC6DEC" w:rsidRDefault="003B3771" w:rsidP="00A12C03">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67CBECE8" w14:textId="77777777" w:rsidR="003B3771" w:rsidRPr="00AC6DEC" w:rsidRDefault="003B3771" w:rsidP="00454938">
            <w:pPr>
              <w:contextualSpacing/>
              <w:rPr>
                <w:rFonts w:ascii="Times New Roman" w:hAnsi="Times New Roman" w:cs="Times New Roman"/>
                <w:b/>
                <w:bCs/>
              </w:rPr>
            </w:pPr>
            <w:r w:rsidRPr="00AC6DEC">
              <w:rPr>
                <w:rFonts w:ascii="Times New Roman" w:hAnsi="Times New Roman" w:cs="Times New Roman"/>
                <w:b/>
                <w:bCs/>
              </w:rPr>
              <w:lastRenderedPageBreak/>
              <w:t>Question: Q0226_05</w:t>
            </w:r>
          </w:p>
          <w:p w14:paraId="154C6583" w14:textId="77777777" w:rsidR="003B3771" w:rsidRPr="00AC6DEC" w:rsidRDefault="003B3771" w:rsidP="00454938">
            <w:r w:rsidRPr="00AC6DEC">
              <w:rPr>
                <w:rFonts w:ascii="Times New Roman" w:hAnsi="Times New Roman" w:cs="Times New Roman"/>
              </w:rPr>
              <w:lastRenderedPageBreak/>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2EDF1547" w14:textId="77777777" w:rsidR="003B3771" w:rsidRPr="00AC6DEC" w:rsidRDefault="003B3771" w:rsidP="00454938">
            <w:pPr>
              <w:contextualSpacing/>
              <w:rPr>
                <w:rFonts w:ascii="Times New Roman" w:hAnsi="Times New Roman" w:cs="Times New Roman"/>
                <w:b/>
                <w:bCs/>
              </w:rPr>
            </w:pPr>
          </w:p>
          <w:p w14:paraId="3F401198" w14:textId="77777777" w:rsidR="003B3771" w:rsidRPr="00AC6DEC" w:rsidRDefault="003B3771" w:rsidP="00454938">
            <w:pPr>
              <w:rPr>
                <w:rFonts w:ascii="Times New Roman" w:hAnsi="Times New Roman" w:cs="Times New Roman"/>
                <w:b/>
                <w:bCs/>
              </w:rPr>
            </w:pPr>
            <w:r w:rsidRPr="00AC6DEC">
              <w:rPr>
                <w:rFonts w:ascii="Times New Roman" w:hAnsi="Times New Roman" w:cs="Times New Roman"/>
                <w:b/>
                <w:bCs/>
              </w:rPr>
              <w:t xml:space="preserve">Answer: </w:t>
            </w:r>
          </w:p>
          <w:p w14:paraId="17EFD507" w14:textId="77777777" w:rsidR="003B3771" w:rsidRPr="00AC6DEC" w:rsidRDefault="003B3771" w:rsidP="00454938">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66CC3B17" w14:textId="77777777" w:rsidR="003B3771" w:rsidRPr="00AC6DEC" w:rsidRDefault="003B3771" w:rsidP="00496909">
            <w:pPr>
              <w:contextualSpacing/>
              <w:rPr>
                <w:rFonts w:ascii="Times New Roman" w:hAnsi="Times New Roman" w:cs="Times New Roman"/>
                <w:b/>
                <w:bCs/>
              </w:rPr>
            </w:pPr>
          </w:p>
        </w:tc>
      </w:tr>
      <w:tr w:rsidR="003B3771" w:rsidRPr="00AC6DEC" w14:paraId="6A6C2A25" w14:textId="77777777" w:rsidTr="2A62FF34">
        <w:trPr>
          <w:jc w:val="center"/>
        </w:trPr>
        <w:tc>
          <w:tcPr>
            <w:tcW w:w="2157" w:type="dxa"/>
            <w:tcMar>
              <w:top w:w="72" w:type="dxa"/>
              <w:left w:w="115" w:type="dxa"/>
              <w:bottom w:w="72" w:type="dxa"/>
              <w:right w:w="115" w:type="dxa"/>
            </w:tcMar>
            <w:vAlign w:val="center"/>
          </w:tcPr>
          <w:p w14:paraId="63EE1CC0"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0D1CF43"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3.05</w:t>
            </w:r>
          </w:p>
          <w:p w14:paraId="4C090B31" w14:textId="77777777" w:rsidR="003B3771" w:rsidRPr="00AC6DEC" w:rsidRDefault="003B3771" w:rsidP="006D26C1">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1FF2614" w14:textId="77777777" w:rsidR="003B3771" w:rsidRPr="00AC6DEC" w:rsidRDefault="003B3771" w:rsidP="00096554">
            <w:pPr>
              <w:contextualSpacing/>
              <w:rPr>
                <w:rFonts w:ascii="Times New Roman" w:hAnsi="Times New Roman" w:cs="Times New Roman"/>
                <w:b/>
                <w:bCs/>
              </w:rPr>
            </w:pPr>
            <w:r w:rsidRPr="00AC6DEC">
              <w:rPr>
                <w:rFonts w:ascii="Times New Roman" w:hAnsi="Times New Roman" w:cs="Times New Roman"/>
                <w:b/>
                <w:bCs/>
              </w:rPr>
              <w:t>Question: Q0204_01</w:t>
            </w:r>
          </w:p>
          <w:p w14:paraId="0464877D" w14:textId="77777777" w:rsidR="003B3771" w:rsidRPr="00AC6DEC" w:rsidRDefault="003B3771" w:rsidP="00096554">
            <w:pPr>
              <w:rPr>
                <w:rFonts w:ascii="Times New Roman" w:hAnsi="Times New Roman" w:cs="Times New Roman"/>
              </w:rPr>
            </w:pPr>
            <w:r w:rsidRPr="00AC6DEC">
              <w:rPr>
                <w:rFonts w:ascii="Times New Roman" w:hAnsi="Times New Roman" w:cs="Times New Roman"/>
              </w:rPr>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1FAE7F0F" w14:textId="77777777" w:rsidR="003B3771" w:rsidRPr="00AC6DEC" w:rsidRDefault="003B3771" w:rsidP="00096554">
            <w:pPr>
              <w:contextualSpacing/>
              <w:rPr>
                <w:rFonts w:ascii="Times New Roman" w:hAnsi="Times New Roman" w:cs="Times New Roman"/>
                <w:b/>
                <w:bCs/>
              </w:rPr>
            </w:pPr>
          </w:p>
          <w:p w14:paraId="044D2238" w14:textId="77777777" w:rsidR="003B3771" w:rsidRPr="00AC6DEC" w:rsidRDefault="003B3771" w:rsidP="00096554">
            <w:pPr>
              <w:contextualSpacing/>
              <w:rPr>
                <w:rFonts w:ascii="Times New Roman" w:hAnsi="Times New Roman" w:cs="Times New Roman"/>
                <w:b/>
                <w:bCs/>
              </w:rPr>
            </w:pPr>
            <w:r w:rsidRPr="00AC6DEC">
              <w:rPr>
                <w:rFonts w:ascii="Times New Roman" w:hAnsi="Times New Roman" w:cs="Times New Roman"/>
                <w:b/>
                <w:bCs/>
              </w:rPr>
              <w:t xml:space="preserve">Answer: </w:t>
            </w:r>
          </w:p>
          <w:p w14:paraId="1E266190" w14:textId="77777777" w:rsidR="003B3771" w:rsidRPr="00AC6DEC" w:rsidRDefault="003B3771" w:rsidP="00096554">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41799306" w14:textId="77777777" w:rsidR="003B3771" w:rsidRPr="00AC6DEC" w:rsidRDefault="003B3771" w:rsidP="00096554">
            <w:pPr>
              <w:contextualSpacing/>
              <w:rPr>
                <w:rFonts w:ascii="Times New Roman" w:hAnsi="Times New Roman" w:cs="Times New Roman"/>
              </w:rPr>
            </w:pPr>
          </w:p>
          <w:p w14:paraId="700A327B" w14:textId="77777777" w:rsidR="003B3771" w:rsidRPr="00AC6DEC" w:rsidRDefault="003B3771" w:rsidP="00096554">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23"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23F88B3" w14:textId="77777777" w:rsidR="003B3771" w:rsidRPr="00AC6DEC" w:rsidRDefault="003B3771" w:rsidP="008906D4">
            <w:pPr>
              <w:contextualSpacing/>
              <w:rPr>
                <w:rFonts w:ascii="Times New Roman" w:hAnsi="Times New Roman" w:cs="Times New Roman"/>
                <w:b/>
                <w:bCs/>
              </w:rPr>
            </w:pPr>
          </w:p>
        </w:tc>
      </w:tr>
      <w:tr w:rsidR="003B3771" w:rsidRPr="00AC6DEC" w14:paraId="2D8D51A3" w14:textId="77777777" w:rsidTr="2A62FF34">
        <w:trPr>
          <w:jc w:val="center"/>
        </w:trPr>
        <w:tc>
          <w:tcPr>
            <w:tcW w:w="2157" w:type="dxa"/>
            <w:tcMar>
              <w:top w:w="72" w:type="dxa"/>
              <w:left w:w="115" w:type="dxa"/>
              <w:bottom w:w="72" w:type="dxa"/>
              <w:right w:w="115" w:type="dxa"/>
            </w:tcMar>
            <w:vAlign w:val="center"/>
          </w:tcPr>
          <w:p w14:paraId="5299B597"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6DD84E20" w14:textId="77777777" w:rsidR="003B3771" w:rsidRPr="00AC6DEC" w:rsidRDefault="003B3771" w:rsidP="00B3598B">
            <w:pPr>
              <w:rPr>
                <w:rFonts w:ascii="Times New Roman" w:hAnsi="Times New Roman" w:cs="Times New Roman"/>
                <w:noProof/>
              </w:rPr>
            </w:pPr>
            <w:r w:rsidRPr="00AC6DEC">
              <w:rPr>
                <w:rFonts w:ascii="Times New Roman" w:hAnsi="Times New Roman" w:cs="Times New Roman"/>
                <w:noProof/>
              </w:rPr>
              <w:t>3.06</w:t>
            </w:r>
          </w:p>
          <w:p w14:paraId="1E3A0D86" w14:textId="77777777" w:rsidR="003B3771" w:rsidRPr="00AC6DEC" w:rsidRDefault="003B3771" w:rsidP="00B3598B">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342596BC" w14:textId="77777777" w:rsidR="003B3771" w:rsidRPr="00AC6DEC" w:rsidRDefault="003B3771" w:rsidP="004D64C8">
            <w:pPr>
              <w:contextualSpacing/>
              <w:rPr>
                <w:rFonts w:ascii="Times New Roman" w:hAnsi="Times New Roman" w:cs="Times New Roman"/>
                <w:b/>
                <w:bCs/>
              </w:rPr>
            </w:pPr>
            <w:r w:rsidRPr="00AC6DEC">
              <w:rPr>
                <w:rFonts w:ascii="Times New Roman" w:hAnsi="Times New Roman" w:cs="Times New Roman"/>
                <w:b/>
                <w:bCs/>
              </w:rPr>
              <w:t>Question: Q0226_06</w:t>
            </w:r>
          </w:p>
          <w:p w14:paraId="211487F6" w14:textId="77777777" w:rsidR="003B3771" w:rsidRPr="00AC6DEC" w:rsidRDefault="003B3771" w:rsidP="004D64C8">
            <w:r w:rsidRPr="00AC6DEC">
              <w:rPr>
                <w:rFonts w:ascii="Times New Roman" w:hAnsi="Times New Roman" w:cs="Times New Roman"/>
              </w:rPr>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2BB09DCB" w14:textId="77777777" w:rsidR="003B3771" w:rsidRPr="00AC6DEC" w:rsidRDefault="003B3771" w:rsidP="004D64C8">
            <w:pPr>
              <w:contextualSpacing/>
              <w:rPr>
                <w:rFonts w:ascii="Times New Roman" w:hAnsi="Times New Roman" w:cs="Times New Roman"/>
                <w:b/>
                <w:bCs/>
              </w:rPr>
            </w:pPr>
          </w:p>
          <w:p w14:paraId="31A23BC8" w14:textId="77777777" w:rsidR="003B3771" w:rsidRPr="00AC6DEC" w:rsidRDefault="003B3771" w:rsidP="004D64C8">
            <w:pPr>
              <w:rPr>
                <w:rFonts w:ascii="Times New Roman" w:hAnsi="Times New Roman" w:cs="Times New Roman"/>
                <w:b/>
                <w:bCs/>
              </w:rPr>
            </w:pPr>
            <w:r w:rsidRPr="00AC6DEC">
              <w:rPr>
                <w:rFonts w:ascii="Times New Roman" w:hAnsi="Times New Roman" w:cs="Times New Roman"/>
                <w:b/>
                <w:bCs/>
              </w:rPr>
              <w:t xml:space="preserve">Answer: </w:t>
            </w:r>
          </w:p>
          <w:p w14:paraId="37DC22A0" w14:textId="77777777" w:rsidR="003B3771" w:rsidRPr="00AC6DEC" w:rsidRDefault="003B3771" w:rsidP="004D64C8">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13292C18" w14:textId="77777777" w:rsidR="003B3771" w:rsidRPr="00AC6DEC" w:rsidRDefault="003B3771" w:rsidP="00331F65">
            <w:pPr>
              <w:contextualSpacing/>
              <w:rPr>
                <w:rFonts w:ascii="Times New Roman" w:hAnsi="Times New Roman" w:cs="Times New Roman"/>
                <w:b/>
                <w:bCs/>
              </w:rPr>
            </w:pPr>
          </w:p>
        </w:tc>
      </w:tr>
      <w:tr w:rsidR="003B3771" w:rsidRPr="00AC6DEC" w14:paraId="708E1ECD" w14:textId="77777777" w:rsidTr="2A62FF34">
        <w:trPr>
          <w:jc w:val="center"/>
        </w:trPr>
        <w:tc>
          <w:tcPr>
            <w:tcW w:w="2157" w:type="dxa"/>
            <w:tcMar>
              <w:top w:w="72" w:type="dxa"/>
              <w:left w:w="115" w:type="dxa"/>
              <w:bottom w:w="72" w:type="dxa"/>
              <w:right w:w="115" w:type="dxa"/>
            </w:tcMar>
            <w:vAlign w:val="center"/>
          </w:tcPr>
          <w:p w14:paraId="2181A78B"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0605445C" w14:textId="77777777" w:rsidR="003B3771" w:rsidRPr="00AC6DEC" w:rsidRDefault="003B3771" w:rsidP="00A50553">
            <w:pPr>
              <w:rPr>
                <w:rFonts w:ascii="Times New Roman" w:hAnsi="Times New Roman" w:cs="Times New Roman"/>
                <w:noProof/>
              </w:rPr>
            </w:pPr>
            <w:r w:rsidRPr="00AC6DEC">
              <w:rPr>
                <w:rFonts w:ascii="Times New Roman" w:hAnsi="Times New Roman" w:cs="Times New Roman"/>
                <w:noProof/>
              </w:rPr>
              <w:t>3.06</w:t>
            </w:r>
          </w:p>
          <w:p w14:paraId="131C2E21" w14:textId="77777777" w:rsidR="003B3771" w:rsidRPr="00AC6DEC" w:rsidRDefault="003B3771" w:rsidP="00A50553">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3B225E03" w14:textId="77777777" w:rsidR="003B3771" w:rsidRPr="00AC6DEC" w:rsidRDefault="003B3771" w:rsidP="008906D4">
            <w:pPr>
              <w:contextualSpacing/>
              <w:rPr>
                <w:rFonts w:ascii="Times New Roman" w:hAnsi="Times New Roman" w:cs="Times New Roman"/>
                <w:b/>
                <w:bCs/>
              </w:rPr>
            </w:pPr>
            <w:r w:rsidRPr="00AC6DEC">
              <w:rPr>
                <w:rFonts w:ascii="Times New Roman" w:hAnsi="Times New Roman" w:cs="Times New Roman"/>
                <w:b/>
                <w:bCs/>
              </w:rPr>
              <w:t>Question: Q0205_03</w:t>
            </w:r>
          </w:p>
          <w:p w14:paraId="307D7182" w14:textId="77777777" w:rsidR="003B3771" w:rsidRPr="00AC6DEC" w:rsidRDefault="003B3771" w:rsidP="008906D4">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57784897" w14:textId="77777777" w:rsidR="003B3771" w:rsidRPr="00AC6DEC" w:rsidRDefault="003B3771" w:rsidP="008906D4">
            <w:pPr>
              <w:contextualSpacing/>
              <w:rPr>
                <w:rFonts w:ascii="Times New Roman" w:hAnsi="Times New Roman" w:cs="Times New Roman"/>
              </w:rPr>
            </w:pPr>
          </w:p>
          <w:p w14:paraId="3C85A3D2" w14:textId="77777777" w:rsidR="003B3771" w:rsidRPr="00AC6DEC" w:rsidRDefault="003B3771" w:rsidP="008906D4">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6DEA7665" w14:textId="77777777" w:rsidR="003B3771" w:rsidRPr="00AC6DEC" w:rsidRDefault="003B3771" w:rsidP="008906D4">
            <w:pPr>
              <w:contextualSpacing/>
              <w:rPr>
                <w:rFonts w:ascii="Times New Roman" w:hAnsi="Times New Roman" w:cs="Times New Roman"/>
              </w:rPr>
            </w:pPr>
          </w:p>
          <w:p w14:paraId="56CCE8FE" w14:textId="77777777" w:rsidR="003B3771" w:rsidRPr="00AC6DEC" w:rsidRDefault="003B3771" w:rsidP="008906D4">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0E132C1F" w14:textId="77777777" w:rsidR="003B3771" w:rsidRPr="00AC6DEC" w:rsidRDefault="003B3771" w:rsidP="008906D4">
            <w:pPr>
              <w:contextualSpacing/>
              <w:rPr>
                <w:rFonts w:ascii="Times New Roman" w:hAnsi="Times New Roman" w:cs="Times New Roman"/>
              </w:rPr>
            </w:pPr>
          </w:p>
          <w:p w14:paraId="10905E8E" w14:textId="77777777" w:rsidR="003B3771" w:rsidRPr="00AC6DEC" w:rsidRDefault="003B3771" w:rsidP="008906D4">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map showing the alternative route with new proposed crosswalk and Geo Coordinates? We would also include the letter from the county. </w:t>
            </w:r>
          </w:p>
          <w:p w14:paraId="0D883765" w14:textId="77777777" w:rsidR="003B3771" w:rsidRPr="00AC6DEC" w:rsidRDefault="003B3771" w:rsidP="008906D4">
            <w:pPr>
              <w:contextualSpacing/>
              <w:rPr>
                <w:rFonts w:ascii="Times New Roman" w:hAnsi="Times New Roman" w:cs="Times New Roman"/>
                <w:b/>
                <w:bCs/>
              </w:rPr>
            </w:pPr>
          </w:p>
          <w:p w14:paraId="3DC1CDF2" w14:textId="77777777" w:rsidR="003B3771" w:rsidRPr="00AC6DEC" w:rsidRDefault="003B3771" w:rsidP="008906D4">
            <w:pPr>
              <w:rPr>
                <w:rFonts w:ascii="Times New Roman" w:hAnsi="Times New Roman" w:cs="Times New Roman"/>
                <w:b/>
                <w:bCs/>
              </w:rPr>
            </w:pPr>
            <w:r w:rsidRPr="00AC6DEC">
              <w:rPr>
                <w:rFonts w:ascii="Times New Roman" w:hAnsi="Times New Roman" w:cs="Times New Roman"/>
                <w:b/>
                <w:bCs/>
              </w:rPr>
              <w:t xml:space="preserve">Answer: </w:t>
            </w:r>
          </w:p>
          <w:p w14:paraId="4F0695DA" w14:textId="77777777" w:rsidR="003B3771" w:rsidRPr="00AC6DEC" w:rsidRDefault="003B3771" w:rsidP="008906D4">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4AAFBD56" w14:textId="77777777" w:rsidR="003B3771" w:rsidRPr="00AC6DEC" w:rsidRDefault="003B3771" w:rsidP="008906D4">
            <w:pPr>
              <w:rPr>
                <w:rFonts w:ascii="Times New Roman" w:hAnsi="Times New Roman" w:cs="Times New Roman"/>
              </w:rPr>
            </w:pPr>
          </w:p>
          <w:p w14:paraId="52FF70B8" w14:textId="77777777" w:rsidR="003B3771" w:rsidRPr="00AC6DEC" w:rsidRDefault="003B3771" w:rsidP="008906D4">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2C9432F0" w14:textId="77777777" w:rsidR="003B3771" w:rsidRPr="00AC6DEC" w:rsidRDefault="003B3771" w:rsidP="008906D4">
            <w:pPr>
              <w:rPr>
                <w:rFonts w:ascii="Times New Roman" w:hAnsi="Times New Roman" w:cs="Times New Roman"/>
                <w:i/>
                <w:iCs/>
              </w:rPr>
            </w:pPr>
          </w:p>
          <w:p w14:paraId="4C72F0D6" w14:textId="77777777" w:rsidR="003B3771" w:rsidRPr="00AC6DEC" w:rsidRDefault="003B3771" w:rsidP="008906D4">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3B3771" w:rsidRPr="00AC6DEC" w14:paraId="11FF4DEB" w14:textId="77777777" w:rsidTr="2A62FF34">
        <w:trPr>
          <w:jc w:val="center"/>
        </w:trPr>
        <w:tc>
          <w:tcPr>
            <w:tcW w:w="2157" w:type="dxa"/>
            <w:tcMar>
              <w:top w:w="72" w:type="dxa"/>
              <w:left w:w="115" w:type="dxa"/>
              <w:bottom w:w="72" w:type="dxa"/>
              <w:right w:w="115" w:type="dxa"/>
            </w:tcMar>
            <w:vAlign w:val="center"/>
          </w:tcPr>
          <w:p w14:paraId="17408F3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2C3FF3D" w14:textId="77777777" w:rsidR="003B3771" w:rsidRPr="00AC6DEC" w:rsidRDefault="003B3771" w:rsidP="00CF412E">
            <w:pPr>
              <w:rPr>
                <w:rFonts w:ascii="Times New Roman" w:hAnsi="Times New Roman" w:cs="Times New Roman"/>
                <w:noProof/>
              </w:rPr>
            </w:pPr>
            <w:r w:rsidRPr="00AC6DEC">
              <w:rPr>
                <w:rFonts w:ascii="Times New Roman" w:hAnsi="Times New Roman" w:cs="Times New Roman"/>
                <w:noProof/>
              </w:rPr>
              <w:t>3.07</w:t>
            </w:r>
          </w:p>
          <w:p w14:paraId="54238619" w14:textId="77777777" w:rsidR="003B3771" w:rsidRPr="00AC6DEC" w:rsidRDefault="003B3771" w:rsidP="00CF412E">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1DC5D19" w14:textId="77777777" w:rsidR="003B3771" w:rsidRPr="00AC6DEC" w:rsidRDefault="003B3771" w:rsidP="00503802">
            <w:pPr>
              <w:contextualSpacing/>
              <w:rPr>
                <w:rFonts w:ascii="Times New Roman" w:hAnsi="Times New Roman" w:cs="Times New Roman"/>
                <w:b/>
                <w:bCs/>
              </w:rPr>
            </w:pPr>
            <w:r w:rsidRPr="00AC6DEC">
              <w:rPr>
                <w:rFonts w:ascii="Times New Roman" w:hAnsi="Times New Roman" w:cs="Times New Roman"/>
                <w:b/>
                <w:bCs/>
              </w:rPr>
              <w:t>Question: Q0222_03a</w:t>
            </w:r>
          </w:p>
          <w:p w14:paraId="2DEC7721" w14:textId="77777777" w:rsidR="003B3771" w:rsidRPr="00AC6DEC" w:rsidRDefault="003B3771" w:rsidP="00503802">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63A2E7F4" w14:textId="77777777" w:rsidR="003B3771" w:rsidRPr="00AC6DEC" w:rsidRDefault="003B3771" w:rsidP="00503802">
            <w:pPr>
              <w:contextualSpacing/>
              <w:rPr>
                <w:rFonts w:ascii="Times New Roman" w:hAnsi="Times New Roman" w:cs="Times New Roman"/>
                <w:b/>
                <w:bCs/>
              </w:rPr>
            </w:pPr>
          </w:p>
          <w:p w14:paraId="7BA979F7" w14:textId="77777777" w:rsidR="003B3771" w:rsidRPr="00AC6DEC" w:rsidRDefault="003B3771" w:rsidP="00503802">
            <w:pPr>
              <w:contextualSpacing/>
              <w:rPr>
                <w:rFonts w:ascii="Times New Roman" w:hAnsi="Times New Roman" w:cs="Times New Roman"/>
                <w:b/>
                <w:bCs/>
              </w:rPr>
            </w:pPr>
            <w:r w:rsidRPr="00AC6DEC">
              <w:rPr>
                <w:rFonts w:ascii="Times New Roman" w:hAnsi="Times New Roman" w:cs="Times New Roman"/>
                <w:b/>
                <w:bCs/>
              </w:rPr>
              <w:t xml:space="preserve">Answer: </w:t>
            </w:r>
          </w:p>
          <w:p w14:paraId="2FB90260"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 xml:space="preserve">Points are determined by the number of grades within qualifying schools, not by the number of qualifying schools. This captures the difference between, for example, a qualifying school serving 6 elementary </w:t>
            </w:r>
            <w:r w:rsidRPr="00AC6DEC">
              <w:rPr>
                <w:rFonts w:ascii="Times New Roman" w:hAnsi="Times New Roman" w:cs="Times New Roman"/>
              </w:rPr>
              <w:lastRenderedPageBreak/>
              <w:t>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679CEA46" w14:textId="77777777" w:rsidR="003B3771" w:rsidRPr="00AC6DEC" w:rsidRDefault="003B3771" w:rsidP="00503802">
            <w:pPr>
              <w:contextualSpacing/>
              <w:rPr>
                <w:rFonts w:ascii="Times New Roman" w:hAnsi="Times New Roman" w:cs="Times New Roman"/>
              </w:rPr>
            </w:pPr>
          </w:p>
          <w:p w14:paraId="09D471A0"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3617B3B5" w14:textId="77777777" w:rsidR="003B3771" w:rsidRPr="00AC6DEC" w:rsidRDefault="003B3771" w:rsidP="00503802">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3B3771" w:rsidRPr="00AC6DEC" w14:paraId="4848C22F"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6560384" w14:textId="77777777" w:rsidR="003B3771" w:rsidRPr="00AC6DEC" w:rsidRDefault="003B3771" w:rsidP="00503802">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CD1B3D8" w14:textId="77777777" w:rsidR="003B3771" w:rsidRPr="00AC6DEC" w:rsidRDefault="003B3771" w:rsidP="00503802">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3ED5DF4" w14:textId="77777777" w:rsidR="003B3771" w:rsidRPr="00AC6DEC" w:rsidRDefault="003B3771" w:rsidP="00503802">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43A367B" w14:textId="77777777" w:rsidR="003B3771" w:rsidRPr="00AC6DEC" w:rsidRDefault="003B3771" w:rsidP="00503802">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3B3771" w:rsidRPr="00AC6DEC" w14:paraId="5D7B056F"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A4E5314"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9D5DD1E"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C9079E0"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DA06623"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0</w:t>
                  </w:r>
                </w:p>
              </w:tc>
            </w:tr>
            <w:tr w:rsidR="003B3771" w:rsidRPr="00AC6DEC" w14:paraId="1AA369D2"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38C606B"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B5BD4B1"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CFB72C1"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56E1187"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3</w:t>
                  </w:r>
                </w:p>
              </w:tc>
            </w:tr>
            <w:tr w:rsidR="003B3771" w:rsidRPr="00AC6DEC" w14:paraId="516A183C"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1F67D9"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1DF990A"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9FF1117"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93F6DF5"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3</w:t>
                  </w:r>
                </w:p>
              </w:tc>
            </w:tr>
            <w:tr w:rsidR="003B3771" w:rsidRPr="00AC6DEC" w14:paraId="62DCBAE4"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E309388" w14:textId="77777777" w:rsidR="003B3771" w:rsidRPr="00AC6DEC" w:rsidRDefault="003B3771" w:rsidP="00503802">
                  <w:pPr>
                    <w:contextualSpacing/>
                    <w:rPr>
                      <w:rFonts w:ascii="Times New Roman" w:hAnsi="Times New Roman" w:cs="Times New Roman"/>
                    </w:rPr>
                  </w:pPr>
                  <w:r w:rsidRPr="00AC6DEC">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898AB29"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3EB2D51"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0366C12" w14:textId="77777777" w:rsidR="003B3771" w:rsidRPr="00AC6DEC" w:rsidRDefault="003B3771" w:rsidP="00503802">
                  <w:pPr>
                    <w:contextualSpacing/>
                    <w:jc w:val="center"/>
                    <w:rPr>
                      <w:rFonts w:ascii="Times New Roman" w:hAnsi="Times New Roman" w:cs="Times New Roman"/>
                    </w:rPr>
                  </w:pPr>
                  <w:r w:rsidRPr="00AC6DEC">
                    <w:rPr>
                      <w:rFonts w:ascii="Times New Roman" w:hAnsi="Times New Roman" w:cs="Times New Roman"/>
                    </w:rPr>
                    <w:t>4</w:t>
                  </w:r>
                </w:p>
              </w:tc>
            </w:tr>
            <w:tr w:rsidR="003B3771" w:rsidRPr="00AC6DEC" w14:paraId="23538900"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8FA9A30" w14:textId="77777777" w:rsidR="003B3771" w:rsidRPr="00AC6DEC" w:rsidRDefault="003B3771" w:rsidP="00503802">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0FA09B7" w14:textId="77777777" w:rsidR="003B3771" w:rsidRPr="00AC6DEC" w:rsidRDefault="003B3771" w:rsidP="00503802">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56BB7E78" w14:textId="77777777" w:rsidR="003B3771" w:rsidRPr="00AC6DEC" w:rsidRDefault="003B3771" w:rsidP="00503802">
            <w:pPr>
              <w:contextualSpacing/>
              <w:rPr>
                <w:rFonts w:ascii="Times New Roman" w:hAnsi="Times New Roman" w:cs="Times New Roman"/>
              </w:rPr>
            </w:pPr>
          </w:p>
          <w:p w14:paraId="71EFA7A5" w14:textId="77777777" w:rsidR="003B3771" w:rsidRPr="00AC6DEC" w:rsidRDefault="003B3771" w:rsidP="00503802">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3B3771" w:rsidRPr="00AC6DEC" w14:paraId="5C33415A" w14:textId="77777777" w:rsidTr="2A62FF34">
        <w:trPr>
          <w:jc w:val="center"/>
        </w:trPr>
        <w:tc>
          <w:tcPr>
            <w:tcW w:w="2157" w:type="dxa"/>
            <w:tcMar>
              <w:top w:w="72" w:type="dxa"/>
              <w:left w:w="115" w:type="dxa"/>
              <w:bottom w:w="72" w:type="dxa"/>
              <w:right w:w="115" w:type="dxa"/>
            </w:tcMar>
            <w:vAlign w:val="center"/>
          </w:tcPr>
          <w:p w14:paraId="0A5CF648"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2B60EDB1" w14:textId="77777777" w:rsidR="003B3771" w:rsidRPr="00AC6DEC" w:rsidRDefault="003B3771" w:rsidP="00D26DCE">
            <w:pPr>
              <w:rPr>
                <w:rFonts w:ascii="Times New Roman" w:hAnsi="Times New Roman" w:cs="Times New Roman"/>
                <w:noProof/>
              </w:rPr>
            </w:pPr>
            <w:r w:rsidRPr="00AC6DEC">
              <w:rPr>
                <w:rFonts w:ascii="Times New Roman" w:hAnsi="Times New Roman" w:cs="Times New Roman"/>
                <w:noProof/>
              </w:rPr>
              <w:t>3.08</w:t>
            </w:r>
          </w:p>
          <w:p w14:paraId="408B685B" w14:textId="77777777" w:rsidR="003B3771" w:rsidRPr="00AC6DEC" w:rsidRDefault="003B3771" w:rsidP="00D26DC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3F2F48B8" w14:textId="77777777" w:rsidR="003B3771" w:rsidRPr="00AC6DEC" w:rsidRDefault="003B3771" w:rsidP="0070054C">
            <w:pPr>
              <w:contextualSpacing/>
              <w:rPr>
                <w:rFonts w:ascii="Times New Roman" w:hAnsi="Times New Roman" w:cs="Times New Roman"/>
                <w:b/>
              </w:rPr>
            </w:pPr>
            <w:r w:rsidRPr="00AC6DEC">
              <w:rPr>
                <w:rFonts w:ascii="Times New Roman" w:hAnsi="Times New Roman" w:cs="Times New Roman"/>
                <w:b/>
              </w:rPr>
              <w:t>Question: Q0226_07</w:t>
            </w:r>
          </w:p>
          <w:p w14:paraId="140596A2" w14:textId="77777777" w:rsidR="003B3771" w:rsidRPr="00AC6DEC" w:rsidRDefault="003B3771" w:rsidP="0070054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35708BE2" w14:textId="77777777" w:rsidR="003B3771" w:rsidRPr="00AC6DEC" w:rsidRDefault="003B3771" w:rsidP="0070054C">
            <w:pPr>
              <w:contextualSpacing/>
              <w:rPr>
                <w:rFonts w:ascii="Times New Roman" w:hAnsi="Times New Roman" w:cs="Times New Roman"/>
                <w:b/>
                <w:bCs/>
              </w:rPr>
            </w:pPr>
          </w:p>
          <w:p w14:paraId="39B33E6F" w14:textId="77777777" w:rsidR="003B3771" w:rsidRPr="00AC6DEC" w:rsidRDefault="003B3771" w:rsidP="0070054C">
            <w:pPr>
              <w:rPr>
                <w:rFonts w:ascii="Times New Roman" w:hAnsi="Times New Roman" w:cs="Times New Roman"/>
                <w:b/>
                <w:bCs/>
              </w:rPr>
            </w:pPr>
            <w:r w:rsidRPr="00AC6DEC">
              <w:rPr>
                <w:rFonts w:ascii="Times New Roman" w:hAnsi="Times New Roman" w:cs="Times New Roman"/>
                <w:b/>
                <w:bCs/>
              </w:rPr>
              <w:t xml:space="preserve">Answer: </w:t>
            </w:r>
          </w:p>
          <w:p w14:paraId="2C6F004B" w14:textId="77777777" w:rsidR="003B3771" w:rsidRPr="00AC6DEC" w:rsidRDefault="003B3771" w:rsidP="0070054C">
            <w:pPr>
              <w:rPr>
                <w:rFonts w:ascii="Times New Roman" w:hAnsi="Times New Roman" w:cs="Times New Roman"/>
              </w:rPr>
            </w:pPr>
            <w:r w:rsidRPr="00AC6DEC">
              <w:rPr>
                <w:rFonts w:ascii="Times New Roman" w:hAnsi="Times New Roman" w:cs="Times New Roman"/>
              </w:rPr>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396AFA2A" w14:textId="77777777" w:rsidR="003B3771" w:rsidRPr="00AC6DEC" w:rsidRDefault="003B3771" w:rsidP="0070054C">
            <w:pPr>
              <w:rPr>
                <w:rFonts w:ascii="Times New Roman" w:hAnsi="Times New Roman" w:cs="Times New Roman"/>
              </w:rPr>
            </w:pPr>
          </w:p>
          <w:p w14:paraId="580BEA95" w14:textId="77777777" w:rsidR="003B3771" w:rsidRPr="00AC6DEC" w:rsidRDefault="003B3771" w:rsidP="00D75CBA">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3B3771" w:rsidRPr="00AC6DEC" w14:paraId="11B24233" w14:textId="77777777" w:rsidTr="2A62FF34">
        <w:trPr>
          <w:jc w:val="center"/>
        </w:trPr>
        <w:tc>
          <w:tcPr>
            <w:tcW w:w="2157" w:type="dxa"/>
            <w:tcMar>
              <w:top w:w="72" w:type="dxa"/>
              <w:left w:w="115" w:type="dxa"/>
              <w:bottom w:w="72" w:type="dxa"/>
              <w:right w:w="115" w:type="dxa"/>
            </w:tcMar>
            <w:vAlign w:val="center"/>
          </w:tcPr>
          <w:p w14:paraId="355EF0C3"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1647453B" w14:textId="77777777" w:rsidR="003B3771" w:rsidRPr="00AC6DEC" w:rsidRDefault="003B3771" w:rsidP="00D26DCE">
            <w:pPr>
              <w:rPr>
                <w:rFonts w:ascii="Times New Roman" w:hAnsi="Times New Roman" w:cs="Times New Roman"/>
                <w:noProof/>
              </w:rPr>
            </w:pPr>
            <w:r w:rsidRPr="00AC6DEC">
              <w:rPr>
                <w:rFonts w:ascii="Times New Roman" w:hAnsi="Times New Roman" w:cs="Times New Roman"/>
                <w:noProof/>
              </w:rPr>
              <w:t>3.10</w:t>
            </w:r>
          </w:p>
          <w:p w14:paraId="47379A7C" w14:textId="77777777" w:rsidR="003B3771" w:rsidRPr="00AC6DEC" w:rsidRDefault="003B3771" w:rsidP="00D26DCE">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B2E6DC6" w14:textId="77777777" w:rsidR="003B3771" w:rsidRPr="00AC6DEC" w:rsidRDefault="003B3771" w:rsidP="00D75CBA">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7F361FE4" w14:textId="77777777" w:rsidR="003B3771" w:rsidRPr="00AC6DEC" w:rsidRDefault="003B3771" w:rsidP="00D75CBA">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5A725B4C" w14:textId="77777777" w:rsidR="003B3771" w:rsidRPr="00AC6DEC" w:rsidRDefault="003B3771" w:rsidP="00D75CBA">
            <w:pPr>
              <w:contextualSpacing/>
              <w:rPr>
                <w:rFonts w:ascii="Times New Roman" w:hAnsi="Times New Roman" w:cs="Times New Roman"/>
                <w:b/>
                <w:bCs/>
              </w:rPr>
            </w:pPr>
          </w:p>
          <w:p w14:paraId="70255AFB" w14:textId="77777777" w:rsidR="003B3771" w:rsidRPr="00AC6DEC" w:rsidRDefault="003B3771" w:rsidP="00D75CBA">
            <w:pPr>
              <w:contextualSpacing/>
              <w:rPr>
                <w:rFonts w:ascii="Times New Roman" w:hAnsi="Times New Roman" w:cs="Times New Roman"/>
                <w:b/>
                <w:bCs/>
              </w:rPr>
            </w:pPr>
            <w:r w:rsidRPr="00AC6DEC">
              <w:rPr>
                <w:rFonts w:ascii="Times New Roman" w:hAnsi="Times New Roman" w:cs="Times New Roman"/>
                <w:b/>
                <w:bCs/>
              </w:rPr>
              <w:t xml:space="preserve">Answer: </w:t>
            </w:r>
          </w:p>
          <w:p w14:paraId="6420505C" w14:textId="77777777" w:rsidR="003B3771" w:rsidRPr="00AC6DEC" w:rsidRDefault="003B3771" w:rsidP="00D75CBA">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24"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46B7B8F5" w14:textId="77777777" w:rsidR="003B3771" w:rsidRPr="00AC6DEC" w:rsidRDefault="003B3771" w:rsidP="00D75CBA">
            <w:pPr>
              <w:rPr>
                <w:rFonts w:ascii="Times New Roman" w:hAnsi="Times New Roman" w:cs="Times New Roman"/>
              </w:rPr>
            </w:pPr>
          </w:p>
          <w:p w14:paraId="113F5930" w14:textId="77777777" w:rsidR="003B3771" w:rsidRPr="00AC6DEC" w:rsidRDefault="003B3771" w:rsidP="00D75CBA">
            <w:pPr>
              <w:rPr>
                <w:rFonts w:ascii="Times New Roman" w:hAnsi="Times New Roman" w:cs="Times New Roman"/>
              </w:rPr>
            </w:pPr>
            <w:r w:rsidRPr="00AC6DEC">
              <w:rPr>
                <w:rFonts w:ascii="Times New Roman" w:hAnsi="Times New Roman" w:cs="Times New Roman"/>
              </w:rPr>
              <w:t>For example, consider the following two census tracts:</w:t>
            </w:r>
          </w:p>
          <w:p w14:paraId="464D332B" w14:textId="77777777" w:rsidR="003B3771" w:rsidRPr="00AC6DEC" w:rsidRDefault="003B3771" w:rsidP="00D75CBA">
            <w:pPr>
              <w:rPr>
                <w:rFonts w:ascii="Times New Roman" w:hAnsi="Times New Roman" w:cs="Times New Roman"/>
              </w:rPr>
            </w:pPr>
          </w:p>
          <w:p w14:paraId="1AB0E352" w14:textId="77777777" w:rsidR="003B3771" w:rsidRPr="00AC6DEC" w:rsidRDefault="003B3771"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0F0D8D72" w14:textId="77777777" w:rsidR="003B3771" w:rsidRPr="00AC6DEC" w:rsidRDefault="003B3771"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15F7FAED" w14:textId="77777777" w:rsidR="003B3771" w:rsidRPr="00AC6DEC" w:rsidRDefault="003B3771" w:rsidP="00D75CBA">
            <w:pPr>
              <w:rPr>
                <w:rFonts w:ascii="Times New Roman" w:hAnsi="Times New Roman" w:cs="Times New Roman"/>
              </w:rPr>
            </w:pPr>
          </w:p>
          <w:p w14:paraId="65620586" w14:textId="77777777" w:rsidR="003B3771" w:rsidRPr="00AC6DEC" w:rsidRDefault="003B3771" w:rsidP="00D75CBA">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7C7AE50E" w14:textId="77777777" w:rsidR="003B3771" w:rsidRPr="00AC6DEC" w:rsidRDefault="003B3771" w:rsidP="004D64C8">
            <w:pPr>
              <w:contextualSpacing/>
              <w:rPr>
                <w:rFonts w:ascii="Times New Roman" w:hAnsi="Times New Roman" w:cs="Times New Roman"/>
                <w:b/>
                <w:bCs/>
              </w:rPr>
            </w:pPr>
          </w:p>
        </w:tc>
      </w:tr>
      <w:tr w:rsidR="003B3771" w:rsidRPr="00AC6DEC" w14:paraId="73064461" w14:textId="77777777" w:rsidTr="2A62FF34">
        <w:trPr>
          <w:jc w:val="center"/>
        </w:trPr>
        <w:tc>
          <w:tcPr>
            <w:tcW w:w="2157" w:type="dxa"/>
            <w:tcMar>
              <w:top w:w="72" w:type="dxa"/>
              <w:left w:w="115" w:type="dxa"/>
              <w:bottom w:w="72" w:type="dxa"/>
              <w:right w:w="115" w:type="dxa"/>
            </w:tcMar>
            <w:vAlign w:val="center"/>
          </w:tcPr>
          <w:p w14:paraId="7EA25898"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352DB6A8"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2.07</w:t>
            </w:r>
          </w:p>
          <w:p w14:paraId="35C51330"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Threshold;</w:t>
            </w:r>
          </w:p>
          <w:p w14:paraId="647DEF34"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4E4E84C4" w14:textId="77777777" w:rsidR="003B3771" w:rsidRPr="00AC6DEC" w:rsidRDefault="003B3771" w:rsidP="00D02E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35483C1B" w14:textId="77777777" w:rsidR="003B3771" w:rsidRPr="00AC6DEC" w:rsidRDefault="003B3771" w:rsidP="00D02E33">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2F3696AD" w14:textId="77777777" w:rsidR="003B3771" w:rsidRPr="00AC6DEC" w:rsidRDefault="003B3771" w:rsidP="00D02E33">
            <w:pPr>
              <w:contextualSpacing/>
              <w:rPr>
                <w:rFonts w:ascii="Times New Roman" w:hAnsi="Times New Roman" w:cs="Times New Roman"/>
              </w:rPr>
            </w:pPr>
          </w:p>
          <w:p w14:paraId="5C3F2D88" w14:textId="77777777" w:rsidR="003B3771" w:rsidRPr="00AC6DEC" w:rsidRDefault="003B3771" w:rsidP="00D02E33">
            <w:pPr>
              <w:contextualSpacing/>
              <w:rPr>
                <w:rFonts w:ascii="Times New Roman" w:hAnsi="Times New Roman" w:cs="Times New Roman"/>
                <w:b/>
                <w:bCs/>
              </w:rPr>
            </w:pPr>
            <w:r w:rsidRPr="00AC6DEC">
              <w:rPr>
                <w:rFonts w:ascii="Times New Roman" w:hAnsi="Times New Roman" w:cs="Times New Roman"/>
                <w:b/>
                <w:bCs/>
              </w:rPr>
              <w:t>Answer:</w:t>
            </w:r>
          </w:p>
          <w:p w14:paraId="7EC2AD91" w14:textId="77777777" w:rsidR="003B3771" w:rsidRPr="00AC6DEC" w:rsidRDefault="003B3771" w:rsidP="00D02E33">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0D899ADA" w14:textId="77777777" w:rsidR="003B3771" w:rsidRPr="00AC6DEC" w:rsidRDefault="003B3771" w:rsidP="007E3090">
            <w:pPr>
              <w:contextualSpacing/>
              <w:rPr>
                <w:rFonts w:ascii="Times New Roman" w:hAnsi="Times New Roman" w:cs="Times New Roman"/>
                <w:b/>
                <w:bCs/>
              </w:rPr>
            </w:pPr>
          </w:p>
        </w:tc>
      </w:tr>
      <w:tr w:rsidR="003B3771" w:rsidRPr="00AC6DEC" w14:paraId="16C9C14A" w14:textId="77777777" w:rsidTr="2A62FF34">
        <w:trPr>
          <w:jc w:val="center"/>
        </w:trPr>
        <w:tc>
          <w:tcPr>
            <w:tcW w:w="2157" w:type="dxa"/>
            <w:tcMar>
              <w:top w:w="72" w:type="dxa"/>
              <w:left w:w="115" w:type="dxa"/>
              <w:bottom w:w="72" w:type="dxa"/>
              <w:right w:w="115" w:type="dxa"/>
            </w:tcMar>
            <w:vAlign w:val="center"/>
          </w:tcPr>
          <w:p w14:paraId="527A3D5D"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36910A01"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2.08</w:t>
            </w:r>
          </w:p>
          <w:p w14:paraId="75398D72"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Threshold;</w:t>
            </w:r>
          </w:p>
          <w:p w14:paraId="3BF43A63"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2370B811" w14:textId="77777777" w:rsidR="003B3771" w:rsidRPr="00AC6DEC" w:rsidRDefault="003B3771" w:rsidP="00903A5C">
            <w:pPr>
              <w:contextualSpacing/>
              <w:rPr>
                <w:rFonts w:ascii="Times New Roman" w:hAnsi="Times New Roman" w:cs="Times New Roman"/>
                <w:b/>
                <w:bCs/>
              </w:rPr>
            </w:pPr>
            <w:r w:rsidRPr="00AC6DEC">
              <w:rPr>
                <w:rFonts w:ascii="Times New Roman" w:hAnsi="Times New Roman" w:cs="Times New Roman"/>
                <w:b/>
                <w:bCs/>
              </w:rPr>
              <w:t>Question: Q0205_01</w:t>
            </w:r>
          </w:p>
          <w:p w14:paraId="36521E52" w14:textId="77777777" w:rsidR="003B3771" w:rsidRPr="00AC6DEC" w:rsidRDefault="003B3771" w:rsidP="00903A5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076207D5" w14:textId="77777777" w:rsidR="003B3771" w:rsidRPr="00AC6DEC" w:rsidRDefault="003B3771" w:rsidP="00903A5C">
            <w:pPr>
              <w:contextualSpacing/>
              <w:rPr>
                <w:rFonts w:ascii="Times New Roman" w:hAnsi="Times New Roman" w:cs="Times New Roman"/>
                <w:b/>
                <w:bCs/>
              </w:rPr>
            </w:pPr>
          </w:p>
          <w:p w14:paraId="56D33A43" w14:textId="77777777" w:rsidR="003B3771" w:rsidRPr="00AC6DEC" w:rsidRDefault="003B3771" w:rsidP="00903A5C">
            <w:pPr>
              <w:contextualSpacing/>
              <w:rPr>
                <w:rFonts w:ascii="Times New Roman" w:hAnsi="Times New Roman" w:cs="Times New Roman"/>
                <w:b/>
                <w:bCs/>
              </w:rPr>
            </w:pPr>
            <w:r w:rsidRPr="00AC6DEC">
              <w:rPr>
                <w:rFonts w:ascii="Times New Roman" w:hAnsi="Times New Roman" w:cs="Times New Roman"/>
                <w:b/>
                <w:bCs/>
              </w:rPr>
              <w:t xml:space="preserve">Answer: </w:t>
            </w:r>
          </w:p>
          <w:p w14:paraId="006F0BEA" w14:textId="77777777" w:rsidR="003B3771" w:rsidRPr="00AC6DEC" w:rsidRDefault="003B3771" w:rsidP="00903A5C">
            <w:r w:rsidRPr="00AC6DEC">
              <w:rPr>
                <w:rFonts w:ascii="Times New Roman" w:hAnsi="Times New Roman" w:cs="Times New Roman"/>
              </w:rPr>
              <w:t xml:space="preserve">Electronic signatures are acceptable. </w:t>
            </w:r>
          </w:p>
          <w:p w14:paraId="3F28AEE1" w14:textId="77777777" w:rsidR="003B3771" w:rsidRPr="00AC6DEC" w:rsidRDefault="003B3771" w:rsidP="00FD6BE0">
            <w:pPr>
              <w:contextualSpacing/>
              <w:rPr>
                <w:rFonts w:ascii="Times New Roman" w:hAnsi="Times New Roman" w:cs="Times New Roman"/>
                <w:b/>
                <w:bCs/>
              </w:rPr>
            </w:pPr>
          </w:p>
        </w:tc>
      </w:tr>
      <w:tr w:rsidR="003B3771" w:rsidRPr="00AC6DEC" w14:paraId="59DFEB07" w14:textId="77777777" w:rsidTr="2A62FF34">
        <w:trPr>
          <w:jc w:val="center"/>
        </w:trPr>
        <w:tc>
          <w:tcPr>
            <w:tcW w:w="2157" w:type="dxa"/>
            <w:tcMar>
              <w:top w:w="72" w:type="dxa"/>
              <w:left w:w="115" w:type="dxa"/>
              <w:bottom w:w="72" w:type="dxa"/>
              <w:right w:w="115" w:type="dxa"/>
            </w:tcMar>
            <w:vAlign w:val="center"/>
          </w:tcPr>
          <w:p w14:paraId="5508E0C4"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50A39179"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 xml:space="preserve">2.10 </w:t>
            </w:r>
          </w:p>
          <w:p w14:paraId="2E10B9BB"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Threshold;</w:t>
            </w:r>
          </w:p>
          <w:p w14:paraId="52B20E8E"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13E52C57" w14:textId="77777777" w:rsidR="003B3771" w:rsidRPr="00AC6DEC" w:rsidRDefault="003B3771" w:rsidP="00FD6BE0">
            <w:pPr>
              <w:contextualSpacing/>
              <w:rPr>
                <w:rFonts w:ascii="Times New Roman" w:hAnsi="Times New Roman" w:cs="Times New Roman"/>
                <w:b/>
                <w:bCs/>
              </w:rPr>
            </w:pPr>
            <w:r w:rsidRPr="00AC6DEC">
              <w:rPr>
                <w:rFonts w:ascii="Times New Roman" w:hAnsi="Times New Roman" w:cs="Times New Roman"/>
                <w:b/>
                <w:bCs/>
              </w:rPr>
              <w:t>Question: Q0201_03A</w:t>
            </w:r>
          </w:p>
          <w:p w14:paraId="59E2B569" w14:textId="77777777" w:rsidR="003B3771" w:rsidRPr="00AC6DEC" w:rsidRDefault="003B3771" w:rsidP="00FD6BE0">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695652A3" w14:textId="77777777" w:rsidR="003B3771" w:rsidRPr="00AC6DEC" w:rsidRDefault="003B3771" w:rsidP="00FD6BE0">
            <w:pPr>
              <w:contextualSpacing/>
              <w:rPr>
                <w:rFonts w:ascii="Times New Roman" w:hAnsi="Times New Roman" w:cs="Times New Roman"/>
                <w:b/>
                <w:bCs/>
              </w:rPr>
            </w:pPr>
          </w:p>
          <w:p w14:paraId="2FAD1AB9" w14:textId="77777777" w:rsidR="003B3771" w:rsidRPr="00AC6DEC" w:rsidRDefault="003B3771" w:rsidP="00FD6BE0">
            <w:pPr>
              <w:contextualSpacing/>
              <w:rPr>
                <w:rFonts w:ascii="Times New Roman" w:hAnsi="Times New Roman" w:cs="Times New Roman"/>
                <w:b/>
                <w:bCs/>
              </w:rPr>
            </w:pPr>
            <w:r w:rsidRPr="00AC6DEC">
              <w:rPr>
                <w:rFonts w:ascii="Times New Roman" w:hAnsi="Times New Roman" w:cs="Times New Roman"/>
                <w:b/>
                <w:bCs/>
              </w:rPr>
              <w:t xml:space="preserve">Answer: </w:t>
            </w:r>
          </w:p>
          <w:p w14:paraId="1EE6E714" w14:textId="77777777" w:rsidR="003B3771" w:rsidRPr="00AC6DEC" w:rsidRDefault="003B3771" w:rsidP="00FD6BE0">
            <w:r w:rsidRPr="00AC6DEC">
              <w:rPr>
                <w:rFonts w:ascii="Times New Roman" w:hAnsi="Times New Roman" w:cs="Times New Roman"/>
              </w:rPr>
              <w:t xml:space="preserve">DCA will not grant such extensions at this time. </w:t>
            </w:r>
          </w:p>
          <w:p w14:paraId="1B3BA2C4" w14:textId="77777777" w:rsidR="003B3771" w:rsidRPr="00AC6DEC" w:rsidRDefault="003B3771" w:rsidP="00D02E33">
            <w:pPr>
              <w:contextualSpacing/>
              <w:rPr>
                <w:rFonts w:ascii="Times New Roman" w:hAnsi="Times New Roman" w:cs="Times New Roman"/>
                <w:b/>
                <w:bCs/>
              </w:rPr>
            </w:pPr>
          </w:p>
        </w:tc>
      </w:tr>
      <w:tr w:rsidR="003B3771" w:rsidRPr="00AC6DEC" w14:paraId="06AB9598" w14:textId="77777777" w:rsidTr="2A62FF34">
        <w:trPr>
          <w:jc w:val="center"/>
        </w:trPr>
        <w:tc>
          <w:tcPr>
            <w:tcW w:w="2157" w:type="dxa"/>
            <w:tcMar>
              <w:top w:w="72" w:type="dxa"/>
              <w:left w:w="115" w:type="dxa"/>
              <w:bottom w:w="72" w:type="dxa"/>
              <w:right w:w="115" w:type="dxa"/>
            </w:tcMar>
            <w:vAlign w:val="center"/>
          </w:tcPr>
          <w:p w14:paraId="7E4863B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3A26BDE6" w14:textId="77777777" w:rsidR="003B3771" w:rsidRPr="00AC6DEC" w:rsidRDefault="003B3771" w:rsidP="00CB24BB">
            <w:pPr>
              <w:rPr>
                <w:rFonts w:ascii="Times New Roman" w:hAnsi="Times New Roman" w:cs="Times New Roman"/>
                <w:noProof/>
              </w:rPr>
            </w:pPr>
            <w:r w:rsidRPr="00AC6DEC">
              <w:rPr>
                <w:rFonts w:ascii="Times New Roman" w:hAnsi="Times New Roman" w:cs="Times New Roman"/>
                <w:noProof/>
              </w:rPr>
              <w:t>3.18</w:t>
            </w:r>
          </w:p>
          <w:p w14:paraId="7B4FE69C" w14:textId="77777777" w:rsidR="003B3771" w:rsidRPr="00AC6DEC" w:rsidRDefault="003B3771" w:rsidP="00CB24BB">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34EE881" w14:textId="77777777" w:rsidR="003B3771" w:rsidRPr="00AC6DEC" w:rsidRDefault="003B3771" w:rsidP="009C4306">
            <w:pPr>
              <w:contextualSpacing/>
              <w:rPr>
                <w:rFonts w:ascii="Times New Roman" w:hAnsi="Times New Roman" w:cs="Times New Roman"/>
                <w:b/>
                <w:bCs/>
              </w:rPr>
            </w:pPr>
            <w:r w:rsidRPr="00AC6DEC">
              <w:rPr>
                <w:rFonts w:ascii="Times New Roman" w:hAnsi="Times New Roman" w:cs="Times New Roman"/>
                <w:b/>
                <w:bCs/>
              </w:rPr>
              <w:t>Question: Q0222_02</w:t>
            </w:r>
          </w:p>
          <w:p w14:paraId="453A8430" w14:textId="77777777" w:rsidR="003B3771" w:rsidRPr="00AC6DEC" w:rsidRDefault="003B3771" w:rsidP="009C4306">
            <w:r w:rsidRPr="00AC6DEC">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70EE11C8" w14:textId="77777777" w:rsidR="003B3771" w:rsidRPr="00AC6DEC" w:rsidRDefault="003B3771" w:rsidP="009C4306">
            <w:pPr>
              <w:contextualSpacing/>
              <w:rPr>
                <w:rFonts w:ascii="Times New Roman" w:hAnsi="Times New Roman" w:cs="Times New Roman"/>
                <w:b/>
                <w:bCs/>
              </w:rPr>
            </w:pPr>
          </w:p>
          <w:p w14:paraId="782D1885" w14:textId="77777777" w:rsidR="003B3771" w:rsidRPr="00AC6DEC" w:rsidRDefault="003B3771" w:rsidP="009C4306">
            <w:pPr>
              <w:contextualSpacing/>
              <w:rPr>
                <w:rFonts w:ascii="Times New Roman" w:hAnsi="Times New Roman" w:cs="Times New Roman"/>
                <w:b/>
                <w:bCs/>
              </w:rPr>
            </w:pPr>
            <w:r w:rsidRPr="00AC6DEC">
              <w:rPr>
                <w:rFonts w:ascii="Times New Roman" w:hAnsi="Times New Roman" w:cs="Times New Roman"/>
                <w:b/>
                <w:bCs/>
              </w:rPr>
              <w:t xml:space="preserve">Answer: </w:t>
            </w:r>
          </w:p>
          <w:p w14:paraId="751291B0" w14:textId="77777777" w:rsidR="003B3771" w:rsidRPr="00AC6DEC" w:rsidRDefault="003B3771" w:rsidP="009C4306">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25"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46BF204" w14:textId="77777777" w:rsidR="003B3771" w:rsidRPr="00AC6DEC" w:rsidRDefault="003B3771" w:rsidP="009C4306">
            <w:pPr>
              <w:rPr>
                <w:rFonts w:ascii="Times New Roman" w:hAnsi="Times New Roman" w:cs="Times New Roman"/>
              </w:rPr>
            </w:pPr>
          </w:p>
          <w:p w14:paraId="1C305EA5" w14:textId="77777777" w:rsidR="003B3771" w:rsidRPr="00AC6DEC" w:rsidRDefault="003B3771" w:rsidP="009C4306">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3B3771" w:rsidRPr="00AC6DEC" w14:paraId="0E558205" w14:textId="77777777" w:rsidTr="2A62FF34">
        <w:trPr>
          <w:jc w:val="center"/>
        </w:trPr>
        <w:tc>
          <w:tcPr>
            <w:tcW w:w="2157" w:type="dxa"/>
            <w:tcMar>
              <w:top w:w="72" w:type="dxa"/>
              <w:left w:w="115" w:type="dxa"/>
              <w:bottom w:w="72" w:type="dxa"/>
              <w:right w:w="115" w:type="dxa"/>
            </w:tcMar>
            <w:vAlign w:val="center"/>
          </w:tcPr>
          <w:p w14:paraId="7F969DCA"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03049B7" w14:textId="77777777" w:rsidR="003B3771" w:rsidRPr="00AC6DEC" w:rsidRDefault="003B3771" w:rsidP="00896C38">
            <w:pPr>
              <w:rPr>
                <w:rFonts w:ascii="Times New Roman" w:hAnsi="Times New Roman" w:cs="Times New Roman"/>
                <w:noProof/>
              </w:rPr>
            </w:pPr>
            <w:r w:rsidRPr="00AC6DEC">
              <w:rPr>
                <w:rFonts w:ascii="Times New Roman" w:hAnsi="Times New Roman" w:cs="Times New Roman"/>
                <w:noProof/>
              </w:rPr>
              <w:t>3.18</w:t>
            </w:r>
          </w:p>
          <w:p w14:paraId="6788CAB8" w14:textId="77777777" w:rsidR="003B3771" w:rsidRPr="00AC6DEC" w:rsidRDefault="003B3771" w:rsidP="00896C38">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5D5DB80" w14:textId="77777777" w:rsidR="003B3771" w:rsidRPr="00AC6DEC" w:rsidRDefault="003B3771" w:rsidP="00896C38">
            <w:pPr>
              <w:contextualSpacing/>
              <w:rPr>
                <w:rFonts w:ascii="Times New Roman" w:hAnsi="Times New Roman" w:cs="Times New Roman"/>
                <w:b/>
                <w:bCs/>
              </w:rPr>
            </w:pPr>
            <w:r w:rsidRPr="00AC6DEC">
              <w:rPr>
                <w:rFonts w:ascii="Times New Roman" w:hAnsi="Times New Roman" w:cs="Times New Roman"/>
                <w:b/>
                <w:bCs/>
              </w:rPr>
              <w:t>Question: Q0212_01</w:t>
            </w:r>
          </w:p>
          <w:p w14:paraId="78526B21" w14:textId="77777777" w:rsidR="003B3771" w:rsidRPr="00AC6DEC" w:rsidRDefault="003B3771" w:rsidP="00896C38">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0CE4C295" w14:textId="77777777" w:rsidR="003B3771" w:rsidRPr="00AC6DEC" w:rsidRDefault="003B3771" w:rsidP="00896C38">
            <w:pPr>
              <w:contextualSpacing/>
              <w:rPr>
                <w:rFonts w:ascii="Times New Roman" w:hAnsi="Times New Roman" w:cs="Times New Roman"/>
                <w:b/>
                <w:bCs/>
              </w:rPr>
            </w:pPr>
          </w:p>
          <w:p w14:paraId="3F098FB1" w14:textId="77777777" w:rsidR="003B3771" w:rsidRPr="00AC6DEC" w:rsidRDefault="003B3771" w:rsidP="00896C38">
            <w:pPr>
              <w:contextualSpacing/>
              <w:rPr>
                <w:rFonts w:ascii="Times New Roman" w:hAnsi="Times New Roman" w:cs="Times New Roman"/>
                <w:b/>
                <w:bCs/>
              </w:rPr>
            </w:pPr>
            <w:r w:rsidRPr="00AC6DEC">
              <w:rPr>
                <w:rFonts w:ascii="Times New Roman" w:hAnsi="Times New Roman" w:cs="Times New Roman"/>
                <w:b/>
                <w:bCs/>
              </w:rPr>
              <w:t xml:space="preserve">Answer: </w:t>
            </w:r>
          </w:p>
          <w:p w14:paraId="6CDA50AA" w14:textId="77777777" w:rsidR="003B3771" w:rsidRPr="00AC6DEC" w:rsidRDefault="003B3771" w:rsidP="00136555">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3B3771" w:rsidRPr="00AC6DEC" w14:paraId="2D766857" w14:textId="77777777" w:rsidTr="2A62FF34">
        <w:trPr>
          <w:jc w:val="center"/>
        </w:trPr>
        <w:tc>
          <w:tcPr>
            <w:tcW w:w="2157" w:type="dxa"/>
            <w:tcMar>
              <w:top w:w="72" w:type="dxa"/>
              <w:left w:w="115" w:type="dxa"/>
              <w:bottom w:w="72" w:type="dxa"/>
              <w:right w:w="115" w:type="dxa"/>
            </w:tcMar>
            <w:vAlign w:val="center"/>
          </w:tcPr>
          <w:p w14:paraId="0169C1D4"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13D847B"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8.00</w:t>
            </w:r>
          </w:p>
          <w:p w14:paraId="401051CE"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4D1F1916" w14:textId="77777777" w:rsidR="003B3771" w:rsidRPr="00AC6DEC" w:rsidRDefault="003B3771" w:rsidP="00136555">
            <w:pPr>
              <w:contextualSpacing/>
              <w:rPr>
                <w:rFonts w:ascii="Times New Roman" w:hAnsi="Times New Roman" w:cs="Times New Roman"/>
                <w:b/>
                <w:bCs/>
              </w:rPr>
            </w:pPr>
            <w:r w:rsidRPr="00AC6DEC">
              <w:rPr>
                <w:rFonts w:ascii="Times New Roman" w:hAnsi="Times New Roman" w:cs="Times New Roman"/>
                <w:b/>
                <w:bCs/>
              </w:rPr>
              <w:t>Question: Q0209_03</w:t>
            </w:r>
          </w:p>
          <w:p w14:paraId="3D12453F" w14:textId="77777777" w:rsidR="003B3771" w:rsidRPr="00AC6DEC" w:rsidRDefault="003B3771" w:rsidP="00136555">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00F75D14" w14:textId="77777777" w:rsidR="003B3771" w:rsidRPr="00AC6DEC" w:rsidRDefault="003B3771" w:rsidP="00136555">
            <w:pPr>
              <w:contextualSpacing/>
              <w:rPr>
                <w:rFonts w:ascii="Times New Roman" w:hAnsi="Times New Roman" w:cs="Times New Roman"/>
                <w:b/>
                <w:bCs/>
              </w:rPr>
            </w:pPr>
          </w:p>
          <w:p w14:paraId="2CBA7DEA" w14:textId="77777777" w:rsidR="003B3771" w:rsidRPr="00AC6DEC" w:rsidRDefault="003B3771" w:rsidP="00136555">
            <w:pPr>
              <w:contextualSpacing/>
              <w:rPr>
                <w:rFonts w:ascii="Times New Roman" w:hAnsi="Times New Roman" w:cs="Times New Roman"/>
                <w:b/>
                <w:bCs/>
              </w:rPr>
            </w:pPr>
            <w:r w:rsidRPr="00AC6DEC">
              <w:rPr>
                <w:rFonts w:ascii="Times New Roman" w:hAnsi="Times New Roman" w:cs="Times New Roman"/>
                <w:b/>
                <w:bCs/>
              </w:rPr>
              <w:t xml:space="preserve">Answer: </w:t>
            </w:r>
          </w:p>
          <w:p w14:paraId="097D55F3" w14:textId="77777777" w:rsidR="003B3771" w:rsidRPr="00AC6DEC" w:rsidRDefault="003B3771" w:rsidP="00136555">
            <w:r w:rsidRPr="00AC6DEC">
              <w:rPr>
                <w:rFonts w:ascii="Times New Roman" w:hAnsi="Times New Roman" w:cs="Times New Roman"/>
              </w:rPr>
              <w:lastRenderedPageBreak/>
              <w:t>No. All required documents are listed in the Qualified Allocation Plan.</w:t>
            </w:r>
          </w:p>
          <w:p w14:paraId="28570563" w14:textId="77777777" w:rsidR="003B3771" w:rsidRPr="00AC6DEC" w:rsidRDefault="003B3771" w:rsidP="00903A5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26">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3B3771" w:rsidRPr="00AC6DEC" w14:paraId="7F648133" w14:textId="77777777" w:rsidTr="2A62FF34">
        <w:trPr>
          <w:jc w:val="center"/>
        </w:trPr>
        <w:tc>
          <w:tcPr>
            <w:tcW w:w="2157" w:type="dxa"/>
            <w:tcMar>
              <w:top w:w="72" w:type="dxa"/>
              <w:left w:w="115" w:type="dxa"/>
              <w:bottom w:w="72" w:type="dxa"/>
              <w:right w:w="115" w:type="dxa"/>
            </w:tcMar>
            <w:vAlign w:val="center"/>
          </w:tcPr>
          <w:p w14:paraId="328DAAB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FDBB750"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3.05</w:t>
            </w:r>
          </w:p>
          <w:p w14:paraId="2B14656C"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883AAF0" w14:textId="77777777" w:rsidR="003B3771" w:rsidRPr="00AC6DEC" w:rsidRDefault="003B3771" w:rsidP="007E3090">
            <w:pPr>
              <w:contextualSpacing/>
              <w:rPr>
                <w:rFonts w:ascii="Times New Roman" w:hAnsi="Times New Roman" w:cs="Times New Roman"/>
                <w:b/>
                <w:bCs/>
              </w:rPr>
            </w:pPr>
            <w:r w:rsidRPr="00AC6DEC">
              <w:rPr>
                <w:rFonts w:ascii="Times New Roman" w:hAnsi="Times New Roman" w:cs="Times New Roman"/>
                <w:b/>
                <w:bCs/>
              </w:rPr>
              <w:t>Question: Q0201_06</w:t>
            </w:r>
          </w:p>
          <w:p w14:paraId="7E4196B2" w14:textId="77777777" w:rsidR="003B3771" w:rsidRPr="00AC6DEC" w:rsidRDefault="003B3771" w:rsidP="007E3090">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353F1EE1" w14:textId="77777777" w:rsidR="003B3771" w:rsidRPr="00AC6DEC" w:rsidRDefault="003B3771" w:rsidP="007E3090">
            <w:pPr>
              <w:contextualSpacing/>
              <w:rPr>
                <w:rFonts w:ascii="Times New Roman" w:hAnsi="Times New Roman" w:cs="Times New Roman"/>
                <w:b/>
                <w:bCs/>
              </w:rPr>
            </w:pPr>
          </w:p>
          <w:p w14:paraId="51906D16" w14:textId="77777777" w:rsidR="003B3771" w:rsidRPr="00AC6DEC" w:rsidRDefault="003B3771" w:rsidP="007E3090">
            <w:pPr>
              <w:contextualSpacing/>
              <w:rPr>
                <w:rFonts w:ascii="Times New Roman" w:hAnsi="Times New Roman" w:cs="Times New Roman"/>
                <w:b/>
                <w:bCs/>
              </w:rPr>
            </w:pPr>
            <w:r w:rsidRPr="00AC6DEC">
              <w:rPr>
                <w:rFonts w:ascii="Times New Roman" w:hAnsi="Times New Roman" w:cs="Times New Roman"/>
                <w:b/>
                <w:bCs/>
              </w:rPr>
              <w:t xml:space="preserve">Answer: </w:t>
            </w:r>
          </w:p>
          <w:p w14:paraId="2CB5CC8B" w14:textId="77777777" w:rsidR="003B3771" w:rsidRPr="00AC6DEC" w:rsidRDefault="003B3771" w:rsidP="007E3090">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5574CB62" w14:textId="77777777" w:rsidR="003B3771" w:rsidRPr="00AC6DEC" w:rsidRDefault="003B3771" w:rsidP="007E3090">
            <w:pPr>
              <w:rPr>
                <w:rFonts w:ascii="Times New Roman" w:hAnsi="Times New Roman" w:cs="Times New Roman"/>
              </w:rPr>
            </w:pPr>
          </w:p>
          <w:p w14:paraId="7CAB551A" w14:textId="77777777" w:rsidR="003B3771" w:rsidRPr="00AC6DEC" w:rsidRDefault="003B3771" w:rsidP="007E3090">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53ECB2DE" w14:textId="77777777" w:rsidR="003B3771" w:rsidRPr="00AC6DEC" w:rsidRDefault="003B3771" w:rsidP="007E3090">
            <w:pPr>
              <w:rPr>
                <w:rFonts w:ascii="Times New Roman" w:hAnsi="Times New Roman" w:cs="Times New Roman"/>
                <w:b/>
                <w:bCs/>
              </w:rPr>
            </w:pPr>
          </w:p>
          <w:p w14:paraId="3A96C232" w14:textId="77777777" w:rsidR="003B3771" w:rsidRPr="00AC6DEC" w:rsidRDefault="003B3771" w:rsidP="007E3090">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44A4BFF2" w14:textId="77777777" w:rsidR="003B3771" w:rsidRPr="00AC6DEC" w:rsidRDefault="003B3771" w:rsidP="00F74089">
            <w:pPr>
              <w:contextualSpacing/>
              <w:rPr>
                <w:rFonts w:ascii="Times New Roman" w:hAnsi="Times New Roman" w:cs="Times New Roman"/>
                <w:b/>
                <w:bCs/>
              </w:rPr>
            </w:pPr>
          </w:p>
        </w:tc>
      </w:tr>
      <w:tr w:rsidR="003B3771" w:rsidRPr="00AC6DEC" w14:paraId="775281D9" w14:textId="77777777" w:rsidTr="2A62FF34">
        <w:trPr>
          <w:jc w:val="center"/>
        </w:trPr>
        <w:tc>
          <w:tcPr>
            <w:tcW w:w="2157" w:type="dxa"/>
            <w:tcMar>
              <w:top w:w="72" w:type="dxa"/>
              <w:left w:w="115" w:type="dxa"/>
              <w:bottom w:w="72" w:type="dxa"/>
              <w:right w:w="115" w:type="dxa"/>
            </w:tcMar>
            <w:vAlign w:val="center"/>
          </w:tcPr>
          <w:p w14:paraId="4DBD7D02"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79719CC0" w14:textId="77777777" w:rsidR="003B3771" w:rsidRPr="00AC6DEC" w:rsidRDefault="003B3771" w:rsidP="00524F9A">
            <w:pPr>
              <w:rPr>
                <w:rFonts w:ascii="Times New Roman" w:hAnsi="Times New Roman" w:cs="Times New Roman"/>
                <w:noProof/>
              </w:rPr>
            </w:pPr>
            <w:r w:rsidRPr="00AC6DEC">
              <w:rPr>
                <w:rFonts w:ascii="Times New Roman" w:hAnsi="Times New Roman" w:cs="Times New Roman"/>
                <w:noProof/>
              </w:rPr>
              <w:t>3.10</w:t>
            </w:r>
          </w:p>
          <w:p w14:paraId="16976897" w14:textId="77777777" w:rsidR="003B3771" w:rsidRPr="00AC6DEC" w:rsidRDefault="003B3771" w:rsidP="00524F9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49941FA1" w14:textId="77777777" w:rsidR="003B3771" w:rsidRPr="00AC6DEC" w:rsidRDefault="003B3771" w:rsidP="00720D55">
            <w:pPr>
              <w:contextualSpacing/>
              <w:rPr>
                <w:rFonts w:ascii="Times New Roman" w:hAnsi="Times New Roman" w:cs="Times New Roman"/>
                <w:b/>
                <w:bCs/>
              </w:rPr>
            </w:pPr>
            <w:r w:rsidRPr="00AC6DEC">
              <w:rPr>
                <w:rFonts w:ascii="Times New Roman" w:hAnsi="Times New Roman" w:cs="Times New Roman"/>
                <w:b/>
                <w:bCs/>
              </w:rPr>
              <w:t>Question: Q0211_02</w:t>
            </w:r>
          </w:p>
          <w:p w14:paraId="528E34DC" w14:textId="77777777" w:rsidR="003B3771" w:rsidRPr="00AC6DEC" w:rsidRDefault="003B3771" w:rsidP="00720D55">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348EBFCD" w14:textId="77777777" w:rsidR="003B3771" w:rsidRPr="00AC6DEC" w:rsidRDefault="003B3771" w:rsidP="00720D55">
            <w:pPr>
              <w:contextualSpacing/>
              <w:rPr>
                <w:rFonts w:ascii="Times New Roman" w:hAnsi="Times New Roman" w:cs="Times New Roman"/>
              </w:rPr>
            </w:pPr>
          </w:p>
          <w:p w14:paraId="6360FA2E" w14:textId="77777777" w:rsidR="003B3771" w:rsidRPr="00AC6DEC" w:rsidRDefault="003B3771" w:rsidP="00720D55">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1A6AA755" w14:textId="77777777" w:rsidR="003B3771" w:rsidRPr="00AC6DEC" w:rsidRDefault="003B3771" w:rsidP="00720D55">
            <w:pPr>
              <w:contextualSpacing/>
              <w:rPr>
                <w:rFonts w:ascii="Times New Roman" w:hAnsi="Times New Roman" w:cs="Times New Roman"/>
                <w:b/>
                <w:bCs/>
              </w:rPr>
            </w:pPr>
          </w:p>
          <w:p w14:paraId="08A21B95" w14:textId="77777777" w:rsidR="003B3771" w:rsidRPr="00AC6DEC" w:rsidRDefault="003B3771" w:rsidP="00720D55">
            <w:pPr>
              <w:contextualSpacing/>
              <w:rPr>
                <w:rFonts w:ascii="Times New Roman" w:hAnsi="Times New Roman" w:cs="Times New Roman"/>
                <w:b/>
                <w:bCs/>
              </w:rPr>
            </w:pPr>
            <w:r w:rsidRPr="00AC6DEC">
              <w:rPr>
                <w:rFonts w:ascii="Times New Roman" w:hAnsi="Times New Roman" w:cs="Times New Roman"/>
                <w:b/>
                <w:bCs/>
              </w:rPr>
              <w:t xml:space="preserve">Answer: </w:t>
            </w:r>
          </w:p>
          <w:p w14:paraId="4E08E358" w14:textId="77777777" w:rsidR="003B3771" w:rsidRPr="00AC6DEC" w:rsidRDefault="003B3771" w:rsidP="00720D55">
            <w:pPr>
              <w:contextualSpacing/>
              <w:rPr>
                <w:rFonts w:ascii="Times New Roman" w:hAnsi="Times New Roman" w:cs="Times New Roman"/>
              </w:rPr>
            </w:pPr>
            <w:r w:rsidRPr="00AC6DEC">
              <w:rPr>
                <w:rFonts w:ascii="Times New Roman" w:hAnsi="Times New Roman" w:cs="Times New Roman"/>
              </w:rPr>
              <w:lastRenderedPageBreak/>
              <w:t>The scoring table referenced in your question is the “Local Health and Economic Indicators” document posted to the DCA website (</w:t>
            </w:r>
            <w:hyperlink r:id="rId27">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460673FF" w14:textId="77777777" w:rsidR="003B3771" w:rsidRPr="00AC6DEC" w:rsidRDefault="003B3771" w:rsidP="00720D55">
            <w:pPr>
              <w:contextualSpacing/>
              <w:rPr>
                <w:rFonts w:ascii="Times New Roman" w:hAnsi="Times New Roman" w:cs="Times New Roman"/>
              </w:rPr>
            </w:pPr>
          </w:p>
          <w:p w14:paraId="009CCCFD" w14:textId="77777777" w:rsidR="003B3771" w:rsidRPr="00AC6DEC" w:rsidRDefault="003B3771" w:rsidP="00720D55">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1A70C71A" w14:textId="77777777" w:rsidR="003B3771" w:rsidRPr="00AC6DEC" w:rsidRDefault="003B3771" w:rsidP="00720D55">
            <w:pPr>
              <w:contextualSpacing/>
              <w:rPr>
                <w:rFonts w:ascii="Times New Roman" w:hAnsi="Times New Roman" w:cs="Times New Roman"/>
              </w:rPr>
            </w:pPr>
          </w:p>
          <w:p w14:paraId="7392E4F8" w14:textId="77777777" w:rsidR="003B3771" w:rsidRPr="00AC6DEC" w:rsidRDefault="003B3771" w:rsidP="00720D55">
            <w:pPr>
              <w:contextualSpacing/>
              <w:rPr>
                <w:rFonts w:ascii="Times New Roman" w:hAnsi="Times New Roman" w:cs="Times New Roman"/>
              </w:rPr>
            </w:pPr>
            <w:r w:rsidRPr="00AC6DEC">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28"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6566F018" w14:textId="77777777" w:rsidR="003B3771" w:rsidRPr="00AC6DEC" w:rsidRDefault="003B3771" w:rsidP="00720D55">
            <w:pPr>
              <w:contextualSpacing/>
              <w:rPr>
                <w:rFonts w:ascii="Times New Roman" w:hAnsi="Times New Roman" w:cs="Times New Roman"/>
              </w:rPr>
            </w:pPr>
          </w:p>
          <w:p w14:paraId="3915C3D4" w14:textId="77777777" w:rsidR="003B3771" w:rsidRPr="00AC6DEC" w:rsidRDefault="003B3771" w:rsidP="00720D55">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13066034" w14:textId="77777777" w:rsidR="003B3771" w:rsidRPr="00AC6DEC" w:rsidRDefault="003B3771" w:rsidP="00720D55">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76A5699A" w14:textId="77777777" w:rsidR="003B3771" w:rsidRPr="00AC6DEC" w:rsidRDefault="003B3771" w:rsidP="00720D55">
            <w:pPr>
              <w:rPr>
                <w:rFonts w:ascii="Times New Roman" w:hAnsi="Times New Roman" w:cs="Times New Roman"/>
              </w:rPr>
            </w:pPr>
          </w:p>
          <w:p w14:paraId="42D13A6C" w14:textId="77777777" w:rsidR="003B3771" w:rsidRPr="00AC6DEC" w:rsidRDefault="003B3771" w:rsidP="00720D55">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6FBB1647" w14:textId="77777777" w:rsidR="003B3771" w:rsidRPr="00AC6DEC" w:rsidRDefault="003B3771" w:rsidP="007E3090">
            <w:pPr>
              <w:contextualSpacing/>
              <w:rPr>
                <w:rFonts w:ascii="Times New Roman" w:hAnsi="Times New Roman" w:cs="Times New Roman"/>
                <w:b/>
                <w:bCs/>
              </w:rPr>
            </w:pPr>
          </w:p>
        </w:tc>
      </w:tr>
      <w:tr w:rsidR="003B3771" w:rsidRPr="00AC6DEC" w14:paraId="34DC9D7A" w14:textId="77777777" w:rsidTr="2A62FF34">
        <w:trPr>
          <w:jc w:val="center"/>
        </w:trPr>
        <w:tc>
          <w:tcPr>
            <w:tcW w:w="2157" w:type="dxa"/>
            <w:tcMar>
              <w:top w:w="72" w:type="dxa"/>
              <w:left w:w="115" w:type="dxa"/>
              <w:bottom w:w="72" w:type="dxa"/>
              <w:right w:w="115" w:type="dxa"/>
            </w:tcMar>
            <w:vAlign w:val="center"/>
          </w:tcPr>
          <w:p w14:paraId="334C5CF1"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13964DD0"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3.16</w:t>
            </w:r>
          </w:p>
          <w:p w14:paraId="0833EA40" w14:textId="77777777" w:rsidR="003B3771" w:rsidRPr="00AC6DEC" w:rsidRDefault="003B3771" w:rsidP="00B8165B">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4AAE49E1" w14:textId="77777777" w:rsidR="003B3771" w:rsidRPr="00AC6DEC" w:rsidRDefault="003B3771" w:rsidP="00C90C16">
            <w:pPr>
              <w:contextualSpacing/>
              <w:rPr>
                <w:rFonts w:ascii="Times New Roman" w:hAnsi="Times New Roman" w:cs="Times New Roman"/>
                <w:b/>
                <w:bCs/>
              </w:rPr>
            </w:pPr>
            <w:r w:rsidRPr="00AC6DEC">
              <w:rPr>
                <w:rFonts w:ascii="Times New Roman" w:hAnsi="Times New Roman" w:cs="Times New Roman"/>
                <w:b/>
                <w:bCs/>
              </w:rPr>
              <w:t>Question: Q0205_02</w:t>
            </w:r>
          </w:p>
          <w:p w14:paraId="1B551229" w14:textId="77777777" w:rsidR="003B3771" w:rsidRPr="00AC6DEC" w:rsidRDefault="003B3771" w:rsidP="00C90C16">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29A66512" w14:textId="77777777" w:rsidR="003B3771" w:rsidRPr="00AC6DEC" w:rsidRDefault="003B3771" w:rsidP="00C90C16">
            <w:pPr>
              <w:contextualSpacing/>
              <w:rPr>
                <w:rFonts w:ascii="Times New Roman" w:hAnsi="Times New Roman" w:cs="Times New Roman"/>
                <w:b/>
                <w:bCs/>
              </w:rPr>
            </w:pPr>
          </w:p>
          <w:p w14:paraId="6F802386" w14:textId="77777777" w:rsidR="003B3771" w:rsidRPr="00AC6DEC" w:rsidRDefault="003B3771" w:rsidP="00C90C16">
            <w:pPr>
              <w:contextualSpacing/>
              <w:rPr>
                <w:rFonts w:ascii="Times New Roman" w:hAnsi="Times New Roman" w:cs="Times New Roman"/>
                <w:b/>
                <w:bCs/>
              </w:rPr>
            </w:pPr>
            <w:r w:rsidRPr="00AC6DEC">
              <w:rPr>
                <w:rFonts w:ascii="Times New Roman" w:hAnsi="Times New Roman" w:cs="Times New Roman"/>
                <w:b/>
                <w:bCs/>
              </w:rPr>
              <w:t xml:space="preserve">Answer: </w:t>
            </w:r>
          </w:p>
          <w:p w14:paraId="21DFD088" w14:textId="77777777" w:rsidR="003B3771" w:rsidRPr="00AC6DEC" w:rsidRDefault="003B3771" w:rsidP="00C90C16">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224FA6D5" w14:textId="77777777" w:rsidR="003B3771" w:rsidRPr="00AC6DEC" w:rsidRDefault="003B3771" w:rsidP="00C90C16">
            <w:pPr>
              <w:rPr>
                <w:rFonts w:ascii="Times New Roman" w:hAnsi="Times New Roman" w:cs="Times New Roman"/>
              </w:rPr>
            </w:pPr>
          </w:p>
          <w:p w14:paraId="64C00069" w14:textId="77777777" w:rsidR="003B3771" w:rsidRPr="00AC6DEC" w:rsidRDefault="003B3771" w:rsidP="00C90C16">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3B3771" w:rsidRPr="00AC6DEC" w14:paraId="193B68BB" w14:textId="77777777" w:rsidTr="2A62FF34">
        <w:trPr>
          <w:jc w:val="center"/>
        </w:trPr>
        <w:tc>
          <w:tcPr>
            <w:tcW w:w="2157" w:type="dxa"/>
            <w:tcMar>
              <w:top w:w="72" w:type="dxa"/>
              <w:left w:w="115" w:type="dxa"/>
              <w:bottom w:w="72" w:type="dxa"/>
              <w:right w:w="115" w:type="dxa"/>
            </w:tcMar>
            <w:vAlign w:val="center"/>
          </w:tcPr>
          <w:p w14:paraId="0E92294A" w14:textId="77777777" w:rsidR="003B3771" w:rsidRPr="00AC6DEC" w:rsidRDefault="003B3771" w:rsidP="003A1E8D">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1846B8CD" w14:textId="77777777" w:rsidR="003B3771" w:rsidRPr="00AC6DEC" w:rsidRDefault="003B3771" w:rsidP="003A1E8D">
            <w:pPr>
              <w:keepNext/>
              <w:rPr>
                <w:rFonts w:ascii="Times New Roman" w:hAnsi="Times New Roman" w:cs="Times New Roman"/>
              </w:rPr>
            </w:pPr>
            <w:r w:rsidRPr="00AC6DEC">
              <w:rPr>
                <w:rFonts w:ascii="Times New Roman" w:hAnsi="Times New Roman" w:cs="Times New Roman"/>
              </w:rPr>
              <w:t>1.08</w:t>
            </w:r>
          </w:p>
          <w:p w14:paraId="6C2C5DCC" w14:textId="77777777" w:rsidR="003B3771" w:rsidRPr="00AC6DEC" w:rsidRDefault="003B3771" w:rsidP="003A1E8D">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7D174654" w14:textId="77777777" w:rsidR="003B3771" w:rsidRPr="00AC6DEC" w:rsidRDefault="003B3771" w:rsidP="00071086">
            <w:pPr>
              <w:contextualSpacing/>
              <w:rPr>
                <w:rFonts w:ascii="Times New Roman" w:hAnsi="Times New Roman" w:cs="Times New Roman"/>
                <w:b/>
                <w:bCs/>
              </w:rPr>
            </w:pPr>
            <w:r w:rsidRPr="00AC6DEC">
              <w:rPr>
                <w:rFonts w:ascii="Times New Roman" w:hAnsi="Times New Roman" w:cs="Times New Roman"/>
                <w:b/>
                <w:bCs/>
              </w:rPr>
              <w:t>Question: Q0303_01</w:t>
            </w:r>
          </w:p>
          <w:p w14:paraId="00F20206" w14:textId="77777777" w:rsidR="003B3771" w:rsidRPr="00AC6DEC" w:rsidRDefault="003B3771" w:rsidP="00071086">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5F445D3F" w14:textId="77777777" w:rsidR="003B3771" w:rsidRPr="00AC6DEC" w:rsidRDefault="003B3771" w:rsidP="00071086">
            <w:pPr>
              <w:contextualSpacing/>
              <w:rPr>
                <w:rFonts w:ascii="Times New Roman" w:hAnsi="Times New Roman" w:cs="Times New Roman"/>
              </w:rPr>
            </w:pPr>
          </w:p>
          <w:p w14:paraId="5CBA1526" w14:textId="77777777" w:rsidR="003B3771" w:rsidRPr="00AC6DEC" w:rsidRDefault="003B3771" w:rsidP="00071086">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69CA413F" w14:textId="77777777" w:rsidR="003B3771" w:rsidRPr="00AC6DEC" w:rsidRDefault="003B3771" w:rsidP="00071086">
            <w:pPr>
              <w:contextualSpacing/>
              <w:rPr>
                <w:rFonts w:ascii="Times New Roman" w:hAnsi="Times New Roman" w:cs="Times New Roman"/>
              </w:rPr>
            </w:pPr>
          </w:p>
          <w:p w14:paraId="0F36040D" w14:textId="77777777" w:rsidR="003B3771" w:rsidRPr="00AC6DEC" w:rsidRDefault="003B3771"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26462B5C" w14:textId="77777777" w:rsidR="003B3771" w:rsidRPr="00AC6DEC" w:rsidRDefault="003B3771"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6CFA2A95" w14:textId="77777777" w:rsidR="003B3771" w:rsidRPr="00AC6DEC" w:rsidRDefault="003B3771" w:rsidP="00071086">
            <w:pPr>
              <w:rPr>
                <w:rFonts w:ascii="Times New Roman" w:hAnsi="Times New Roman" w:cs="Times New Roman"/>
              </w:rPr>
            </w:pPr>
          </w:p>
          <w:p w14:paraId="54407EE1" w14:textId="77777777" w:rsidR="003B3771" w:rsidRPr="00AC6DEC" w:rsidRDefault="003B3771" w:rsidP="00071086">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4950552E" w14:textId="77777777" w:rsidR="003B3771" w:rsidRPr="00AC6DEC" w:rsidRDefault="003B3771" w:rsidP="00071086">
            <w:pPr>
              <w:contextualSpacing/>
              <w:rPr>
                <w:rFonts w:ascii="Times New Roman" w:hAnsi="Times New Roman" w:cs="Times New Roman"/>
                <w:b/>
                <w:bCs/>
              </w:rPr>
            </w:pPr>
          </w:p>
          <w:p w14:paraId="29E09E94" w14:textId="77777777" w:rsidR="003B3771" w:rsidRPr="00AC6DEC" w:rsidRDefault="003B3771" w:rsidP="00071086">
            <w:pPr>
              <w:contextualSpacing/>
              <w:rPr>
                <w:rFonts w:ascii="Times New Roman" w:hAnsi="Times New Roman" w:cs="Times New Roman"/>
                <w:b/>
                <w:bCs/>
              </w:rPr>
            </w:pPr>
            <w:r w:rsidRPr="00AC6DEC">
              <w:rPr>
                <w:rFonts w:ascii="Times New Roman" w:hAnsi="Times New Roman" w:cs="Times New Roman"/>
                <w:b/>
                <w:bCs/>
              </w:rPr>
              <w:t xml:space="preserve">Answer: </w:t>
            </w:r>
          </w:p>
          <w:p w14:paraId="29305794" w14:textId="77777777" w:rsidR="003B3771" w:rsidRPr="00AC6DEC" w:rsidRDefault="003B3771" w:rsidP="00071086">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3E9C8B01" w14:textId="77777777" w:rsidR="003B3771" w:rsidRPr="00AC6DEC" w:rsidRDefault="003B3771" w:rsidP="00071086">
            <w:pPr>
              <w:contextualSpacing/>
              <w:rPr>
                <w:rFonts w:ascii="Times New Roman" w:hAnsi="Times New Roman" w:cs="Times New Roman"/>
              </w:rPr>
            </w:pPr>
          </w:p>
          <w:p w14:paraId="168D6EB9" w14:textId="77777777" w:rsidR="003B3771" w:rsidRPr="00AC6DEC" w:rsidRDefault="003B3771" w:rsidP="0007108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4ADD5C04" w14:textId="77777777" w:rsidR="003B3771" w:rsidRPr="00AC6DEC" w:rsidRDefault="003B3771" w:rsidP="00071086">
            <w:pPr>
              <w:contextualSpacing/>
              <w:rPr>
                <w:rFonts w:ascii="Times New Roman" w:hAnsi="Times New Roman" w:cs="Times New Roman"/>
              </w:rPr>
            </w:pPr>
          </w:p>
          <w:p w14:paraId="291FD0C2" w14:textId="77777777" w:rsidR="003B3771" w:rsidRPr="00AC6DEC" w:rsidRDefault="003B3771" w:rsidP="00071086">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44986B02" w14:textId="77777777" w:rsidR="003B3771" w:rsidRPr="00AC6DEC" w:rsidRDefault="003B3771" w:rsidP="00071086">
            <w:pPr>
              <w:contextualSpacing/>
              <w:rPr>
                <w:rFonts w:ascii="Times New Roman" w:hAnsi="Times New Roman" w:cs="Times New Roman"/>
              </w:rPr>
            </w:pPr>
          </w:p>
          <w:p w14:paraId="264DFEF9" w14:textId="77777777" w:rsidR="003B3771" w:rsidRPr="00AC6DEC" w:rsidRDefault="003B3771" w:rsidP="00071086">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3B3771" w:rsidRPr="00AC6DEC" w14:paraId="34C7ACA3" w14:textId="77777777" w:rsidTr="2A62FF34">
        <w:trPr>
          <w:jc w:val="center"/>
        </w:trPr>
        <w:tc>
          <w:tcPr>
            <w:tcW w:w="2157" w:type="dxa"/>
            <w:tcMar>
              <w:top w:w="72" w:type="dxa"/>
              <w:left w:w="115" w:type="dxa"/>
              <w:bottom w:w="72" w:type="dxa"/>
              <w:right w:w="115" w:type="dxa"/>
            </w:tcMar>
            <w:vAlign w:val="center"/>
          </w:tcPr>
          <w:p w14:paraId="172D925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4A540D97" w14:textId="77777777" w:rsidR="003B3771" w:rsidRPr="00AC6DEC" w:rsidRDefault="003B3771" w:rsidP="00665F42">
            <w:pPr>
              <w:rPr>
                <w:rFonts w:ascii="Times New Roman" w:hAnsi="Times New Roman" w:cs="Times New Roman"/>
                <w:noProof/>
              </w:rPr>
            </w:pPr>
            <w:r w:rsidRPr="00AC6DEC">
              <w:rPr>
                <w:rFonts w:ascii="Times New Roman" w:hAnsi="Times New Roman" w:cs="Times New Roman"/>
                <w:noProof/>
              </w:rPr>
              <w:t>1.23</w:t>
            </w:r>
          </w:p>
          <w:p w14:paraId="159A289C" w14:textId="77777777" w:rsidR="003B3771" w:rsidRPr="00AC6DEC" w:rsidRDefault="003B3771" w:rsidP="00665F42">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614987A" w14:textId="77777777" w:rsidR="003B3771" w:rsidRPr="00AC6DEC" w:rsidRDefault="003B3771" w:rsidP="00F74089">
            <w:pPr>
              <w:contextualSpacing/>
              <w:rPr>
                <w:rFonts w:ascii="Times New Roman" w:hAnsi="Times New Roman" w:cs="Times New Roman"/>
              </w:rPr>
            </w:pPr>
            <w:r w:rsidRPr="00AC6DEC">
              <w:rPr>
                <w:rFonts w:ascii="Times New Roman" w:hAnsi="Times New Roman" w:cs="Times New Roman"/>
                <w:b/>
                <w:bCs/>
              </w:rPr>
              <w:t>Question: Q0304_02</w:t>
            </w:r>
          </w:p>
          <w:p w14:paraId="6F2A55D0" w14:textId="77777777" w:rsidR="003B3771" w:rsidRPr="00AC6DEC" w:rsidRDefault="003B3771" w:rsidP="00F74089">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462AF011" w14:textId="77777777" w:rsidR="003B3771" w:rsidRPr="00AC6DEC" w:rsidRDefault="003B3771" w:rsidP="00F74089">
            <w:pPr>
              <w:contextualSpacing/>
              <w:rPr>
                <w:rFonts w:ascii="Times New Roman" w:hAnsi="Times New Roman" w:cs="Times New Roman"/>
              </w:rPr>
            </w:pPr>
          </w:p>
          <w:p w14:paraId="78489E67" w14:textId="77777777" w:rsidR="003B3771" w:rsidRPr="00AC6DEC" w:rsidRDefault="003B3771" w:rsidP="00F74089">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14F1DAA5" w14:textId="77777777" w:rsidR="003B3771" w:rsidRPr="00AC6DEC" w:rsidRDefault="003B3771" w:rsidP="00F74089">
            <w:pPr>
              <w:contextualSpacing/>
              <w:rPr>
                <w:rFonts w:ascii="Times New Roman" w:hAnsi="Times New Roman" w:cs="Times New Roman"/>
                <w:b/>
                <w:bCs/>
              </w:rPr>
            </w:pPr>
          </w:p>
          <w:p w14:paraId="1D5D9DEC" w14:textId="77777777" w:rsidR="003B3771" w:rsidRPr="00AC6DEC" w:rsidRDefault="003B3771" w:rsidP="00F74089">
            <w:pPr>
              <w:contextualSpacing/>
              <w:rPr>
                <w:rFonts w:ascii="Times New Roman" w:hAnsi="Times New Roman" w:cs="Times New Roman"/>
                <w:b/>
                <w:bCs/>
              </w:rPr>
            </w:pPr>
            <w:r w:rsidRPr="00AC6DEC">
              <w:rPr>
                <w:rFonts w:ascii="Times New Roman" w:hAnsi="Times New Roman" w:cs="Times New Roman"/>
                <w:b/>
                <w:bCs/>
              </w:rPr>
              <w:t xml:space="preserve">Answer: </w:t>
            </w:r>
          </w:p>
          <w:p w14:paraId="2B802022" w14:textId="77777777" w:rsidR="003B3771" w:rsidRPr="00AC6DEC" w:rsidRDefault="003B3771" w:rsidP="00F74089">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6D5D7112" w14:textId="77777777" w:rsidR="003B3771" w:rsidRPr="00AC6DEC" w:rsidRDefault="003B3771" w:rsidP="0014106F">
            <w:pPr>
              <w:contextualSpacing/>
              <w:rPr>
                <w:rFonts w:ascii="Times New Roman" w:hAnsi="Times New Roman" w:cs="Times New Roman"/>
                <w:b/>
                <w:bCs/>
              </w:rPr>
            </w:pPr>
          </w:p>
        </w:tc>
      </w:tr>
      <w:tr w:rsidR="003B3771" w:rsidRPr="00AC6DEC" w14:paraId="337963DC" w14:textId="77777777" w:rsidTr="2A62FF34">
        <w:trPr>
          <w:jc w:val="center"/>
        </w:trPr>
        <w:tc>
          <w:tcPr>
            <w:tcW w:w="2157" w:type="dxa"/>
            <w:tcMar>
              <w:top w:w="72" w:type="dxa"/>
              <w:left w:w="115" w:type="dxa"/>
              <w:bottom w:w="72" w:type="dxa"/>
              <w:right w:w="115" w:type="dxa"/>
            </w:tcMar>
            <w:vAlign w:val="center"/>
          </w:tcPr>
          <w:p w14:paraId="6B36AEAC"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BD7E4F0" w14:textId="77777777" w:rsidR="003B3771" w:rsidRPr="00AC6DEC" w:rsidRDefault="003B3771" w:rsidP="00D97753">
            <w:pPr>
              <w:rPr>
                <w:rFonts w:ascii="Times New Roman" w:hAnsi="Times New Roman" w:cs="Times New Roman"/>
                <w:noProof/>
              </w:rPr>
            </w:pPr>
            <w:r w:rsidRPr="00AC6DEC">
              <w:rPr>
                <w:rFonts w:ascii="Times New Roman" w:hAnsi="Times New Roman" w:cs="Times New Roman"/>
                <w:noProof/>
              </w:rPr>
              <w:t>1.23</w:t>
            </w:r>
          </w:p>
          <w:p w14:paraId="147686C2" w14:textId="77777777" w:rsidR="003B3771" w:rsidRPr="00AC6DEC" w:rsidRDefault="003B3771" w:rsidP="00D97753">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21C8377" w14:textId="77777777" w:rsidR="003B3771" w:rsidRPr="00AC6DEC" w:rsidRDefault="003B3771" w:rsidP="00415E40">
            <w:pPr>
              <w:contextualSpacing/>
              <w:rPr>
                <w:rFonts w:ascii="Times New Roman" w:hAnsi="Times New Roman" w:cs="Times New Roman"/>
                <w:b/>
                <w:bCs/>
              </w:rPr>
            </w:pPr>
            <w:r w:rsidRPr="00AC6DEC">
              <w:rPr>
                <w:rFonts w:ascii="Times New Roman" w:hAnsi="Times New Roman" w:cs="Times New Roman"/>
                <w:b/>
                <w:bCs/>
              </w:rPr>
              <w:t>Question: Q0304_03A</w:t>
            </w:r>
          </w:p>
          <w:p w14:paraId="3AEC2E8B" w14:textId="77777777" w:rsidR="003B3771" w:rsidRPr="00AC6DEC" w:rsidRDefault="003B3771" w:rsidP="00415E40">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11C25AD3" w14:textId="77777777" w:rsidR="003B3771" w:rsidRPr="00AC6DEC" w:rsidRDefault="003B3771" w:rsidP="00415E40">
            <w:pPr>
              <w:contextualSpacing/>
              <w:rPr>
                <w:rFonts w:ascii="Times New Roman" w:hAnsi="Times New Roman" w:cs="Times New Roman"/>
              </w:rPr>
            </w:pPr>
          </w:p>
          <w:p w14:paraId="6822F956" w14:textId="77777777" w:rsidR="003B3771" w:rsidRPr="00AC6DEC" w:rsidRDefault="003B3771" w:rsidP="00415E40">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20C44A49" w14:textId="77777777" w:rsidR="003B3771" w:rsidRPr="00AC6DEC" w:rsidRDefault="003B3771" w:rsidP="00415E40">
            <w:pPr>
              <w:contextualSpacing/>
              <w:rPr>
                <w:rFonts w:ascii="Times New Roman" w:hAnsi="Times New Roman" w:cs="Times New Roman"/>
                <w:b/>
                <w:bCs/>
              </w:rPr>
            </w:pPr>
          </w:p>
          <w:p w14:paraId="25629788" w14:textId="77777777" w:rsidR="003B3771" w:rsidRPr="00AC6DEC" w:rsidRDefault="003B3771" w:rsidP="00415E40">
            <w:pPr>
              <w:contextualSpacing/>
              <w:rPr>
                <w:rFonts w:ascii="Times New Roman" w:hAnsi="Times New Roman" w:cs="Times New Roman"/>
                <w:b/>
                <w:bCs/>
              </w:rPr>
            </w:pPr>
            <w:r w:rsidRPr="00AC6DEC">
              <w:rPr>
                <w:rFonts w:ascii="Times New Roman" w:hAnsi="Times New Roman" w:cs="Times New Roman"/>
                <w:b/>
                <w:bCs/>
              </w:rPr>
              <w:t xml:space="preserve">Answer: </w:t>
            </w:r>
          </w:p>
          <w:p w14:paraId="525BFB0C" w14:textId="77777777" w:rsidR="003B3771" w:rsidRPr="00AC6DEC" w:rsidRDefault="003B3771" w:rsidP="00415E40">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2DBACF81" w14:textId="77777777" w:rsidR="003B3771" w:rsidRPr="00AC6DEC" w:rsidRDefault="003B3771" w:rsidP="00415E40">
            <w:pPr>
              <w:rPr>
                <w:rFonts w:ascii="Times New Roman" w:eastAsia="Times New Roman" w:hAnsi="Times New Roman" w:cs="Times New Roman"/>
                <w:color w:val="000000" w:themeColor="text1"/>
              </w:rPr>
            </w:pPr>
          </w:p>
          <w:p w14:paraId="72B76106" w14:textId="77777777" w:rsidR="003B3771" w:rsidRPr="00AC6DEC" w:rsidRDefault="003B3771" w:rsidP="00415E40">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0012293B" w14:textId="77777777" w:rsidR="003B3771" w:rsidRPr="00AC6DEC" w:rsidRDefault="003B3771" w:rsidP="00415E40">
            <w:pPr>
              <w:rPr>
                <w:rFonts w:ascii="Times New Roman" w:eastAsia="Times New Roman" w:hAnsi="Times New Roman" w:cs="Times New Roman"/>
                <w:color w:val="000000" w:themeColor="text1"/>
              </w:rPr>
            </w:pPr>
          </w:p>
          <w:p w14:paraId="53C46E43" w14:textId="77777777" w:rsidR="003B3771" w:rsidRPr="00AC6DEC" w:rsidRDefault="003B3771" w:rsidP="00415E40">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31C6D22A" w14:textId="77777777" w:rsidR="003B3771" w:rsidRPr="00AC6DEC" w:rsidRDefault="003B3771" w:rsidP="00DC2EA8">
            <w:pPr>
              <w:contextualSpacing/>
              <w:rPr>
                <w:rFonts w:ascii="Times New Roman" w:hAnsi="Times New Roman" w:cs="Times New Roman"/>
                <w:b/>
                <w:bCs/>
              </w:rPr>
            </w:pPr>
          </w:p>
        </w:tc>
      </w:tr>
      <w:tr w:rsidR="003B3771" w:rsidRPr="00AC6DEC" w14:paraId="6140DF23" w14:textId="77777777" w:rsidTr="2A62FF34">
        <w:trPr>
          <w:jc w:val="center"/>
        </w:trPr>
        <w:tc>
          <w:tcPr>
            <w:tcW w:w="2157" w:type="dxa"/>
            <w:tcMar>
              <w:top w:w="72" w:type="dxa"/>
              <w:left w:w="115" w:type="dxa"/>
              <w:bottom w:w="72" w:type="dxa"/>
              <w:right w:w="115" w:type="dxa"/>
            </w:tcMar>
            <w:vAlign w:val="center"/>
          </w:tcPr>
          <w:p w14:paraId="52F8B727"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2A9730E8" w14:textId="77777777" w:rsidR="003B3771" w:rsidRPr="00AC6DEC" w:rsidRDefault="003B3771" w:rsidP="00A52DC9">
            <w:pPr>
              <w:rPr>
                <w:rFonts w:ascii="Times New Roman" w:hAnsi="Times New Roman" w:cs="Times New Roman"/>
                <w:noProof/>
              </w:rPr>
            </w:pPr>
            <w:r w:rsidRPr="00AC6DEC">
              <w:rPr>
                <w:rFonts w:ascii="Times New Roman" w:hAnsi="Times New Roman" w:cs="Times New Roman"/>
                <w:noProof/>
              </w:rPr>
              <w:t>3.05</w:t>
            </w:r>
          </w:p>
          <w:p w14:paraId="053BF0AD" w14:textId="77777777" w:rsidR="003B3771" w:rsidRPr="00AC6DEC" w:rsidRDefault="003B3771" w:rsidP="00A52DC9">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78CDFC2" w14:textId="77777777" w:rsidR="003B3771" w:rsidRPr="00AC6DEC" w:rsidRDefault="003B3771" w:rsidP="004A491C">
            <w:pPr>
              <w:contextualSpacing/>
              <w:rPr>
                <w:rFonts w:ascii="Times New Roman" w:hAnsi="Times New Roman" w:cs="Times New Roman"/>
                <w:b/>
                <w:bCs/>
              </w:rPr>
            </w:pPr>
            <w:r w:rsidRPr="00AC6DEC">
              <w:rPr>
                <w:rFonts w:ascii="Times New Roman" w:hAnsi="Times New Roman" w:cs="Times New Roman"/>
                <w:b/>
                <w:bCs/>
              </w:rPr>
              <w:t>Question: Q0202_04</w:t>
            </w:r>
          </w:p>
          <w:p w14:paraId="2270F72F" w14:textId="77777777" w:rsidR="003B3771" w:rsidRPr="00AC6DEC" w:rsidRDefault="003B3771" w:rsidP="004A491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62C79A84" w14:textId="77777777" w:rsidR="003B3771" w:rsidRPr="00AC6DEC" w:rsidRDefault="003B3771" w:rsidP="004A491C">
            <w:pPr>
              <w:contextualSpacing/>
              <w:rPr>
                <w:rFonts w:ascii="Times New Roman" w:hAnsi="Times New Roman" w:cs="Times New Roman"/>
              </w:rPr>
            </w:pPr>
          </w:p>
          <w:p w14:paraId="1E7FAEFE" w14:textId="77777777" w:rsidR="003B3771" w:rsidRPr="00AC6DEC" w:rsidRDefault="003B3771" w:rsidP="004A491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2369157A" w14:textId="77777777" w:rsidR="003B3771" w:rsidRPr="00AC6DEC" w:rsidRDefault="003B3771" w:rsidP="004A491C">
            <w:pPr>
              <w:contextualSpacing/>
              <w:rPr>
                <w:rFonts w:ascii="Times New Roman" w:hAnsi="Times New Roman" w:cs="Times New Roman"/>
                <w:b/>
                <w:bCs/>
              </w:rPr>
            </w:pPr>
          </w:p>
          <w:p w14:paraId="11699C93" w14:textId="77777777" w:rsidR="003B3771" w:rsidRPr="00AC6DEC" w:rsidRDefault="003B3771" w:rsidP="004A491C">
            <w:pPr>
              <w:contextualSpacing/>
              <w:rPr>
                <w:rFonts w:ascii="Times New Roman" w:hAnsi="Times New Roman" w:cs="Times New Roman"/>
                <w:b/>
                <w:bCs/>
              </w:rPr>
            </w:pPr>
            <w:r w:rsidRPr="00AC6DEC">
              <w:rPr>
                <w:rFonts w:ascii="Times New Roman" w:hAnsi="Times New Roman" w:cs="Times New Roman"/>
                <w:b/>
                <w:bCs/>
              </w:rPr>
              <w:t xml:space="preserve">Answer: </w:t>
            </w:r>
          </w:p>
          <w:p w14:paraId="1BA8702C" w14:textId="77777777" w:rsidR="003B3771" w:rsidRPr="00AC6DEC" w:rsidRDefault="003B3771" w:rsidP="004A491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27E40760" w14:textId="77777777" w:rsidR="003B3771" w:rsidRPr="00AC6DEC" w:rsidRDefault="003B3771" w:rsidP="004A491C">
            <w:pPr>
              <w:rPr>
                <w:rFonts w:ascii="Times New Roman" w:eastAsia="Times New Roman" w:hAnsi="Times New Roman" w:cs="Times New Roman"/>
              </w:rPr>
            </w:pPr>
          </w:p>
          <w:p w14:paraId="71FBBAF9" w14:textId="77777777" w:rsidR="003B3771" w:rsidRPr="00AC6DEC" w:rsidRDefault="003B3771" w:rsidP="00544329">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3B3771" w:rsidRPr="00AC6DEC" w14:paraId="0EF50D1B" w14:textId="77777777" w:rsidTr="2A62FF34">
        <w:trPr>
          <w:jc w:val="center"/>
        </w:trPr>
        <w:tc>
          <w:tcPr>
            <w:tcW w:w="2157" w:type="dxa"/>
            <w:tcMar>
              <w:top w:w="72" w:type="dxa"/>
              <w:left w:w="115" w:type="dxa"/>
              <w:bottom w:w="72" w:type="dxa"/>
              <w:right w:w="115" w:type="dxa"/>
            </w:tcMar>
            <w:vAlign w:val="center"/>
          </w:tcPr>
          <w:p w14:paraId="10BD252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4346D7B4" w14:textId="77777777" w:rsidR="003B3771" w:rsidRPr="00AC6DEC" w:rsidRDefault="003B3771" w:rsidP="007F53AC">
            <w:pPr>
              <w:rPr>
                <w:rFonts w:ascii="Times New Roman" w:hAnsi="Times New Roman" w:cs="Times New Roman"/>
                <w:noProof/>
              </w:rPr>
            </w:pPr>
            <w:r w:rsidRPr="00AC6DEC">
              <w:rPr>
                <w:rFonts w:ascii="Times New Roman" w:hAnsi="Times New Roman" w:cs="Times New Roman"/>
                <w:noProof/>
              </w:rPr>
              <w:t>3.05</w:t>
            </w:r>
          </w:p>
          <w:p w14:paraId="0FCDF760" w14:textId="77777777" w:rsidR="003B3771" w:rsidRPr="00AC6DEC" w:rsidRDefault="003B3771" w:rsidP="007F53A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B97CF53" w14:textId="77777777" w:rsidR="003B3771" w:rsidRPr="00AC6DEC" w:rsidRDefault="003B3771" w:rsidP="00544329">
            <w:pPr>
              <w:contextualSpacing/>
              <w:rPr>
                <w:rFonts w:ascii="Times New Roman" w:hAnsi="Times New Roman" w:cs="Times New Roman"/>
                <w:b/>
                <w:bCs/>
              </w:rPr>
            </w:pPr>
            <w:r w:rsidRPr="00AC6DEC">
              <w:rPr>
                <w:rFonts w:ascii="Times New Roman" w:hAnsi="Times New Roman" w:cs="Times New Roman"/>
                <w:b/>
                <w:bCs/>
              </w:rPr>
              <w:t>Question: Q0201_05</w:t>
            </w:r>
          </w:p>
          <w:p w14:paraId="39F99EDC" w14:textId="77777777" w:rsidR="003B3771" w:rsidRPr="00AC6DEC" w:rsidRDefault="003B3771" w:rsidP="00544329">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38503391" w14:textId="77777777" w:rsidR="003B3771" w:rsidRPr="00AC6DEC" w:rsidRDefault="003B3771" w:rsidP="00544329">
            <w:pPr>
              <w:contextualSpacing/>
              <w:rPr>
                <w:rFonts w:ascii="Times New Roman" w:hAnsi="Times New Roman" w:cs="Times New Roman"/>
                <w:b/>
                <w:bCs/>
              </w:rPr>
            </w:pPr>
          </w:p>
          <w:p w14:paraId="77D70CC0" w14:textId="77777777" w:rsidR="003B3771" w:rsidRPr="00AC6DEC" w:rsidRDefault="003B3771" w:rsidP="00544329">
            <w:pPr>
              <w:contextualSpacing/>
              <w:rPr>
                <w:rFonts w:ascii="Times New Roman" w:hAnsi="Times New Roman" w:cs="Times New Roman"/>
                <w:b/>
                <w:bCs/>
              </w:rPr>
            </w:pPr>
            <w:r w:rsidRPr="00AC6DEC">
              <w:rPr>
                <w:rFonts w:ascii="Times New Roman" w:hAnsi="Times New Roman" w:cs="Times New Roman"/>
                <w:b/>
                <w:bCs/>
              </w:rPr>
              <w:t xml:space="preserve">Answer: </w:t>
            </w:r>
          </w:p>
          <w:p w14:paraId="1011221B" w14:textId="77777777" w:rsidR="003B3771" w:rsidRPr="00AC6DEC" w:rsidRDefault="003B3771" w:rsidP="00544329">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7C561F20" w14:textId="77777777" w:rsidR="003B3771" w:rsidRPr="00AC6DEC" w:rsidRDefault="003B3771" w:rsidP="00415E40">
            <w:pPr>
              <w:contextualSpacing/>
              <w:rPr>
                <w:rFonts w:ascii="Times New Roman" w:hAnsi="Times New Roman" w:cs="Times New Roman"/>
                <w:b/>
                <w:bCs/>
              </w:rPr>
            </w:pPr>
          </w:p>
        </w:tc>
      </w:tr>
      <w:tr w:rsidR="003B3771" w:rsidRPr="00AC6DEC" w14:paraId="2C4DBC4B" w14:textId="77777777" w:rsidTr="2A62FF34">
        <w:trPr>
          <w:jc w:val="center"/>
        </w:trPr>
        <w:tc>
          <w:tcPr>
            <w:tcW w:w="2157" w:type="dxa"/>
            <w:tcMar>
              <w:top w:w="72" w:type="dxa"/>
              <w:left w:w="115" w:type="dxa"/>
              <w:bottom w:w="72" w:type="dxa"/>
              <w:right w:w="115" w:type="dxa"/>
            </w:tcMar>
            <w:vAlign w:val="center"/>
          </w:tcPr>
          <w:p w14:paraId="6A048FA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4C0831D7" w14:textId="77777777" w:rsidR="003B3771" w:rsidRPr="00AC6DEC" w:rsidRDefault="003B3771" w:rsidP="00377A5A">
            <w:pPr>
              <w:rPr>
                <w:rFonts w:ascii="Times New Roman" w:hAnsi="Times New Roman" w:cs="Times New Roman"/>
                <w:noProof/>
              </w:rPr>
            </w:pPr>
            <w:r w:rsidRPr="00AC6DEC">
              <w:rPr>
                <w:rFonts w:ascii="Times New Roman" w:hAnsi="Times New Roman" w:cs="Times New Roman"/>
                <w:noProof/>
              </w:rPr>
              <w:t>3.18</w:t>
            </w:r>
          </w:p>
          <w:p w14:paraId="716CF113" w14:textId="77777777" w:rsidR="003B3771" w:rsidRPr="00AC6DEC" w:rsidRDefault="003B3771" w:rsidP="00377A5A">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B695C49" w14:textId="77777777" w:rsidR="003B3771" w:rsidRPr="00AC6DEC" w:rsidRDefault="003B3771" w:rsidP="2A62FF34">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14065C6D" w14:textId="77777777" w:rsidR="003B3771" w:rsidRPr="00AC6DEC" w:rsidRDefault="003B3771" w:rsidP="2A62FF34">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53147778" w14:textId="77777777" w:rsidR="003B3771" w:rsidRPr="00AC6DEC" w:rsidRDefault="003B3771" w:rsidP="2A62FF34">
            <w:pPr>
              <w:contextualSpacing/>
              <w:rPr>
                <w:rFonts w:ascii="Times New Roman" w:hAnsi="Times New Roman" w:cs="Times New Roman"/>
              </w:rPr>
            </w:pPr>
          </w:p>
          <w:p w14:paraId="5338276F" w14:textId="77777777" w:rsidR="003B3771" w:rsidRPr="00AC6DEC" w:rsidRDefault="003B3771" w:rsidP="2A62FF34">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3B3771" w:rsidRPr="00AC6DEC" w14:paraId="04434C9F" w14:textId="77777777" w:rsidTr="2A62FF34">
        <w:trPr>
          <w:jc w:val="center"/>
        </w:trPr>
        <w:tc>
          <w:tcPr>
            <w:tcW w:w="2157" w:type="dxa"/>
            <w:tcMar>
              <w:top w:w="72" w:type="dxa"/>
              <w:left w:w="115" w:type="dxa"/>
              <w:bottom w:w="72" w:type="dxa"/>
              <w:right w:w="115" w:type="dxa"/>
            </w:tcMar>
            <w:vAlign w:val="center"/>
          </w:tcPr>
          <w:p w14:paraId="3D3D637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71D7404" w14:textId="77777777" w:rsidR="003B3771" w:rsidRPr="00AC6DEC" w:rsidRDefault="003B3771" w:rsidP="00665F42">
            <w:pPr>
              <w:rPr>
                <w:rFonts w:ascii="Times New Roman" w:hAnsi="Times New Roman" w:cs="Times New Roman"/>
              </w:rPr>
            </w:pPr>
            <w:r w:rsidRPr="00AC6DEC">
              <w:rPr>
                <w:rFonts w:ascii="Times New Roman" w:hAnsi="Times New Roman" w:cs="Times New Roman"/>
              </w:rPr>
              <w:t>7.00</w:t>
            </w:r>
          </w:p>
          <w:p w14:paraId="3FF8A89A" w14:textId="77777777" w:rsidR="003B3771" w:rsidRPr="00AC6DEC" w:rsidRDefault="003B3771" w:rsidP="00665F42">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4168EC32" w14:textId="77777777" w:rsidR="003B3771" w:rsidRPr="00AC6DEC" w:rsidRDefault="003B3771"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713A023E" w14:textId="77777777" w:rsidR="003B3771" w:rsidRPr="00AC6DEC" w:rsidRDefault="003B3771"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5974FAAF" w14:textId="77777777" w:rsidR="003B3771" w:rsidRPr="00AC6DEC" w:rsidRDefault="003B3771" w:rsidP="00071086">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77C1F6A5" w14:textId="77777777" w:rsidR="003B3771" w:rsidRPr="00AC6DEC" w:rsidRDefault="003B3771"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6720076F" w14:textId="77777777" w:rsidR="003B3771" w:rsidRPr="00AC6DEC" w:rsidRDefault="003B3771"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52CA11F4" w14:textId="77777777" w:rsidR="003B3771" w:rsidRPr="00AC6DEC" w:rsidRDefault="003B3771" w:rsidP="00071086">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2D1F954F" w14:textId="77777777" w:rsidR="003B3771" w:rsidRPr="00AC6DEC" w:rsidRDefault="003B3771"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2FAFBF1B" w14:textId="77777777" w:rsidR="003B3771" w:rsidRPr="00AC6DEC" w:rsidRDefault="003B3771" w:rsidP="00071086">
            <w:pPr>
              <w:contextualSpacing/>
              <w:rPr>
                <w:rFonts w:ascii="Times New Roman" w:hAnsi="Times New Roman" w:cs="Times New Roman"/>
                <w:b/>
                <w:bCs/>
              </w:rPr>
            </w:pPr>
          </w:p>
        </w:tc>
      </w:tr>
      <w:tr w:rsidR="003B3771" w:rsidRPr="00AC6DEC" w14:paraId="270AF96E" w14:textId="77777777" w:rsidTr="2A62FF34">
        <w:trPr>
          <w:jc w:val="center"/>
        </w:trPr>
        <w:tc>
          <w:tcPr>
            <w:tcW w:w="2157" w:type="dxa"/>
            <w:tcMar>
              <w:top w:w="72" w:type="dxa"/>
              <w:left w:w="115" w:type="dxa"/>
              <w:bottom w:w="72" w:type="dxa"/>
              <w:right w:w="115" w:type="dxa"/>
            </w:tcMar>
            <w:vAlign w:val="center"/>
          </w:tcPr>
          <w:p w14:paraId="24DF3320"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21B9116B"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1.14</w:t>
            </w:r>
          </w:p>
          <w:p w14:paraId="53DDF197"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0489FEC8" w14:textId="77777777" w:rsidR="003B3771" w:rsidRPr="00AC6DEC" w:rsidRDefault="003B3771" w:rsidP="0014106F">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3CFFF8BA" w14:textId="77777777" w:rsidR="003B3771" w:rsidRPr="00AC6DEC" w:rsidRDefault="003B3771" w:rsidP="0014106F">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42F5C8A5" w14:textId="77777777" w:rsidR="003B3771" w:rsidRPr="00AC6DEC" w:rsidRDefault="003B3771" w:rsidP="0014106F">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6A1F29F2" w14:textId="77777777" w:rsidR="003B3771" w:rsidRPr="00AC6DEC" w:rsidRDefault="003B3771" w:rsidP="0014106F">
            <w:pPr>
              <w:contextualSpacing/>
              <w:rPr>
                <w:rFonts w:ascii="Times New Roman" w:hAnsi="Times New Roman" w:cs="Times New Roman"/>
              </w:rPr>
            </w:pPr>
            <w:r w:rsidRPr="00AC6DEC">
              <w:rPr>
                <w:rFonts w:ascii="Times New Roman" w:hAnsi="Times New Roman" w:cs="Times New Roman"/>
              </w:rPr>
              <w:t>for purposes of the pre-application?</w:t>
            </w:r>
          </w:p>
          <w:p w14:paraId="4899181C" w14:textId="77777777" w:rsidR="003B3771" w:rsidRPr="00AC6DEC" w:rsidRDefault="003B3771" w:rsidP="0014106F">
            <w:pPr>
              <w:contextualSpacing/>
              <w:rPr>
                <w:rFonts w:ascii="Times New Roman" w:hAnsi="Times New Roman" w:cs="Times New Roman"/>
                <w:b/>
                <w:bCs/>
              </w:rPr>
            </w:pPr>
          </w:p>
          <w:p w14:paraId="343EB2EE" w14:textId="77777777" w:rsidR="003B3771" w:rsidRPr="00AC6DEC" w:rsidRDefault="003B3771" w:rsidP="0014106F">
            <w:pPr>
              <w:contextualSpacing/>
              <w:rPr>
                <w:rFonts w:ascii="Times New Roman" w:hAnsi="Times New Roman" w:cs="Times New Roman"/>
                <w:b/>
                <w:bCs/>
              </w:rPr>
            </w:pPr>
            <w:r w:rsidRPr="00AC6DEC">
              <w:rPr>
                <w:rFonts w:ascii="Times New Roman" w:hAnsi="Times New Roman" w:cs="Times New Roman"/>
                <w:b/>
                <w:bCs/>
              </w:rPr>
              <w:t xml:space="preserve">Answer: </w:t>
            </w:r>
          </w:p>
          <w:p w14:paraId="6463163F" w14:textId="77777777" w:rsidR="003B3771" w:rsidRPr="00AC6DEC" w:rsidRDefault="003B3771" w:rsidP="0014106F">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48595B28" w14:textId="77777777" w:rsidR="003B3771" w:rsidRPr="00AC6DEC" w:rsidRDefault="003B3771" w:rsidP="00E66B6A">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3B3771" w:rsidRPr="00AC6DEC" w14:paraId="41780D19" w14:textId="77777777" w:rsidTr="2A62FF34">
        <w:trPr>
          <w:jc w:val="center"/>
        </w:trPr>
        <w:tc>
          <w:tcPr>
            <w:tcW w:w="2157" w:type="dxa"/>
            <w:tcMar>
              <w:top w:w="72" w:type="dxa"/>
              <w:left w:w="115" w:type="dxa"/>
              <w:bottom w:w="72" w:type="dxa"/>
              <w:right w:w="115" w:type="dxa"/>
            </w:tcMar>
            <w:vAlign w:val="center"/>
          </w:tcPr>
          <w:p w14:paraId="6B0FBA04"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5560091D"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2.02</w:t>
            </w:r>
          </w:p>
          <w:p w14:paraId="604A7978"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2422EBEE" w14:textId="77777777" w:rsidR="003B3771" w:rsidRPr="00AC6DEC" w:rsidRDefault="003B3771" w:rsidP="00914F03">
            <w:pPr>
              <w:contextualSpacing/>
              <w:rPr>
                <w:rFonts w:ascii="Times New Roman" w:hAnsi="Times New Roman" w:cs="Times New Roman"/>
                <w:b/>
                <w:bCs/>
              </w:rPr>
            </w:pPr>
            <w:r w:rsidRPr="00AC6DEC">
              <w:rPr>
                <w:rFonts w:ascii="Times New Roman" w:hAnsi="Times New Roman" w:cs="Times New Roman"/>
                <w:b/>
                <w:bCs/>
              </w:rPr>
              <w:t>Question: Q0220_02</w:t>
            </w:r>
          </w:p>
          <w:p w14:paraId="6AC1BC2F" w14:textId="77777777" w:rsidR="003B3771" w:rsidRPr="00AC6DEC" w:rsidRDefault="003B3771" w:rsidP="00914F03">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255D5628" w14:textId="77777777" w:rsidR="003B3771" w:rsidRPr="00AC6DEC" w:rsidRDefault="003B3771" w:rsidP="00914F03">
            <w:pPr>
              <w:contextualSpacing/>
              <w:rPr>
                <w:rFonts w:ascii="Times New Roman" w:hAnsi="Times New Roman" w:cs="Times New Roman"/>
                <w:b/>
                <w:bCs/>
              </w:rPr>
            </w:pPr>
          </w:p>
          <w:p w14:paraId="08BEF269" w14:textId="77777777" w:rsidR="003B3771" w:rsidRPr="00AC6DEC" w:rsidRDefault="003B3771" w:rsidP="00914F03">
            <w:pPr>
              <w:contextualSpacing/>
              <w:rPr>
                <w:rFonts w:ascii="Times New Roman" w:hAnsi="Times New Roman" w:cs="Times New Roman"/>
                <w:b/>
                <w:bCs/>
              </w:rPr>
            </w:pPr>
            <w:r w:rsidRPr="00AC6DEC">
              <w:rPr>
                <w:rFonts w:ascii="Times New Roman" w:hAnsi="Times New Roman" w:cs="Times New Roman"/>
                <w:b/>
                <w:bCs/>
              </w:rPr>
              <w:t xml:space="preserve">Answer: </w:t>
            </w:r>
          </w:p>
          <w:p w14:paraId="20664A43" w14:textId="77777777" w:rsidR="003B3771" w:rsidRPr="00AC6DEC" w:rsidRDefault="003B3771" w:rsidP="00914F03">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0F3BB4F3" w14:textId="77777777" w:rsidR="003B3771" w:rsidRPr="00AC6DEC" w:rsidRDefault="003B3771" w:rsidP="00914F03">
            <w:pPr>
              <w:contextualSpacing/>
              <w:rPr>
                <w:rFonts w:ascii="Times New Roman" w:hAnsi="Times New Roman" w:cs="Times New Roman"/>
              </w:rPr>
            </w:pPr>
          </w:p>
          <w:p w14:paraId="00998222" w14:textId="77777777" w:rsidR="003B3771" w:rsidRPr="00AC6DEC" w:rsidRDefault="003B3771" w:rsidP="00914F03">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1C21FA24" w14:textId="77777777" w:rsidR="003B3771" w:rsidRPr="00AC6DEC" w:rsidRDefault="003B3771" w:rsidP="00914F03">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5E85FBDD" w14:textId="77777777" w:rsidR="003B3771" w:rsidRPr="00AC6DEC" w:rsidRDefault="003B3771" w:rsidP="00914F03">
            <w:pPr>
              <w:rPr>
                <w:rFonts w:ascii="Times New Roman" w:hAnsi="Times New Roman" w:cs="Times New Roman"/>
              </w:rPr>
            </w:pPr>
          </w:p>
          <w:p w14:paraId="551C28E2" w14:textId="77777777" w:rsidR="003B3771" w:rsidRPr="00AC6DEC" w:rsidRDefault="003B3771" w:rsidP="00914F03">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3459554C" w14:textId="77777777" w:rsidR="003B3771" w:rsidRPr="00AC6DEC" w:rsidRDefault="003B3771" w:rsidP="00914F03">
            <w:pPr>
              <w:rPr>
                <w:rFonts w:ascii="Times New Roman" w:hAnsi="Times New Roman" w:cs="Times New Roman"/>
              </w:rPr>
            </w:pPr>
          </w:p>
          <w:p w14:paraId="622A0D5D" w14:textId="77777777" w:rsidR="003B3771" w:rsidRPr="00AC6DEC" w:rsidRDefault="003B3771" w:rsidP="00914F03">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024F90F1" w14:textId="77777777" w:rsidR="003B3771" w:rsidRPr="00AC6DEC" w:rsidRDefault="003B3771" w:rsidP="0014106F">
            <w:pPr>
              <w:contextualSpacing/>
              <w:rPr>
                <w:rFonts w:ascii="Times New Roman" w:hAnsi="Times New Roman" w:cs="Times New Roman"/>
                <w:b/>
                <w:bCs/>
              </w:rPr>
            </w:pPr>
          </w:p>
        </w:tc>
      </w:tr>
      <w:tr w:rsidR="003B3771" w:rsidRPr="00AC6DEC" w14:paraId="7024BC37" w14:textId="77777777" w:rsidTr="2A62FF34">
        <w:trPr>
          <w:jc w:val="center"/>
        </w:trPr>
        <w:tc>
          <w:tcPr>
            <w:tcW w:w="2157" w:type="dxa"/>
            <w:tcMar>
              <w:top w:w="72" w:type="dxa"/>
              <w:left w:w="115" w:type="dxa"/>
              <w:bottom w:w="72" w:type="dxa"/>
              <w:right w:w="115" w:type="dxa"/>
            </w:tcMar>
            <w:vAlign w:val="center"/>
          </w:tcPr>
          <w:p w14:paraId="359B3D9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1F97B675"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2.02</w:t>
            </w:r>
          </w:p>
          <w:p w14:paraId="1A3F7B1A"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10624AB2" w14:textId="77777777" w:rsidR="003B3771" w:rsidRPr="00AC6DEC" w:rsidRDefault="003B3771" w:rsidP="00714AAF">
            <w:pPr>
              <w:contextualSpacing/>
              <w:rPr>
                <w:rFonts w:ascii="Times New Roman" w:hAnsi="Times New Roman" w:cs="Times New Roman"/>
                <w:b/>
                <w:bCs/>
              </w:rPr>
            </w:pPr>
            <w:r w:rsidRPr="00AC6DEC">
              <w:rPr>
                <w:rFonts w:ascii="Times New Roman" w:hAnsi="Times New Roman" w:cs="Times New Roman"/>
                <w:b/>
                <w:bCs/>
              </w:rPr>
              <w:t>Question: Q0220_03</w:t>
            </w:r>
          </w:p>
          <w:p w14:paraId="25D855A0" w14:textId="77777777" w:rsidR="003B3771" w:rsidRPr="00AC6DEC" w:rsidRDefault="003B3771" w:rsidP="00714AAF">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77598F1F" w14:textId="77777777" w:rsidR="003B3771" w:rsidRPr="00AC6DEC" w:rsidRDefault="003B3771" w:rsidP="00714AAF">
            <w:pPr>
              <w:contextualSpacing/>
              <w:rPr>
                <w:rFonts w:ascii="Times New Roman" w:hAnsi="Times New Roman" w:cs="Times New Roman"/>
                <w:b/>
                <w:bCs/>
              </w:rPr>
            </w:pPr>
          </w:p>
          <w:p w14:paraId="41D49AB6" w14:textId="77777777" w:rsidR="003B3771" w:rsidRPr="00AC6DEC" w:rsidRDefault="003B3771" w:rsidP="00714AAF">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14401B1A" w14:textId="77777777" w:rsidR="003B3771" w:rsidRPr="00AC6DEC" w:rsidRDefault="003B3771" w:rsidP="00714AAF">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29">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7A5C65E5" w14:textId="77777777" w:rsidR="003B3771" w:rsidRPr="00AC6DEC" w:rsidRDefault="003B3771" w:rsidP="00714AAF">
            <w:pPr>
              <w:rPr>
                <w:rFonts w:ascii="Times New Roman" w:hAnsi="Times New Roman" w:cs="Times New Roman"/>
              </w:rPr>
            </w:pPr>
          </w:p>
          <w:p w14:paraId="45BDFDE6" w14:textId="77777777" w:rsidR="003B3771" w:rsidRPr="00AC6DEC" w:rsidRDefault="003B3771" w:rsidP="00714AAF">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24C23633" w14:textId="77777777" w:rsidR="003B3771" w:rsidRPr="00AC6DEC" w:rsidRDefault="003B3771" w:rsidP="00714AAF">
            <w:pPr>
              <w:rPr>
                <w:rFonts w:ascii="Times New Roman" w:eastAsia="Times New Roman" w:hAnsi="Times New Roman" w:cs="Times New Roman"/>
              </w:rPr>
            </w:pPr>
          </w:p>
          <w:p w14:paraId="49A60D9B" w14:textId="77777777" w:rsidR="003B3771" w:rsidRPr="00AC6DEC" w:rsidRDefault="003B3771" w:rsidP="00714AAF">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0">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0264CD4D" w14:textId="77777777" w:rsidR="003B3771" w:rsidRPr="00AC6DEC" w:rsidRDefault="003B3771" w:rsidP="003A1828">
            <w:pPr>
              <w:contextualSpacing/>
              <w:rPr>
                <w:rFonts w:ascii="Times New Roman" w:hAnsi="Times New Roman" w:cs="Times New Roman"/>
                <w:b/>
                <w:bCs/>
              </w:rPr>
            </w:pPr>
          </w:p>
        </w:tc>
      </w:tr>
      <w:tr w:rsidR="003B3771" w:rsidRPr="00AC6DEC" w14:paraId="7C6392AB" w14:textId="77777777" w:rsidTr="2A62FF34">
        <w:trPr>
          <w:jc w:val="center"/>
        </w:trPr>
        <w:tc>
          <w:tcPr>
            <w:tcW w:w="2157" w:type="dxa"/>
            <w:tcMar>
              <w:top w:w="72" w:type="dxa"/>
              <w:left w:w="115" w:type="dxa"/>
              <w:bottom w:w="72" w:type="dxa"/>
              <w:right w:w="115" w:type="dxa"/>
            </w:tcMar>
            <w:vAlign w:val="center"/>
          </w:tcPr>
          <w:p w14:paraId="4C55817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755A4C1"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7B9E3BC1" w14:textId="77777777" w:rsidR="003B3771" w:rsidRPr="00AC6DEC" w:rsidRDefault="003B3771" w:rsidP="00B95C56">
            <w:pPr>
              <w:contextualSpacing/>
              <w:rPr>
                <w:rFonts w:ascii="Times New Roman" w:hAnsi="Times New Roman" w:cs="Times New Roman"/>
                <w:b/>
                <w:bCs/>
              </w:rPr>
            </w:pPr>
            <w:r w:rsidRPr="00AC6DEC">
              <w:rPr>
                <w:rFonts w:ascii="Times New Roman" w:hAnsi="Times New Roman" w:cs="Times New Roman"/>
                <w:b/>
                <w:bCs/>
              </w:rPr>
              <w:t>Question: Q0220_01</w:t>
            </w:r>
          </w:p>
          <w:p w14:paraId="00674B6F" w14:textId="77777777" w:rsidR="003B3771" w:rsidRPr="00AC6DEC" w:rsidRDefault="003B3771" w:rsidP="00B95C56">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15C59F98" w14:textId="77777777" w:rsidR="003B3771" w:rsidRPr="00AC6DEC" w:rsidRDefault="003B3771" w:rsidP="00B95C56">
            <w:pPr>
              <w:contextualSpacing/>
              <w:rPr>
                <w:rFonts w:ascii="Times New Roman" w:hAnsi="Times New Roman" w:cs="Times New Roman"/>
              </w:rPr>
            </w:pPr>
          </w:p>
          <w:p w14:paraId="59883B86" w14:textId="77777777" w:rsidR="003B3771" w:rsidRPr="00AC6DEC" w:rsidRDefault="003B3771" w:rsidP="00B95C56">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5A605974" w14:textId="77777777" w:rsidR="003B3771" w:rsidRPr="00AC6DEC" w:rsidRDefault="003B3771" w:rsidP="00B95C56">
            <w:pPr>
              <w:contextualSpacing/>
              <w:rPr>
                <w:rFonts w:ascii="Times New Roman" w:hAnsi="Times New Roman" w:cs="Times New Roman"/>
                <w:b/>
                <w:bCs/>
              </w:rPr>
            </w:pPr>
          </w:p>
          <w:p w14:paraId="3D549806" w14:textId="77777777" w:rsidR="003B3771" w:rsidRPr="00AC6DEC" w:rsidRDefault="003B3771" w:rsidP="00B95C56">
            <w:pPr>
              <w:contextualSpacing/>
              <w:rPr>
                <w:rFonts w:ascii="Times New Roman" w:hAnsi="Times New Roman" w:cs="Times New Roman"/>
                <w:b/>
                <w:bCs/>
              </w:rPr>
            </w:pPr>
            <w:r w:rsidRPr="00AC6DEC">
              <w:rPr>
                <w:rFonts w:ascii="Times New Roman" w:hAnsi="Times New Roman" w:cs="Times New Roman"/>
                <w:b/>
                <w:bCs/>
              </w:rPr>
              <w:t xml:space="preserve">Answer: </w:t>
            </w:r>
          </w:p>
          <w:p w14:paraId="7158F2B2" w14:textId="77777777" w:rsidR="003B3771" w:rsidRPr="00AC6DEC" w:rsidRDefault="003B3771" w:rsidP="00B95C56">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1"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32"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3B3771" w:rsidRPr="00AC6DEC" w14:paraId="27B4A72D" w14:textId="77777777" w:rsidTr="2A62FF34">
        <w:trPr>
          <w:jc w:val="center"/>
        </w:trPr>
        <w:tc>
          <w:tcPr>
            <w:tcW w:w="2157" w:type="dxa"/>
            <w:tcMar>
              <w:top w:w="72" w:type="dxa"/>
              <w:left w:w="115" w:type="dxa"/>
              <w:bottom w:w="72" w:type="dxa"/>
              <w:right w:w="115" w:type="dxa"/>
            </w:tcMar>
            <w:vAlign w:val="center"/>
          </w:tcPr>
          <w:p w14:paraId="12FE9BA4"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4CA59D3F"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2.20</w:t>
            </w:r>
          </w:p>
          <w:p w14:paraId="088E5C59" w14:textId="77777777" w:rsidR="003B3771" w:rsidRPr="00AC6DEC" w:rsidRDefault="003B3771" w:rsidP="006C0A83">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5879695E" w14:textId="77777777" w:rsidR="003B3771" w:rsidRPr="00AC6DEC" w:rsidRDefault="003B3771" w:rsidP="003A1828">
            <w:pPr>
              <w:contextualSpacing/>
              <w:rPr>
                <w:rFonts w:ascii="Times New Roman" w:hAnsi="Times New Roman" w:cs="Times New Roman"/>
                <w:b/>
                <w:bCs/>
              </w:rPr>
            </w:pPr>
            <w:r w:rsidRPr="00AC6DEC">
              <w:rPr>
                <w:rFonts w:ascii="Times New Roman" w:hAnsi="Times New Roman" w:cs="Times New Roman"/>
                <w:b/>
                <w:bCs/>
              </w:rPr>
              <w:t>Question: Q0227_01</w:t>
            </w:r>
          </w:p>
          <w:p w14:paraId="44CC2D57" w14:textId="77777777" w:rsidR="003B3771" w:rsidRPr="00AC6DEC" w:rsidRDefault="003B3771" w:rsidP="003A1828">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67F4358D" w14:textId="77777777" w:rsidR="003B3771" w:rsidRPr="00AC6DEC" w:rsidRDefault="003B3771" w:rsidP="003A1828">
            <w:pPr>
              <w:contextualSpacing/>
              <w:rPr>
                <w:rFonts w:ascii="Times New Roman" w:hAnsi="Times New Roman" w:cs="Times New Roman"/>
                <w:b/>
              </w:rPr>
            </w:pPr>
          </w:p>
          <w:p w14:paraId="1EB73EFC" w14:textId="77777777" w:rsidR="003B3771" w:rsidRPr="00AC6DEC" w:rsidRDefault="003B3771" w:rsidP="003A1828">
            <w:pPr>
              <w:contextualSpacing/>
              <w:rPr>
                <w:rFonts w:ascii="Times New Roman" w:hAnsi="Times New Roman" w:cs="Times New Roman"/>
                <w:b/>
                <w:bCs/>
              </w:rPr>
            </w:pPr>
            <w:r w:rsidRPr="00AC6DEC">
              <w:rPr>
                <w:rFonts w:ascii="Times New Roman" w:hAnsi="Times New Roman" w:cs="Times New Roman"/>
                <w:b/>
                <w:bCs/>
              </w:rPr>
              <w:t xml:space="preserve">Answer: </w:t>
            </w:r>
          </w:p>
          <w:p w14:paraId="76F81E70" w14:textId="77777777" w:rsidR="003B3771" w:rsidRPr="00AC6DEC" w:rsidRDefault="003B3771" w:rsidP="003A1828">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3B3771" w:rsidRPr="00AC6DEC" w14:paraId="3269BE22" w14:textId="77777777" w:rsidTr="2A62FF34">
        <w:trPr>
          <w:jc w:val="center"/>
        </w:trPr>
        <w:tc>
          <w:tcPr>
            <w:tcW w:w="2157" w:type="dxa"/>
            <w:tcMar>
              <w:top w:w="72" w:type="dxa"/>
              <w:left w:w="115" w:type="dxa"/>
              <w:bottom w:w="72" w:type="dxa"/>
              <w:right w:w="115" w:type="dxa"/>
            </w:tcMar>
            <w:vAlign w:val="center"/>
          </w:tcPr>
          <w:p w14:paraId="587E1FD2"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79979726" w14:textId="77777777" w:rsidR="003B3771" w:rsidRPr="00AC6DEC" w:rsidRDefault="003B3771" w:rsidP="00190B8E">
            <w:pPr>
              <w:rPr>
                <w:rFonts w:ascii="Times New Roman" w:hAnsi="Times New Roman" w:cs="Times New Roman"/>
              </w:rPr>
            </w:pPr>
            <w:r w:rsidRPr="00AC6DEC">
              <w:rPr>
                <w:rFonts w:ascii="Times New Roman" w:hAnsi="Times New Roman" w:cs="Times New Roman"/>
              </w:rPr>
              <w:t>2.20</w:t>
            </w:r>
          </w:p>
          <w:p w14:paraId="478E812B" w14:textId="77777777" w:rsidR="003B3771" w:rsidRPr="00AC6DEC" w:rsidRDefault="003B3771" w:rsidP="00190B8E">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40FE2BE8" w14:textId="77777777" w:rsidR="003B3771" w:rsidRPr="00AC6DEC" w:rsidRDefault="003B3771" w:rsidP="0017751A">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71E74296" w14:textId="77777777" w:rsidR="003B3771" w:rsidRPr="00AC6DEC" w:rsidRDefault="003B3771" w:rsidP="0017751A">
            <w:pPr>
              <w:contextualSpacing/>
              <w:rPr>
                <w:rFonts w:ascii="Times New Roman" w:hAnsi="Times New Roman" w:cs="Times New Roman"/>
              </w:rPr>
            </w:pPr>
          </w:p>
          <w:p w14:paraId="4FF2767E" w14:textId="77777777" w:rsidR="003B3771" w:rsidRPr="00AC6DEC" w:rsidRDefault="003B3771" w:rsidP="00C1367D">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23B89F4F" w14:textId="77777777" w:rsidR="003B3771" w:rsidRPr="00AC6DEC" w:rsidRDefault="003B3771" w:rsidP="00C1367D">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7CC463E0" w14:textId="77777777" w:rsidR="003B3771" w:rsidRPr="00AC6DEC" w:rsidRDefault="003B3771" w:rsidP="0017751A">
            <w:pPr>
              <w:contextualSpacing/>
              <w:rPr>
                <w:rFonts w:ascii="Times New Roman" w:hAnsi="Times New Roman" w:cs="Times New Roman"/>
                <w:b/>
                <w:bCs/>
              </w:rPr>
            </w:pPr>
          </w:p>
          <w:p w14:paraId="153881D6" w14:textId="77777777" w:rsidR="003B3771" w:rsidRPr="00AC6DEC" w:rsidRDefault="003B3771" w:rsidP="0017751A">
            <w:pPr>
              <w:contextualSpacing/>
              <w:rPr>
                <w:rFonts w:ascii="Times New Roman" w:hAnsi="Times New Roman" w:cs="Times New Roman"/>
                <w:b/>
                <w:bCs/>
              </w:rPr>
            </w:pPr>
            <w:r w:rsidRPr="00AC6DEC">
              <w:rPr>
                <w:rFonts w:ascii="Times New Roman" w:hAnsi="Times New Roman" w:cs="Times New Roman"/>
                <w:b/>
                <w:bCs/>
              </w:rPr>
              <w:t xml:space="preserve">Answer: </w:t>
            </w:r>
          </w:p>
          <w:p w14:paraId="33D9B327" w14:textId="77777777" w:rsidR="003B3771" w:rsidRPr="00AC6DEC" w:rsidRDefault="003B3771" w:rsidP="0017751A">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41BAB2CA" w14:textId="77777777" w:rsidR="003B3771" w:rsidRPr="00AC6DEC" w:rsidRDefault="003B3771" w:rsidP="000328C6">
            <w:pPr>
              <w:contextualSpacing/>
              <w:rPr>
                <w:rFonts w:ascii="Times New Roman" w:hAnsi="Times New Roman" w:cs="Times New Roman"/>
                <w:b/>
                <w:bCs/>
              </w:rPr>
            </w:pPr>
          </w:p>
        </w:tc>
      </w:tr>
      <w:tr w:rsidR="003B3771" w:rsidRPr="00AC6DEC" w14:paraId="21F6E745" w14:textId="77777777" w:rsidTr="2A62FF34">
        <w:trPr>
          <w:jc w:val="center"/>
        </w:trPr>
        <w:tc>
          <w:tcPr>
            <w:tcW w:w="2157" w:type="dxa"/>
            <w:tcMar>
              <w:top w:w="72" w:type="dxa"/>
              <w:left w:w="115" w:type="dxa"/>
              <w:bottom w:w="72" w:type="dxa"/>
              <w:right w:w="115" w:type="dxa"/>
            </w:tcMar>
            <w:vAlign w:val="center"/>
          </w:tcPr>
          <w:p w14:paraId="1DAFF48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024467D0" w14:textId="77777777" w:rsidR="003B3771" w:rsidRPr="00AC6DEC" w:rsidRDefault="003B3771" w:rsidP="006A7B3F">
            <w:pPr>
              <w:rPr>
                <w:rFonts w:ascii="Times New Roman" w:hAnsi="Times New Roman" w:cs="Times New Roman"/>
              </w:rPr>
            </w:pPr>
            <w:r w:rsidRPr="00AC6DEC">
              <w:rPr>
                <w:rFonts w:ascii="Times New Roman" w:hAnsi="Times New Roman" w:cs="Times New Roman"/>
              </w:rPr>
              <w:t>2.20</w:t>
            </w:r>
          </w:p>
          <w:p w14:paraId="154F53B5" w14:textId="77777777" w:rsidR="003B3771" w:rsidRPr="00AC6DEC" w:rsidRDefault="003B3771" w:rsidP="006A7B3F">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1F4B02A0" w14:textId="77777777" w:rsidR="003B3771" w:rsidRPr="00AC6DEC" w:rsidRDefault="003B3771" w:rsidP="000328C6">
            <w:pPr>
              <w:contextualSpacing/>
              <w:rPr>
                <w:rFonts w:ascii="Times New Roman" w:hAnsi="Times New Roman" w:cs="Times New Roman"/>
                <w:b/>
                <w:bCs/>
              </w:rPr>
            </w:pPr>
            <w:r w:rsidRPr="00AC6DEC">
              <w:rPr>
                <w:rFonts w:ascii="Times New Roman" w:hAnsi="Times New Roman" w:cs="Times New Roman"/>
                <w:b/>
                <w:bCs/>
              </w:rPr>
              <w:t>Question: Q0225_02</w:t>
            </w:r>
          </w:p>
          <w:p w14:paraId="1BB083A0" w14:textId="77777777" w:rsidR="003B3771" w:rsidRPr="00AC6DEC" w:rsidRDefault="003B3771" w:rsidP="000328C6">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5DB6603F" w14:textId="77777777" w:rsidR="003B3771" w:rsidRPr="00AC6DEC" w:rsidRDefault="003B3771" w:rsidP="000328C6">
            <w:pPr>
              <w:contextualSpacing/>
              <w:rPr>
                <w:rFonts w:ascii="Times New Roman" w:hAnsi="Times New Roman" w:cs="Times New Roman"/>
              </w:rPr>
            </w:pPr>
          </w:p>
          <w:p w14:paraId="389749E6" w14:textId="77777777" w:rsidR="003B3771" w:rsidRPr="00AC6DEC" w:rsidRDefault="003B3771" w:rsidP="000328C6">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1EFABD72" w14:textId="77777777" w:rsidR="003B3771" w:rsidRPr="00AC6DEC" w:rsidRDefault="003B3771" w:rsidP="000328C6">
            <w:pPr>
              <w:contextualSpacing/>
              <w:rPr>
                <w:rFonts w:ascii="Times New Roman" w:hAnsi="Times New Roman" w:cs="Times New Roman"/>
              </w:rPr>
            </w:pPr>
          </w:p>
          <w:p w14:paraId="14427D6F" w14:textId="77777777" w:rsidR="003B3771" w:rsidRPr="00AC6DEC" w:rsidRDefault="003B3771" w:rsidP="000328C6">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55D2B595" w14:textId="77777777" w:rsidR="003B3771" w:rsidRPr="00AC6DEC" w:rsidRDefault="003B3771" w:rsidP="000328C6">
            <w:pPr>
              <w:contextualSpacing/>
              <w:rPr>
                <w:rFonts w:ascii="Times New Roman" w:hAnsi="Times New Roman" w:cs="Times New Roman"/>
              </w:rPr>
            </w:pPr>
          </w:p>
          <w:p w14:paraId="0F8D000E" w14:textId="77777777" w:rsidR="003B3771" w:rsidRPr="00AC6DEC" w:rsidRDefault="003B3771" w:rsidP="000328C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2F47D448" w14:textId="77777777" w:rsidR="003B3771" w:rsidRPr="00AC6DEC" w:rsidRDefault="003B3771" w:rsidP="000328C6">
            <w:pPr>
              <w:contextualSpacing/>
              <w:rPr>
                <w:rFonts w:ascii="Times New Roman" w:hAnsi="Times New Roman" w:cs="Times New Roman"/>
                <w:b/>
                <w:bCs/>
              </w:rPr>
            </w:pPr>
          </w:p>
          <w:p w14:paraId="71A794A9" w14:textId="77777777" w:rsidR="003B3771" w:rsidRPr="00AC6DEC" w:rsidRDefault="003B3771" w:rsidP="000328C6">
            <w:pPr>
              <w:contextualSpacing/>
              <w:rPr>
                <w:rFonts w:ascii="Times New Roman" w:hAnsi="Times New Roman" w:cs="Times New Roman"/>
                <w:b/>
                <w:bCs/>
              </w:rPr>
            </w:pPr>
            <w:r w:rsidRPr="00AC6DEC">
              <w:rPr>
                <w:rFonts w:ascii="Times New Roman" w:hAnsi="Times New Roman" w:cs="Times New Roman"/>
                <w:b/>
                <w:bCs/>
              </w:rPr>
              <w:t xml:space="preserve">Answer: </w:t>
            </w:r>
          </w:p>
          <w:p w14:paraId="44FF14AD" w14:textId="77777777" w:rsidR="003B3771" w:rsidRPr="00AC6DEC" w:rsidRDefault="003B3771" w:rsidP="000328C6">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08C8FF4D" w14:textId="77777777" w:rsidR="003B3771" w:rsidRPr="00AC6DEC" w:rsidRDefault="003B3771" w:rsidP="00C94BF1">
            <w:pPr>
              <w:contextualSpacing/>
              <w:rPr>
                <w:rFonts w:ascii="Times New Roman" w:hAnsi="Times New Roman" w:cs="Times New Roman"/>
                <w:b/>
                <w:bCs/>
              </w:rPr>
            </w:pPr>
          </w:p>
        </w:tc>
      </w:tr>
      <w:tr w:rsidR="003B3771" w:rsidRPr="00AC6DEC" w14:paraId="2B1F3D73" w14:textId="77777777" w:rsidTr="2A62FF34">
        <w:trPr>
          <w:jc w:val="center"/>
        </w:trPr>
        <w:tc>
          <w:tcPr>
            <w:tcW w:w="2157" w:type="dxa"/>
            <w:tcMar>
              <w:top w:w="72" w:type="dxa"/>
              <w:left w:w="115" w:type="dxa"/>
              <w:bottom w:w="72" w:type="dxa"/>
              <w:right w:w="115" w:type="dxa"/>
            </w:tcMar>
            <w:vAlign w:val="center"/>
          </w:tcPr>
          <w:p w14:paraId="181301AF"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2C345238" w14:textId="77777777" w:rsidR="003B3771" w:rsidRPr="00AC6DEC" w:rsidRDefault="003B3771" w:rsidP="00235C79">
            <w:pPr>
              <w:rPr>
                <w:rFonts w:ascii="Times New Roman" w:hAnsi="Times New Roman" w:cs="Times New Roman"/>
              </w:rPr>
            </w:pPr>
            <w:r w:rsidRPr="00AC6DEC">
              <w:rPr>
                <w:rFonts w:ascii="Times New Roman" w:hAnsi="Times New Roman" w:cs="Times New Roman"/>
              </w:rPr>
              <w:t>6.00</w:t>
            </w:r>
          </w:p>
          <w:p w14:paraId="6E42F84C" w14:textId="77777777" w:rsidR="003B3771" w:rsidRPr="00AC6DEC" w:rsidRDefault="003B3771" w:rsidP="00235C79">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1A3C602A" w14:textId="77777777" w:rsidR="003B3771" w:rsidRPr="00AC6DEC" w:rsidRDefault="003B3771"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1941FC1C" w14:textId="77777777" w:rsidR="003B3771" w:rsidRPr="00AC6DEC" w:rsidRDefault="003B3771" w:rsidP="002F2BC7">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13717147" w14:textId="77777777" w:rsidR="003B3771" w:rsidRPr="00AC6DEC" w:rsidRDefault="003B3771" w:rsidP="002F2BC7">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02135FA1" w14:textId="77777777" w:rsidR="003B3771" w:rsidRPr="00AC6DEC" w:rsidRDefault="003B3771" w:rsidP="002F2BC7">
            <w:pPr>
              <w:contextualSpacing/>
              <w:rPr>
                <w:rFonts w:ascii="Times New Roman" w:hAnsi="Times New Roman" w:cs="Times New Roman"/>
                <w:b/>
                <w:bCs/>
              </w:rPr>
            </w:pPr>
          </w:p>
          <w:p w14:paraId="3C4844C2" w14:textId="77777777" w:rsidR="003B3771" w:rsidRPr="00AC6DEC" w:rsidRDefault="003B3771" w:rsidP="002F2BC7">
            <w:pPr>
              <w:contextualSpacing/>
              <w:rPr>
                <w:rFonts w:ascii="Times New Roman" w:hAnsi="Times New Roman" w:cs="Times New Roman"/>
                <w:b/>
                <w:bCs/>
              </w:rPr>
            </w:pPr>
            <w:r w:rsidRPr="00AC6DEC">
              <w:rPr>
                <w:rFonts w:ascii="Times New Roman" w:hAnsi="Times New Roman" w:cs="Times New Roman"/>
                <w:b/>
                <w:bCs/>
              </w:rPr>
              <w:t xml:space="preserve">Answer: </w:t>
            </w:r>
          </w:p>
          <w:p w14:paraId="3B8292D5" w14:textId="77777777" w:rsidR="003B3771" w:rsidRPr="00AC6DEC" w:rsidRDefault="003B3771" w:rsidP="002F2BC7">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1B47C362" w14:textId="77777777" w:rsidR="003B3771" w:rsidRPr="00AC6DEC" w:rsidRDefault="003B3771" w:rsidP="0017751A">
            <w:pPr>
              <w:contextualSpacing/>
              <w:rPr>
                <w:rFonts w:ascii="Times New Roman" w:hAnsi="Times New Roman" w:cs="Times New Roman"/>
                <w:b/>
                <w:bCs/>
              </w:rPr>
            </w:pPr>
          </w:p>
        </w:tc>
      </w:tr>
      <w:tr w:rsidR="003B3771" w:rsidRPr="00AC6DEC" w14:paraId="521BEF20" w14:textId="77777777" w:rsidTr="2A62FF34">
        <w:trPr>
          <w:jc w:val="center"/>
        </w:trPr>
        <w:tc>
          <w:tcPr>
            <w:tcW w:w="2157" w:type="dxa"/>
            <w:tcMar>
              <w:top w:w="72" w:type="dxa"/>
              <w:left w:w="115" w:type="dxa"/>
              <w:bottom w:w="72" w:type="dxa"/>
              <w:right w:w="115" w:type="dxa"/>
            </w:tcMar>
            <w:vAlign w:val="center"/>
          </w:tcPr>
          <w:p w14:paraId="68853D1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5A8687A8" w14:textId="77777777" w:rsidR="003B3771" w:rsidRPr="00AC6DEC" w:rsidRDefault="003B3771" w:rsidP="006A7B3F">
            <w:pPr>
              <w:rPr>
                <w:rFonts w:ascii="Times New Roman" w:hAnsi="Times New Roman" w:cs="Times New Roman"/>
              </w:rPr>
            </w:pPr>
            <w:r w:rsidRPr="00AC6DEC">
              <w:rPr>
                <w:rFonts w:ascii="Times New Roman" w:hAnsi="Times New Roman" w:cs="Times New Roman"/>
              </w:rPr>
              <w:t>7.00</w:t>
            </w:r>
          </w:p>
          <w:p w14:paraId="760F171D" w14:textId="77777777" w:rsidR="003B3771" w:rsidRPr="00AC6DEC" w:rsidRDefault="003B3771" w:rsidP="006A7B3F">
            <w:pPr>
              <w:rPr>
                <w:rFonts w:ascii="Times New Roman" w:hAnsi="Times New Roman" w:cs="Times New Roman"/>
              </w:rPr>
            </w:pPr>
            <w:r w:rsidRPr="00AC6DEC">
              <w:rPr>
                <w:rFonts w:ascii="Times New Roman" w:hAnsi="Times New Roman" w:cs="Times New Roman"/>
              </w:rPr>
              <w:t>Application Materials (Forms, etc.)</w:t>
            </w:r>
          </w:p>
          <w:p w14:paraId="3BF6A0A2" w14:textId="77777777" w:rsidR="003B3771" w:rsidRPr="00AC6DEC" w:rsidRDefault="003B3771"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7F7D2C4E" w14:textId="77777777" w:rsidR="003B3771" w:rsidRPr="00AC6DEC" w:rsidRDefault="003B3771" w:rsidP="00C94BF1">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0019BB27" w14:textId="77777777" w:rsidR="003B3771" w:rsidRPr="00AC6DEC" w:rsidRDefault="003B3771" w:rsidP="00C94BF1">
            <w:pPr>
              <w:contextualSpacing/>
              <w:rPr>
                <w:rFonts w:ascii="Times New Roman" w:hAnsi="Times New Roman" w:cs="Times New Roman"/>
                <w:lang w:val="fr-FR"/>
              </w:rPr>
            </w:pPr>
          </w:p>
          <w:p w14:paraId="762D82BC" w14:textId="77777777" w:rsidR="003B3771" w:rsidRPr="00AC6DEC" w:rsidRDefault="003B3771" w:rsidP="00C94BF1">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4AFD4FA6" w14:textId="77777777" w:rsidR="003B3771" w:rsidRPr="00AC6DEC" w:rsidRDefault="003B3771" w:rsidP="00C94BF1">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72E56366" w14:textId="77777777" w:rsidR="003B3771" w:rsidRPr="00AC6DEC" w:rsidRDefault="003B3771" w:rsidP="00C94BF1">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652346EC" w14:textId="77777777" w:rsidR="003B3771" w:rsidRPr="00AC6DEC" w:rsidRDefault="003B3771" w:rsidP="00C94BF1">
            <w:pPr>
              <w:contextualSpacing/>
              <w:rPr>
                <w:rFonts w:ascii="Times New Roman" w:hAnsi="Times New Roman" w:cs="Times New Roman"/>
                <w:b/>
                <w:bCs/>
              </w:rPr>
            </w:pPr>
          </w:p>
          <w:p w14:paraId="1564CA24" w14:textId="77777777" w:rsidR="003B3771" w:rsidRPr="00AC6DEC" w:rsidRDefault="003B3771" w:rsidP="00C94BF1">
            <w:pPr>
              <w:contextualSpacing/>
              <w:rPr>
                <w:rFonts w:ascii="Times New Roman" w:hAnsi="Times New Roman" w:cs="Times New Roman"/>
                <w:b/>
              </w:rPr>
            </w:pPr>
            <w:r w:rsidRPr="00AC6DEC">
              <w:rPr>
                <w:rFonts w:ascii="Times New Roman" w:hAnsi="Times New Roman" w:cs="Times New Roman"/>
                <w:b/>
              </w:rPr>
              <w:t xml:space="preserve">Answer: </w:t>
            </w:r>
          </w:p>
          <w:p w14:paraId="56AB8AF6" w14:textId="77777777" w:rsidR="003B3771" w:rsidRPr="00AC6DEC" w:rsidRDefault="003B3771" w:rsidP="00C94BF1">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0DFEEEF0" w14:textId="77777777" w:rsidR="003B3771" w:rsidRPr="00AC6DEC" w:rsidRDefault="003B3771" w:rsidP="00C94BF1">
            <w:pPr>
              <w:contextualSpacing/>
              <w:rPr>
                <w:rFonts w:ascii="Times New Roman" w:eastAsia="Times New Roman" w:hAnsi="Times New Roman" w:cs="Times New Roman"/>
                <w:color w:val="000000" w:themeColor="text1"/>
              </w:rPr>
            </w:pPr>
          </w:p>
          <w:p w14:paraId="0821326D" w14:textId="77777777" w:rsidR="003B3771" w:rsidRPr="00AC6DEC" w:rsidRDefault="003B3771" w:rsidP="00C94BF1">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7C982CC7" w14:textId="77777777" w:rsidR="003B3771" w:rsidRPr="00AC6DEC" w:rsidRDefault="003B3771" w:rsidP="00C94BF1">
            <w:pPr>
              <w:contextualSpacing/>
              <w:rPr>
                <w:rFonts w:eastAsiaTheme="minorEastAsia"/>
                <w:color w:val="000000" w:themeColor="text1"/>
              </w:rPr>
            </w:pPr>
          </w:p>
          <w:p w14:paraId="74FABC6F" w14:textId="77777777" w:rsidR="003B3771" w:rsidRPr="00AC6DEC" w:rsidRDefault="003B3771" w:rsidP="00C94BF1">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3B3771" w:rsidRPr="00AC6DEC" w14:paraId="233F5C80" w14:textId="77777777" w:rsidTr="2A62FF34">
        <w:trPr>
          <w:jc w:val="center"/>
        </w:trPr>
        <w:tc>
          <w:tcPr>
            <w:tcW w:w="2157" w:type="dxa"/>
            <w:tcMar>
              <w:top w:w="72" w:type="dxa"/>
              <w:left w:w="115" w:type="dxa"/>
              <w:bottom w:w="72" w:type="dxa"/>
              <w:right w:w="115" w:type="dxa"/>
            </w:tcMar>
            <w:vAlign w:val="center"/>
          </w:tcPr>
          <w:p w14:paraId="14B181C2"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8CBAEDD"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1.14</w:t>
            </w:r>
          </w:p>
          <w:p w14:paraId="390047C0"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5ACD6724" w14:textId="77777777" w:rsidR="003B3771" w:rsidRPr="00AC6DEC" w:rsidRDefault="003B3771" w:rsidP="001701BA">
            <w:pPr>
              <w:keepNext/>
              <w:contextualSpacing/>
              <w:rPr>
                <w:rFonts w:ascii="Times New Roman" w:hAnsi="Times New Roman" w:cs="Times New Roman"/>
                <w:b/>
                <w:bCs/>
              </w:rPr>
            </w:pPr>
            <w:r w:rsidRPr="00AC6DEC">
              <w:rPr>
                <w:rFonts w:ascii="Times New Roman" w:hAnsi="Times New Roman" w:cs="Times New Roman"/>
                <w:b/>
                <w:bCs/>
              </w:rPr>
              <w:t>Question: Q0224_01</w:t>
            </w:r>
          </w:p>
          <w:p w14:paraId="14FABA7B" w14:textId="77777777" w:rsidR="003B3771" w:rsidRPr="00AC6DEC" w:rsidRDefault="003B3771" w:rsidP="001701BA">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71D0B176" w14:textId="77777777" w:rsidR="003B3771" w:rsidRPr="00AC6DEC" w:rsidRDefault="003B3771" w:rsidP="00C45600">
            <w:pPr>
              <w:contextualSpacing/>
              <w:rPr>
                <w:rFonts w:ascii="Times New Roman" w:hAnsi="Times New Roman" w:cs="Times New Roman"/>
                <w:b/>
                <w:bCs/>
              </w:rPr>
            </w:pPr>
          </w:p>
          <w:p w14:paraId="6E34DF38" w14:textId="77777777" w:rsidR="003B3771" w:rsidRPr="00AC6DEC" w:rsidRDefault="003B3771" w:rsidP="00C45600">
            <w:pPr>
              <w:contextualSpacing/>
              <w:rPr>
                <w:rFonts w:ascii="Times New Roman" w:hAnsi="Times New Roman" w:cs="Times New Roman"/>
                <w:b/>
                <w:bCs/>
              </w:rPr>
            </w:pPr>
            <w:r w:rsidRPr="00AC6DEC">
              <w:rPr>
                <w:rFonts w:ascii="Times New Roman" w:hAnsi="Times New Roman" w:cs="Times New Roman"/>
                <w:b/>
                <w:bCs/>
              </w:rPr>
              <w:t xml:space="preserve">Answer: </w:t>
            </w:r>
          </w:p>
          <w:p w14:paraId="7D646226" w14:textId="77777777" w:rsidR="003B3771" w:rsidRPr="00AC6DEC" w:rsidRDefault="003B3771" w:rsidP="00C45600">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0F1640EC" w14:textId="77777777" w:rsidR="003B3771" w:rsidRPr="00AC6DEC" w:rsidRDefault="003B3771" w:rsidP="00C45600">
            <w:pPr>
              <w:contextualSpacing/>
              <w:rPr>
                <w:rFonts w:ascii="Times New Roman" w:hAnsi="Times New Roman" w:cs="Times New Roman"/>
              </w:rPr>
            </w:pPr>
          </w:p>
          <w:p w14:paraId="63C54D9D" w14:textId="77777777" w:rsidR="003B3771" w:rsidRPr="00AC6DEC" w:rsidRDefault="003B3771" w:rsidP="00C45600">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3B3771" w:rsidRPr="00AC6DEC" w14:paraId="0E2191BD" w14:textId="77777777" w:rsidTr="2A62FF34">
        <w:trPr>
          <w:jc w:val="center"/>
        </w:trPr>
        <w:tc>
          <w:tcPr>
            <w:tcW w:w="2157" w:type="dxa"/>
            <w:tcMar>
              <w:top w:w="72" w:type="dxa"/>
              <w:left w:w="115" w:type="dxa"/>
              <w:bottom w:w="72" w:type="dxa"/>
              <w:right w:w="115" w:type="dxa"/>
            </w:tcMar>
            <w:vAlign w:val="center"/>
          </w:tcPr>
          <w:p w14:paraId="50CC5385"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9ACF7EC"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1.15</w:t>
            </w:r>
          </w:p>
          <w:p w14:paraId="0BAFF413"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7833407C" w14:textId="77777777" w:rsidR="003B3771" w:rsidRPr="00AC6DEC" w:rsidRDefault="003B3771" w:rsidP="007439DC">
            <w:pPr>
              <w:contextualSpacing/>
              <w:rPr>
                <w:rFonts w:ascii="Times New Roman" w:hAnsi="Times New Roman" w:cs="Times New Roman"/>
                <w:b/>
                <w:bCs/>
              </w:rPr>
            </w:pPr>
            <w:r w:rsidRPr="00AC6DEC">
              <w:rPr>
                <w:rFonts w:ascii="Times New Roman" w:hAnsi="Times New Roman" w:cs="Times New Roman"/>
                <w:b/>
                <w:bCs/>
              </w:rPr>
              <w:t>Question: Q0217_02</w:t>
            </w:r>
          </w:p>
          <w:p w14:paraId="613DCF1A" w14:textId="77777777" w:rsidR="003B3771" w:rsidRPr="00AC6DEC" w:rsidRDefault="003B3771" w:rsidP="007439D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1B3F149B" w14:textId="77777777" w:rsidR="003B3771" w:rsidRPr="00AC6DEC" w:rsidRDefault="003B3771" w:rsidP="007439DC">
            <w:pPr>
              <w:contextualSpacing/>
              <w:rPr>
                <w:rFonts w:ascii="Times New Roman" w:hAnsi="Times New Roman" w:cs="Times New Roman"/>
                <w:b/>
                <w:bCs/>
              </w:rPr>
            </w:pPr>
          </w:p>
          <w:p w14:paraId="5E0630F5" w14:textId="77777777" w:rsidR="003B3771" w:rsidRPr="00AC6DEC" w:rsidRDefault="003B3771" w:rsidP="007439DC">
            <w:pPr>
              <w:contextualSpacing/>
              <w:rPr>
                <w:rFonts w:ascii="Times New Roman" w:hAnsi="Times New Roman" w:cs="Times New Roman"/>
                <w:b/>
                <w:bCs/>
              </w:rPr>
            </w:pPr>
            <w:r w:rsidRPr="00AC6DEC">
              <w:rPr>
                <w:rFonts w:ascii="Times New Roman" w:hAnsi="Times New Roman" w:cs="Times New Roman"/>
                <w:b/>
                <w:bCs/>
              </w:rPr>
              <w:t>Answer:</w:t>
            </w:r>
          </w:p>
          <w:p w14:paraId="2E911F1E" w14:textId="77777777" w:rsidR="003B3771" w:rsidRPr="00AC6DEC" w:rsidRDefault="003B3771" w:rsidP="007439D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10637BE5" w14:textId="77777777" w:rsidR="003B3771" w:rsidRPr="00AC6DEC" w:rsidRDefault="003B3771" w:rsidP="007439DC">
            <w:pPr>
              <w:contextualSpacing/>
              <w:rPr>
                <w:rFonts w:ascii="Times New Roman" w:hAnsi="Times New Roman" w:cs="Times New Roman"/>
              </w:rPr>
            </w:pPr>
          </w:p>
          <w:p w14:paraId="5394CA4B" w14:textId="77777777" w:rsidR="003B3771" w:rsidRPr="00AC6DEC" w:rsidRDefault="003B3771" w:rsidP="007439D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3B3771" w:rsidRPr="00AC6DEC" w14:paraId="5CB5236F" w14:textId="77777777" w:rsidTr="2A62FF34">
        <w:trPr>
          <w:jc w:val="center"/>
        </w:trPr>
        <w:tc>
          <w:tcPr>
            <w:tcW w:w="2157" w:type="dxa"/>
            <w:tcMar>
              <w:top w:w="72" w:type="dxa"/>
              <w:left w:w="115" w:type="dxa"/>
              <w:bottom w:w="72" w:type="dxa"/>
              <w:right w:w="115" w:type="dxa"/>
            </w:tcMar>
            <w:vAlign w:val="center"/>
          </w:tcPr>
          <w:p w14:paraId="38E0C81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269F32D"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1.18</w:t>
            </w:r>
          </w:p>
          <w:p w14:paraId="55A2DBBD"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63D4CC0E" w14:textId="77777777" w:rsidR="003B3771" w:rsidRPr="00AC6DEC" w:rsidRDefault="003B3771" w:rsidP="00193258">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75A53296" w14:textId="77777777" w:rsidR="003B3771" w:rsidRPr="00AC6DEC" w:rsidRDefault="003B3771" w:rsidP="00193258">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5D92AE35" w14:textId="77777777" w:rsidR="003B3771" w:rsidRPr="00AC6DEC" w:rsidRDefault="003B3771" w:rsidP="00193258">
            <w:pPr>
              <w:contextualSpacing/>
              <w:rPr>
                <w:rFonts w:ascii="Times New Roman" w:hAnsi="Times New Roman" w:cs="Times New Roman"/>
                <w:b/>
                <w:bCs/>
              </w:rPr>
            </w:pPr>
          </w:p>
          <w:p w14:paraId="5F32220F" w14:textId="77777777" w:rsidR="003B3771" w:rsidRPr="00AC6DEC" w:rsidRDefault="003B3771" w:rsidP="00193258">
            <w:pPr>
              <w:contextualSpacing/>
              <w:rPr>
                <w:rFonts w:ascii="Times New Roman" w:hAnsi="Times New Roman" w:cs="Times New Roman"/>
                <w:b/>
                <w:bCs/>
              </w:rPr>
            </w:pPr>
            <w:r w:rsidRPr="00AC6DEC">
              <w:rPr>
                <w:rFonts w:ascii="Times New Roman" w:hAnsi="Times New Roman" w:cs="Times New Roman"/>
                <w:b/>
                <w:bCs/>
              </w:rPr>
              <w:t>Answer:</w:t>
            </w:r>
          </w:p>
          <w:p w14:paraId="21518E7D" w14:textId="77777777" w:rsidR="003B3771" w:rsidRPr="00AC6DEC" w:rsidRDefault="003B3771" w:rsidP="00193258">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50D4209C" w14:textId="77777777" w:rsidR="003B3771" w:rsidRPr="00AC6DEC" w:rsidRDefault="003B3771" w:rsidP="00193258">
            <w:pPr>
              <w:contextualSpacing/>
              <w:rPr>
                <w:rFonts w:ascii="Times New Roman" w:hAnsi="Times New Roman" w:cs="Times New Roman"/>
              </w:rPr>
            </w:pPr>
          </w:p>
          <w:p w14:paraId="74F3DA49" w14:textId="77777777" w:rsidR="003B3771" w:rsidRPr="00AC6DEC" w:rsidRDefault="003B3771" w:rsidP="00193258">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4A0A05A6" w14:textId="77777777" w:rsidR="003B3771" w:rsidRPr="00AC6DEC" w:rsidRDefault="003B3771" w:rsidP="00193258">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7D879721" w14:textId="77777777" w:rsidR="003B3771" w:rsidRPr="00AC6DEC" w:rsidRDefault="003B3771" w:rsidP="00193258">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55BDC76C" w14:textId="77777777" w:rsidR="003B3771" w:rsidRPr="00AC6DEC" w:rsidRDefault="003B3771" w:rsidP="00193258">
            <w:pPr>
              <w:contextualSpacing/>
              <w:rPr>
                <w:rFonts w:ascii="Times New Roman" w:hAnsi="Times New Roman" w:cs="Times New Roman"/>
              </w:rPr>
            </w:pPr>
          </w:p>
          <w:p w14:paraId="6C984C94" w14:textId="77777777" w:rsidR="003B3771" w:rsidRPr="00AC6DEC" w:rsidRDefault="003B3771" w:rsidP="00193258">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29BEBB82" w14:textId="77777777" w:rsidR="003B3771" w:rsidRPr="00AC6DEC" w:rsidRDefault="003B3771" w:rsidP="00193258">
            <w:pPr>
              <w:contextualSpacing/>
              <w:rPr>
                <w:rFonts w:ascii="Times New Roman" w:hAnsi="Times New Roman" w:cs="Times New Roman"/>
              </w:rPr>
            </w:pPr>
          </w:p>
          <w:p w14:paraId="152C39E1" w14:textId="77777777" w:rsidR="003B3771" w:rsidRPr="00AC6DEC" w:rsidRDefault="003B3771" w:rsidP="00193258">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3B3771" w:rsidRPr="00AC6DEC" w14:paraId="08F8B346" w14:textId="77777777" w:rsidTr="2A62FF34">
        <w:trPr>
          <w:jc w:val="center"/>
        </w:trPr>
        <w:tc>
          <w:tcPr>
            <w:tcW w:w="2157" w:type="dxa"/>
            <w:tcMar>
              <w:top w:w="72" w:type="dxa"/>
              <w:left w:w="115" w:type="dxa"/>
              <w:bottom w:w="72" w:type="dxa"/>
              <w:right w:w="115" w:type="dxa"/>
            </w:tcMar>
            <w:vAlign w:val="center"/>
          </w:tcPr>
          <w:p w14:paraId="2C1D4A18"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AB03C5A"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1.23</w:t>
            </w:r>
          </w:p>
          <w:p w14:paraId="56084D64"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178DE98B" w14:textId="77777777" w:rsidR="003B3771" w:rsidRPr="00AC6DEC" w:rsidRDefault="003B3771" w:rsidP="00FA6344">
            <w:pPr>
              <w:contextualSpacing/>
              <w:rPr>
                <w:rFonts w:ascii="Times New Roman" w:hAnsi="Times New Roman" w:cs="Times New Roman"/>
                <w:b/>
                <w:bCs/>
              </w:rPr>
            </w:pPr>
            <w:r w:rsidRPr="00AC6DEC">
              <w:rPr>
                <w:rFonts w:ascii="Times New Roman" w:hAnsi="Times New Roman" w:cs="Times New Roman"/>
                <w:b/>
                <w:bCs/>
              </w:rPr>
              <w:t>Question: Q0201_04</w:t>
            </w:r>
          </w:p>
          <w:p w14:paraId="3A4548C5"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0F058E27" w14:textId="77777777" w:rsidR="003B3771" w:rsidRPr="00AC6DEC" w:rsidRDefault="003B3771" w:rsidP="00FA6344">
            <w:pPr>
              <w:contextualSpacing/>
              <w:rPr>
                <w:rFonts w:ascii="Times New Roman" w:hAnsi="Times New Roman" w:cs="Times New Roman"/>
              </w:rPr>
            </w:pPr>
          </w:p>
          <w:p w14:paraId="632B26D0" w14:textId="77777777" w:rsidR="003B3771" w:rsidRPr="00AC6DEC" w:rsidRDefault="003B3771" w:rsidP="00FA6344">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097CDFB2" w14:textId="77777777" w:rsidR="003B3771" w:rsidRPr="00AC6DEC" w:rsidRDefault="003B3771" w:rsidP="00FA6344">
            <w:pPr>
              <w:contextualSpacing/>
              <w:rPr>
                <w:rFonts w:ascii="Times New Roman" w:hAnsi="Times New Roman" w:cs="Times New Roman"/>
              </w:rPr>
            </w:pPr>
          </w:p>
          <w:p w14:paraId="169E52E2"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52DE69D0" w14:textId="77777777" w:rsidR="003B3771" w:rsidRPr="00AC6DEC" w:rsidRDefault="003B3771" w:rsidP="00FA6344">
            <w:pPr>
              <w:contextualSpacing/>
              <w:rPr>
                <w:rFonts w:ascii="Times New Roman" w:hAnsi="Times New Roman" w:cs="Times New Roman"/>
              </w:rPr>
            </w:pPr>
          </w:p>
          <w:p w14:paraId="398E35DE"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1FB54F4E" w14:textId="77777777" w:rsidR="003B3771" w:rsidRPr="00AC6DEC" w:rsidRDefault="003B3771" w:rsidP="00FA6344">
            <w:pPr>
              <w:contextualSpacing/>
              <w:rPr>
                <w:rFonts w:ascii="Times New Roman" w:hAnsi="Times New Roman" w:cs="Times New Roman"/>
              </w:rPr>
            </w:pPr>
          </w:p>
          <w:p w14:paraId="09B02C05"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469576A3" w14:textId="77777777" w:rsidR="003B3771" w:rsidRPr="00AC6DEC" w:rsidRDefault="003B3771" w:rsidP="00FA6344">
            <w:pPr>
              <w:contextualSpacing/>
              <w:rPr>
                <w:rFonts w:ascii="Times New Roman" w:hAnsi="Times New Roman" w:cs="Times New Roman"/>
              </w:rPr>
            </w:pPr>
          </w:p>
          <w:p w14:paraId="6EF5153E" w14:textId="77777777" w:rsidR="003B3771" w:rsidRPr="00AC6DEC" w:rsidRDefault="003B3771"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4B3CD70C" w14:textId="77777777" w:rsidR="003B3771" w:rsidRPr="00AC6DEC" w:rsidRDefault="003B3771"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7812B402" w14:textId="77777777" w:rsidR="003B3771" w:rsidRPr="00AC6DEC" w:rsidRDefault="003B3771" w:rsidP="00FA6344">
            <w:pPr>
              <w:contextualSpacing/>
              <w:rPr>
                <w:rFonts w:ascii="Times New Roman" w:hAnsi="Times New Roman" w:cs="Times New Roman"/>
                <w:b/>
                <w:bCs/>
              </w:rPr>
            </w:pPr>
          </w:p>
          <w:p w14:paraId="0090A9F7" w14:textId="77777777" w:rsidR="003B3771" w:rsidRPr="00AC6DEC" w:rsidRDefault="003B3771" w:rsidP="00FA6344">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48D5184F" w14:textId="77777777" w:rsidR="003B3771" w:rsidRPr="00AC6DEC" w:rsidRDefault="003B3771" w:rsidP="00FA6344">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321275A7" w14:textId="77777777" w:rsidR="003B3771" w:rsidRPr="00AC6DEC" w:rsidRDefault="003B3771" w:rsidP="00FA6344">
            <w:pPr>
              <w:contextualSpacing/>
              <w:rPr>
                <w:rFonts w:ascii="Times New Roman" w:hAnsi="Times New Roman" w:cs="Times New Roman"/>
              </w:rPr>
            </w:pPr>
          </w:p>
          <w:p w14:paraId="09385CA4"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5246B24E" w14:textId="77777777" w:rsidR="003B3771" w:rsidRPr="00AC6DEC" w:rsidRDefault="003B3771" w:rsidP="00FA6344">
            <w:pPr>
              <w:contextualSpacing/>
              <w:rPr>
                <w:rFonts w:ascii="Times New Roman" w:hAnsi="Times New Roman" w:cs="Times New Roman"/>
              </w:rPr>
            </w:pPr>
          </w:p>
          <w:p w14:paraId="7D33330C"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303A55F6" w14:textId="77777777" w:rsidR="003B3771" w:rsidRPr="00AC6DEC" w:rsidRDefault="003B3771" w:rsidP="00FA6344">
            <w:pPr>
              <w:contextualSpacing/>
              <w:rPr>
                <w:rFonts w:ascii="Times New Roman" w:hAnsi="Times New Roman" w:cs="Times New Roman"/>
              </w:rPr>
            </w:pPr>
          </w:p>
          <w:p w14:paraId="490088EC" w14:textId="77777777" w:rsidR="003B3771" w:rsidRPr="00AC6DEC" w:rsidRDefault="003B3771" w:rsidP="00FA6344">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3491954F" w14:textId="77777777" w:rsidR="003B3771" w:rsidRPr="00AC6DEC" w:rsidRDefault="003B3771" w:rsidP="00FA6344">
            <w:pPr>
              <w:contextualSpacing/>
              <w:rPr>
                <w:rFonts w:ascii="Times New Roman" w:hAnsi="Times New Roman" w:cs="Times New Roman"/>
              </w:rPr>
            </w:pPr>
          </w:p>
          <w:p w14:paraId="5019CDCB" w14:textId="77777777" w:rsidR="003B3771" w:rsidRPr="00AC6DEC" w:rsidRDefault="003B3771" w:rsidP="00FA6344">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3B3771" w:rsidRPr="00AC6DEC" w14:paraId="14305685" w14:textId="77777777" w:rsidTr="2A62FF34">
        <w:trPr>
          <w:jc w:val="center"/>
        </w:trPr>
        <w:tc>
          <w:tcPr>
            <w:tcW w:w="2157" w:type="dxa"/>
            <w:tcMar>
              <w:top w:w="72" w:type="dxa"/>
              <w:left w:w="115" w:type="dxa"/>
              <w:bottom w:w="72" w:type="dxa"/>
              <w:right w:w="115" w:type="dxa"/>
            </w:tcMar>
            <w:vAlign w:val="center"/>
          </w:tcPr>
          <w:p w14:paraId="480245B1"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A387929" w14:textId="77777777" w:rsidR="003B3771" w:rsidRPr="00AC6DEC" w:rsidRDefault="003B3771" w:rsidP="009579DD">
            <w:pPr>
              <w:keepNext/>
              <w:rPr>
                <w:rFonts w:ascii="Times New Roman" w:hAnsi="Times New Roman" w:cs="Times New Roman"/>
                <w:noProof/>
              </w:rPr>
            </w:pPr>
            <w:r w:rsidRPr="00AC6DEC">
              <w:rPr>
                <w:rFonts w:ascii="Times New Roman" w:hAnsi="Times New Roman" w:cs="Times New Roman"/>
                <w:noProof/>
              </w:rPr>
              <w:t>2.02</w:t>
            </w:r>
          </w:p>
          <w:p w14:paraId="038CD5EB" w14:textId="77777777" w:rsidR="003B3771" w:rsidRPr="00AC6DEC" w:rsidRDefault="003B3771" w:rsidP="009579DD">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4CF73871" w14:textId="77777777" w:rsidR="003B3771" w:rsidRPr="00AC6DEC" w:rsidRDefault="003B3771" w:rsidP="00B3077B">
            <w:pPr>
              <w:contextualSpacing/>
              <w:rPr>
                <w:rFonts w:ascii="Times New Roman" w:hAnsi="Times New Roman" w:cs="Times New Roman"/>
                <w:b/>
                <w:bCs/>
              </w:rPr>
            </w:pPr>
            <w:r w:rsidRPr="00AC6DEC">
              <w:rPr>
                <w:rFonts w:ascii="Times New Roman" w:hAnsi="Times New Roman" w:cs="Times New Roman"/>
                <w:b/>
                <w:bCs/>
              </w:rPr>
              <w:t>Question: Q0128_01</w:t>
            </w:r>
          </w:p>
          <w:p w14:paraId="433D1700" w14:textId="77777777" w:rsidR="003B3771" w:rsidRPr="00AC6DEC" w:rsidRDefault="003B3771" w:rsidP="00B3077B">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19A82D93" w14:textId="77777777" w:rsidR="003B3771" w:rsidRPr="00AC6DEC" w:rsidRDefault="003B3771" w:rsidP="00BD40F5">
            <w:pPr>
              <w:rPr>
                <w:rFonts w:ascii="Times New Roman" w:hAnsi="Times New Roman" w:cs="Times New Roman"/>
              </w:rPr>
            </w:pPr>
          </w:p>
          <w:p w14:paraId="63E91A52" w14:textId="77777777" w:rsidR="003B3771" w:rsidRPr="00AC6DEC" w:rsidRDefault="003B3771" w:rsidP="00BD40F5">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00A3A54B" w14:textId="77777777" w:rsidR="003B3771" w:rsidRPr="00AC6DEC" w:rsidRDefault="003B3771" w:rsidP="00BD40F5">
            <w:pPr>
              <w:rPr>
                <w:rFonts w:ascii="Times New Roman" w:hAnsi="Times New Roman" w:cs="Times New Roman"/>
              </w:rPr>
            </w:pPr>
          </w:p>
          <w:p w14:paraId="2108D822" w14:textId="77777777" w:rsidR="003B3771" w:rsidRPr="00AC6DEC" w:rsidRDefault="003B3771" w:rsidP="00BD40F5">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6B58586E" w14:textId="77777777" w:rsidR="003B3771" w:rsidRPr="00AC6DEC" w:rsidRDefault="003B3771" w:rsidP="00BD40F5">
            <w:pPr>
              <w:rPr>
                <w:rFonts w:ascii="Times New Roman" w:hAnsi="Times New Roman" w:cs="Times New Roman"/>
              </w:rPr>
            </w:pPr>
          </w:p>
          <w:p w14:paraId="374575A0" w14:textId="77777777" w:rsidR="003B3771" w:rsidRPr="00AC6DEC" w:rsidRDefault="003B3771" w:rsidP="00BD40F5">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7EBE4E84" w14:textId="77777777" w:rsidR="003B3771" w:rsidRPr="00AC6DEC" w:rsidRDefault="003B3771" w:rsidP="00BD40F5">
            <w:pPr>
              <w:rPr>
                <w:rFonts w:ascii="Times New Roman" w:hAnsi="Times New Roman" w:cs="Times New Roman"/>
              </w:rPr>
            </w:pPr>
          </w:p>
          <w:p w14:paraId="65D72486" w14:textId="77777777" w:rsidR="003B3771" w:rsidRPr="00AC6DEC" w:rsidRDefault="003B3771"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09A10B37" w14:textId="77777777" w:rsidR="003B3771" w:rsidRPr="00AC6DEC" w:rsidRDefault="003B3771" w:rsidP="00171FBE">
            <w:pPr>
              <w:pStyle w:val="ListParagraph"/>
              <w:ind w:left="773"/>
              <w:rPr>
                <w:rFonts w:ascii="Times New Roman" w:hAnsi="Times New Roman" w:cs="Times New Roman"/>
              </w:rPr>
            </w:pPr>
          </w:p>
          <w:p w14:paraId="0237EAFE" w14:textId="77777777" w:rsidR="003B3771" w:rsidRPr="00AC6DEC" w:rsidRDefault="003B3771"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363EB39E" w14:textId="77777777" w:rsidR="003B3771" w:rsidRPr="00AC6DEC" w:rsidRDefault="003B3771" w:rsidP="00171FBE">
            <w:pPr>
              <w:pStyle w:val="ListParagraph"/>
              <w:ind w:left="773"/>
              <w:rPr>
                <w:rFonts w:ascii="Times New Roman" w:hAnsi="Times New Roman" w:cs="Times New Roman"/>
              </w:rPr>
            </w:pPr>
          </w:p>
          <w:p w14:paraId="1E7D87B9" w14:textId="77777777" w:rsidR="003B3771" w:rsidRPr="00AC6DEC" w:rsidRDefault="003B3771" w:rsidP="00BD40F5">
            <w:pPr>
              <w:rPr>
                <w:rFonts w:ascii="Times New Roman" w:hAnsi="Times New Roman" w:cs="Times New Roman"/>
                <w:b/>
                <w:bCs/>
              </w:rPr>
            </w:pPr>
            <w:r w:rsidRPr="00AC6DEC">
              <w:rPr>
                <w:rFonts w:ascii="Times New Roman" w:hAnsi="Times New Roman" w:cs="Times New Roman"/>
                <w:b/>
                <w:bCs/>
              </w:rPr>
              <w:lastRenderedPageBreak/>
              <w:t>Answer:</w:t>
            </w:r>
          </w:p>
          <w:p w14:paraId="50CC8E16" w14:textId="77777777" w:rsidR="003B3771" w:rsidRPr="00AC6DEC" w:rsidRDefault="003B3771" w:rsidP="00BD40F5">
            <w:pPr>
              <w:rPr>
                <w:rFonts w:ascii="Times New Roman" w:hAnsi="Times New Roman" w:cs="Times New Roman"/>
                <w:b/>
                <w:bCs/>
              </w:rPr>
            </w:pPr>
          </w:p>
          <w:p w14:paraId="5273BF94" w14:textId="77777777" w:rsidR="003B3771" w:rsidRPr="00AC6DEC" w:rsidRDefault="003B3771" w:rsidP="00BD40F5">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3D896596" w14:textId="77777777" w:rsidR="003B3771" w:rsidRPr="00AC6DEC" w:rsidRDefault="003B3771" w:rsidP="00BD40F5">
            <w:pPr>
              <w:rPr>
                <w:rFonts w:ascii="Times New Roman" w:hAnsi="Times New Roman" w:cs="Times New Roman"/>
                <w:u w:val="single"/>
              </w:rPr>
            </w:pPr>
          </w:p>
          <w:p w14:paraId="5B0AF6A5" w14:textId="77777777" w:rsidR="003B3771" w:rsidRPr="00AC6DEC" w:rsidRDefault="003B3771" w:rsidP="00BD40F5">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4EA4F8E6" w14:textId="77777777" w:rsidR="003B3771" w:rsidRPr="00AC6DEC" w:rsidRDefault="003B3771" w:rsidP="00BD40F5">
            <w:pPr>
              <w:rPr>
                <w:rFonts w:ascii="Times New Roman" w:hAnsi="Times New Roman" w:cs="Times New Roman"/>
              </w:rPr>
            </w:pPr>
          </w:p>
          <w:p w14:paraId="29ED6B0B" w14:textId="77777777" w:rsidR="003B3771" w:rsidRPr="00AC6DEC" w:rsidRDefault="003B3771" w:rsidP="00BD40F5">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3B3771" w:rsidRPr="00AC6DEC" w14:paraId="5E1D662A" w14:textId="77777777" w:rsidTr="2A62FF34">
        <w:trPr>
          <w:jc w:val="center"/>
        </w:trPr>
        <w:tc>
          <w:tcPr>
            <w:tcW w:w="2157" w:type="dxa"/>
            <w:tcMar>
              <w:top w:w="72" w:type="dxa"/>
              <w:left w:w="115" w:type="dxa"/>
              <w:bottom w:w="72" w:type="dxa"/>
              <w:right w:w="115" w:type="dxa"/>
            </w:tcMar>
            <w:vAlign w:val="center"/>
          </w:tcPr>
          <w:p w14:paraId="1D73F7C6"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4F5170A"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2.03</w:t>
            </w:r>
          </w:p>
          <w:p w14:paraId="49817F46"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07FC7374" w14:textId="77777777" w:rsidR="003B3771" w:rsidRPr="00AC6DEC" w:rsidRDefault="003B3771" w:rsidP="004936E3">
            <w:pPr>
              <w:contextualSpacing/>
              <w:rPr>
                <w:rFonts w:ascii="Times New Roman" w:hAnsi="Times New Roman" w:cs="Times New Roman"/>
                <w:b/>
                <w:bCs/>
              </w:rPr>
            </w:pPr>
            <w:r w:rsidRPr="00AC6DEC">
              <w:rPr>
                <w:rFonts w:ascii="Times New Roman" w:hAnsi="Times New Roman" w:cs="Times New Roman"/>
                <w:b/>
                <w:bCs/>
              </w:rPr>
              <w:t>Question: Q0223_01</w:t>
            </w:r>
          </w:p>
          <w:p w14:paraId="7AE5E681" w14:textId="77777777" w:rsidR="003B3771" w:rsidRPr="00AC6DEC" w:rsidRDefault="003B3771" w:rsidP="004936E3">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60C8D9FF" w14:textId="77777777" w:rsidR="003B3771" w:rsidRPr="00AC6DEC" w:rsidRDefault="003B3771" w:rsidP="004936E3">
            <w:pPr>
              <w:contextualSpacing/>
              <w:rPr>
                <w:rFonts w:ascii="Times New Roman" w:hAnsi="Times New Roman" w:cs="Times New Roman"/>
              </w:rPr>
            </w:pPr>
          </w:p>
          <w:p w14:paraId="146004A6" w14:textId="77777777" w:rsidR="003B3771" w:rsidRPr="00AC6DEC" w:rsidRDefault="003B3771" w:rsidP="000041FD">
            <w:pPr>
              <w:keepNext/>
              <w:contextualSpacing/>
              <w:rPr>
                <w:rFonts w:ascii="Times New Roman" w:hAnsi="Times New Roman" w:cs="Times New Roman"/>
                <w:b/>
                <w:bCs/>
              </w:rPr>
            </w:pPr>
            <w:r w:rsidRPr="00AC6DEC">
              <w:rPr>
                <w:rFonts w:ascii="Times New Roman" w:hAnsi="Times New Roman" w:cs="Times New Roman"/>
                <w:b/>
                <w:bCs/>
              </w:rPr>
              <w:t>Answer:</w:t>
            </w:r>
          </w:p>
          <w:p w14:paraId="429F1531" w14:textId="77777777" w:rsidR="003B3771" w:rsidRPr="00AC6DEC" w:rsidRDefault="003B3771" w:rsidP="000041FD">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6BFCDE2D" w14:textId="77777777" w:rsidR="003B3771" w:rsidRPr="00AC6DEC" w:rsidRDefault="003B3771" w:rsidP="004936E3">
            <w:pPr>
              <w:contextualSpacing/>
              <w:rPr>
                <w:rFonts w:ascii="Times New Roman" w:hAnsi="Times New Roman" w:cs="Times New Roman"/>
              </w:rPr>
            </w:pPr>
          </w:p>
          <w:p w14:paraId="5EE45B55" w14:textId="77777777" w:rsidR="003B3771" w:rsidRPr="00AC6DEC" w:rsidRDefault="003B3771" w:rsidP="004936E3">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7990B6CC" w14:textId="77777777" w:rsidR="003B3771" w:rsidRPr="00AC6DEC" w:rsidRDefault="003B3771" w:rsidP="004936E3">
            <w:pPr>
              <w:contextualSpacing/>
              <w:rPr>
                <w:rFonts w:ascii="Times New Roman" w:hAnsi="Times New Roman" w:cs="Times New Roman"/>
              </w:rPr>
            </w:pPr>
          </w:p>
          <w:p w14:paraId="3FC1B808" w14:textId="77777777" w:rsidR="003B3771" w:rsidRPr="00AC6DEC" w:rsidRDefault="003B3771" w:rsidP="004936E3">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05BDD191" w14:textId="77777777" w:rsidR="003B3771" w:rsidRPr="00AC6DEC" w:rsidRDefault="003B3771" w:rsidP="007439DC">
            <w:pPr>
              <w:contextualSpacing/>
              <w:rPr>
                <w:rFonts w:ascii="Times New Roman" w:hAnsi="Times New Roman" w:cs="Times New Roman"/>
                <w:b/>
                <w:bCs/>
              </w:rPr>
            </w:pPr>
          </w:p>
        </w:tc>
      </w:tr>
      <w:tr w:rsidR="003B3771" w:rsidRPr="00AC6DEC" w14:paraId="58FC055E" w14:textId="77777777" w:rsidTr="2A62FF34">
        <w:trPr>
          <w:jc w:val="center"/>
        </w:trPr>
        <w:tc>
          <w:tcPr>
            <w:tcW w:w="2157" w:type="dxa"/>
            <w:tcMar>
              <w:top w:w="72" w:type="dxa"/>
              <w:left w:w="115" w:type="dxa"/>
              <w:bottom w:w="72" w:type="dxa"/>
              <w:right w:w="115" w:type="dxa"/>
            </w:tcMar>
            <w:vAlign w:val="center"/>
          </w:tcPr>
          <w:p w14:paraId="28E545D5"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EB4B76B"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2.12</w:t>
            </w:r>
          </w:p>
          <w:p w14:paraId="75ED892A"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34B415DB" w14:textId="77777777" w:rsidR="003B3771" w:rsidRPr="00AC6DEC" w:rsidRDefault="003B3771" w:rsidP="00BF0D86">
            <w:pPr>
              <w:contextualSpacing/>
              <w:rPr>
                <w:rFonts w:ascii="Times New Roman" w:hAnsi="Times New Roman" w:cs="Times New Roman"/>
                <w:b/>
                <w:bCs/>
              </w:rPr>
            </w:pPr>
            <w:r w:rsidRPr="00AC6DEC">
              <w:rPr>
                <w:rFonts w:ascii="Times New Roman" w:hAnsi="Times New Roman" w:cs="Times New Roman"/>
                <w:b/>
                <w:bCs/>
              </w:rPr>
              <w:t>Question: Q0211_01</w:t>
            </w:r>
          </w:p>
          <w:p w14:paraId="7BB7474D" w14:textId="77777777" w:rsidR="003B3771" w:rsidRPr="00AC6DEC" w:rsidRDefault="003B3771" w:rsidP="00BF0D86">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41373F85" w14:textId="77777777" w:rsidR="003B3771" w:rsidRPr="00AC6DEC" w:rsidRDefault="003B3771" w:rsidP="00BF0D86">
            <w:pPr>
              <w:contextualSpacing/>
              <w:rPr>
                <w:rFonts w:ascii="Times New Roman" w:hAnsi="Times New Roman" w:cs="Times New Roman"/>
                <w:b/>
                <w:bCs/>
              </w:rPr>
            </w:pPr>
          </w:p>
          <w:p w14:paraId="7F8CB68A" w14:textId="77777777" w:rsidR="003B3771" w:rsidRPr="00AC6DEC" w:rsidRDefault="003B3771" w:rsidP="00BF0D86">
            <w:pPr>
              <w:contextualSpacing/>
              <w:rPr>
                <w:rFonts w:ascii="Times New Roman" w:hAnsi="Times New Roman" w:cs="Times New Roman"/>
                <w:b/>
                <w:bCs/>
              </w:rPr>
            </w:pPr>
            <w:r w:rsidRPr="00AC6DEC">
              <w:rPr>
                <w:rFonts w:ascii="Times New Roman" w:hAnsi="Times New Roman" w:cs="Times New Roman"/>
                <w:b/>
                <w:bCs/>
              </w:rPr>
              <w:t>Answer</w:t>
            </w:r>
          </w:p>
          <w:p w14:paraId="5443DB8B" w14:textId="77777777" w:rsidR="003B3771" w:rsidRPr="00AC6DEC" w:rsidRDefault="003B3771" w:rsidP="00BF0D86">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4A4A56CF" w14:textId="77777777" w:rsidR="003B3771" w:rsidRPr="00AC6DEC" w:rsidRDefault="003B3771" w:rsidP="00BF0D86">
            <w:pPr>
              <w:contextualSpacing/>
              <w:rPr>
                <w:rFonts w:ascii="Times New Roman" w:hAnsi="Times New Roman" w:cs="Times New Roman"/>
              </w:rPr>
            </w:pPr>
          </w:p>
          <w:p w14:paraId="20F131F2" w14:textId="77777777" w:rsidR="003B3771" w:rsidRPr="00AC6DEC" w:rsidRDefault="003B3771" w:rsidP="00BF0D86">
            <w:pPr>
              <w:contextualSpacing/>
              <w:rPr>
                <w:rFonts w:ascii="Times New Roman" w:hAnsi="Times New Roman" w:cs="Times New Roman"/>
              </w:rPr>
            </w:pPr>
            <w:r w:rsidRPr="00AC6DEC">
              <w:rPr>
                <w:rFonts w:ascii="Times New Roman" w:hAnsi="Times New Roman" w:cs="Times New Roman"/>
              </w:rPr>
              <w:t>Septic tanks are not allowable.</w:t>
            </w:r>
          </w:p>
          <w:p w14:paraId="6015D639" w14:textId="77777777" w:rsidR="003B3771" w:rsidRPr="00AC6DEC" w:rsidRDefault="003B3771" w:rsidP="00BF0D86">
            <w:pPr>
              <w:contextualSpacing/>
              <w:rPr>
                <w:rFonts w:ascii="Times New Roman" w:hAnsi="Times New Roman" w:cs="Times New Roman"/>
              </w:rPr>
            </w:pPr>
          </w:p>
          <w:p w14:paraId="40C82338" w14:textId="77777777" w:rsidR="003B3771" w:rsidRPr="00AC6DEC" w:rsidRDefault="003B3771" w:rsidP="00BF0D86">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3B3771" w:rsidRPr="00AC6DEC" w14:paraId="7D201DCD" w14:textId="77777777" w:rsidTr="2A62FF34">
        <w:trPr>
          <w:jc w:val="center"/>
        </w:trPr>
        <w:tc>
          <w:tcPr>
            <w:tcW w:w="2157" w:type="dxa"/>
            <w:tcMar>
              <w:top w:w="72" w:type="dxa"/>
              <w:left w:w="115" w:type="dxa"/>
              <w:bottom w:w="72" w:type="dxa"/>
              <w:right w:w="115" w:type="dxa"/>
            </w:tcMar>
            <w:vAlign w:val="center"/>
          </w:tcPr>
          <w:p w14:paraId="5766C1D0"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C261A29" w14:textId="77777777" w:rsidR="003B3771" w:rsidRPr="00AC6DEC" w:rsidRDefault="003B3771" w:rsidP="00610483">
            <w:pPr>
              <w:keepNext/>
              <w:rPr>
                <w:rFonts w:ascii="Times New Roman" w:hAnsi="Times New Roman" w:cs="Times New Roman"/>
                <w:noProof/>
              </w:rPr>
            </w:pPr>
            <w:r w:rsidRPr="00AC6DEC">
              <w:rPr>
                <w:rFonts w:ascii="Times New Roman" w:hAnsi="Times New Roman" w:cs="Times New Roman"/>
                <w:noProof/>
              </w:rPr>
              <w:t>2.20</w:t>
            </w:r>
          </w:p>
          <w:p w14:paraId="7CC66950" w14:textId="77777777" w:rsidR="003B3771" w:rsidRPr="00AC6DEC" w:rsidRDefault="003B3771" w:rsidP="00610483">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62C31AC5" w14:textId="77777777" w:rsidR="003B3771" w:rsidRPr="00AC6DEC" w:rsidRDefault="003B3771" w:rsidP="008F7754">
            <w:pPr>
              <w:contextualSpacing/>
              <w:rPr>
                <w:rFonts w:ascii="Times New Roman" w:hAnsi="Times New Roman" w:cs="Times New Roman"/>
                <w:b/>
                <w:bCs/>
              </w:rPr>
            </w:pPr>
            <w:r w:rsidRPr="00AC6DEC">
              <w:rPr>
                <w:rFonts w:ascii="Times New Roman" w:hAnsi="Times New Roman" w:cs="Times New Roman"/>
                <w:b/>
                <w:bCs/>
              </w:rPr>
              <w:t>Question: Q0224_02</w:t>
            </w:r>
          </w:p>
          <w:p w14:paraId="71E6E961" w14:textId="77777777" w:rsidR="003B3771" w:rsidRPr="00AC6DEC" w:rsidRDefault="003B3771" w:rsidP="008F7754">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42942B12" w14:textId="77777777" w:rsidR="003B3771" w:rsidRPr="00AC6DEC" w:rsidRDefault="003B3771" w:rsidP="008F7754">
            <w:pPr>
              <w:contextualSpacing/>
              <w:rPr>
                <w:rFonts w:ascii="Times New Roman" w:hAnsi="Times New Roman" w:cs="Times New Roman"/>
                <w:b/>
                <w:bCs/>
              </w:rPr>
            </w:pPr>
          </w:p>
          <w:p w14:paraId="49451CB1" w14:textId="77777777" w:rsidR="003B3771" w:rsidRPr="00AC6DEC" w:rsidRDefault="003B3771" w:rsidP="008F7754">
            <w:pPr>
              <w:contextualSpacing/>
              <w:rPr>
                <w:rFonts w:ascii="Times New Roman" w:hAnsi="Times New Roman" w:cs="Times New Roman"/>
                <w:b/>
                <w:bCs/>
              </w:rPr>
            </w:pPr>
            <w:r w:rsidRPr="00AC6DEC">
              <w:rPr>
                <w:rFonts w:ascii="Times New Roman" w:hAnsi="Times New Roman" w:cs="Times New Roman"/>
                <w:b/>
                <w:bCs/>
              </w:rPr>
              <w:t>Answer:</w:t>
            </w:r>
          </w:p>
          <w:p w14:paraId="7B6A9341" w14:textId="77777777" w:rsidR="003B3771" w:rsidRPr="00AC6DEC" w:rsidRDefault="003B3771" w:rsidP="008F7754">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42A02677" w14:textId="77777777" w:rsidR="003B3771" w:rsidRPr="00AC6DEC" w:rsidRDefault="003B3771" w:rsidP="008F7754">
            <w:pPr>
              <w:contextualSpacing/>
              <w:rPr>
                <w:rFonts w:ascii="Times New Roman" w:hAnsi="Times New Roman" w:cs="Times New Roman"/>
              </w:rPr>
            </w:pPr>
          </w:p>
          <w:p w14:paraId="14F074D5" w14:textId="77777777" w:rsidR="003B3771" w:rsidRPr="00AC6DEC" w:rsidRDefault="003B3771" w:rsidP="008F7754">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67BEBB6F" w14:textId="77777777" w:rsidR="003B3771" w:rsidRPr="00AC6DEC" w:rsidRDefault="003B3771" w:rsidP="008F7754">
            <w:pPr>
              <w:contextualSpacing/>
              <w:rPr>
                <w:rFonts w:ascii="Times New Roman" w:hAnsi="Times New Roman" w:cs="Times New Roman"/>
              </w:rPr>
            </w:pPr>
          </w:p>
          <w:p w14:paraId="1B298A09" w14:textId="77777777" w:rsidR="003B3771" w:rsidRPr="00AC6DEC" w:rsidRDefault="003B3771" w:rsidP="008F7754">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23A146A6" w14:textId="77777777" w:rsidR="003B3771" w:rsidRPr="00AC6DEC" w:rsidRDefault="003B3771" w:rsidP="004936E3">
            <w:pPr>
              <w:contextualSpacing/>
              <w:rPr>
                <w:rFonts w:ascii="Times New Roman" w:hAnsi="Times New Roman" w:cs="Times New Roman"/>
                <w:b/>
                <w:bCs/>
              </w:rPr>
            </w:pPr>
          </w:p>
        </w:tc>
      </w:tr>
      <w:tr w:rsidR="003B3771" w:rsidRPr="00AC6DEC" w14:paraId="0F14AB89" w14:textId="77777777" w:rsidTr="2A62FF34">
        <w:trPr>
          <w:jc w:val="center"/>
        </w:trPr>
        <w:tc>
          <w:tcPr>
            <w:tcW w:w="2157" w:type="dxa"/>
            <w:tcMar>
              <w:top w:w="72" w:type="dxa"/>
              <w:left w:w="115" w:type="dxa"/>
              <w:bottom w:w="72" w:type="dxa"/>
              <w:right w:w="115" w:type="dxa"/>
            </w:tcMar>
            <w:vAlign w:val="center"/>
          </w:tcPr>
          <w:p w14:paraId="542436F6"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0C5D4E04"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2.25</w:t>
            </w:r>
          </w:p>
          <w:p w14:paraId="7286B057"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3427DEFC" w14:textId="77777777" w:rsidR="003B3771" w:rsidRPr="00AC6DEC" w:rsidRDefault="003B3771" w:rsidP="00E96415">
            <w:pPr>
              <w:contextualSpacing/>
              <w:rPr>
                <w:rFonts w:ascii="Times New Roman" w:hAnsi="Times New Roman" w:cs="Times New Roman"/>
                <w:b/>
                <w:bCs/>
              </w:rPr>
            </w:pPr>
            <w:r w:rsidRPr="00AC6DEC">
              <w:rPr>
                <w:rFonts w:ascii="Times New Roman" w:hAnsi="Times New Roman" w:cs="Times New Roman"/>
                <w:b/>
                <w:bCs/>
              </w:rPr>
              <w:t>Question: Q0226_01</w:t>
            </w:r>
          </w:p>
          <w:p w14:paraId="78A23A3E" w14:textId="77777777" w:rsidR="003B3771" w:rsidRPr="00AC6DEC" w:rsidRDefault="003B3771" w:rsidP="00E96415">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02A14E6B" w14:textId="77777777" w:rsidR="003B3771" w:rsidRPr="00AC6DEC" w:rsidRDefault="003B3771" w:rsidP="00E96415">
            <w:pPr>
              <w:contextualSpacing/>
              <w:rPr>
                <w:rFonts w:ascii="Times New Roman" w:hAnsi="Times New Roman" w:cs="Times New Roman"/>
                <w:b/>
                <w:bCs/>
              </w:rPr>
            </w:pPr>
          </w:p>
          <w:p w14:paraId="014A15F3" w14:textId="77777777" w:rsidR="003B3771" w:rsidRPr="00AC6DEC" w:rsidRDefault="003B3771" w:rsidP="00E96415">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1238ABCD" w14:textId="77777777" w:rsidR="003B3771" w:rsidRPr="00AC6DEC" w:rsidRDefault="003B3771" w:rsidP="00E96415">
            <w:pPr>
              <w:contextualSpacing/>
              <w:rPr>
                <w:rFonts w:ascii="Times New Roman" w:hAnsi="Times New Roman" w:cs="Times New Roman"/>
              </w:rPr>
            </w:pPr>
          </w:p>
          <w:p w14:paraId="23239B81" w14:textId="77777777" w:rsidR="003B3771" w:rsidRPr="00AC6DEC" w:rsidRDefault="003B3771" w:rsidP="00E96415">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281167E2" w14:textId="77777777" w:rsidR="003B3771" w:rsidRPr="00AC6DEC" w:rsidRDefault="003B3771" w:rsidP="00E96415">
            <w:pPr>
              <w:contextualSpacing/>
              <w:rPr>
                <w:rFonts w:ascii="Times New Roman" w:hAnsi="Times New Roman" w:cs="Times New Roman"/>
                <w:b/>
                <w:bCs/>
              </w:rPr>
            </w:pPr>
            <w:r w:rsidRPr="00AC6DEC">
              <w:rPr>
                <w:rFonts w:ascii="Times New Roman" w:hAnsi="Times New Roman" w:cs="Times New Roman"/>
                <w:b/>
                <w:bCs/>
              </w:rPr>
              <w:t xml:space="preserve"> </w:t>
            </w:r>
          </w:p>
          <w:p w14:paraId="3ECB01BF" w14:textId="77777777" w:rsidR="003B3771" w:rsidRPr="00AC6DEC" w:rsidRDefault="003B3771" w:rsidP="00E96415">
            <w:pPr>
              <w:contextualSpacing/>
              <w:rPr>
                <w:rFonts w:ascii="Times New Roman" w:hAnsi="Times New Roman" w:cs="Times New Roman"/>
                <w:b/>
                <w:bCs/>
              </w:rPr>
            </w:pPr>
            <w:r w:rsidRPr="00AC6DEC">
              <w:rPr>
                <w:rFonts w:ascii="Times New Roman" w:hAnsi="Times New Roman" w:cs="Times New Roman"/>
                <w:b/>
                <w:bCs/>
              </w:rPr>
              <w:t>Answer:</w:t>
            </w:r>
          </w:p>
          <w:p w14:paraId="0D0EE284" w14:textId="77777777" w:rsidR="003B3771" w:rsidRPr="00AC6DEC" w:rsidRDefault="003B3771" w:rsidP="00E96415">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3B3771" w:rsidRPr="00AC6DEC" w14:paraId="126A1B82" w14:textId="77777777" w:rsidTr="2A62FF34">
        <w:trPr>
          <w:jc w:val="center"/>
        </w:trPr>
        <w:tc>
          <w:tcPr>
            <w:tcW w:w="2157" w:type="dxa"/>
            <w:tcMar>
              <w:top w:w="72" w:type="dxa"/>
              <w:left w:w="115" w:type="dxa"/>
              <w:bottom w:w="72" w:type="dxa"/>
              <w:right w:w="115" w:type="dxa"/>
            </w:tcMar>
            <w:vAlign w:val="center"/>
          </w:tcPr>
          <w:p w14:paraId="2705687C"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5861BFD"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3.05</w:t>
            </w:r>
          </w:p>
          <w:p w14:paraId="54EC8290"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059BD5C" w14:textId="77777777" w:rsidR="003B3771" w:rsidRPr="00AC6DEC" w:rsidRDefault="003B3771" w:rsidP="002D5F7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5DC22D3D" w14:textId="77777777" w:rsidR="003B3771" w:rsidRPr="00AC6DEC" w:rsidRDefault="003B3771" w:rsidP="002D5F7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7D4E6D8D" w14:textId="77777777" w:rsidR="003B3771" w:rsidRPr="00AC6DEC" w:rsidRDefault="003B3771" w:rsidP="002D5F7C">
            <w:pPr>
              <w:contextualSpacing/>
              <w:rPr>
                <w:rFonts w:ascii="Times New Roman" w:hAnsi="Times New Roman" w:cs="Times New Roman"/>
              </w:rPr>
            </w:pPr>
          </w:p>
          <w:p w14:paraId="44CDA5BF" w14:textId="77777777" w:rsidR="003B3771" w:rsidRPr="00AC6DEC" w:rsidRDefault="003B3771" w:rsidP="002D5F7C">
            <w:pPr>
              <w:contextualSpacing/>
              <w:rPr>
                <w:rFonts w:ascii="Times New Roman" w:hAnsi="Times New Roman" w:cs="Times New Roman"/>
                <w:b/>
                <w:bCs/>
              </w:rPr>
            </w:pPr>
            <w:r w:rsidRPr="00AC6DEC">
              <w:rPr>
                <w:rFonts w:ascii="Times New Roman" w:hAnsi="Times New Roman" w:cs="Times New Roman"/>
                <w:b/>
                <w:bCs/>
              </w:rPr>
              <w:t xml:space="preserve">Answer: </w:t>
            </w:r>
          </w:p>
          <w:p w14:paraId="205C5D0A" w14:textId="77777777" w:rsidR="003B3771" w:rsidRPr="00AC6DEC" w:rsidRDefault="003B3771" w:rsidP="002D5F7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3B3771" w:rsidRPr="00AC6DEC" w14:paraId="021C7128" w14:textId="77777777" w:rsidTr="2A62FF34">
        <w:trPr>
          <w:jc w:val="center"/>
        </w:trPr>
        <w:tc>
          <w:tcPr>
            <w:tcW w:w="2157" w:type="dxa"/>
            <w:tcMar>
              <w:top w:w="72" w:type="dxa"/>
              <w:left w:w="115" w:type="dxa"/>
              <w:bottom w:w="72" w:type="dxa"/>
              <w:right w:w="115" w:type="dxa"/>
            </w:tcMar>
            <w:vAlign w:val="center"/>
          </w:tcPr>
          <w:p w14:paraId="0BADF9A9"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C4F7B0C"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3.14</w:t>
            </w:r>
          </w:p>
          <w:p w14:paraId="00304D1C"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580AE52A" w14:textId="77777777" w:rsidR="003B3771" w:rsidRPr="00AC6DEC" w:rsidRDefault="003B3771" w:rsidP="00416A34">
            <w:pPr>
              <w:contextualSpacing/>
              <w:rPr>
                <w:rFonts w:ascii="Times New Roman" w:hAnsi="Times New Roman" w:cs="Times New Roman"/>
              </w:rPr>
            </w:pPr>
            <w:r w:rsidRPr="00AC6DEC">
              <w:rPr>
                <w:rFonts w:ascii="Times New Roman" w:hAnsi="Times New Roman" w:cs="Times New Roman"/>
                <w:b/>
                <w:bCs/>
              </w:rPr>
              <w:t>Question: Q0209_01</w:t>
            </w:r>
          </w:p>
          <w:p w14:paraId="35066CBA" w14:textId="77777777" w:rsidR="003B3771" w:rsidRPr="00AC6DEC" w:rsidRDefault="003B3771" w:rsidP="00416A34">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5285F615" w14:textId="77777777" w:rsidR="003B3771" w:rsidRPr="00AC6DEC" w:rsidRDefault="003B3771" w:rsidP="00416A34">
            <w:pPr>
              <w:contextualSpacing/>
              <w:rPr>
                <w:rFonts w:ascii="Times New Roman" w:hAnsi="Times New Roman" w:cs="Times New Roman"/>
              </w:rPr>
            </w:pPr>
          </w:p>
          <w:p w14:paraId="783E6DA6" w14:textId="77777777" w:rsidR="003B3771" w:rsidRPr="00AC6DEC" w:rsidRDefault="003B3771" w:rsidP="00416A34">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0E017A56" w14:textId="77777777" w:rsidR="003B3771" w:rsidRPr="00AC6DEC" w:rsidRDefault="003B3771" w:rsidP="00416A34">
            <w:pPr>
              <w:contextualSpacing/>
              <w:rPr>
                <w:rFonts w:ascii="Times New Roman" w:hAnsi="Times New Roman" w:cs="Times New Roman"/>
              </w:rPr>
            </w:pPr>
          </w:p>
          <w:p w14:paraId="69BEE0A0" w14:textId="77777777" w:rsidR="003B3771" w:rsidRPr="00AC6DEC" w:rsidRDefault="003B3771" w:rsidP="007E3529">
            <w:pPr>
              <w:keepNext/>
              <w:contextualSpacing/>
              <w:rPr>
                <w:rFonts w:ascii="Times New Roman" w:hAnsi="Times New Roman" w:cs="Times New Roman"/>
                <w:b/>
                <w:bCs/>
              </w:rPr>
            </w:pPr>
            <w:r w:rsidRPr="00AC6DEC">
              <w:rPr>
                <w:rFonts w:ascii="Times New Roman" w:hAnsi="Times New Roman" w:cs="Times New Roman"/>
                <w:b/>
                <w:bCs/>
              </w:rPr>
              <w:t>Answer:</w:t>
            </w:r>
          </w:p>
          <w:p w14:paraId="5ABC3A7B" w14:textId="77777777" w:rsidR="003B3771" w:rsidRPr="00AC6DEC" w:rsidRDefault="003B3771" w:rsidP="007E3529">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3B3771" w:rsidRPr="00AC6DEC" w14:paraId="1125BF1A" w14:textId="77777777" w:rsidTr="2A62FF34">
        <w:trPr>
          <w:jc w:val="center"/>
        </w:trPr>
        <w:tc>
          <w:tcPr>
            <w:tcW w:w="2157" w:type="dxa"/>
            <w:tcMar>
              <w:top w:w="72" w:type="dxa"/>
              <w:left w:w="115" w:type="dxa"/>
              <w:bottom w:w="72" w:type="dxa"/>
              <w:right w:w="115" w:type="dxa"/>
            </w:tcMar>
            <w:vAlign w:val="center"/>
          </w:tcPr>
          <w:p w14:paraId="182DB14C" w14:textId="77777777" w:rsidR="003B3771" w:rsidRPr="00AC6DEC" w:rsidRDefault="003B37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BF77912"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7.00</w:t>
            </w:r>
          </w:p>
          <w:p w14:paraId="4FEC6475"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3AD6A9D5" w14:textId="77777777" w:rsidR="003B3771" w:rsidRPr="00AC6DEC" w:rsidRDefault="003B3771" w:rsidP="002A518B">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583E153D" w14:textId="77777777" w:rsidR="003B3771" w:rsidRPr="00AC6DEC" w:rsidRDefault="003B3771" w:rsidP="002A518B">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60C19C3A" w14:textId="77777777" w:rsidR="003B3771" w:rsidRPr="00AC6DEC" w:rsidRDefault="003B3771" w:rsidP="002A518B">
            <w:pPr>
              <w:contextualSpacing/>
              <w:rPr>
                <w:rFonts w:ascii="Times New Roman" w:hAnsi="Times New Roman" w:cs="Times New Roman"/>
                <w:b/>
                <w:bCs/>
              </w:rPr>
            </w:pPr>
          </w:p>
          <w:p w14:paraId="7E933974" w14:textId="77777777" w:rsidR="003B3771" w:rsidRPr="00AC6DEC" w:rsidRDefault="003B3771" w:rsidP="002A518B">
            <w:pPr>
              <w:contextualSpacing/>
              <w:rPr>
                <w:rFonts w:ascii="Times New Roman" w:hAnsi="Times New Roman" w:cs="Times New Roman"/>
                <w:b/>
                <w:bCs/>
              </w:rPr>
            </w:pPr>
            <w:r w:rsidRPr="00AC6DEC">
              <w:rPr>
                <w:rFonts w:ascii="Times New Roman" w:hAnsi="Times New Roman" w:cs="Times New Roman"/>
                <w:b/>
                <w:bCs/>
              </w:rPr>
              <w:t>Answer</w:t>
            </w:r>
          </w:p>
          <w:p w14:paraId="711015EB" w14:textId="77777777" w:rsidR="003B3771" w:rsidRPr="00AC6DEC" w:rsidRDefault="003B3771" w:rsidP="002A518B">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3B3771" w:rsidRPr="00AC6DEC" w14:paraId="2CC1C050" w14:textId="77777777" w:rsidTr="2A62FF34">
        <w:trPr>
          <w:jc w:val="center"/>
        </w:trPr>
        <w:tc>
          <w:tcPr>
            <w:tcW w:w="2157" w:type="dxa"/>
            <w:tcMar>
              <w:top w:w="72" w:type="dxa"/>
              <w:left w:w="115" w:type="dxa"/>
              <w:bottom w:w="72" w:type="dxa"/>
              <w:right w:w="115" w:type="dxa"/>
            </w:tcMar>
            <w:vAlign w:val="center"/>
          </w:tcPr>
          <w:p w14:paraId="7020FD1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C9B5C56"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1.13</w:t>
            </w:r>
          </w:p>
          <w:p w14:paraId="2F323393"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33F14A32" w14:textId="77777777" w:rsidR="003B3771" w:rsidRPr="00AC6DEC" w:rsidRDefault="003B3771" w:rsidP="00FC23C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4AB8380E" w14:textId="77777777" w:rsidR="003B3771" w:rsidRPr="00AC6DEC" w:rsidRDefault="003B3771" w:rsidP="00FC23C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184B4D66" w14:textId="77777777" w:rsidR="003B3771" w:rsidRPr="00AC6DEC" w:rsidRDefault="003B3771" w:rsidP="00FC23CC">
            <w:pPr>
              <w:contextualSpacing/>
              <w:rPr>
                <w:rFonts w:ascii="Times New Roman" w:hAnsi="Times New Roman" w:cs="Times New Roman"/>
                <w:b/>
                <w:bCs/>
              </w:rPr>
            </w:pPr>
          </w:p>
          <w:p w14:paraId="1BE51381" w14:textId="77777777" w:rsidR="003B3771" w:rsidRPr="00AC6DEC" w:rsidRDefault="003B3771" w:rsidP="00FC23CC">
            <w:pPr>
              <w:contextualSpacing/>
              <w:rPr>
                <w:rFonts w:ascii="Times New Roman" w:hAnsi="Times New Roman" w:cs="Times New Roman"/>
                <w:b/>
                <w:bCs/>
              </w:rPr>
            </w:pPr>
            <w:r w:rsidRPr="00AC6DEC">
              <w:rPr>
                <w:rFonts w:ascii="Times New Roman" w:hAnsi="Times New Roman" w:cs="Times New Roman"/>
                <w:b/>
                <w:bCs/>
              </w:rPr>
              <w:t>Answer:</w:t>
            </w:r>
          </w:p>
          <w:p w14:paraId="3E2A0059" w14:textId="77777777" w:rsidR="003B3771" w:rsidRPr="00AC6DEC" w:rsidRDefault="003B3771"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6C5C30EB" w14:textId="77777777" w:rsidR="003B3771" w:rsidRPr="00AC6DEC" w:rsidRDefault="003B3771" w:rsidP="00FC23CC">
            <w:pPr>
              <w:contextualSpacing/>
              <w:rPr>
                <w:rFonts w:ascii="Times New Roman" w:eastAsia="Times New Roman" w:hAnsi="Times New Roman" w:cs="Times New Roman"/>
                <w:color w:val="000000" w:themeColor="text1"/>
              </w:rPr>
            </w:pPr>
          </w:p>
          <w:p w14:paraId="27CD985D" w14:textId="77777777" w:rsidR="003B3771" w:rsidRPr="00AC6DEC" w:rsidRDefault="003B3771"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33">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34">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155AFE55" w14:textId="77777777" w:rsidR="003B3771" w:rsidRPr="00AC6DEC" w:rsidRDefault="003B3771" w:rsidP="00FC23CC">
            <w:pPr>
              <w:contextualSpacing/>
              <w:rPr>
                <w:rFonts w:ascii="Times New Roman" w:hAnsi="Times New Roman" w:cs="Times New Roman"/>
              </w:rPr>
            </w:pPr>
          </w:p>
          <w:p w14:paraId="5EDBAE7C" w14:textId="77777777" w:rsidR="003B3771" w:rsidRPr="00AC6DEC" w:rsidRDefault="003B3771" w:rsidP="00FC23CC">
            <w:pPr>
              <w:rPr>
                <w:rFonts w:ascii="Times New Roman" w:hAnsi="Times New Roman" w:cs="Times New Roman"/>
                <w:noProof/>
              </w:rPr>
            </w:pPr>
            <w:hyperlink r:id="rId35">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3B3771" w:rsidRPr="00AC6DEC" w14:paraId="4B5AE303" w14:textId="77777777" w:rsidTr="2A62FF34">
        <w:trPr>
          <w:jc w:val="center"/>
        </w:trPr>
        <w:tc>
          <w:tcPr>
            <w:tcW w:w="2157" w:type="dxa"/>
            <w:tcMar>
              <w:top w:w="72" w:type="dxa"/>
              <w:left w:w="115" w:type="dxa"/>
              <w:bottom w:w="72" w:type="dxa"/>
              <w:right w:w="115" w:type="dxa"/>
            </w:tcMar>
            <w:vAlign w:val="center"/>
          </w:tcPr>
          <w:p w14:paraId="1FFB7ACE"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0DA2FE17"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1.18</w:t>
            </w:r>
          </w:p>
          <w:p w14:paraId="40FA763F"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63972A13"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3935F6EA"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64E4AF1" w14:textId="77777777" w:rsidR="003B3771" w:rsidRPr="00AC6DEC" w:rsidRDefault="003B3771" w:rsidP="000078D6">
            <w:pPr>
              <w:rPr>
                <w:rFonts w:ascii="Times New Roman" w:hAnsi="Times New Roman" w:cs="Times New Roman"/>
                <w:noProof/>
              </w:rPr>
            </w:pPr>
          </w:p>
          <w:p w14:paraId="649DFAE1"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1BAE8932" w14:textId="77777777" w:rsidR="003B3771" w:rsidRPr="00AC6DEC" w:rsidRDefault="003B3771" w:rsidP="00700A00">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11D1F585" w14:textId="77777777" w:rsidR="003B3771" w:rsidRPr="00AC6DEC" w:rsidRDefault="003B3771" w:rsidP="00700A00">
            <w:pPr>
              <w:rPr>
                <w:rFonts w:ascii="Times New Roman" w:hAnsi="Times New Roman" w:cs="Times New Roman"/>
                <w:noProof/>
              </w:rPr>
            </w:pPr>
          </w:p>
          <w:p w14:paraId="3EC4A531" w14:textId="77777777" w:rsidR="003B3771" w:rsidRPr="00AC6DEC" w:rsidRDefault="003B3771"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19021348" w14:textId="77777777" w:rsidR="003B3771" w:rsidRPr="00AC6DEC" w:rsidRDefault="003B3771"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7FAA79C2" w14:textId="77777777" w:rsidR="003B3771" w:rsidRPr="00AC6DEC" w:rsidRDefault="003B3771" w:rsidP="0085629A">
            <w:pPr>
              <w:pStyle w:val="ListParagraph"/>
              <w:rPr>
                <w:rFonts w:ascii="Times New Roman" w:hAnsi="Times New Roman" w:cs="Times New Roman"/>
                <w:noProof/>
              </w:rPr>
            </w:pPr>
          </w:p>
          <w:p w14:paraId="4A0E080E" w14:textId="77777777" w:rsidR="003B3771" w:rsidRPr="00AC6DEC" w:rsidRDefault="003B3771" w:rsidP="00700A00">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1757CF3D" w14:textId="77777777" w:rsidR="003B3771" w:rsidRPr="00AC6DEC" w:rsidRDefault="003B3771" w:rsidP="000078D6">
            <w:pPr>
              <w:rPr>
                <w:rFonts w:ascii="Times New Roman" w:hAnsi="Times New Roman" w:cs="Times New Roman"/>
                <w:noProof/>
              </w:rPr>
            </w:pPr>
          </w:p>
          <w:p w14:paraId="1EB61BF2" w14:textId="77777777" w:rsidR="003B3771" w:rsidRPr="00AC6DEC" w:rsidRDefault="003B3771" w:rsidP="000078D6">
            <w:pPr>
              <w:rPr>
                <w:rFonts w:ascii="Times New Roman" w:hAnsi="Times New Roman" w:cs="Times New Roman"/>
                <w:noProof/>
              </w:rPr>
            </w:pPr>
          </w:p>
        </w:tc>
      </w:tr>
      <w:tr w:rsidR="003B3771" w:rsidRPr="00AC6DEC" w14:paraId="7FC88B13" w14:textId="77777777" w:rsidTr="2A62FF34">
        <w:trPr>
          <w:jc w:val="center"/>
        </w:trPr>
        <w:tc>
          <w:tcPr>
            <w:tcW w:w="2157" w:type="dxa"/>
            <w:tcMar>
              <w:top w:w="72" w:type="dxa"/>
              <w:left w:w="115" w:type="dxa"/>
              <w:bottom w:w="72" w:type="dxa"/>
              <w:right w:w="115" w:type="dxa"/>
            </w:tcMar>
            <w:vAlign w:val="center"/>
          </w:tcPr>
          <w:p w14:paraId="78C3CA98" w14:textId="77777777" w:rsidR="003B3771" w:rsidRPr="00AC6DEC" w:rsidRDefault="003B3771" w:rsidP="007D019A">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A4027A0" w14:textId="77777777" w:rsidR="003B3771" w:rsidRPr="00AC6DEC" w:rsidRDefault="003B3771" w:rsidP="00B44AFA">
            <w:pPr>
              <w:rPr>
                <w:rFonts w:ascii="Times New Roman" w:hAnsi="Times New Roman" w:cs="Times New Roman"/>
                <w:noProof/>
              </w:rPr>
            </w:pPr>
            <w:r w:rsidRPr="00AC6DEC">
              <w:rPr>
                <w:rFonts w:ascii="Times New Roman" w:hAnsi="Times New Roman" w:cs="Times New Roman"/>
                <w:noProof/>
              </w:rPr>
              <w:t>3.00</w:t>
            </w:r>
          </w:p>
          <w:p w14:paraId="5A3CE915" w14:textId="77777777" w:rsidR="003B3771" w:rsidRPr="00AC6DEC" w:rsidRDefault="003B3771" w:rsidP="00B44AFA">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6DC6C12A" w14:textId="77777777" w:rsidR="003B3771" w:rsidRPr="00AC6DEC" w:rsidRDefault="003B3771" w:rsidP="00834C7C">
            <w:pPr>
              <w:keepNext/>
              <w:rPr>
                <w:rFonts w:ascii="Times New Roman" w:hAnsi="Times New Roman" w:cs="Times New Roman"/>
                <w:b/>
                <w:bCs/>
              </w:rPr>
            </w:pPr>
            <w:r w:rsidRPr="00AC6DEC">
              <w:rPr>
                <w:rFonts w:ascii="Times New Roman" w:hAnsi="Times New Roman" w:cs="Times New Roman"/>
                <w:b/>
                <w:bCs/>
              </w:rPr>
              <w:t>Question ID: Q0129_01</w:t>
            </w:r>
          </w:p>
          <w:p w14:paraId="7CED4FBB" w14:textId="77777777" w:rsidR="003B3771" w:rsidRPr="00AC6DEC" w:rsidRDefault="003B3771" w:rsidP="00834C7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3718B34B" w14:textId="77777777" w:rsidR="003B3771" w:rsidRPr="00AC6DEC" w:rsidRDefault="003B3771" w:rsidP="000D1947">
            <w:pPr>
              <w:rPr>
                <w:rFonts w:ascii="Times New Roman" w:hAnsi="Times New Roman" w:cs="Times New Roman"/>
                <w:b/>
                <w:bCs/>
              </w:rPr>
            </w:pPr>
          </w:p>
          <w:p w14:paraId="49A30F8C" w14:textId="77777777" w:rsidR="003B3771" w:rsidRPr="00AC6DEC" w:rsidRDefault="003B3771" w:rsidP="000D1947">
            <w:pPr>
              <w:rPr>
                <w:rFonts w:ascii="Times New Roman" w:hAnsi="Times New Roman" w:cs="Times New Roman"/>
                <w:b/>
                <w:bCs/>
              </w:rPr>
            </w:pPr>
            <w:r w:rsidRPr="00AC6DEC">
              <w:rPr>
                <w:rFonts w:ascii="Times New Roman" w:hAnsi="Times New Roman" w:cs="Times New Roman"/>
                <w:b/>
                <w:bCs/>
              </w:rPr>
              <w:t>Answer:</w:t>
            </w:r>
          </w:p>
          <w:p w14:paraId="0F985CC2" w14:textId="77777777" w:rsidR="003B3771" w:rsidRPr="00AC6DEC" w:rsidRDefault="003B3771" w:rsidP="000D1947">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632B2B5B" w14:textId="77777777" w:rsidR="003B3771" w:rsidRPr="00AC6DEC" w:rsidRDefault="003B3771" w:rsidP="000D1947">
            <w:pPr>
              <w:rPr>
                <w:rFonts w:ascii="Times New Roman" w:hAnsi="Times New Roman" w:cs="Times New Roman"/>
              </w:rPr>
            </w:pPr>
          </w:p>
          <w:p w14:paraId="0A2B3AB2" w14:textId="77777777" w:rsidR="003B3771" w:rsidRPr="00AC6DEC" w:rsidRDefault="003B3771" w:rsidP="000D1947">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37778313" w14:textId="77777777" w:rsidR="003B3771" w:rsidRPr="00AC6DEC" w:rsidRDefault="003B3771" w:rsidP="000D1947">
            <w:pPr>
              <w:rPr>
                <w:rFonts w:ascii="Times New Roman" w:hAnsi="Times New Roman" w:cs="Times New Roman"/>
              </w:rPr>
            </w:pPr>
          </w:p>
          <w:p w14:paraId="7EEC4385" w14:textId="77777777" w:rsidR="003B3771" w:rsidRPr="00AC6DEC" w:rsidRDefault="003B3771"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48E73A6E" w14:textId="77777777" w:rsidR="003B3771" w:rsidRPr="00AC6DEC" w:rsidRDefault="003B3771"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69B96434" w14:textId="77777777" w:rsidR="003B3771" w:rsidRPr="00AC6DEC" w:rsidRDefault="003B3771" w:rsidP="000D1947">
            <w:pPr>
              <w:rPr>
                <w:rFonts w:ascii="Times New Roman" w:hAnsi="Times New Roman" w:cs="Times New Roman"/>
              </w:rPr>
            </w:pPr>
          </w:p>
          <w:p w14:paraId="0845FB5B" w14:textId="77777777" w:rsidR="003B3771" w:rsidRPr="00AC6DEC" w:rsidRDefault="003B3771" w:rsidP="000D1947">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3B3771" w:rsidRPr="00AC6DEC" w14:paraId="6B1DD31E" w14:textId="77777777" w:rsidTr="2A62FF34">
        <w:trPr>
          <w:jc w:val="center"/>
        </w:trPr>
        <w:tc>
          <w:tcPr>
            <w:tcW w:w="2157" w:type="dxa"/>
            <w:tcMar>
              <w:top w:w="72" w:type="dxa"/>
              <w:left w:w="115" w:type="dxa"/>
              <w:bottom w:w="72" w:type="dxa"/>
              <w:right w:w="115" w:type="dxa"/>
            </w:tcMar>
            <w:vAlign w:val="center"/>
          </w:tcPr>
          <w:p w14:paraId="4B8C60DF"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36D2659"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3.02</w:t>
            </w:r>
          </w:p>
          <w:p w14:paraId="6D650E47"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58E1B3DA" w14:textId="77777777" w:rsidR="003B3771" w:rsidRPr="00AC6DEC" w:rsidRDefault="003B3771" w:rsidP="0085454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65BD87FC" w14:textId="77777777" w:rsidR="003B3771" w:rsidRPr="00AC6DEC" w:rsidRDefault="003B3771" w:rsidP="00854543">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3316CDED" w14:textId="77777777" w:rsidR="003B3771" w:rsidRPr="00AC6DEC" w:rsidRDefault="003B3771" w:rsidP="00854543">
            <w:pPr>
              <w:contextualSpacing/>
              <w:rPr>
                <w:rFonts w:ascii="Times New Roman" w:hAnsi="Times New Roman" w:cs="Times New Roman"/>
              </w:rPr>
            </w:pPr>
          </w:p>
          <w:p w14:paraId="0CE6CED9" w14:textId="77777777" w:rsidR="003B3771" w:rsidRPr="00AC6DEC" w:rsidRDefault="003B3771" w:rsidP="00854543">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0D9A14D4" w14:textId="77777777" w:rsidR="003B3771" w:rsidRPr="00AC6DEC" w:rsidRDefault="003B3771" w:rsidP="000078D6">
            <w:pPr>
              <w:rPr>
                <w:rFonts w:ascii="Times New Roman" w:hAnsi="Times New Roman" w:cs="Times New Roman"/>
                <w:noProof/>
              </w:rPr>
            </w:pPr>
          </w:p>
        </w:tc>
      </w:tr>
      <w:tr w:rsidR="003B3771" w:rsidRPr="00AC6DEC" w14:paraId="12D4B8AB" w14:textId="77777777" w:rsidTr="2A62FF34">
        <w:trPr>
          <w:jc w:val="center"/>
        </w:trPr>
        <w:tc>
          <w:tcPr>
            <w:tcW w:w="2157" w:type="dxa"/>
            <w:tcMar>
              <w:top w:w="72" w:type="dxa"/>
              <w:left w:w="115" w:type="dxa"/>
              <w:bottom w:w="72" w:type="dxa"/>
              <w:right w:w="115" w:type="dxa"/>
            </w:tcMar>
            <w:vAlign w:val="center"/>
          </w:tcPr>
          <w:p w14:paraId="72391863"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3697CC9"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3.05</w:t>
            </w:r>
          </w:p>
          <w:p w14:paraId="50E4F75F"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7AF2D4DE" w14:textId="77777777" w:rsidR="003B3771" w:rsidRPr="00AC6DEC" w:rsidRDefault="003B3771" w:rsidP="007C4B63">
            <w:pPr>
              <w:contextualSpacing/>
              <w:rPr>
                <w:rFonts w:ascii="Times New Roman" w:hAnsi="Times New Roman" w:cs="Times New Roman"/>
                <w:b/>
                <w:bCs/>
              </w:rPr>
            </w:pPr>
            <w:r w:rsidRPr="00AC6DEC">
              <w:rPr>
                <w:rFonts w:ascii="Times New Roman" w:hAnsi="Times New Roman" w:cs="Times New Roman"/>
                <w:b/>
                <w:bCs/>
              </w:rPr>
              <w:t>Question: Q0202_02</w:t>
            </w:r>
          </w:p>
          <w:p w14:paraId="50DD554A" w14:textId="77777777" w:rsidR="003B3771" w:rsidRPr="00AC6DEC" w:rsidRDefault="003B3771" w:rsidP="007C4B63">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561DCF79" w14:textId="77777777" w:rsidR="003B3771" w:rsidRPr="00AC6DEC" w:rsidRDefault="003B3771" w:rsidP="007C4B63">
            <w:pPr>
              <w:contextualSpacing/>
              <w:rPr>
                <w:rFonts w:ascii="Times New Roman" w:hAnsi="Times New Roman" w:cs="Times New Roman"/>
                <w:b/>
              </w:rPr>
            </w:pPr>
          </w:p>
          <w:p w14:paraId="50AD3BC2" w14:textId="77777777" w:rsidR="003B3771" w:rsidRPr="00AC6DEC" w:rsidRDefault="003B3771" w:rsidP="007C4B63">
            <w:pPr>
              <w:contextualSpacing/>
              <w:rPr>
                <w:rFonts w:ascii="Times New Roman" w:hAnsi="Times New Roman" w:cs="Times New Roman"/>
                <w:b/>
                <w:bCs/>
              </w:rPr>
            </w:pPr>
            <w:r w:rsidRPr="00AC6DEC">
              <w:rPr>
                <w:rFonts w:ascii="Times New Roman" w:hAnsi="Times New Roman" w:cs="Times New Roman"/>
                <w:b/>
                <w:bCs/>
              </w:rPr>
              <w:t>Answer</w:t>
            </w:r>
          </w:p>
          <w:p w14:paraId="20DA6369" w14:textId="77777777" w:rsidR="003B3771" w:rsidRPr="00AC6DEC" w:rsidRDefault="003B3771" w:rsidP="007C4B63">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75247621" w14:textId="77777777" w:rsidR="003B3771" w:rsidRPr="00AC6DEC" w:rsidRDefault="003B3771" w:rsidP="000078D6">
            <w:pPr>
              <w:rPr>
                <w:rFonts w:ascii="Times New Roman" w:hAnsi="Times New Roman" w:cs="Times New Roman"/>
                <w:noProof/>
              </w:rPr>
            </w:pPr>
          </w:p>
        </w:tc>
      </w:tr>
      <w:tr w:rsidR="003B3771" w:rsidRPr="00AC6DEC" w14:paraId="38CD1C3E" w14:textId="77777777" w:rsidTr="2A62FF34">
        <w:trPr>
          <w:jc w:val="center"/>
        </w:trPr>
        <w:tc>
          <w:tcPr>
            <w:tcW w:w="2157" w:type="dxa"/>
            <w:tcMar>
              <w:top w:w="72" w:type="dxa"/>
              <w:left w:w="115" w:type="dxa"/>
              <w:bottom w:w="72" w:type="dxa"/>
              <w:right w:w="115" w:type="dxa"/>
            </w:tcMar>
            <w:vAlign w:val="center"/>
          </w:tcPr>
          <w:p w14:paraId="05BD222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43D42E8D"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3.06</w:t>
            </w:r>
          </w:p>
          <w:p w14:paraId="3E0A9EC8" w14:textId="77777777" w:rsidR="003B3771" w:rsidRPr="00AC6DEC" w:rsidRDefault="003B3771" w:rsidP="000078D6">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387A240A" w14:textId="77777777" w:rsidR="003B3771" w:rsidRPr="00AC6DEC" w:rsidRDefault="003B3771" w:rsidP="00DE57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40C5751D" w14:textId="77777777" w:rsidR="003B3771" w:rsidRPr="00AC6DEC" w:rsidRDefault="003B3771" w:rsidP="00DE5733">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722ABF6F" w14:textId="77777777" w:rsidR="003B3771" w:rsidRPr="00AC6DEC" w:rsidRDefault="003B3771" w:rsidP="00DE5733">
            <w:pPr>
              <w:contextualSpacing/>
              <w:rPr>
                <w:rFonts w:ascii="Times New Roman" w:hAnsi="Times New Roman" w:cs="Times New Roman"/>
              </w:rPr>
            </w:pPr>
          </w:p>
          <w:p w14:paraId="6CFF06B9" w14:textId="77777777" w:rsidR="003B3771" w:rsidRPr="00AC6DEC" w:rsidRDefault="003B3771" w:rsidP="00DE5733">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0EB1DBB9" w14:textId="77777777" w:rsidR="003B3771" w:rsidRPr="00AC6DEC" w:rsidRDefault="003B3771" w:rsidP="00DE5733">
            <w:pPr>
              <w:contextualSpacing/>
              <w:rPr>
                <w:rFonts w:ascii="Times New Roman" w:hAnsi="Times New Roman" w:cs="Times New Roman"/>
              </w:rPr>
            </w:pPr>
          </w:p>
          <w:p w14:paraId="58470D11" w14:textId="77777777" w:rsidR="003B3771" w:rsidRPr="00AC6DEC" w:rsidRDefault="003B3771" w:rsidP="00DE5733">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3B3771" w:rsidRPr="00AC6DEC" w14:paraId="4F6BBA5E" w14:textId="77777777" w:rsidTr="2A62FF34">
        <w:trPr>
          <w:jc w:val="center"/>
        </w:trPr>
        <w:tc>
          <w:tcPr>
            <w:tcW w:w="2157" w:type="dxa"/>
            <w:tcMar>
              <w:top w:w="72" w:type="dxa"/>
              <w:left w:w="115" w:type="dxa"/>
              <w:bottom w:w="72" w:type="dxa"/>
              <w:right w:w="115" w:type="dxa"/>
            </w:tcMar>
            <w:vAlign w:val="center"/>
          </w:tcPr>
          <w:p w14:paraId="2FC152E9"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26968D10" w14:textId="77777777" w:rsidR="003B3771" w:rsidRPr="00AC6DEC" w:rsidRDefault="003B3771" w:rsidP="005D326A">
            <w:pPr>
              <w:rPr>
                <w:rFonts w:ascii="Times New Roman" w:hAnsi="Times New Roman" w:cs="Times New Roman"/>
                <w:noProof/>
              </w:rPr>
            </w:pPr>
            <w:r w:rsidRPr="00AC6DEC">
              <w:rPr>
                <w:rFonts w:ascii="Times New Roman" w:hAnsi="Times New Roman" w:cs="Times New Roman"/>
                <w:noProof/>
              </w:rPr>
              <w:t>3.07</w:t>
            </w:r>
          </w:p>
          <w:p w14:paraId="78AE5F2C" w14:textId="77777777" w:rsidR="003B3771" w:rsidRPr="00AC6DEC" w:rsidRDefault="003B3771" w:rsidP="005D326A">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54861C4F" w14:textId="77777777" w:rsidR="003B3771" w:rsidRPr="00AC6DEC" w:rsidRDefault="003B3771" w:rsidP="001F21C6">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37F8F052" w14:textId="77777777" w:rsidR="003B3771" w:rsidRPr="00AC6DEC" w:rsidRDefault="003B3771" w:rsidP="001F21C6">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642849A9" w14:textId="77777777" w:rsidR="003B3771" w:rsidRPr="00AC6DEC" w:rsidRDefault="003B3771" w:rsidP="001F21C6">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789ECA5B" w14:textId="77777777" w:rsidR="003B3771" w:rsidRPr="00AC6DEC" w:rsidRDefault="003B3771" w:rsidP="001F21C6">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7EC60FD3" w14:textId="77777777" w:rsidR="003B3771" w:rsidRPr="00AC6DEC" w:rsidRDefault="003B3771"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36"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0F59FAC8" w14:textId="77777777" w:rsidR="003B3771" w:rsidRPr="00AC6DEC" w:rsidRDefault="003B3771"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37">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09F67824" w14:textId="77777777" w:rsidR="003B3771" w:rsidRPr="00AC6DEC" w:rsidRDefault="003B3771" w:rsidP="000078D6">
            <w:pPr>
              <w:rPr>
                <w:rFonts w:ascii="Times New Roman" w:hAnsi="Times New Roman" w:cs="Times New Roman"/>
                <w:noProof/>
              </w:rPr>
            </w:pPr>
          </w:p>
        </w:tc>
      </w:tr>
      <w:tr w:rsidR="003B3771" w:rsidRPr="00AC6DEC" w14:paraId="42227B0D" w14:textId="77777777" w:rsidTr="2A62FF34">
        <w:trPr>
          <w:jc w:val="center"/>
        </w:trPr>
        <w:tc>
          <w:tcPr>
            <w:tcW w:w="2157" w:type="dxa"/>
            <w:tcMar>
              <w:top w:w="72" w:type="dxa"/>
              <w:left w:w="115" w:type="dxa"/>
              <w:bottom w:w="72" w:type="dxa"/>
              <w:right w:w="115" w:type="dxa"/>
            </w:tcMar>
            <w:vAlign w:val="center"/>
          </w:tcPr>
          <w:p w14:paraId="72D99850"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0B5320C" w14:textId="77777777" w:rsidR="003B3771" w:rsidRPr="00AC6DEC" w:rsidRDefault="003B3771" w:rsidP="00E233E5">
            <w:pPr>
              <w:rPr>
                <w:rFonts w:ascii="Times New Roman" w:hAnsi="Times New Roman" w:cs="Times New Roman"/>
                <w:noProof/>
              </w:rPr>
            </w:pPr>
            <w:r w:rsidRPr="00AC6DEC">
              <w:rPr>
                <w:rFonts w:ascii="Times New Roman" w:hAnsi="Times New Roman" w:cs="Times New Roman"/>
                <w:noProof/>
              </w:rPr>
              <w:t>3.07</w:t>
            </w:r>
          </w:p>
          <w:p w14:paraId="624DA8EF" w14:textId="77777777" w:rsidR="003B3771" w:rsidRPr="00AC6DEC" w:rsidRDefault="003B3771" w:rsidP="00E233E5">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5856C9F7" w14:textId="77777777" w:rsidR="003B3771" w:rsidRPr="00AC6DEC" w:rsidRDefault="003B3771" w:rsidP="00781603">
            <w:pPr>
              <w:contextualSpacing/>
              <w:rPr>
                <w:rFonts w:ascii="Times New Roman" w:hAnsi="Times New Roman" w:cs="Times New Roman"/>
                <w:b/>
                <w:bCs/>
              </w:rPr>
            </w:pPr>
            <w:r w:rsidRPr="00AC6DEC">
              <w:rPr>
                <w:rFonts w:ascii="Times New Roman" w:hAnsi="Times New Roman" w:cs="Times New Roman"/>
                <w:b/>
                <w:bCs/>
              </w:rPr>
              <w:t>Question ID: Q0201_01</w:t>
            </w:r>
          </w:p>
          <w:p w14:paraId="148EED36" w14:textId="77777777" w:rsidR="003B3771" w:rsidRPr="00AC6DEC" w:rsidRDefault="003B3771" w:rsidP="00781603">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4A2EFA59" w14:textId="77777777" w:rsidR="003B3771" w:rsidRPr="00AC6DEC" w:rsidRDefault="003B3771" w:rsidP="00781603">
            <w:pPr>
              <w:contextualSpacing/>
              <w:rPr>
                <w:rFonts w:ascii="Times New Roman" w:hAnsi="Times New Roman" w:cs="Times New Roman"/>
              </w:rPr>
            </w:pPr>
          </w:p>
          <w:p w14:paraId="0746F7FC" w14:textId="77777777" w:rsidR="003B3771" w:rsidRPr="00AC6DEC" w:rsidRDefault="003B3771"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38"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48A4353F" w14:textId="77777777" w:rsidR="003B3771" w:rsidRPr="00AC6DEC" w:rsidRDefault="003B3771"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39" w:history="1">
              <w:r w:rsidRPr="00AC6DEC">
                <w:rPr>
                  <w:rStyle w:val="Hyperlink"/>
                  <w:rFonts w:ascii="Times New Roman" w:hAnsi="Times New Roman" w:cs="Times New Roman"/>
                </w:rPr>
                <w:t>https://www.dca.ga.gov/sites/default/files/2021ccrpi_scores_table.pdf</w:t>
              </w:r>
            </w:hyperlink>
          </w:p>
          <w:p w14:paraId="5E9B7C4A" w14:textId="77777777" w:rsidR="003B3771" w:rsidRPr="00AC6DEC" w:rsidRDefault="003B3771" w:rsidP="00781603">
            <w:pPr>
              <w:contextualSpacing/>
              <w:rPr>
                <w:rFonts w:ascii="Times New Roman" w:hAnsi="Times New Roman" w:cs="Times New Roman"/>
              </w:rPr>
            </w:pPr>
          </w:p>
          <w:p w14:paraId="0DFC0AE3" w14:textId="77777777" w:rsidR="003B3771" w:rsidRPr="00AC6DEC" w:rsidRDefault="003B3771" w:rsidP="00781603">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193A5E70" w14:textId="77777777" w:rsidR="003B3771" w:rsidRPr="00AC6DEC" w:rsidRDefault="003B3771" w:rsidP="00781603">
            <w:pPr>
              <w:contextualSpacing/>
              <w:rPr>
                <w:rFonts w:ascii="Times New Roman" w:hAnsi="Times New Roman" w:cs="Times New Roman"/>
              </w:rPr>
            </w:pPr>
          </w:p>
          <w:p w14:paraId="6F45BC76" w14:textId="77777777" w:rsidR="003B3771" w:rsidRPr="00AC6DEC" w:rsidRDefault="003B3771" w:rsidP="00781603">
            <w:pPr>
              <w:contextualSpacing/>
              <w:rPr>
                <w:rFonts w:ascii="Times New Roman" w:hAnsi="Times New Roman" w:cs="Times New Roman"/>
                <w:b/>
                <w:bCs/>
              </w:rPr>
            </w:pPr>
            <w:r w:rsidRPr="00AC6DEC">
              <w:rPr>
                <w:rFonts w:ascii="Times New Roman" w:hAnsi="Times New Roman" w:cs="Times New Roman"/>
                <w:b/>
                <w:bCs/>
              </w:rPr>
              <w:t>Answer:</w:t>
            </w:r>
          </w:p>
          <w:p w14:paraId="615BE989" w14:textId="77777777" w:rsidR="003B3771" w:rsidRPr="00AC6DEC" w:rsidRDefault="003B3771" w:rsidP="00781603">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1E1B118D" w14:textId="77777777" w:rsidR="003B3771" w:rsidRPr="00AC6DEC" w:rsidRDefault="003B3771" w:rsidP="00781603">
            <w:pPr>
              <w:contextualSpacing/>
              <w:rPr>
                <w:rFonts w:ascii="Times New Roman" w:hAnsi="Times New Roman" w:cs="Times New Roman"/>
                <w:i/>
                <w:iCs/>
              </w:rPr>
            </w:pPr>
          </w:p>
          <w:p w14:paraId="0F7D0D77" w14:textId="77777777" w:rsidR="003B3771" w:rsidRPr="00AC6DEC" w:rsidRDefault="003B3771" w:rsidP="00781603">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4B7A4D65" w14:textId="77777777" w:rsidR="003B3771" w:rsidRPr="00AC6DEC" w:rsidRDefault="003B3771" w:rsidP="00781603">
            <w:pPr>
              <w:contextualSpacing/>
              <w:rPr>
                <w:rFonts w:ascii="Times New Roman" w:hAnsi="Times New Roman" w:cs="Times New Roman"/>
              </w:rPr>
            </w:pPr>
          </w:p>
          <w:p w14:paraId="2DF7FA41" w14:textId="77777777" w:rsidR="003B3771" w:rsidRPr="00AC6DEC" w:rsidRDefault="003B3771" w:rsidP="00781603">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1D484BEF" w14:textId="77777777" w:rsidR="003B3771" w:rsidRPr="00AC6DEC" w:rsidRDefault="003B3771" w:rsidP="00781603">
            <w:pPr>
              <w:contextualSpacing/>
              <w:rPr>
                <w:rFonts w:ascii="Times New Roman" w:hAnsi="Times New Roman" w:cs="Times New Roman"/>
              </w:rPr>
            </w:pPr>
          </w:p>
          <w:p w14:paraId="7995CBC3" w14:textId="77777777" w:rsidR="003B3771" w:rsidRPr="00AC6DEC" w:rsidRDefault="003B3771" w:rsidP="00781603">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0">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02B70409" w14:textId="77777777" w:rsidR="003B3771" w:rsidRPr="00AC6DEC" w:rsidRDefault="003B3771" w:rsidP="000078D6">
            <w:pPr>
              <w:rPr>
                <w:rFonts w:ascii="Times New Roman" w:hAnsi="Times New Roman" w:cs="Times New Roman"/>
                <w:noProof/>
              </w:rPr>
            </w:pPr>
          </w:p>
        </w:tc>
      </w:tr>
      <w:tr w:rsidR="003B3771" w:rsidRPr="00AC6DEC" w14:paraId="21398542" w14:textId="77777777" w:rsidTr="2A62FF34">
        <w:trPr>
          <w:jc w:val="center"/>
        </w:trPr>
        <w:tc>
          <w:tcPr>
            <w:tcW w:w="2157" w:type="dxa"/>
            <w:tcMar>
              <w:top w:w="72" w:type="dxa"/>
              <w:left w:w="115" w:type="dxa"/>
              <w:bottom w:w="72" w:type="dxa"/>
              <w:right w:w="115" w:type="dxa"/>
            </w:tcMar>
            <w:vAlign w:val="center"/>
          </w:tcPr>
          <w:p w14:paraId="3FD77AE4" w14:textId="77777777" w:rsidR="003B3771" w:rsidRPr="00AC6DEC" w:rsidRDefault="003B3771" w:rsidP="008A79EB">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8924D27" w14:textId="77777777" w:rsidR="003B3771" w:rsidRPr="00AC6DEC" w:rsidRDefault="003B3771" w:rsidP="000653EA">
            <w:pPr>
              <w:rPr>
                <w:rFonts w:ascii="Times New Roman" w:hAnsi="Times New Roman" w:cs="Times New Roman"/>
                <w:noProof/>
              </w:rPr>
            </w:pPr>
            <w:r w:rsidRPr="00AC6DEC">
              <w:rPr>
                <w:rFonts w:ascii="Times New Roman" w:hAnsi="Times New Roman" w:cs="Times New Roman"/>
                <w:noProof/>
              </w:rPr>
              <w:t>3.10</w:t>
            </w:r>
          </w:p>
          <w:p w14:paraId="2FA6A038" w14:textId="77777777" w:rsidR="003B3771" w:rsidRPr="00AC6DEC" w:rsidRDefault="003B3771" w:rsidP="000653E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65D5006" w14:textId="77777777" w:rsidR="003B3771" w:rsidRPr="00AC6DEC" w:rsidRDefault="003B3771" w:rsidP="004854D7">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64D3BB30" w14:textId="77777777" w:rsidR="003B3771" w:rsidRPr="00AC6DEC" w:rsidRDefault="003B3771" w:rsidP="004854D7">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29C10571" w14:textId="77777777" w:rsidR="003B3771" w:rsidRPr="00AC6DEC" w:rsidRDefault="003B3771" w:rsidP="004854D7">
            <w:pPr>
              <w:contextualSpacing/>
              <w:rPr>
                <w:rFonts w:ascii="Times New Roman" w:hAnsi="Times New Roman" w:cs="Times New Roman"/>
                <w:b/>
                <w:bCs/>
              </w:rPr>
            </w:pPr>
          </w:p>
          <w:p w14:paraId="6CFA9431" w14:textId="77777777" w:rsidR="003B3771" w:rsidRPr="00AC6DEC" w:rsidRDefault="003B3771" w:rsidP="004854D7">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1">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64141B54" w14:textId="77777777" w:rsidR="003B3771" w:rsidRPr="00AC6DEC" w:rsidRDefault="003B3771" w:rsidP="004854D7">
            <w:pPr>
              <w:contextualSpacing/>
              <w:rPr>
                <w:rFonts w:ascii="Times New Roman" w:hAnsi="Times New Roman" w:cs="Times New Roman"/>
              </w:rPr>
            </w:pPr>
          </w:p>
          <w:p w14:paraId="72694559" w14:textId="77777777" w:rsidR="003B3771" w:rsidRPr="00AC6DEC" w:rsidRDefault="003B3771" w:rsidP="004854D7">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4B964D62" w14:textId="77777777" w:rsidR="003B3771" w:rsidRPr="00AC6DEC" w:rsidRDefault="003B3771"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3B3771" w:rsidRPr="00AC6DEC" w14:paraId="64B9F92B"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602391B9"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4F9A6057"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706EC64A"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3B3771" w:rsidRPr="00AC6DEC" w14:paraId="7A544BA3"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4D98E33A" w14:textId="77777777" w:rsidR="003B3771" w:rsidRPr="00AC6DEC" w:rsidRDefault="003B3771"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7D520487"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4E84B4CA"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54188C10"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4CC2241E"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4EF078BA" w14:textId="77777777" w:rsidR="003B3771" w:rsidRPr="00AC6DEC" w:rsidRDefault="003B3771" w:rsidP="00075342">
                  <w:pPr>
                    <w:keepNext/>
                    <w:keepLines/>
                    <w:contextualSpacing/>
                    <w:rPr>
                      <w:rFonts w:ascii="Times New Roman" w:hAnsi="Times New Roman" w:cs="Times New Roman"/>
                    </w:rPr>
                  </w:pPr>
                </w:p>
              </w:tc>
            </w:tr>
            <w:tr w:rsidR="003B3771" w:rsidRPr="00AC6DEC" w14:paraId="222981D9" w14:textId="77777777" w:rsidTr="006354C4">
              <w:trPr>
                <w:jc w:val="center"/>
              </w:trPr>
              <w:tc>
                <w:tcPr>
                  <w:tcW w:w="1431" w:type="dxa"/>
                  <w:tcMar>
                    <w:top w:w="72" w:type="dxa"/>
                    <w:left w:w="115" w:type="dxa"/>
                    <w:bottom w:w="72" w:type="dxa"/>
                    <w:right w:w="115" w:type="dxa"/>
                  </w:tcMar>
                  <w:vAlign w:val="center"/>
                </w:tcPr>
                <w:p w14:paraId="0EE6A4C7" w14:textId="77777777" w:rsidR="003B3771" w:rsidRPr="00AC6DEC" w:rsidRDefault="003B3771" w:rsidP="00075342">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414C23CF"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21069AE9"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1571A6E7"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441C9F9E"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192456FA"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3B3771" w:rsidRPr="00AC6DEC" w14:paraId="3FB2D69F" w14:textId="77777777" w:rsidTr="006354C4">
              <w:trPr>
                <w:jc w:val="center"/>
              </w:trPr>
              <w:tc>
                <w:tcPr>
                  <w:tcW w:w="1431" w:type="dxa"/>
                  <w:tcMar>
                    <w:top w:w="72" w:type="dxa"/>
                    <w:left w:w="115" w:type="dxa"/>
                    <w:bottom w:w="72" w:type="dxa"/>
                    <w:right w:w="115" w:type="dxa"/>
                  </w:tcMar>
                  <w:vAlign w:val="center"/>
                </w:tcPr>
                <w:p w14:paraId="2D67312F" w14:textId="77777777" w:rsidR="003B3771" w:rsidRPr="00AC6DEC" w:rsidRDefault="003B3771" w:rsidP="00075342">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6AD69942"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45C27A3A"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50D7E9A5"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062B5256" w14:textId="77777777" w:rsidR="003B3771" w:rsidRPr="00AC6DEC" w:rsidRDefault="003B3771"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4702563A" w14:textId="77777777" w:rsidR="003B3771" w:rsidRPr="00AC6DEC" w:rsidRDefault="003B3771"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4AE06CA6" w14:textId="77777777" w:rsidR="003B3771" w:rsidRPr="00AC6DEC" w:rsidRDefault="003B3771" w:rsidP="004854D7">
            <w:pPr>
              <w:contextualSpacing/>
              <w:rPr>
                <w:rFonts w:ascii="Times New Roman" w:hAnsi="Times New Roman" w:cs="Times New Roman"/>
              </w:rPr>
            </w:pPr>
          </w:p>
          <w:p w14:paraId="1EB502CF" w14:textId="77777777" w:rsidR="003B3771" w:rsidRPr="00AC6DEC" w:rsidRDefault="003B3771" w:rsidP="000078D6">
            <w:pPr>
              <w:rPr>
                <w:rFonts w:ascii="Times New Roman" w:hAnsi="Times New Roman" w:cs="Times New Roman"/>
                <w:noProof/>
              </w:rPr>
            </w:pPr>
          </w:p>
        </w:tc>
      </w:tr>
      <w:tr w:rsidR="003B3771" w:rsidRPr="00AC6DEC" w14:paraId="544C2A97" w14:textId="77777777" w:rsidTr="2A62FF34">
        <w:trPr>
          <w:jc w:val="center"/>
        </w:trPr>
        <w:tc>
          <w:tcPr>
            <w:tcW w:w="2157" w:type="dxa"/>
            <w:tcMar>
              <w:top w:w="72" w:type="dxa"/>
              <w:left w:w="115" w:type="dxa"/>
              <w:bottom w:w="72" w:type="dxa"/>
              <w:right w:w="115" w:type="dxa"/>
            </w:tcMar>
            <w:vAlign w:val="center"/>
          </w:tcPr>
          <w:p w14:paraId="36BA0873" w14:textId="77777777" w:rsidR="003B3771" w:rsidRPr="00AC6DEC" w:rsidRDefault="003B37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9E2E498" w14:textId="77777777" w:rsidR="003B3771" w:rsidRPr="00AC6DEC" w:rsidRDefault="003B3771" w:rsidP="00B77021">
            <w:pPr>
              <w:rPr>
                <w:rFonts w:ascii="Times New Roman" w:hAnsi="Times New Roman" w:cs="Times New Roman"/>
              </w:rPr>
            </w:pPr>
            <w:r w:rsidRPr="00AC6DEC">
              <w:rPr>
                <w:rFonts w:ascii="Times New Roman" w:hAnsi="Times New Roman" w:cs="Times New Roman"/>
              </w:rPr>
              <w:t>3.14</w:t>
            </w:r>
          </w:p>
          <w:p w14:paraId="30685344" w14:textId="77777777" w:rsidR="003B3771" w:rsidRPr="00AC6DEC" w:rsidRDefault="003B3771" w:rsidP="00B77021">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2D4F2C73" w14:textId="77777777" w:rsidR="003B3771" w:rsidRPr="00AC6DEC" w:rsidRDefault="003B3771" w:rsidP="000C54E0">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5168FBF6" w14:textId="77777777" w:rsidR="003B3771" w:rsidRPr="00AC6DEC" w:rsidRDefault="003B3771" w:rsidP="000C54E0">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4396F172" w14:textId="77777777" w:rsidR="003B3771" w:rsidRPr="00AC6DEC" w:rsidRDefault="003B3771" w:rsidP="000C54E0">
            <w:pPr>
              <w:contextualSpacing/>
              <w:rPr>
                <w:rFonts w:ascii="Times New Roman" w:hAnsi="Times New Roman" w:cs="Times New Roman"/>
                <w:b/>
                <w:bCs/>
              </w:rPr>
            </w:pPr>
          </w:p>
          <w:p w14:paraId="10B97D88" w14:textId="77777777" w:rsidR="003B3771" w:rsidRPr="00AC6DEC" w:rsidRDefault="003B3771" w:rsidP="000C54E0">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37117916" w14:textId="77777777" w:rsidR="003B3771" w:rsidRPr="00AC6DEC" w:rsidRDefault="003B3771" w:rsidP="000C54E0">
            <w:pPr>
              <w:contextualSpacing/>
              <w:rPr>
                <w:rFonts w:ascii="Times New Roman" w:hAnsi="Times New Roman" w:cs="Times New Roman"/>
              </w:rPr>
            </w:pPr>
          </w:p>
          <w:p w14:paraId="345F210D" w14:textId="77777777" w:rsidR="003B3771" w:rsidRPr="00AC6DEC" w:rsidRDefault="003B3771" w:rsidP="000C54E0">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4083C451" w14:textId="77777777" w:rsidR="003B3771" w:rsidRPr="00AC6DEC" w:rsidRDefault="003B3771" w:rsidP="000C54E0">
            <w:pPr>
              <w:contextualSpacing/>
              <w:rPr>
                <w:rFonts w:ascii="Times New Roman" w:hAnsi="Times New Roman" w:cs="Times New Roman"/>
              </w:rPr>
            </w:pPr>
          </w:p>
          <w:p w14:paraId="1A0F340A" w14:textId="77777777" w:rsidR="003B3771" w:rsidRPr="00AC6DEC" w:rsidRDefault="003B3771" w:rsidP="000C54E0">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3B3771" w:rsidRPr="00AC6DEC" w14:paraId="7F6DE8F3" w14:textId="77777777" w:rsidTr="2A62FF34">
        <w:trPr>
          <w:jc w:val="center"/>
        </w:trPr>
        <w:tc>
          <w:tcPr>
            <w:tcW w:w="2157" w:type="dxa"/>
            <w:tcMar>
              <w:top w:w="72" w:type="dxa"/>
              <w:left w:w="115" w:type="dxa"/>
              <w:bottom w:w="72" w:type="dxa"/>
              <w:right w:w="115" w:type="dxa"/>
            </w:tcMar>
            <w:vAlign w:val="center"/>
          </w:tcPr>
          <w:p w14:paraId="090ABD39" w14:textId="77777777" w:rsidR="003B3771" w:rsidRPr="00AC6DEC" w:rsidRDefault="003B3771" w:rsidP="00FC5C8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C09E96D" w14:textId="77777777" w:rsidR="003B3771" w:rsidRPr="00AC6DEC" w:rsidRDefault="003B3771" w:rsidP="006939C0">
            <w:pPr>
              <w:rPr>
                <w:rFonts w:ascii="Times New Roman" w:hAnsi="Times New Roman" w:cs="Times New Roman"/>
                <w:noProof/>
              </w:rPr>
            </w:pPr>
            <w:r w:rsidRPr="00AC6DEC">
              <w:rPr>
                <w:rFonts w:ascii="Times New Roman" w:hAnsi="Times New Roman" w:cs="Times New Roman"/>
                <w:noProof/>
              </w:rPr>
              <w:t>3.18</w:t>
            </w:r>
          </w:p>
          <w:p w14:paraId="234D03DE" w14:textId="77777777" w:rsidR="003B3771" w:rsidRPr="00AC6DEC" w:rsidRDefault="003B3771" w:rsidP="006939C0">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C9A2C7F" w14:textId="77777777" w:rsidR="003B3771" w:rsidRPr="00AC6DEC" w:rsidRDefault="003B3771" w:rsidP="00D77981">
            <w:pPr>
              <w:contextualSpacing/>
              <w:rPr>
                <w:rFonts w:ascii="Times New Roman" w:hAnsi="Times New Roman" w:cs="Times New Roman"/>
                <w:b/>
                <w:bCs/>
              </w:rPr>
            </w:pPr>
            <w:r w:rsidRPr="00AC6DEC">
              <w:rPr>
                <w:rFonts w:ascii="Times New Roman" w:hAnsi="Times New Roman" w:cs="Times New Roman"/>
                <w:b/>
                <w:bCs/>
              </w:rPr>
              <w:t>Question ID: Q0113_01</w:t>
            </w:r>
          </w:p>
          <w:p w14:paraId="21A9DD9A" w14:textId="77777777" w:rsidR="003B3771" w:rsidRPr="00AC6DEC" w:rsidRDefault="003B3771" w:rsidP="00D77981">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0CA73224" w14:textId="77777777" w:rsidR="003B3771" w:rsidRPr="00AC6DEC" w:rsidRDefault="003B3771" w:rsidP="00D77981">
            <w:pPr>
              <w:contextualSpacing/>
              <w:rPr>
                <w:rFonts w:ascii="Times New Roman" w:hAnsi="Times New Roman" w:cs="Times New Roman"/>
              </w:rPr>
            </w:pPr>
          </w:p>
          <w:p w14:paraId="053B56B7" w14:textId="77777777" w:rsidR="003B3771" w:rsidRPr="00AC6DEC" w:rsidRDefault="003B3771" w:rsidP="00D77981">
            <w:pPr>
              <w:rPr>
                <w:rFonts w:ascii="Times New Roman" w:hAnsi="Times New Roman" w:cs="Times New Roman"/>
                <w:b/>
                <w:bCs/>
              </w:rPr>
            </w:pPr>
            <w:r w:rsidRPr="00AC6DEC">
              <w:rPr>
                <w:rFonts w:ascii="Times New Roman" w:hAnsi="Times New Roman" w:cs="Times New Roman"/>
                <w:b/>
                <w:bCs/>
              </w:rPr>
              <w:t xml:space="preserve">Answer: </w:t>
            </w:r>
          </w:p>
          <w:p w14:paraId="507A5078" w14:textId="77777777" w:rsidR="003B3771" w:rsidRPr="00AC6DEC" w:rsidRDefault="003B3771" w:rsidP="00D77981">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4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4"/>
  </w:num>
  <w:num w:numId="7">
    <w:abstractNumId w:val="42"/>
  </w:num>
  <w:num w:numId="8">
    <w:abstractNumId w:val="11"/>
  </w:num>
  <w:num w:numId="9">
    <w:abstractNumId w:val="26"/>
  </w:num>
  <w:num w:numId="10">
    <w:abstractNumId w:val="28"/>
  </w:num>
  <w:num w:numId="11">
    <w:abstractNumId w:val="35"/>
  </w:num>
  <w:num w:numId="12">
    <w:abstractNumId w:val="27"/>
  </w:num>
  <w:num w:numId="13">
    <w:abstractNumId w:val="38"/>
  </w:num>
  <w:num w:numId="14">
    <w:abstractNumId w:val="17"/>
  </w:num>
  <w:num w:numId="15">
    <w:abstractNumId w:val="2"/>
  </w:num>
  <w:num w:numId="16">
    <w:abstractNumId w:val="6"/>
  </w:num>
  <w:num w:numId="17">
    <w:abstractNumId w:val="31"/>
  </w:num>
  <w:num w:numId="18">
    <w:abstractNumId w:val="25"/>
  </w:num>
  <w:num w:numId="19">
    <w:abstractNumId w:val="21"/>
  </w:num>
  <w:num w:numId="20">
    <w:abstractNumId w:val="39"/>
  </w:num>
  <w:num w:numId="21">
    <w:abstractNumId w:val="10"/>
  </w:num>
  <w:num w:numId="22">
    <w:abstractNumId w:val="16"/>
  </w:num>
  <w:num w:numId="23">
    <w:abstractNumId w:val="19"/>
  </w:num>
  <w:num w:numId="24">
    <w:abstractNumId w:val="13"/>
  </w:num>
  <w:num w:numId="25">
    <w:abstractNumId w:val="32"/>
  </w:num>
  <w:num w:numId="26">
    <w:abstractNumId w:val="14"/>
  </w:num>
  <w:num w:numId="27">
    <w:abstractNumId w:val="9"/>
  </w:num>
  <w:num w:numId="28">
    <w:abstractNumId w:val="44"/>
  </w:num>
  <w:num w:numId="29">
    <w:abstractNumId w:val="7"/>
  </w:num>
  <w:num w:numId="30">
    <w:abstractNumId w:val="1"/>
  </w:num>
  <w:num w:numId="31">
    <w:abstractNumId w:val="5"/>
  </w:num>
  <w:num w:numId="32">
    <w:abstractNumId w:val="24"/>
  </w:num>
  <w:num w:numId="33">
    <w:abstractNumId w:val="29"/>
  </w:num>
  <w:num w:numId="34">
    <w:abstractNumId w:val="23"/>
  </w:num>
  <w:num w:numId="35">
    <w:abstractNumId w:val="37"/>
  </w:num>
  <w:num w:numId="36">
    <w:abstractNumId w:val="43"/>
  </w:num>
  <w:num w:numId="37">
    <w:abstractNumId w:val="22"/>
  </w:num>
  <w:num w:numId="38">
    <w:abstractNumId w:val="3"/>
  </w:num>
  <w:num w:numId="39">
    <w:abstractNumId w:val="30"/>
  </w:num>
  <w:num w:numId="40">
    <w:abstractNumId w:val="18"/>
  </w:num>
  <w:num w:numId="41">
    <w:abstractNumId w:val="33"/>
  </w:num>
  <w:num w:numId="42">
    <w:abstractNumId w:val="40"/>
  </w:num>
  <w:num w:numId="43">
    <w:abstractNumId w:val="36"/>
  </w:num>
  <w:num w:numId="44">
    <w:abstractNumId w:val="0"/>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AD"/>
    <w:rsid w:val="000103F6"/>
    <w:rsid w:val="0001086C"/>
    <w:rsid w:val="0001101F"/>
    <w:rsid w:val="0001138D"/>
    <w:rsid w:val="0001196F"/>
    <w:rsid w:val="00011A91"/>
    <w:rsid w:val="00011D8F"/>
    <w:rsid w:val="000128C4"/>
    <w:rsid w:val="000129F5"/>
    <w:rsid w:val="00013462"/>
    <w:rsid w:val="00015183"/>
    <w:rsid w:val="000153A2"/>
    <w:rsid w:val="00015B1F"/>
    <w:rsid w:val="0001651F"/>
    <w:rsid w:val="0001762A"/>
    <w:rsid w:val="00017D55"/>
    <w:rsid w:val="0002085D"/>
    <w:rsid w:val="00021279"/>
    <w:rsid w:val="000214C6"/>
    <w:rsid w:val="000214D9"/>
    <w:rsid w:val="00021F3B"/>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008"/>
    <w:rsid w:val="0005488C"/>
    <w:rsid w:val="0006056D"/>
    <w:rsid w:val="00060B60"/>
    <w:rsid w:val="00060D87"/>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7EA"/>
    <w:rsid w:val="001049B6"/>
    <w:rsid w:val="001069D1"/>
    <w:rsid w:val="00106B57"/>
    <w:rsid w:val="001073A3"/>
    <w:rsid w:val="00107ED0"/>
    <w:rsid w:val="001102CA"/>
    <w:rsid w:val="001106C1"/>
    <w:rsid w:val="001107DA"/>
    <w:rsid w:val="00110808"/>
    <w:rsid w:val="00110DCB"/>
    <w:rsid w:val="001116C1"/>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B7F"/>
    <w:rsid w:val="001E1CA3"/>
    <w:rsid w:val="001E3B3A"/>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726D"/>
    <w:rsid w:val="00297945"/>
    <w:rsid w:val="002A1320"/>
    <w:rsid w:val="002A133B"/>
    <w:rsid w:val="002A1487"/>
    <w:rsid w:val="002A1F8C"/>
    <w:rsid w:val="002A286D"/>
    <w:rsid w:val="002A2EE2"/>
    <w:rsid w:val="002A338A"/>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3008EC"/>
    <w:rsid w:val="00301D77"/>
    <w:rsid w:val="00302CDC"/>
    <w:rsid w:val="0030331B"/>
    <w:rsid w:val="003034D9"/>
    <w:rsid w:val="00303D84"/>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6144"/>
    <w:rsid w:val="003A68BA"/>
    <w:rsid w:val="003A7488"/>
    <w:rsid w:val="003B0A9B"/>
    <w:rsid w:val="003B122F"/>
    <w:rsid w:val="003B1A1A"/>
    <w:rsid w:val="003B1D8C"/>
    <w:rsid w:val="003B32E5"/>
    <w:rsid w:val="003B34D4"/>
    <w:rsid w:val="003B3771"/>
    <w:rsid w:val="003B38C5"/>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5584"/>
    <w:rsid w:val="003E5689"/>
    <w:rsid w:val="003E6014"/>
    <w:rsid w:val="003E627D"/>
    <w:rsid w:val="003E62B5"/>
    <w:rsid w:val="003E63DC"/>
    <w:rsid w:val="003E77A2"/>
    <w:rsid w:val="003E78C2"/>
    <w:rsid w:val="003F053B"/>
    <w:rsid w:val="003F0B82"/>
    <w:rsid w:val="003F1CA0"/>
    <w:rsid w:val="003F2680"/>
    <w:rsid w:val="003F3906"/>
    <w:rsid w:val="003F3F8F"/>
    <w:rsid w:val="003F3F96"/>
    <w:rsid w:val="003F435D"/>
    <w:rsid w:val="003F49E6"/>
    <w:rsid w:val="003F4E25"/>
    <w:rsid w:val="003F60EA"/>
    <w:rsid w:val="003F628F"/>
    <w:rsid w:val="003F73AF"/>
    <w:rsid w:val="003F783C"/>
    <w:rsid w:val="004007AB"/>
    <w:rsid w:val="004007BE"/>
    <w:rsid w:val="00400A8B"/>
    <w:rsid w:val="00402BC8"/>
    <w:rsid w:val="00402C2E"/>
    <w:rsid w:val="00402C8E"/>
    <w:rsid w:val="0040322A"/>
    <w:rsid w:val="00403728"/>
    <w:rsid w:val="00404001"/>
    <w:rsid w:val="00404DC3"/>
    <w:rsid w:val="00404FCD"/>
    <w:rsid w:val="00405BF8"/>
    <w:rsid w:val="0040660D"/>
    <w:rsid w:val="00407647"/>
    <w:rsid w:val="00407B6B"/>
    <w:rsid w:val="00411C13"/>
    <w:rsid w:val="00412044"/>
    <w:rsid w:val="00412815"/>
    <w:rsid w:val="00412A05"/>
    <w:rsid w:val="00413AEB"/>
    <w:rsid w:val="00413DC9"/>
    <w:rsid w:val="0041406F"/>
    <w:rsid w:val="004153B8"/>
    <w:rsid w:val="004154B1"/>
    <w:rsid w:val="00415E40"/>
    <w:rsid w:val="00415F09"/>
    <w:rsid w:val="00415FFF"/>
    <w:rsid w:val="004169CA"/>
    <w:rsid w:val="004169E6"/>
    <w:rsid w:val="00416A34"/>
    <w:rsid w:val="00416E25"/>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F7E"/>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B03"/>
    <w:rsid w:val="00491C43"/>
    <w:rsid w:val="00493271"/>
    <w:rsid w:val="004936E3"/>
    <w:rsid w:val="004937EE"/>
    <w:rsid w:val="00494313"/>
    <w:rsid w:val="00494703"/>
    <w:rsid w:val="004947FD"/>
    <w:rsid w:val="00494B3A"/>
    <w:rsid w:val="0049517D"/>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7954"/>
    <w:rsid w:val="004C7CAA"/>
    <w:rsid w:val="004D07E7"/>
    <w:rsid w:val="004D11BE"/>
    <w:rsid w:val="004D196E"/>
    <w:rsid w:val="004D262D"/>
    <w:rsid w:val="004D46F0"/>
    <w:rsid w:val="004D48E3"/>
    <w:rsid w:val="004D64C8"/>
    <w:rsid w:val="004D6CDB"/>
    <w:rsid w:val="004D723B"/>
    <w:rsid w:val="004D7765"/>
    <w:rsid w:val="004D7806"/>
    <w:rsid w:val="004E1687"/>
    <w:rsid w:val="004E2597"/>
    <w:rsid w:val="004E2F26"/>
    <w:rsid w:val="004E3B6D"/>
    <w:rsid w:val="004E3DAE"/>
    <w:rsid w:val="004E5C94"/>
    <w:rsid w:val="004E5E3E"/>
    <w:rsid w:val="004E5F53"/>
    <w:rsid w:val="004E771D"/>
    <w:rsid w:val="004E7B07"/>
    <w:rsid w:val="004E7E05"/>
    <w:rsid w:val="004F002C"/>
    <w:rsid w:val="004F0196"/>
    <w:rsid w:val="004F01D3"/>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6C0C"/>
    <w:rsid w:val="005219F2"/>
    <w:rsid w:val="0052286C"/>
    <w:rsid w:val="00523FDB"/>
    <w:rsid w:val="0052460F"/>
    <w:rsid w:val="00524F9A"/>
    <w:rsid w:val="00525CBB"/>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606"/>
    <w:rsid w:val="005B2371"/>
    <w:rsid w:val="005B23E3"/>
    <w:rsid w:val="005B4A99"/>
    <w:rsid w:val="005B4BDE"/>
    <w:rsid w:val="005B56FF"/>
    <w:rsid w:val="005B57AF"/>
    <w:rsid w:val="005B62F7"/>
    <w:rsid w:val="005B6B85"/>
    <w:rsid w:val="005B760E"/>
    <w:rsid w:val="005B763A"/>
    <w:rsid w:val="005C00FC"/>
    <w:rsid w:val="005C1A16"/>
    <w:rsid w:val="005C2C02"/>
    <w:rsid w:val="005C4A79"/>
    <w:rsid w:val="005D31C1"/>
    <w:rsid w:val="005D326A"/>
    <w:rsid w:val="005D424E"/>
    <w:rsid w:val="005D48A0"/>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FAE"/>
    <w:rsid w:val="005F6FFB"/>
    <w:rsid w:val="005F77F0"/>
    <w:rsid w:val="00602BF9"/>
    <w:rsid w:val="00602F8F"/>
    <w:rsid w:val="00603321"/>
    <w:rsid w:val="00603D07"/>
    <w:rsid w:val="006040D8"/>
    <w:rsid w:val="006042BC"/>
    <w:rsid w:val="0060438E"/>
    <w:rsid w:val="00604BAE"/>
    <w:rsid w:val="006053FB"/>
    <w:rsid w:val="00605746"/>
    <w:rsid w:val="0060580F"/>
    <w:rsid w:val="006060AD"/>
    <w:rsid w:val="00606730"/>
    <w:rsid w:val="0060695C"/>
    <w:rsid w:val="00606DAF"/>
    <w:rsid w:val="00607723"/>
    <w:rsid w:val="00607C58"/>
    <w:rsid w:val="00610483"/>
    <w:rsid w:val="00610D46"/>
    <w:rsid w:val="00611E0A"/>
    <w:rsid w:val="006122BE"/>
    <w:rsid w:val="006126DB"/>
    <w:rsid w:val="00612890"/>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626"/>
    <w:rsid w:val="00632C5C"/>
    <w:rsid w:val="00632D2A"/>
    <w:rsid w:val="00633790"/>
    <w:rsid w:val="00633E30"/>
    <w:rsid w:val="0063473E"/>
    <w:rsid w:val="00634C99"/>
    <w:rsid w:val="006350BF"/>
    <w:rsid w:val="006354C4"/>
    <w:rsid w:val="0063619C"/>
    <w:rsid w:val="00637E73"/>
    <w:rsid w:val="0064028A"/>
    <w:rsid w:val="00641BC0"/>
    <w:rsid w:val="00642B29"/>
    <w:rsid w:val="00644D73"/>
    <w:rsid w:val="00645C98"/>
    <w:rsid w:val="00646E22"/>
    <w:rsid w:val="0064714E"/>
    <w:rsid w:val="0064742B"/>
    <w:rsid w:val="006503E1"/>
    <w:rsid w:val="00652B2F"/>
    <w:rsid w:val="00652C20"/>
    <w:rsid w:val="00653343"/>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2011"/>
    <w:rsid w:val="006628B8"/>
    <w:rsid w:val="00663B68"/>
    <w:rsid w:val="0066568C"/>
    <w:rsid w:val="006657E3"/>
    <w:rsid w:val="00665C3A"/>
    <w:rsid w:val="00665F42"/>
    <w:rsid w:val="006662DD"/>
    <w:rsid w:val="00667934"/>
    <w:rsid w:val="00667FBE"/>
    <w:rsid w:val="00670350"/>
    <w:rsid w:val="006704F3"/>
    <w:rsid w:val="00670CC1"/>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F66"/>
    <w:rsid w:val="006A4439"/>
    <w:rsid w:val="006A4B7F"/>
    <w:rsid w:val="006A753B"/>
    <w:rsid w:val="006A7721"/>
    <w:rsid w:val="006A7B3F"/>
    <w:rsid w:val="006B013C"/>
    <w:rsid w:val="006B08CB"/>
    <w:rsid w:val="006B0EEB"/>
    <w:rsid w:val="006B102B"/>
    <w:rsid w:val="006B1424"/>
    <w:rsid w:val="006B19C9"/>
    <w:rsid w:val="006B1EE4"/>
    <w:rsid w:val="006B442C"/>
    <w:rsid w:val="006B4DFF"/>
    <w:rsid w:val="006B5525"/>
    <w:rsid w:val="006B6094"/>
    <w:rsid w:val="006B633C"/>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75E"/>
    <w:rsid w:val="006F1AC6"/>
    <w:rsid w:val="006F1D53"/>
    <w:rsid w:val="006F1F03"/>
    <w:rsid w:val="006F2ABA"/>
    <w:rsid w:val="006F2F62"/>
    <w:rsid w:val="006F5BB3"/>
    <w:rsid w:val="006F5ED9"/>
    <w:rsid w:val="006F61B6"/>
    <w:rsid w:val="006F6C71"/>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6254"/>
    <w:rsid w:val="00766462"/>
    <w:rsid w:val="00766B9E"/>
    <w:rsid w:val="00767D9D"/>
    <w:rsid w:val="0077078F"/>
    <w:rsid w:val="007707DE"/>
    <w:rsid w:val="00770AED"/>
    <w:rsid w:val="007714BD"/>
    <w:rsid w:val="007715EA"/>
    <w:rsid w:val="0077437F"/>
    <w:rsid w:val="00774D8F"/>
    <w:rsid w:val="00776D0D"/>
    <w:rsid w:val="007808F7"/>
    <w:rsid w:val="00780D60"/>
    <w:rsid w:val="00781603"/>
    <w:rsid w:val="007833FD"/>
    <w:rsid w:val="00783E03"/>
    <w:rsid w:val="00784C17"/>
    <w:rsid w:val="007859C1"/>
    <w:rsid w:val="00785F6D"/>
    <w:rsid w:val="007866A4"/>
    <w:rsid w:val="0078766C"/>
    <w:rsid w:val="00792685"/>
    <w:rsid w:val="00792AC2"/>
    <w:rsid w:val="00792AF6"/>
    <w:rsid w:val="00793212"/>
    <w:rsid w:val="00793517"/>
    <w:rsid w:val="0079385A"/>
    <w:rsid w:val="00794397"/>
    <w:rsid w:val="00794A5A"/>
    <w:rsid w:val="00794C6D"/>
    <w:rsid w:val="00795203"/>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972"/>
    <w:rsid w:val="00813AAF"/>
    <w:rsid w:val="0081442E"/>
    <w:rsid w:val="00814872"/>
    <w:rsid w:val="0081536E"/>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479"/>
    <w:rsid w:val="00877731"/>
    <w:rsid w:val="00880122"/>
    <w:rsid w:val="00880DC9"/>
    <w:rsid w:val="00882D97"/>
    <w:rsid w:val="00883401"/>
    <w:rsid w:val="00883B7F"/>
    <w:rsid w:val="008847F2"/>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5F3D"/>
    <w:rsid w:val="00906AA4"/>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1C90"/>
    <w:rsid w:val="0094207F"/>
    <w:rsid w:val="00942393"/>
    <w:rsid w:val="009423DD"/>
    <w:rsid w:val="0094243A"/>
    <w:rsid w:val="009431E8"/>
    <w:rsid w:val="0094366B"/>
    <w:rsid w:val="0094366E"/>
    <w:rsid w:val="00943914"/>
    <w:rsid w:val="00943A93"/>
    <w:rsid w:val="00943D1D"/>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2792"/>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5AC7"/>
    <w:rsid w:val="009F5B0D"/>
    <w:rsid w:val="009F6FC0"/>
    <w:rsid w:val="009F70B5"/>
    <w:rsid w:val="009F7116"/>
    <w:rsid w:val="009F7346"/>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C4F"/>
    <w:rsid w:val="00A14D50"/>
    <w:rsid w:val="00A1514D"/>
    <w:rsid w:val="00A160E2"/>
    <w:rsid w:val="00A161A6"/>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AFC"/>
    <w:rsid w:val="00A51441"/>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F75"/>
    <w:rsid w:val="00AC314C"/>
    <w:rsid w:val="00AC414F"/>
    <w:rsid w:val="00AC476C"/>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27C"/>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754E"/>
    <w:rsid w:val="00BA04CF"/>
    <w:rsid w:val="00BA0698"/>
    <w:rsid w:val="00BA1800"/>
    <w:rsid w:val="00BA1D3B"/>
    <w:rsid w:val="00BA2175"/>
    <w:rsid w:val="00BA21FD"/>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3537"/>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25F9"/>
    <w:rsid w:val="00CD2EDF"/>
    <w:rsid w:val="00CD432F"/>
    <w:rsid w:val="00CD4342"/>
    <w:rsid w:val="00CD4CCF"/>
    <w:rsid w:val="00CD546C"/>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F44"/>
    <w:rsid w:val="00CF3D0A"/>
    <w:rsid w:val="00CF412E"/>
    <w:rsid w:val="00CF4E1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459"/>
    <w:rsid w:val="00D20CA4"/>
    <w:rsid w:val="00D21D6D"/>
    <w:rsid w:val="00D2288C"/>
    <w:rsid w:val="00D22CAD"/>
    <w:rsid w:val="00D230C4"/>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ED4"/>
    <w:rsid w:val="00D3504F"/>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7E"/>
    <w:rsid w:val="00D528E3"/>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14F4"/>
    <w:rsid w:val="00D7153E"/>
    <w:rsid w:val="00D71D7D"/>
    <w:rsid w:val="00D72478"/>
    <w:rsid w:val="00D73A57"/>
    <w:rsid w:val="00D73F5D"/>
    <w:rsid w:val="00D73FFB"/>
    <w:rsid w:val="00D748CE"/>
    <w:rsid w:val="00D7569A"/>
    <w:rsid w:val="00D756C0"/>
    <w:rsid w:val="00D75CBA"/>
    <w:rsid w:val="00D77018"/>
    <w:rsid w:val="00D777FB"/>
    <w:rsid w:val="00D77981"/>
    <w:rsid w:val="00D77AD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73B"/>
    <w:rsid w:val="00D908B1"/>
    <w:rsid w:val="00D90CC7"/>
    <w:rsid w:val="00D912AB"/>
    <w:rsid w:val="00D91473"/>
    <w:rsid w:val="00D9148A"/>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1DA2"/>
    <w:rsid w:val="00DA2011"/>
    <w:rsid w:val="00DA24B4"/>
    <w:rsid w:val="00DA2783"/>
    <w:rsid w:val="00DA294B"/>
    <w:rsid w:val="00DA2EA3"/>
    <w:rsid w:val="00DA2F54"/>
    <w:rsid w:val="00DA3396"/>
    <w:rsid w:val="00DA4676"/>
    <w:rsid w:val="00DA6A7E"/>
    <w:rsid w:val="00DA6F7B"/>
    <w:rsid w:val="00DA7217"/>
    <w:rsid w:val="00DA75DD"/>
    <w:rsid w:val="00DA7DEB"/>
    <w:rsid w:val="00DB054B"/>
    <w:rsid w:val="00DB120A"/>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F1A"/>
    <w:rsid w:val="00E36565"/>
    <w:rsid w:val="00E36BC8"/>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11C8"/>
    <w:rsid w:val="00E51EF1"/>
    <w:rsid w:val="00E51F56"/>
    <w:rsid w:val="00E52B15"/>
    <w:rsid w:val="00E53A6F"/>
    <w:rsid w:val="00E54915"/>
    <w:rsid w:val="00E54DB2"/>
    <w:rsid w:val="00E5524D"/>
    <w:rsid w:val="00E558B7"/>
    <w:rsid w:val="00E55A18"/>
    <w:rsid w:val="00E56436"/>
    <w:rsid w:val="00E5667B"/>
    <w:rsid w:val="00E57016"/>
    <w:rsid w:val="00E579B8"/>
    <w:rsid w:val="00E603F1"/>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D8A"/>
    <w:rsid w:val="00F150CD"/>
    <w:rsid w:val="00F16021"/>
    <w:rsid w:val="00F16580"/>
    <w:rsid w:val="00F16752"/>
    <w:rsid w:val="00F1692C"/>
    <w:rsid w:val="00F175E9"/>
    <w:rsid w:val="00F17691"/>
    <w:rsid w:val="00F1775A"/>
    <w:rsid w:val="00F20810"/>
    <w:rsid w:val="00F21177"/>
    <w:rsid w:val="00F23BE2"/>
    <w:rsid w:val="00F2477E"/>
    <w:rsid w:val="00F25093"/>
    <w:rsid w:val="00F2538E"/>
    <w:rsid w:val="00F2634B"/>
    <w:rsid w:val="00F26F05"/>
    <w:rsid w:val="00F27C08"/>
    <w:rsid w:val="00F27C13"/>
    <w:rsid w:val="00F27CC0"/>
    <w:rsid w:val="00F303F7"/>
    <w:rsid w:val="00F30806"/>
    <w:rsid w:val="00F308E7"/>
    <w:rsid w:val="00F3112F"/>
    <w:rsid w:val="00F3135A"/>
    <w:rsid w:val="00F3149B"/>
    <w:rsid w:val="00F32C6F"/>
    <w:rsid w:val="00F33E3E"/>
    <w:rsid w:val="00F34E67"/>
    <w:rsid w:val="00F352E5"/>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B60"/>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7FFD"/>
    <w:rsid w:val="00F91CF2"/>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9B6"/>
    <w:rsid w:val="00FC32DA"/>
    <w:rsid w:val="00FC332F"/>
    <w:rsid w:val="00FC451E"/>
    <w:rsid w:val="00FC5742"/>
    <w:rsid w:val="00FC5C86"/>
    <w:rsid w:val="00FC60C9"/>
    <w:rsid w:val="00FC66BF"/>
    <w:rsid w:val="00FC680F"/>
    <w:rsid w:val="00FC75AA"/>
    <w:rsid w:val="00FC7C09"/>
    <w:rsid w:val="00FC7C70"/>
    <w:rsid w:val="00FD1590"/>
    <w:rsid w:val="00FD180C"/>
    <w:rsid w:val="00FD2589"/>
    <w:rsid w:val="00FD3BAA"/>
    <w:rsid w:val="00FD562C"/>
    <w:rsid w:val="00FD62E1"/>
    <w:rsid w:val="00FD6BE0"/>
    <w:rsid w:val="00FD711D"/>
    <w:rsid w:val="00FE0AE8"/>
    <w:rsid w:val="00FE190D"/>
    <w:rsid w:val="00FE2873"/>
    <w:rsid w:val="00FE30B8"/>
    <w:rsid w:val="00FE3DF2"/>
    <w:rsid w:val="00FE400D"/>
    <w:rsid w:val="00FE4939"/>
    <w:rsid w:val="00FE4AA1"/>
    <w:rsid w:val="00FE56E8"/>
    <w:rsid w:val="00FE57B2"/>
    <w:rsid w:val="00FE5966"/>
    <w:rsid w:val="00FE7694"/>
    <w:rsid w:val="00FE770D"/>
    <w:rsid w:val="00FE7850"/>
    <w:rsid w:val="00FF005E"/>
    <w:rsid w:val="00FF02DA"/>
    <w:rsid w:val="00FF3798"/>
    <w:rsid w:val="00FF3D4B"/>
    <w:rsid w:val="00FF5849"/>
    <w:rsid w:val="00FF6833"/>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qualified-0/2021" TargetMode="External"/><Relationship Id="rId26" Type="http://schemas.openxmlformats.org/officeDocument/2006/relationships/hyperlink" Target="https://www.dca.ga.gov/node/7253" TargetMode="External"/><Relationship Id="rId39" Type="http://schemas.openxmlformats.org/officeDocument/2006/relationships/hyperlink" Target="https://www.dca.ga.gov/sites/default/files/2021ccrpi_scores_table.pdf" TargetMode="External"/><Relationship Id="rId21" Type="http://schemas.openxmlformats.org/officeDocument/2006/relationships/hyperlink" Target="mailto:HFDround@dca.ga.gov" TargetMode="External"/><Relationship Id="rId34" Type="http://schemas.openxmlformats.org/officeDocument/2006/relationships/hyperlink" Target="https://www.dca.ga.gov/sites/default/files/2017_chdo_certification_application_0.doc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www.dca.ga.gov/safe-affordable-housing/rental-housing-development/housing-tax-credit-program-lihtc/qualified-0/2021" TargetMode="External"/><Relationship Id="rId29" Type="http://schemas.openxmlformats.org/officeDocument/2006/relationships/hyperlink" Target="https://www.dca.ga.gov/node/7252" TargetMode="External"/><Relationship Id="rId41"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qualified-0/2021" TargetMode="External"/><Relationship Id="rId32"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7"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0" Type="http://schemas.openxmlformats.org/officeDocument/2006/relationships/hyperlink" Target="https://www.dca.ga.gov/safe-affordable-housing/rental-housing-development/housing-tax-credit-program-lihtc/qualified-0/2021"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safe-affordable-housing/rental-housing-development/housing-tax-credit-program-lihtc/qualified-0/2021" TargetMode="External"/><Relationship Id="rId28" Type="http://schemas.openxmlformats.org/officeDocument/2006/relationships/hyperlink" Target="https://www.dca.ga.gov/safe-affordable-housing/rental-housing-development/housing-tax-credit-program-lihtc/qualified-0/2021" TargetMode="External"/><Relationship Id="rId36"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10" Type="http://schemas.openxmlformats.org/officeDocument/2006/relationships/endnotes" Target="endnotes.xml"/><Relationship Id="rId19" Type="http://schemas.openxmlformats.org/officeDocument/2006/relationships/hyperlink" Target="https://www.legis.ga.gov/" TargetMode="External"/><Relationship Id="rId31"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3814"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hyperlink" Target="https://www.dca.ga.gov/node/6478" TargetMode="External"/><Relationship Id="rId35" Type="http://schemas.openxmlformats.org/officeDocument/2006/relationships/hyperlink" Target="https://www.dca.ga.gov/safe-affordable-housing/rental-housing-development/housing-tax-credit-program-lihtc"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cdfifund.gov/programs-training/programs/cdfi-program" TargetMode="External"/><Relationship Id="rId33" Type="http://schemas.openxmlformats.org/officeDocument/2006/relationships/hyperlink" Target="https://www.hud.gov/sites/documents/19787_CH03.PDF" TargetMode="External"/><Relationship Id="rId38" Type="http://schemas.openxmlformats.org/officeDocument/2006/relationships/hyperlink" Target="https://www.dca.ga.gov/sites/default/files/ccrpi_scores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www.w3.org/XML/1998/namespace"/>
    <ds:schemaRef ds:uri="http://purl.org/dc/elements/1.1/"/>
    <ds:schemaRef ds:uri="http://schemas.microsoft.com/office/2006/documentManagement/types"/>
    <ds:schemaRef ds:uri="http://purl.org/dc/dcmitype/"/>
    <ds:schemaRef ds:uri="http://purl.org/dc/terms/"/>
    <ds:schemaRef ds:uri="431100d4-4470-42c1-96bc-46686c1829ae"/>
    <ds:schemaRef ds:uri="4425f765-7ff5-4475-924d-a1e4ebf7f4e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14906</Words>
  <Characters>84968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2021-05-06T20:04:00Z</dcterms:created>
  <dcterms:modified xsi:type="dcterms:W3CDTF">2021-05-06T20:04:00Z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