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3AD7427B" w:rsidR="007C4F1A" w:rsidRPr="00D90432" w:rsidRDefault="007C4F1A" w:rsidP="006D7569">
      <w:pPr>
        <w:spacing w:after="0"/>
        <w:rPr>
          <w:rFonts w:ascii="Times New Roman" w:hAnsi="Times New Roman" w:cs="Times New Roman"/>
          <w:noProof/>
        </w:rPr>
      </w:pPr>
      <w:r w:rsidRPr="1C802DC7">
        <w:rPr>
          <w:rFonts w:ascii="Times New Roman" w:hAnsi="Times New Roman" w:cs="Times New Roman"/>
          <w:noProof/>
          <w:color w:val="A6A6A6" w:themeColor="background1" w:themeShade="A6"/>
        </w:rPr>
        <w:t xml:space="preserve">Updated </w:t>
      </w:r>
      <w:r w:rsidR="2B72049A" w:rsidRPr="644AE3A9">
        <w:rPr>
          <w:rFonts w:ascii="Times New Roman" w:hAnsi="Times New Roman" w:cs="Times New Roman"/>
          <w:noProof/>
          <w:color w:val="A6A6A6" w:themeColor="background1" w:themeShade="A6"/>
        </w:rPr>
        <w:t xml:space="preserve">March </w:t>
      </w:r>
      <w:r w:rsidR="00A474CC">
        <w:rPr>
          <w:rFonts w:ascii="Times New Roman" w:hAnsi="Times New Roman" w:cs="Times New Roman"/>
          <w:noProof/>
          <w:color w:val="A6A6A6" w:themeColor="background1" w:themeShade="A6"/>
        </w:rPr>
        <w:t>4</w:t>
      </w:r>
      <w:r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r w:rsidR="00C80CAC" w:rsidRPr="00D90432">
        <w:rPr>
          <w:rFonts w:ascii="Times New Roman" w:hAnsi="Times New Roman" w:cs="Times New Roman"/>
        </w:rPr>
        <w:t xml:space="preserve">are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788129E3" w:rsidR="0026322C" w:rsidRPr="00D90432"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lastRenderedPageBreak/>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lastRenderedPageBreak/>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3252E0"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3252E0"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bl>
    <w:p w14:paraId="79E17141" w14:textId="4D1140E7" w:rsidR="001E0ADE" w:rsidRPr="00A36E54" w:rsidRDefault="001E0ADE" w:rsidP="00A36E54">
      <w:pPr>
        <w:rPr>
          <w:rFonts w:ascii="Times New Roman" w:hAnsi="Times New Roman" w:cs="Times New Roman"/>
        </w:rPr>
      </w:pPr>
    </w:p>
    <w:p w14:paraId="767ADC67" w14:textId="4B8F033B" w:rsidR="00976965" w:rsidRPr="00976965" w:rsidRDefault="00E54915" w:rsidP="00976965">
      <w:pPr>
        <w:pStyle w:val="Heading1"/>
      </w:pPr>
      <w:r>
        <w:lastRenderedPageBreak/>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7433CE" w:rsidRPr="00D90432" w14:paraId="657931DA"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2F1946DB" w14:textId="77777777" w:rsidR="007433CE" w:rsidRPr="00D90432" w:rsidRDefault="007433CE" w:rsidP="003A1E8D">
            <w:pPr>
              <w:keepNext/>
              <w:jc w:val="center"/>
              <w:rPr>
                <w:rFonts w:ascii="Times New Roman" w:hAnsi="Times New Roman" w:cs="Times New Roman"/>
                <w:b/>
                <w:bCs/>
                <w:noProof/>
              </w:rPr>
            </w:pPr>
            <w:r w:rsidRPr="00D90432">
              <w:rPr>
                <w:rFonts w:ascii="Times New Roman" w:hAnsi="Times New Roman" w:cs="Times New Roman"/>
                <w:b/>
                <w:bCs/>
                <w:noProof/>
              </w:rPr>
              <w:t>Date</w:t>
            </w:r>
          </w:p>
          <w:p w14:paraId="77C01041" w14:textId="77777777" w:rsidR="007433CE" w:rsidRPr="00D90432" w:rsidRDefault="007433CE" w:rsidP="003A1E8D">
            <w:pPr>
              <w:keepNext/>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1E3C7F82" w14:textId="77777777" w:rsidR="007433CE" w:rsidRPr="00D90432" w:rsidRDefault="007433CE" w:rsidP="003A1E8D">
            <w:pPr>
              <w:keepNext/>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11F4554D" w14:textId="77777777" w:rsidR="007433CE" w:rsidRPr="00D90432" w:rsidRDefault="007433CE" w:rsidP="003A1E8D">
            <w:pPr>
              <w:keepNext/>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7433CE" w:rsidRPr="00D90432" w14:paraId="7124B9BB" w14:textId="77777777" w:rsidTr="2A62FF34">
        <w:trPr>
          <w:jc w:val="center"/>
        </w:trPr>
        <w:tc>
          <w:tcPr>
            <w:tcW w:w="2157" w:type="dxa"/>
            <w:tcMar>
              <w:top w:w="72" w:type="dxa"/>
              <w:left w:w="115" w:type="dxa"/>
              <w:bottom w:w="72" w:type="dxa"/>
              <w:right w:w="115" w:type="dxa"/>
            </w:tcMar>
            <w:vAlign w:val="center"/>
          </w:tcPr>
          <w:p w14:paraId="757A71F3" w14:textId="77777777" w:rsidR="007433CE" w:rsidRDefault="007433CE" w:rsidP="003A1E8D">
            <w:pPr>
              <w:keepNext/>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75727DD8" w14:textId="77777777" w:rsidR="007433CE" w:rsidRDefault="007433CE" w:rsidP="003A1E8D">
            <w:pPr>
              <w:keepNext/>
              <w:rPr>
                <w:rFonts w:ascii="Times New Roman" w:hAnsi="Times New Roman" w:cs="Times New Roman"/>
              </w:rPr>
            </w:pPr>
            <w:r>
              <w:rPr>
                <w:rFonts w:ascii="Times New Roman" w:hAnsi="Times New Roman" w:cs="Times New Roman"/>
              </w:rPr>
              <w:t>1.08</w:t>
            </w:r>
          </w:p>
          <w:p w14:paraId="4452D05D" w14:textId="77777777" w:rsidR="007433CE" w:rsidRDefault="007433CE" w:rsidP="003A1E8D">
            <w:pPr>
              <w:keepNext/>
              <w:rPr>
                <w:rFonts w:ascii="Times New Roman" w:hAnsi="Times New Roman" w:cs="Times New Roman"/>
              </w:rPr>
            </w:pPr>
            <w:r>
              <w:rPr>
                <w:rFonts w:ascii="Times New Roman" w:hAnsi="Times New Roman" w:cs="Times New Roman"/>
              </w:rPr>
              <w:t>Core, Set Asides</w:t>
            </w:r>
          </w:p>
        </w:tc>
        <w:tc>
          <w:tcPr>
            <w:tcW w:w="9590" w:type="dxa"/>
            <w:tcMar>
              <w:top w:w="72" w:type="dxa"/>
              <w:left w:w="115" w:type="dxa"/>
              <w:bottom w:w="72" w:type="dxa"/>
              <w:right w:w="115" w:type="dxa"/>
            </w:tcMar>
            <w:vAlign w:val="center"/>
          </w:tcPr>
          <w:p w14:paraId="3810543B" w14:textId="77777777" w:rsidR="007433CE" w:rsidRPr="00025584" w:rsidRDefault="007433CE" w:rsidP="00071086">
            <w:pPr>
              <w:contextualSpacing/>
              <w:rPr>
                <w:rFonts w:ascii="Times New Roman" w:hAnsi="Times New Roman" w:cs="Times New Roman"/>
                <w:b/>
                <w:bCs/>
              </w:rPr>
            </w:pPr>
            <w:r w:rsidRPr="00025584">
              <w:rPr>
                <w:rFonts w:ascii="Times New Roman" w:hAnsi="Times New Roman" w:cs="Times New Roman"/>
                <w:b/>
                <w:bCs/>
              </w:rPr>
              <w:t>Question: Q0303_01</w:t>
            </w:r>
          </w:p>
          <w:p w14:paraId="657C2A1B" w14:textId="77777777" w:rsidR="007433CE" w:rsidRDefault="007433CE" w:rsidP="00071086">
            <w:pPr>
              <w:contextualSpacing/>
              <w:rPr>
                <w:rFonts w:ascii="Times New Roman" w:hAnsi="Times New Roman" w:cs="Times New Roman"/>
              </w:rPr>
            </w:pPr>
            <w:r>
              <w:rPr>
                <w:rFonts w:ascii="Times New Roman" w:hAnsi="Times New Roman" w:cs="Times New Roman"/>
              </w:rPr>
              <w:t>The QAP states that an application is eligible for the Rehabilitation Set Aside if it is “</w:t>
            </w:r>
            <w:r w:rsidRPr="002B303C">
              <w:rPr>
                <w:rFonts w:ascii="Times New Roman" w:hAnsi="Times New Roman" w:cs="Times New Roman"/>
                <w:i/>
                <w:iCs/>
              </w:rPr>
              <w:t>an existing occupied property previously funded by 9% or 4% Credit equity with building(s) in the Extended Use Period while the Plan is in effect.</w:t>
            </w:r>
            <w:r>
              <w:rPr>
                <w:rFonts w:ascii="Times New Roman" w:hAnsi="Times New Roman" w:cs="Times New Roman"/>
              </w:rPr>
              <w:t>”</w:t>
            </w:r>
          </w:p>
          <w:p w14:paraId="6768435E" w14:textId="77777777" w:rsidR="007433CE" w:rsidRDefault="007433CE" w:rsidP="00071086">
            <w:pPr>
              <w:contextualSpacing/>
              <w:rPr>
                <w:rFonts w:ascii="Times New Roman" w:hAnsi="Times New Roman" w:cs="Times New Roman"/>
              </w:rPr>
            </w:pPr>
          </w:p>
          <w:p w14:paraId="25ED6D21" w14:textId="77777777" w:rsidR="007433CE" w:rsidRDefault="007433CE" w:rsidP="00071086">
            <w:pPr>
              <w:contextualSpacing/>
              <w:rPr>
                <w:rFonts w:ascii="Times New Roman" w:hAnsi="Times New Roman" w:cs="Times New Roman"/>
              </w:rPr>
            </w:pPr>
            <w:r>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208047C2" w14:textId="77777777" w:rsidR="007433CE" w:rsidRDefault="007433CE" w:rsidP="00071086">
            <w:pPr>
              <w:contextualSpacing/>
              <w:rPr>
                <w:rFonts w:ascii="Times New Roman" w:hAnsi="Times New Roman" w:cs="Times New Roman"/>
              </w:rPr>
            </w:pPr>
          </w:p>
          <w:p w14:paraId="744D9CDD" w14:textId="77777777" w:rsidR="007433CE" w:rsidRDefault="007433CE"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July, the 2021 QAP will certainly be in effect. </w:t>
            </w:r>
          </w:p>
          <w:p w14:paraId="6087BDBF" w14:textId="77777777" w:rsidR="007433CE" w:rsidRDefault="007433CE"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December, the 2021 QAP might be in effect. </w:t>
            </w:r>
          </w:p>
          <w:p w14:paraId="52874524" w14:textId="77777777" w:rsidR="007433CE" w:rsidRDefault="007433CE" w:rsidP="00071086">
            <w:pPr>
              <w:rPr>
                <w:rFonts w:ascii="Times New Roman" w:hAnsi="Times New Roman" w:cs="Times New Roman"/>
              </w:rPr>
            </w:pPr>
          </w:p>
          <w:p w14:paraId="2A74607A" w14:textId="77777777" w:rsidR="007433CE" w:rsidRPr="00952F9E" w:rsidRDefault="007433CE" w:rsidP="00071086">
            <w:pPr>
              <w:rPr>
                <w:rFonts w:ascii="Times New Roman" w:hAnsi="Times New Roman" w:cs="Times New Roman"/>
              </w:rPr>
            </w:pPr>
            <w:r>
              <w:rPr>
                <w:rFonts w:ascii="Times New Roman" w:hAnsi="Times New Roman" w:cs="Times New Roman"/>
              </w:rPr>
              <w:t xml:space="preserve">In our case, we have three properties that will enter the Extended Use Period in January of 2022.  </w:t>
            </w:r>
          </w:p>
          <w:p w14:paraId="4DA5FF76" w14:textId="77777777" w:rsidR="007433CE" w:rsidRPr="00952F9E" w:rsidRDefault="007433CE" w:rsidP="00071086">
            <w:pPr>
              <w:contextualSpacing/>
              <w:rPr>
                <w:rFonts w:ascii="Times New Roman" w:hAnsi="Times New Roman" w:cs="Times New Roman"/>
                <w:b/>
                <w:bCs/>
              </w:rPr>
            </w:pPr>
          </w:p>
          <w:p w14:paraId="74463538" w14:textId="77777777" w:rsidR="007433CE" w:rsidRPr="00294A9E" w:rsidRDefault="007433CE" w:rsidP="00071086">
            <w:pPr>
              <w:contextualSpacing/>
              <w:rPr>
                <w:rFonts w:ascii="Times New Roman" w:hAnsi="Times New Roman" w:cs="Times New Roman"/>
                <w:b/>
                <w:bCs/>
              </w:rPr>
            </w:pPr>
            <w:r w:rsidRPr="00294A9E">
              <w:rPr>
                <w:rFonts w:ascii="Times New Roman" w:hAnsi="Times New Roman" w:cs="Times New Roman"/>
                <w:b/>
                <w:bCs/>
              </w:rPr>
              <w:t xml:space="preserve">Answer: </w:t>
            </w:r>
          </w:p>
          <w:p w14:paraId="4474A000" w14:textId="77777777" w:rsidR="007433CE" w:rsidRDefault="007433CE" w:rsidP="00071086">
            <w:pPr>
              <w:contextualSpacing/>
              <w:rPr>
                <w:rFonts w:ascii="Times New Roman" w:hAnsi="Times New Roman" w:cs="Times New Roman"/>
              </w:rPr>
            </w:pPr>
            <w:r>
              <w:rPr>
                <w:rFonts w:ascii="Times New Roman" w:hAnsi="Times New Roman" w:cs="Times New Roman"/>
              </w:rPr>
              <w:t xml:space="preserve">Please note the following from </w:t>
            </w:r>
            <w:r w:rsidRPr="00334AA2">
              <w:rPr>
                <w:rFonts w:ascii="Times New Roman" w:hAnsi="Times New Roman" w:cs="Times New Roman"/>
                <w:i/>
                <w:iCs/>
              </w:rPr>
              <w:t>Core, Eligibility of Certain Project Configurations</w:t>
            </w:r>
            <w:r>
              <w:rPr>
                <w:rFonts w:ascii="Times New Roman" w:hAnsi="Times New Roman" w:cs="Times New Roman"/>
              </w:rPr>
              <w:t>:</w:t>
            </w:r>
          </w:p>
          <w:p w14:paraId="492B072D" w14:textId="77777777" w:rsidR="007433CE" w:rsidRDefault="007433CE" w:rsidP="00071086">
            <w:pPr>
              <w:contextualSpacing/>
              <w:rPr>
                <w:rFonts w:ascii="Times New Roman" w:hAnsi="Times New Roman" w:cs="Times New Roman"/>
              </w:rPr>
            </w:pPr>
          </w:p>
          <w:p w14:paraId="12BF27C3" w14:textId="77777777" w:rsidR="007433CE" w:rsidRDefault="007433CE" w:rsidP="00071086">
            <w:pPr>
              <w:contextualSpacing/>
              <w:rPr>
                <w:rFonts w:ascii="Times New Roman" w:hAnsi="Times New Roman" w:cs="Times New Roman"/>
              </w:rPr>
            </w:pPr>
            <w:r>
              <w:rPr>
                <w:rFonts w:ascii="Times New Roman" w:hAnsi="Times New Roman" w:cs="Times New Roman"/>
              </w:rPr>
              <w:t>“</w:t>
            </w:r>
            <w:r w:rsidRPr="004A0E33">
              <w:rPr>
                <w:rFonts w:ascii="Times New Roman" w:hAnsi="Times New Roman" w:cs="Times New Roman"/>
                <w:i/>
                <w:iCs/>
              </w:rPr>
              <w:t>DCA will not consider 9% Credit Applications for the preservation of existing Housing Credit developments with a placed-in-service date that is within 15 years of Application Submission</w:t>
            </w:r>
            <w:r w:rsidRPr="3E34B25D">
              <w:rPr>
                <w:rFonts w:ascii="Times New Roman" w:hAnsi="Times New Roman" w:cs="Times New Roman"/>
                <w:i/>
                <w:iCs/>
              </w:rPr>
              <w:t xml:space="preserve"> (May 21, 2021).</w:t>
            </w:r>
            <w:r w:rsidRPr="3E34B25D">
              <w:rPr>
                <w:rFonts w:ascii="Times New Roman" w:hAnsi="Times New Roman" w:cs="Times New Roman"/>
              </w:rPr>
              <w:t>”</w:t>
            </w:r>
          </w:p>
          <w:p w14:paraId="4A651238" w14:textId="77777777" w:rsidR="007433CE" w:rsidRDefault="007433CE" w:rsidP="00071086">
            <w:pPr>
              <w:contextualSpacing/>
              <w:rPr>
                <w:rFonts w:ascii="Times New Roman" w:hAnsi="Times New Roman" w:cs="Times New Roman"/>
              </w:rPr>
            </w:pPr>
          </w:p>
          <w:p w14:paraId="2278D8E5" w14:textId="77777777" w:rsidR="007433CE" w:rsidRDefault="007433CE" w:rsidP="00071086">
            <w:pPr>
              <w:contextualSpacing/>
              <w:rPr>
                <w:rFonts w:ascii="Times New Roman" w:hAnsi="Times New Roman" w:cs="Times New Roman"/>
              </w:rPr>
            </w:pPr>
            <w:r>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3377AF">
              <w:rPr>
                <w:rFonts w:ascii="Times New Roman" w:hAnsi="Times New Roman" w:cs="Times New Roman"/>
                <w:i/>
                <w:iCs/>
              </w:rPr>
              <w:t>Eligibility of Certain Project Configurations</w:t>
            </w:r>
            <w:r>
              <w:rPr>
                <w:rFonts w:ascii="Times New Roman" w:hAnsi="Times New Roman" w:cs="Times New Roman"/>
              </w:rPr>
              <w:t xml:space="preserve">. </w:t>
            </w:r>
          </w:p>
          <w:p w14:paraId="112587E9" w14:textId="77777777" w:rsidR="007433CE" w:rsidRDefault="007433CE" w:rsidP="00071086">
            <w:pPr>
              <w:contextualSpacing/>
              <w:rPr>
                <w:rFonts w:ascii="Times New Roman" w:hAnsi="Times New Roman" w:cs="Times New Roman"/>
              </w:rPr>
            </w:pPr>
          </w:p>
          <w:p w14:paraId="67DBAA64" w14:textId="77777777" w:rsidR="007433CE" w:rsidRPr="0014106F" w:rsidRDefault="007433CE" w:rsidP="00071086">
            <w:pPr>
              <w:contextualSpacing/>
              <w:rPr>
                <w:rFonts w:ascii="Times New Roman" w:hAnsi="Times New Roman" w:cs="Times New Roman"/>
                <w:b/>
                <w:bCs/>
              </w:rPr>
            </w:pPr>
            <w:r>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D95BFC">
              <w:rPr>
                <w:rFonts w:ascii="Times New Roman" w:hAnsi="Times New Roman" w:cs="Times New Roman"/>
                <w:i/>
                <w:iCs/>
              </w:rPr>
              <w:t>Rehabilitation Set Aside</w:t>
            </w:r>
            <w:r>
              <w:rPr>
                <w:rFonts w:ascii="Times New Roman" w:hAnsi="Times New Roman" w:cs="Times New Roman"/>
              </w:rPr>
              <w:t>.</w:t>
            </w:r>
          </w:p>
        </w:tc>
      </w:tr>
      <w:tr w:rsidR="007433CE" w:rsidRPr="00D90432" w14:paraId="485597C1" w14:textId="77777777" w:rsidTr="2A62FF34">
        <w:trPr>
          <w:jc w:val="center"/>
        </w:trPr>
        <w:tc>
          <w:tcPr>
            <w:tcW w:w="2157" w:type="dxa"/>
            <w:tcMar>
              <w:top w:w="72" w:type="dxa"/>
              <w:left w:w="115" w:type="dxa"/>
              <w:bottom w:w="72" w:type="dxa"/>
              <w:right w:w="115" w:type="dxa"/>
            </w:tcMar>
            <w:vAlign w:val="center"/>
          </w:tcPr>
          <w:p w14:paraId="28F6415B" w14:textId="77777777" w:rsidR="007433CE" w:rsidRDefault="007433CE"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0A3614CE" w14:textId="77777777" w:rsidR="007433CE" w:rsidRDefault="007433CE" w:rsidP="00665F42">
            <w:pPr>
              <w:rPr>
                <w:rFonts w:ascii="Times New Roman" w:hAnsi="Times New Roman" w:cs="Times New Roman"/>
                <w:noProof/>
              </w:rPr>
            </w:pPr>
            <w:r>
              <w:rPr>
                <w:rFonts w:ascii="Times New Roman" w:hAnsi="Times New Roman" w:cs="Times New Roman"/>
                <w:noProof/>
              </w:rPr>
              <w:t>1.23</w:t>
            </w:r>
          </w:p>
          <w:p w14:paraId="57C8E705" w14:textId="77777777" w:rsidR="007433CE" w:rsidRDefault="007433CE" w:rsidP="00665F42">
            <w:pPr>
              <w:rPr>
                <w:rFonts w:ascii="Times New Roman" w:hAnsi="Times New Roman" w:cs="Times New Roman"/>
              </w:rPr>
            </w:pPr>
            <w:r>
              <w:rPr>
                <w:rFonts w:ascii="Times New Roman" w:hAnsi="Times New Roman" w:cs="Times New Roman"/>
                <w:noProof/>
              </w:rPr>
              <w:lastRenderedPageBreak/>
              <w:t>Core; DCA Pre-Application Fees and Deadline Schedules</w:t>
            </w:r>
          </w:p>
        </w:tc>
        <w:tc>
          <w:tcPr>
            <w:tcW w:w="9590" w:type="dxa"/>
            <w:tcMar>
              <w:top w:w="72" w:type="dxa"/>
              <w:left w:w="115" w:type="dxa"/>
              <w:bottom w:w="72" w:type="dxa"/>
              <w:right w:w="115" w:type="dxa"/>
            </w:tcMar>
            <w:vAlign w:val="center"/>
          </w:tcPr>
          <w:p w14:paraId="51538FE5" w14:textId="77777777" w:rsidR="007433CE" w:rsidRPr="001B1ADD" w:rsidRDefault="007433CE" w:rsidP="00F74089">
            <w:pPr>
              <w:contextualSpacing/>
              <w:rPr>
                <w:rFonts w:ascii="Times New Roman" w:hAnsi="Times New Roman" w:cs="Times New Roman"/>
              </w:rPr>
            </w:pPr>
            <w:r w:rsidRPr="001B1ADD">
              <w:rPr>
                <w:rFonts w:ascii="Times New Roman" w:hAnsi="Times New Roman" w:cs="Times New Roman"/>
                <w:b/>
                <w:bCs/>
              </w:rPr>
              <w:lastRenderedPageBreak/>
              <w:t xml:space="preserve">Question: </w:t>
            </w:r>
            <w:r w:rsidRPr="00DD74E7">
              <w:rPr>
                <w:rFonts w:ascii="Times New Roman" w:hAnsi="Times New Roman" w:cs="Times New Roman"/>
                <w:b/>
                <w:bCs/>
              </w:rPr>
              <w:t>Q0304_02</w:t>
            </w:r>
          </w:p>
          <w:p w14:paraId="0DC41F4F" w14:textId="77777777" w:rsidR="007433CE" w:rsidRDefault="007433CE" w:rsidP="00F74089">
            <w:pPr>
              <w:contextualSpacing/>
              <w:rPr>
                <w:rFonts w:ascii="Times New Roman" w:hAnsi="Times New Roman" w:cs="Times New Roman"/>
              </w:rPr>
            </w:pPr>
            <w:r>
              <w:rPr>
                <w:rFonts w:ascii="Times New Roman" w:hAnsi="Times New Roman" w:cs="Times New Roman"/>
              </w:rPr>
              <w:t xml:space="preserve">The QAP states that the Qualification Determination fee is $1,000. </w:t>
            </w:r>
          </w:p>
          <w:p w14:paraId="37F1C861" w14:textId="77777777" w:rsidR="007433CE" w:rsidRDefault="007433CE" w:rsidP="00F74089">
            <w:pPr>
              <w:contextualSpacing/>
              <w:rPr>
                <w:rFonts w:ascii="Times New Roman" w:hAnsi="Times New Roman" w:cs="Times New Roman"/>
              </w:rPr>
            </w:pPr>
          </w:p>
          <w:p w14:paraId="51A1114C" w14:textId="77777777" w:rsidR="007433CE" w:rsidRPr="001B1ADD" w:rsidRDefault="007433CE" w:rsidP="00F74089">
            <w:pPr>
              <w:contextualSpacing/>
              <w:rPr>
                <w:rFonts w:ascii="Times New Roman" w:hAnsi="Times New Roman" w:cs="Times New Roman"/>
              </w:rPr>
            </w:pPr>
            <w:r w:rsidRPr="001B1ADD">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2B216534" w14:textId="77777777" w:rsidR="007433CE" w:rsidRPr="001B1ADD" w:rsidRDefault="007433CE" w:rsidP="00F74089">
            <w:pPr>
              <w:contextualSpacing/>
              <w:rPr>
                <w:rFonts w:ascii="Times New Roman" w:hAnsi="Times New Roman" w:cs="Times New Roman"/>
                <w:b/>
                <w:bCs/>
              </w:rPr>
            </w:pPr>
          </w:p>
          <w:p w14:paraId="3B345881" w14:textId="77777777" w:rsidR="007433CE" w:rsidRPr="001B1ADD" w:rsidRDefault="007433CE" w:rsidP="00F74089">
            <w:pPr>
              <w:contextualSpacing/>
              <w:rPr>
                <w:rFonts w:ascii="Times New Roman" w:hAnsi="Times New Roman" w:cs="Times New Roman"/>
                <w:b/>
                <w:bCs/>
              </w:rPr>
            </w:pPr>
            <w:r w:rsidRPr="001B1ADD">
              <w:rPr>
                <w:rFonts w:ascii="Times New Roman" w:hAnsi="Times New Roman" w:cs="Times New Roman"/>
                <w:b/>
                <w:bCs/>
              </w:rPr>
              <w:t xml:space="preserve">Answer: </w:t>
            </w:r>
          </w:p>
          <w:p w14:paraId="623413D2" w14:textId="77777777" w:rsidR="007433CE" w:rsidRPr="001B1ADD" w:rsidRDefault="007433CE" w:rsidP="00F74089">
            <w:pPr>
              <w:contextualSpacing/>
              <w:rPr>
                <w:rFonts w:ascii="Times New Roman" w:hAnsi="Times New Roman" w:cs="Times New Roman"/>
              </w:rPr>
            </w:pPr>
            <w:r w:rsidRPr="5030D99D">
              <w:rPr>
                <w:rFonts w:ascii="Times New Roman" w:hAnsi="Times New Roman" w:cs="Times New Roman"/>
              </w:rPr>
              <w:t xml:space="preserve">This would be a continuation of DCA’s </w:t>
            </w:r>
            <w:r w:rsidRPr="4B37B573">
              <w:rPr>
                <w:rFonts w:ascii="Times New Roman" w:hAnsi="Times New Roman" w:cs="Times New Roman"/>
              </w:rPr>
              <w:t>initial</w:t>
            </w:r>
            <w:r w:rsidRPr="5030D99D">
              <w:rPr>
                <w:rFonts w:ascii="Times New Roman" w:hAnsi="Times New Roman" w:cs="Times New Roman"/>
              </w:rPr>
              <w:t xml:space="preserve"> review </w:t>
            </w:r>
            <w:r w:rsidRPr="4B37B573">
              <w:rPr>
                <w:rFonts w:ascii="Times New Roman" w:hAnsi="Times New Roman" w:cs="Times New Roman"/>
              </w:rPr>
              <w:t xml:space="preserve">at pre-app </w:t>
            </w:r>
            <w:r w:rsidRPr="5030D99D">
              <w:rPr>
                <w:rFonts w:ascii="Times New Roman" w:hAnsi="Times New Roman" w:cs="Times New Roman"/>
              </w:rPr>
              <w:t xml:space="preserve">and no new $1,000 QD fee would be required at </w:t>
            </w:r>
            <w:r w:rsidRPr="4B37B573">
              <w:rPr>
                <w:rFonts w:ascii="Times New Roman" w:hAnsi="Times New Roman" w:cs="Times New Roman"/>
              </w:rPr>
              <w:t>A</w:t>
            </w:r>
            <w:r w:rsidRPr="5030D99D">
              <w:rPr>
                <w:rFonts w:ascii="Times New Roman" w:hAnsi="Times New Roman" w:cs="Times New Roman"/>
              </w:rPr>
              <w:t xml:space="preserve">pplication. </w:t>
            </w:r>
          </w:p>
          <w:p w14:paraId="02E939A8" w14:textId="77777777" w:rsidR="007433CE" w:rsidRPr="0014106F" w:rsidRDefault="007433CE" w:rsidP="0014106F">
            <w:pPr>
              <w:contextualSpacing/>
              <w:rPr>
                <w:rFonts w:ascii="Times New Roman" w:hAnsi="Times New Roman" w:cs="Times New Roman"/>
                <w:b/>
                <w:bCs/>
              </w:rPr>
            </w:pPr>
          </w:p>
        </w:tc>
      </w:tr>
      <w:tr w:rsidR="007433CE" w:rsidRPr="00D90432" w14:paraId="45C8F9F9" w14:textId="77777777" w:rsidTr="2A62FF34">
        <w:trPr>
          <w:jc w:val="center"/>
        </w:trPr>
        <w:tc>
          <w:tcPr>
            <w:tcW w:w="2157" w:type="dxa"/>
            <w:tcMar>
              <w:top w:w="72" w:type="dxa"/>
              <w:left w:w="115" w:type="dxa"/>
              <w:bottom w:w="72" w:type="dxa"/>
              <w:right w:w="115" w:type="dxa"/>
            </w:tcMar>
            <w:vAlign w:val="center"/>
          </w:tcPr>
          <w:p w14:paraId="16ABAA06" w14:textId="77777777" w:rsidR="007433CE" w:rsidRDefault="007433CE"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52A669AB" w14:textId="77777777" w:rsidR="007433CE" w:rsidRDefault="007433CE" w:rsidP="00D97753">
            <w:pPr>
              <w:rPr>
                <w:rFonts w:ascii="Times New Roman" w:hAnsi="Times New Roman" w:cs="Times New Roman"/>
                <w:noProof/>
              </w:rPr>
            </w:pPr>
            <w:r>
              <w:rPr>
                <w:rFonts w:ascii="Times New Roman" w:hAnsi="Times New Roman" w:cs="Times New Roman"/>
                <w:noProof/>
              </w:rPr>
              <w:t>1.23</w:t>
            </w:r>
          </w:p>
          <w:p w14:paraId="55309585" w14:textId="77777777" w:rsidR="007433CE" w:rsidRPr="00D90432" w:rsidRDefault="007433CE" w:rsidP="00D97753">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43E4E556" w14:textId="77777777" w:rsidR="007433CE" w:rsidRPr="00415E40" w:rsidRDefault="007433CE" w:rsidP="00415E40">
            <w:pPr>
              <w:contextualSpacing/>
              <w:rPr>
                <w:rFonts w:ascii="Times New Roman" w:hAnsi="Times New Roman" w:cs="Times New Roman"/>
                <w:b/>
                <w:bCs/>
              </w:rPr>
            </w:pPr>
            <w:r w:rsidRPr="00415E40">
              <w:rPr>
                <w:rFonts w:ascii="Times New Roman" w:hAnsi="Times New Roman" w:cs="Times New Roman"/>
                <w:b/>
                <w:bCs/>
              </w:rPr>
              <w:t>Question: Q0304_03A</w:t>
            </w:r>
          </w:p>
          <w:p w14:paraId="3F3EDBCD" w14:textId="77777777" w:rsidR="007433CE" w:rsidRDefault="007433CE" w:rsidP="00415E40">
            <w:pPr>
              <w:contextualSpacing/>
              <w:rPr>
                <w:rFonts w:ascii="Times New Roman" w:hAnsi="Times New Roman" w:cs="Times New Roman"/>
              </w:rPr>
            </w:pPr>
            <w:r>
              <w:rPr>
                <w:rFonts w:ascii="Times New Roman" w:hAnsi="Times New Roman" w:cs="Times New Roman"/>
              </w:rPr>
              <w:t xml:space="preserve">The QAP states that the Qualification Determination fee is “Required for all Deals” (see </w:t>
            </w:r>
            <w:r w:rsidRPr="00B158F4">
              <w:rPr>
                <w:rFonts w:ascii="Times New Roman" w:hAnsi="Times New Roman" w:cs="Times New Roman"/>
                <w:i/>
                <w:iCs/>
              </w:rPr>
              <w:t>Core, Exhibit A, DCA Pre-Application Fees and Deadline Schedules</w:t>
            </w:r>
            <w:r>
              <w:rPr>
                <w:rFonts w:ascii="Times New Roman" w:hAnsi="Times New Roman" w:cs="Times New Roman"/>
              </w:rPr>
              <w:t xml:space="preserve">). </w:t>
            </w:r>
          </w:p>
          <w:p w14:paraId="69830CDB" w14:textId="77777777" w:rsidR="007433CE" w:rsidRDefault="007433CE" w:rsidP="00415E40">
            <w:pPr>
              <w:contextualSpacing/>
              <w:rPr>
                <w:rFonts w:ascii="Times New Roman" w:hAnsi="Times New Roman" w:cs="Times New Roman"/>
              </w:rPr>
            </w:pPr>
          </w:p>
          <w:p w14:paraId="63910F0A" w14:textId="77777777" w:rsidR="007433CE" w:rsidRPr="00555E13" w:rsidRDefault="007433CE" w:rsidP="00415E40">
            <w:pPr>
              <w:contextualSpacing/>
              <w:rPr>
                <w:rFonts w:ascii="Times New Roman" w:hAnsi="Times New Roman" w:cs="Times New Roman"/>
              </w:rPr>
            </w:pPr>
            <w:r>
              <w:rPr>
                <w:rFonts w:ascii="Times New Roman" w:hAnsi="Times New Roman" w:cs="Times New Roman"/>
              </w:rPr>
              <w:t xml:space="preserve">“Deals” is capitalized, but is not in </w:t>
            </w:r>
            <w:r w:rsidRPr="00AC17BA">
              <w:rPr>
                <w:rFonts w:ascii="Times New Roman" w:hAnsi="Times New Roman" w:cs="Times New Roman"/>
                <w:i/>
                <w:iCs/>
              </w:rPr>
              <w:t>Core, Definitions</w:t>
            </w:r>
            <w:r>
              <w:rPr>
                <w:rFonts w:ascii="Times New Roman" w:hAnsi="Times New Roman" w:cs="Times New Roman"/>
              </w:rPr>
              <w:t xml:space="preserve">. </w:t>
            </w:r>
            <w:r w:rsidRPr="00555E13">
              <w:rPr>
                <w:rFonts w:ascii="Times New Roman" w:hAnsi="Times New Roman" w:cs="Times New Roman"/>
              </w:rPr>
              <w:t>If we are submitting multiple pre-applications with the same project team for each one, do we need a $1,000 application fee for EACH pre-application?</w:t>
            </w:r>
          </w:p>
          <w:p w14:paraId="4EFAD889" w14:textId="77777777" w:rsidR="007433CE" w:rsidRPr="00555E13" w:rsidRDefault="007433CE" w:rsidP="00415E40">
            <w:pPr>
              <w:contextualSpacing/>
              <w:rPr>
                <w:rFonts w:ascii="Times New Roman" w:hAnsi="Times New Roman" w:cs="Times New Roman"/>
                <w:b/>
                <w:bCs/>
              </w:rPr>
            </w:pPr>
          </w:p>
          <w:p w14:paraId="0851DAD0" w14:textId="77777777" w:rsidR="007433CE" w:rsidRPr="00A73A42" w:rsidRDefault="007433CE" w:rsidP="00415E40">
            <w:pPr>
              <w:contextualSpacing/>
              <w:rPr>
                <w:rFonts w:ascii="Times New Roman" w:hAnsi="Times New Roman" w:cs="Times New Roman"/>
                <w:b/>
                <w:bCs/>
              </w:rPr>
            </w:pPr>
            <w:r w:rsidRPr="00A73A42">
              <w:rPr>
                <w:rFonts w:ascii="Times New Roman" w:hAnsi="Times New Roman" w:cs="Times New Roman"/>
                <w:b/>
                <w:bCs/>
              </w:rPr>
              <w:t xml:space="preserve">Answer: </w:t>
            </w:r>
          </w:p>
          <w:p w14:paraId="47440546" w14:textId="77777777" w:rsidR="007433CE" w:rsidRDefault="007433CE" w:rsidP="00415E40">
            <w:pPr>
              <w:rPr>
                <w:rFonts w:ascii="Times New Roman" w:eastAsia="Times New Roman" w:hAnsi="Times New Roman" w:cs="Times New Roman"/>
                <w:color w:val="000000" w:themeColor="text1"/>
              </w:rPr>
            </w:pPr>
            <w:r w:rsidRPr="00A73A42">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178B329D" w14:textId="77777777" w:rsidR="007433CE" w:rsidRPr="00A73A42" w:rsidRDefault="007433CE" w:rsidP="00415E40">
            <w:pPr>
              <w:rPr>
                <w:rFonts w:ascii="Times New Roman" w:eastAsia="Times New Roman" w:hAnsi="Times New Roman" w:cs="Times New Roman"/>
                <w:color w:val="000000" w:themeColor="text1"/>
              </w:rPr>
            </w:pPr>
          </w:p>
          <w:p w14:paraId="52215EE4" w14:textId="77777777" w:rsidR="007433CE" w:rsidRDefault="007433CE" w:rsidP="00415E40">
            <w:pPr>
              <w:rPr>
                <w:rFonts w:ascii="Times New Roman" w:eastAsia="Times New Roman" w:hAnsi="Times New Roman" w:cs="Times New Roman"/>
              </w:rPr>
            </w:pPr>
            <w:r w:rsidRPr="00A73A42">
              <w:rPr>
                <w:rFonts w:ascii="Times New Roman" w:eastAsia="Times New Roman" w:hAnsi="Times New Roman" w:cs="Times New Roman"/>
                <w:color w:val="000000" w:themeColor="text1"/>
              </w:rPr>
              <w:t xml:space="preserve">Note: </w:t>
            </w:r>
            <w:r w:rsidRPr="00A73A42">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654230F6" w14:textId="77777777" w:rsidR="007433CE" w:rsidRPr="00A13EFC" w:rsidRDefault="007433CE" w:rsidP="00415E40">
            <w:pPr>
              <w:rPr>
                <w:rFonts w:ascii="Times New Roman" w:eastAsia="Times New Roman" w:hAnsi="Times New Roman" w:cs="Times New Roman"/>
                <w:color w:val="000000" w:themeColor="text1"/>
              </w:rPr>
            </w:pPr>
          </w:p>
          <w:p w14:paraId="375D28EE" w14:textId="77777777" w:rsidR="007433CE" w:rsidRDefault="007433CE" w:rsidP="00415E40">
            <w:pPr>
              <w:rPr>
                <w:rFonts w:ascii="Times New Roman" w:eastAsia="Times New Roman" w:hAnsi="Times New Roman" w:cs="Times New Roman"/>
              </w:rPr>
            </w:pPr>
            <w:r w:rsidRPr="00A73A42">
              <w:rPr>
                <w:rFonts w:ascii="Times New Roman" w:eastAsia="Times New Roman" w:hAnsi="Times New Roman" w:cs="Times New Roman"/>
              </w:rPr>
              <w:t>So multiple submissions/fees are only required where there are differences in the Project Team.</w:t>
            </w:r>
          </w:p>
          <w:p w14:paraId="0BF80AF4" w14:textId="77777777" w:rsidR="007433CE" w:rsidRPr="00F65000" w:rsidRDefault="007433CE" w:rsidP="00DC2EA8">
            <w:pPr>
              <w:contextualSpacing/>
              <w:rPr>
                <w:rFonts w:ascii="Times New Roman" w:hAnsi="Times New Roman" w:cs="Times New Roman"/>
                <w:b/>
                <w:bCs/>
                <w:sz w:val="24"/>
                <w:szCs w:val="24"/>
              </w:rPr>
            </w:pPr>
          </w:p>
        </w:tc>
      </w:tr>
      <w:tr w:rsidR="007433CE" w:rsidRPr="00D90432" w14:paraId="4B6BE6C2" w14:textId="77777777" w:rsidTr="2A62FF34">
        <w:trPr>
          <w:jc w:val="center"/>
        </w:trPr>
        <w:tc>
          <w:tcPr>
            <w:tcW w:w="2157" w:type="dxa"/>
            <w:tcMar>
              <w:top w:w="72" w:type="dxa"/>
              <w:left w:w="115" w:type="dxa"/>
              <w:bottom w:w="72" w:type="dxa"/>
              <w:right w:w="115" w:type="dxa"/>
            </w:tcMar>
            <w:vAlign w:val="center"/>
          </w:tcPr>
          <w:p w14:paraId="4A2A9C4C" w14:textId="77777777" w:rsidR="007433CE" w:rsidRDefault="007433CE"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5FBAFD74" w14:textId="77777777" w:rsidR="007433CE" w:rsidRDefault="007433CE" w:rsidP="00A52DC9">
            <w:pPr>
              <w:rPr>
                <w:rFonts w:ascii="Times New Roman" w:hAnsi="Times New Roman" w:cs="Times New Roman"/>
                <w:noProof/>
              </w:rPr>
            </w:pPr>
            <w:r>
              <w:rPr>
                <w:rFonts w:ascii="Times New Roman" w:hAnsi="Times New Roman" w:cs="Times New Roman"/>
                <w:noProof/>
              </w:rPr>
              <w:t>3.05</w:t>
            </w:r>
          </w:p>
          <w:p w14:paraId="239A2FEC" w14:textId="77777777" w:rsidR="007433CE" w:rsidRDefault="007433CE" w:rsidP="00A52DC9">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D2D2FF9" w14:textId="77777777" w:rsidR="007433CE" w:rsidRPr="0031132D" w:rsidRDefault="007433CE" w:rsidP="004A491C">
            <w:pPr>
              <w:contextualSpacing/>
              <w:rPr>
                <w:rFonts w:ascii="Times New Roman" w:hAnsi="Times New Roman" w:cs="Times New Roman"/>
                <w:b/>
                <w:bCs/>
              </w:rPr>
            </w:pPr>
            <w:r w:rsidRPr="0031132D">
              <w:rPr>
                <w:rFonts w:ascii="Times New Roman" w:hAnsi="Times New Roman" w:cs="Times New Roman"/>
                <w:b/>
                <w:bCs/>
              </w:rPr>
              <w:t>Question: Q0202_04</w:t>
            </w:r>
          </w:p>
          <w:p w14:paraId="799648FB" w14:textId="77777777" w:rsidR="007433CE" w:rsidRDefault="007433CE" w:rsidP="004A491C">
            <w:pPr>
              <w:contextualSpacing/>
              <w:rPr>
                <w:rFonts w:ascii="Times New Roman" w:hAnsi="Times New Roman" w:cs="Times New Roman"/>
              </w:rPr>
            </w:pPr>
            <w:r w:rsidRPr="00336C99">
              <w:rPr>
                <w:rFonts w:ascii="Times New Roman" w:hAnsi="Times New Roman" w:cs="Times New Roman"/>
              </w:rPr>
              <w:t>Pedestrian access to our s</w:t>
            </w:r>
            <w:r>
              <w:rPr>
                <w:rFonts w:ascii="Times New Roman" w:hAnsi="Times New Roman" w:cs="Times New Roman"/>
              </w:rPr>
              <w:t xml:space="preserve">ite is by way of an easement, and we are wondering if this impacts how we measure distances for purposes of Desirable Activities. </w:t>
            </w:r>
          </w:p>
          <w:p w14:paraId="157ACA2F" w14:textId="77777777" w:rsidR="007433CE" w:rsidRPr="00336C99" w:rsidRDefault="007433CE" w:rsidP="004A491C">
            <w:pPr>
              <w:contextualSpacing/>
              <w:rPr>
                <w:rFonts w:ascii="Times New Roman" w:hAnsi="Times New Roman" w:cs="Times New Roman"/>
              </w:rPr>
            </w:pPr>
          </w:p>
          <w:p w14:paraId="22AB3070" w14:textId="77777777" w:rsidR="007433CE" w:rsidRPr="0026052A" w:rsidRDefault="007433CE" w:rsidP="004A491C">
            <w:pPr>
              <w:contextualSpacing/>
              <w:rPr>
                <w:rFonts w:ascii="Times New Roman" w:hAnsi="Times New Roman" w:cs="Times New Roman"/>
              </w:rPr>
            </w:pPr>
            <w:r w:rsidRPr="0026052A">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1C6DF77B" w14:textId="77777777" w:rsidR="007433CE" w:rsidRPr="0026052A" w:rsidRDefault="007433CE" w:rsidP="004A491C">
            <w:pPr>
              <w:contextualSpacing/>
              <w:rPr>
                <w:rFonts w:ascii="Times New Roman" w:hAnsi="Times New Roman" w:cs="Times New Roman"/>
                <w:b/>
                <w:bCs/>
              </w:rPr>
            </w:pPr>
          </w:p>
          <w:p w14:paraId="41BBE567" w14:textId="77777777" w:rsidR="007433CE" w:rsidRPr="0031132D" w:rsidRDefault="007433CE" w:rsidP="004A491C">
            <w:pPr>
              <w:contextualSpacing/>
              <w:rPr>
                <w:rFonts w:ascii="Times New Roman" w:hAnsi="Times New Roman" w:cs="Times New Roman"/>
                <w:b/>
                <w:bCs/>
              </w:rPr>
            </w:pPr>
            <w:r w:rsidRPr="0026052A">
              <w:rPr>
                <w:rFonts w:ascii="Times New Roman" w:hAnsi="Times New Roman" w:cs="Times New Roman"/>
                <w:b/>
                <w:bCs/>
              </w:rPr>
              <w:t xml:space="preserve">Answer: </w:t>
            </w:r>
          </w:p>
          <w:p w14:paraId="605C7157" w14:textId="77777777" w:rsidR="007433CE" w:rsidRDefault="007433CE" w:rsidP="004A491C">
            <w:r w:rsidRPr="78FCFAAE">
              <w:rPr>
                <w:rFonts w:ascii="Times New Roman" w:eastAsia="Times New Roman" w:hAnsi="Times New Roman" w:cs="Times New Roman"/>
              </w:rPr>
              <w:lastRenderedPageBreak/>
              <w:t xml:space="preserve">Driving or walking routes must originate from geo-coordinates of the pedestrian or vehicle site entrance and end at the geo-coordinates of the desirable amenity. </w:t>
            </w:r>
          </w:p>
          <w:p w14:paraId="5574F70A" w14:textId="77777777" w:rsidR="007433CE" w:rsidRDefault="007433CE" w:rsidP="004A491C">
            <w:pPr>
              <w:rPr>
                <w:rFonts w:ascii="Times New Roman" w:eastAsia="Times New Roman" w:hAnsi="Times New Roman" w:cs="Times New Roman"/>
              </w:rPr>
            </w:pPr>
          </w:p>
          <w:p w14:paraId="03360BB6" w14:textId="77777777" w:rsidR="007433CE" w:rsidRPr="004A491C" w:rsidRDefault="007433CE" w:rsidP="00544329">
            <w:pPr>
              <w:rPr>
                <w:rFonts w:ascii="Times New Roman" w:eastAsia="Times New Roman" w:hAnsi="Times New Roman" w:cs="Times New Roman"/>
              </w:rPr>
            </w:pPr>
            <w:r w:rsidRPr="78FCFAAE">
              <w:rPr>
                <w:rFonts w:ascii="Times New Roman" w:eastAsia="Times New Roman" w:hAnsi="Times New Roman" w:cs="Times New Roman"/>
              </w:rPr>
              <w:t>The entrance geocoordinates should be used, even if access is by way of an easement.</w:t>
            </w:r>
          </w:p>
        </w:tc>
      </w:tr>
      <w:tr w:rsidR="007433CE" w:rsidRPr="00D90432" w14:paraId="50CF5DA7" w14:textId="77777777" w:rsidTr="2A62FF34">
        <w:trPr>
          <w:jc w:val="center"/>
        </w:trPr>
        <w:tc>
          <w:tcPr>
            <w:tcW w:w="2157" w:type="dxa"/>
            <w:tcMar>
              <w:top w:w="72" w:type="dxa"/>
              <w:left w:w="115" w:type="dxa"/>
              <w:bottom w:w="72" w:type="dxa"/>
              <w:right w:w="115" w:type="dxa"/>
            </w:tcMar>
            <w:vAlign w:val="center"/>
          </w:tcPr>
          <w:p w14:paraId="05808FAD" w14:textId="77777777" w:rsidR="007433CE" w:rsidRDefault="007433CE"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3014993E" w14:textId="77777777" w:rsidR="007433CE" w:rsidRDefault="007433CE" w:rsidP="007F53AC">
            <w:pPr>
              <w:rPr>
                <w:rFonts w:ascii="Times New Roman" w:hAnsi="Times New Roman" w:cs="Times New Roman"/>
                <w:noProof/>
              </w:rPr>
            </w:pPr>
            <w:r>
              <w:rPr>
                <w:rFonts w:ascii="Times New Roman" w:hAnsi="Times New Roman" w:cs="Times New Roman"/>
                <w:noProof/>
              </w:rPr>
              <w:t>3.05</w:t>
            </w:r>
          </w:p>
          <w:p w14:paraId="2147BE9C" w14:textId="77777777" w:rsidR="007433CE" w:rsidRDefault="007433CE" w:rsidP="007F53AC">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8682D67" w14:textId="77777777" w:rsidR="007433CE" w:rsidRPr="00544329" w:rsidRDefault="007433CE" w:rsidP="00544329">
            <w:pPr>
              <w:contextualSpacing/>
              <w:rPr>
                <w:rFonts w:ascii="Times New Roman" w:hAnsi="Times New Roman" w:cs="Times New Roman"/>
                <w:b/>
                <w:bCs/>
              </w:rPr>
            </w:pPr>
            <w:r w:rsidRPr="00544329">
              <w:rPr>
                <w:rFonts w:ascii="Times New Roman" w:hAnsi="Times New Roman" w:cs="Times New Roman"/>
                <w:b/>
                <w:bCs/>
              </w:rPr>
              <w:t>Question: Q0201_05</w:t>
            </w:r>
          </w:p>
          <w:p w14:paraId="2FA2B43E" w14:textId="77777777" w:rsidR="007433CE" w:rsidRPr="006B51C0" w:rsidRDefault="007433CE" w:rsidP="00544329">
            <w:pPr>
              <w:contextualSpacing/>
              <w:rPr>
                <w:rFonts w:ascii="Times New Roman" w:hAnsi="Times New Roman" w:cs="Times New Roman"/>
              </w:rPr>
            </w:pPr>
            <w:r w:rsidRPr="004878EC">
              <w:rPr>
                <w:rFonts w:ascii="Times New Roman" w:hAnsi="Times New Roman" w:cs="Times New Roman"/>
              </w:rPr>
              <w:t xml:space="preserve">Would an outdoor community recreation facility with amenities like lighted baseball/softball fields, tennis courts, basketball courts, walking trail, etc. qualify as a community or recreational center (Item L) in the Desirables section? </w:t>
            </w:r>
            <w:r w:rsidRPr="006B51C0">
              <w:rPr>
                <w:rFonts w:ascii="Times New Roman" w:hAnsi="Times New Roman" w:cs="Times New Roman"/>
              </w:rPr>
              <w:t>The QAP appears to allow outdoor facilities like a public pool to qualify, but we wanted to confirm that public, multi-use recreational facilities would also be eligible.</w:t>
            </w:r>
          </w:p>
          <w:p w14:paraId="0FE9709D" w14:textId="77777777" w:rsidR="007433CE" w:rsidRPr="006B51C0" w:rsidRDefault="007433CE" w:rsidP="00544329">
            <w:pPr>
              <w:contextualSpacing/>
              <w:rPr>
                <w:rFonts w:ascii="Times New Roman" w:hAnsi="Times New Roman" w:cs="Times New Roman"/>
                <w:b/>
                <w:bCs/>
              </w:rPr>
            </w:pPr>
          </w:p>
          <w:p w14:paraId="0991F275" w14:textId="77777777" w:rsidR="007433CE" w:rsidRPr="006B51C0" w:rsidRDefault="007433CE" w:rsidP="00544329">
            <w:pPr>
              <w:contextualSpacing/>
              <w:rPr>
                <w:rFonts w:ascii="Times New Roman" w:hAnsi="Times New Roman" w:cs="Times New Roman"/>
                <w:b/>
                <w:bCs/>
              </w:rPr>
            </w:pPr>
            <w:r w:rsidRPr="1DF873B6">
              <w:rPr>
                <w:rFonts w:ascii="Times New Roman" w:hAnsi="Times New Roman" w:cs="Times New Roman"/>
                <w:b/>
                <w:bCs/>
              </w:rPr>
              <w:t xml:space="preserve">Answer: </w:t>
            </w:r>
          </w:p>
          <w:p w14:paraId="3F0F278E" w14:textId="77777777" w:rsidR="007433CE" w:rsidRPr="006B51C0" w:rsidRDefault="007433CE" w:rsidP="00544329">
            <w:pPr>
              <w:rPr>
                <w:rFonts w:ascii="Times New Roman" w:hAnsi="Times New Roman" w:cs="Times New Roman"/>
              </w:rPr>
            </w:pPr>
            <w:r w:rsidRPr="1DF873B6">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w:t>
            </w:r>
            <w:r w:rsidRPr="0C92D455">
              <w:rPr>
                <w:rFonts w:ascii="Times New Roman" w:hAnsi="Times New Roman" w:cs="Times New Roman"/>
              </w:rPr>
              <w:t xml:space="preserve">Eligibility. </w:t>
            </w:r>
          </w:p>
          <w:p w14:paraId="436D3D24" w14:textId="77777777" w:rsidR="007433CE" w:rsidRPr="00415E40" w:rsidRDefault="007433CE" w:rsidP="00415E40">
            <w:pPr>
              <w:contextualSpacing/>
              <w:rPr>
                <w:rFonts w:ascii="Times New Roman" w:hAnsi="Times New Roman" w:cs="Times New Roman"/>
                <w:b/>
                <w:bCs/>
              </w:rPr>
            </w:pPr>
          </w:p>
        </w:tc>
      </w:tr>
      <w:tr w:rsidR="007433CE" w:rsidRPr="00D90432" w14:paraId="3A6BD6CE" w14:textId="77777777" w:rsidTr="2A62FF34">
        <w:trPr>
          <w:jc w:val="center"/>
        </w:trPr>
        <w:tc>
          <w:tcPr>
            <w:tcW w:w="2157" w:type="dxa"/>
            <w:tcMar>
              <w:top w:w="72" w:type="dxa"/>
              <w:left w:w="115" w:type="dxa"/>
              <w:bottom w:w="72" w:type="dxa"/>
              <w:right w:w="115" w:type="dxa"/>
            </w:tcMar>
            <w:vAlign w:val="center"/>
          </w:tcPr>
          <w:p w14:paraId="3E48A5C3" w14:textId="77777777" w:rsidR="007433CE" w:rsidRPr="001001AE" w:rsidRDefault="007433CE"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040BF85E" w14:textId="77777777" w:rsidR="007433CE" w:rsidRDefault="007433CE" w:rsidP="00377A5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5A43EF69" w14:textId="77777777" w:rsidR="007433CE" w:rsidRDefault="007433CE" w:rsidP="00377A5A">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B4470FF" w14:textId="77777777" w:rsidR="007433CE" w:rsidRDefault="007433CE" w:rsidP="2A62FF34">
            <w:pPr>
              <w:contextualSpacing/>
              <w:rPr>
                <w:rFonts w:ascii="Times New Roman" w:hAnsi="Times New Roman" w:cs="Times New Roman"/>
              </w:rPr>
            </w:pPr>
            <w:r w:rsidRPr="2A62FF34">
              <w:rPr>
                <w:rFonts w:ascii="Times New Roman" w:hAnsi="Times New Roman" w:cs="Times New Roman"/>
                <w:b/>
                <w:bCs/>
              </w:rPr>
              <w:t>Question:</w:t>
            </w:r>
            <w:r w:rsidRPr="2A62FF34">
              <w:rPr>
                <w:rFonts w:ascii="Times New Roman" w:hAnsi="Times New Roman" w:cs="Times New Roman"/>
              </w:rPr>
              <w:t xml:space="preserve"> </w:t>
            </w:r>
            <w:r w:rsidRPr="2A62FF34">
              <w:rPr>
                <w:rFonts w:ascii="Times New Roman" w:hAnsi="Times New Roman" w:cs="Times New Roman"/>
                <w:b/>
                <w:bCs/>
              </w:rPr>
              <w:t>Q1030_02</w:t>
            </w:r>
          </w:p>
          <w:p w14:paraId="0BAFEF62" w14:textId="77777777" w:rsidR="007433CE" w:rsidRPr="00F65000" w:rsidRDefault="007433CE" w:rsidP="2A62FF34">
            <w:pPr>
              <w:contextualSpacing/>
              <w:rPr>
                <w:rFonts w:ascii="Times New Roman" w:hAnsi="Times New Roman" w:cs="Times New Roman"/>
              </w:rPr>
            </w:pPr>
            <w:r w:rsidRPr="2A62FF34">
              <w:rPr>
                <w:rFonts w:ascii="Times New Roman" w:hAnsi="Times New Roman" w:cs="Times New Roman"/>
              </w:rPr>
              <w:t xml:space="preserve">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w:t>
            </w:r>
            <w:proofErr w:type="gramStart"/>
            <w:r w:rsidRPr="2A62FF34">
              <w:rPr>
                <w:rFonts w:ascii="Times New Roman" w:hAnsi="Times New Roman" w:cs="Times New Roman"/>
              </w:rPr>
              <w:t>actually affects</w:t>
            </w:r>
            <w:proofErr w:type="gramEnd"/>
            <w:r w:rsidRPr="2A62FF34">
              <w:rPr>
                <w:rFonts w:ascii="Times New Roman" w:hAnsi="Times New Roman" w:cs="Times New Roman"/>
              </w:rPr>
              <w:t xml:space="preserve"> the true sales price of the property and will impact the acquisition credits or is the calculation only used for the purpose of determining the eligible amount toward favorable financing points?</w:t>
            </w:r>
          </w:p>
          <w:p w14:paraId="777F491B" w14:textId="77777777" w:rsidR="007433CE" w:rsidRPr="00F65000" w:rsidRDefault="007433CE" w:rsidP="2A62FF34">
            <w:pPr>
              <w:contextualSpacing/>
              <w:rPr>
                <w:rFonts w:ascii="Times New Roman" w:hAnsi="Times New Roman" w:cs="Times New Roman"/>
              </w:rPr>
            </w:pPr>
          </w:p>
          <w:p w14:paraId="69248E16" w14:textId="77777777" w:rsidR="007433CE" w:rsidRPr="00FA6344" w:rsidRDefault="007433CE" w:rsidP="2A62FF34">
            <w:pPr>
              <w:contextualSpacing/>
              <w:rPr>
                <w:rFonts w:ascii="Times New Roman" w:hAnsi="Times New Roman" w:cs="Times New Roman"/>
                <w:b/>
                <w:bCs/>
              </w:rPr>
            </w:pPr>
            <w:r w:rsidRPr="2A62FF34">
              <w:rPr>
                <w:rFonts w:ascii="Times New Roman" w:hAnsi="Times New Roman" w:cs="Times New Roman"/>
                <w:b/>
                <w:bCs/>
              </w:rPr>
              <w:t xml:space="preserve">Answer: </w:t>
            </w:r>
            <w:r w:rsidRPr="2A62FF34">
              <w:rPr>
                <w:rFonts w:ascii="Times New Roman" w:hAnsi="Times New Roman" w:cs="Times New Roman"/>
              </w:rPr>
              <w:t xml:space="preserve">The calculation is only used for the purpose of determining the eligible amount toward </w:t>
            </w:r>
            <w:r w:rsidRPr="2A62FF34">
              <w:rPr>
                <w:rFonts w:ascii="Times New Roman" w:hAnsi="Times New Roman" w:cs="Times New Roman"/>
                <w:i/>
                <w:iCs/>
              </w:rPr>
              <w:t xml:space="preserve">Favorable Financing </w:t>
            </w:r>
            <w:r w:rsidRPr="2A62FF34">
              <w:rPr>
                <w:rFonts w:ascii="Times New Roman" w:hAnsi="Times New Roman" w:cs="Times New Roman"/>
              </w:rPr>
              <w:t>points.</w:t>
            </w:r>
          </w:p>
        </w:tc>
      </w:tr>
      <w:tr w:rsidR="007433CE" w:rsidRPr="00D90432" w14:paraId="2D9E4344" w14:textId="77777777" w:rsidTr="2A62FF34">
        <w:trPr>
          <w:jc w:val="center"/>
        </w:trPr>
        <w:tc>
          <w:tcPr>
            <w:tcW w:w="2157" w:type="dxa"/>
            <w:tcMar>
              <w:top w:w="72" w:type="dxa"/>
              <w:left w:w="115" w:type="dxa"/>
              <w:bottom w:w="72" w:type="dxa"/>
              <w:right w:w="115" w:type="dxa"/>
            </w:tcMar>
            <w:vAlign w:val="center"/>
          </w:tcPr>
          <w:p w14:paraId="561C7D7E" w14:textId="77777777" w:rsidR="007433CE" w:rsidRDefault="007433CE"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1E0730C1" w14:textId="77777777" w:rsidR="007433CE" w:rsidRDefault="007433CE" w:rsidP="00665F42">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14E617C2" w14:textId="77777777" w:rsidR="007433CE" w:rsidRDefault="007433CE" w:rsidP="00665F42">
            <w:pPr>
              <w:rPr>
                <w:rFonts w:ascii="Times New Roman" w:hAnsi="Times New Roman" w:cs="Times New Roman"/>
                <w:noProof/>
              </w:rPr>
            </w:pPr>
            <w:r w:rsidRPr="00D90432">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5A2A376E" w14:textId="77777777" w:rsidR="007433CE" w:rsidRPr="004778A0" w:rsidRDefault="007433CE"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Question: Q0304_03B</w:t>
            </w:r>
            <w:r w:rsidRPr="004778A0">
              <w:rPr>
                <w:rStyle w:val="eop"/>
                <w:sz w:val="22"/>
                <w:szCs w:val="22"/>
              </w:rPr>
              <w:t> </w:t>
            </w:r>
          </w:p>
          <w:p w14:paraId="209D5B84" w14:textId="125FCD55" w:rsidR="007433CE" w:rsidRPr="004778A0" w:rsidRDefault="007433CE"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 xml:space="preserve">On the </w:t>
            </w:r>
            <w:r w:rsidR="00853EC4" w:rsidRPr="004778A0">
              <w:rPr>
                <w:rStyle w:val="normaltextrun"/>
                <w:sz w:val="22"/>
                <w:szCs w:val="22"/>
              </w:rPr>
              <w:t xml:space="preserve">Compliance History Summary </w:t>
            </w:r>
            <w:r w:rsidRPr="004778A0">
              <w:rPr>
                <w:rStyle w:val="normaltextrun"/>
                <w:sz w:val="22"/>
                <w:szCs w:val="22"/>
              </w:rPr>
              <w:t xml:space="preserve">and GA </w:t>
            </w:r>
            <w:r w:rsidR="00853EC4" w:rsidRPr="004778A0">
              <w:rPr>
                <w:rStyle w:val="normaltextrun"/>
                <w:sz w:val="22"/>
                <w:szCs w:val="22"/>
              </w:rPr>
              <w:t>Compliance History Summary</w:t>
            </w:r>
            <w:r w:rsidRPr="004778A0">
              <w:rPr>
                <w:rStyle w:val="normaltextrun"/>
                <w:sz w:val="22"/>
                <w:szCs w:val="22"/>
              </w:rPr>
              <w:t>, do we show projects that are under construction or just projects that have already placed in service?</w:t>
            </w:r>
            <w:r w:rsidRPr="004778A0">
              <w:rPr>
                <w:rStyle w:val="eop"/>
                <w:sz w:val="22"/>
                <w:szCs w:val="22"/>
              </w:rPr>
              <w:t> </w:t>
            </w:r>
          </w:p>
          <w:p w14:paraId="4FCCA7A6" w14:textId="77777777" w:rsidR="007433CE" w:rsidRPr="004778A0" w:rsidRDefault="007433CE" w:rsidP="00071086">
            <w:pPr>
              <w:pStyle w:val="paragraph"/>
              <w:spacing w:before="0" w:beforeAutospacing="0" w:after="0" w:afterAutospacing="0"/>
              <w:textAlignment w:val="baseline"/>
              <w:rPr>
                <w:rFonts w:ascii="Calibri" w:hAnsi="Calibri" w:cs="Calibri"/>
                <w:sz w:val="22"/>
                <w:szCs w:val="22"/>
              </w:rPr>
            </w:pPr>
            <w:r w:rsidRPr="004778A0">
              <w:rPr>
                <w:rStyle w:val="eop"/>
                <w:sz w:val="22"/>
                <w:szCs w:val="22"/>
              </w:rPr>
              <w:t> </w:t>
            </w:r>
          </w:p>
          <w:p w14:paraId="79487D31" w14:textId="77777777" w:rsidR="007433CE" w:rsidRPr="004778A0" w:rsidRDefault="007433CE"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Answer: </w:t>
            </w:r>
            <w:r w:rsidRPr="004778A0">
              <w:rPr>
                <w:rStyle w:val="eop"/>
                <w:sz w:val="22"/>
                <w:szCs w:val="22"/>
              </w:rPr>
              <w:t> </w:t>
            </w:r>
          </w:p>
          <w:p w14:paraId="6CF7C499" w14:textId="77777777" w:rsidR="007433CE" w:rsidRPr="004778A0" w:rsidRDefault="007433CE"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In the performance workbook, list properties as follows:</w:t>
            </w:r>
            <w:r w:rsidRPr="004778A0">
              <w:rPr>
                <w:rStyle w:val="eop"/>
                <w:sz w:val="22"/>
                <w:szCs w:val="22"/>
              </w:rPr>
              <w:t> </w:t>
            </w:r>
          </w:p>
          <w:p w14:paraId="783E0EE6" w14:textId="77777777" w:rsidR="007433CE" w:rsidRPr="004778A0" w:rsidRDefault="007433CE" w:rsidP="00071086">
            <w:pPr>
              <w:pStyle w:val="paragraph"/>
              <w:numPr>
                <w:ilvl w:val="0"/>
                <w:numId w:val="35"/>
              </w:numPr>
              <w:spacing w:before="0" w:beforeAutospacing="0" w:after="0" w:afterAutospacing="0"/>
              <w:ind w:left="1080" w:firstLine="0"/>
              <w:textAlignment w:val="baseline"/>
              <w:rPr>
                <w:sz w:val="22"/>
                <w:szCs w:val="22"/>
              </w:rPr>
            </w:pPr>
            <w:r w:rsidRPr="004778A0">
              <w:rPr>
                <w:rStyle w:val="normaltextrun"/>
                <w:sz w:val="22"/>
                <w:szCs w:val="22"/>
              </w:rPr>
              <w:t>Capacity Tab/Form - list properties that have been awarded and that are under construction (under 100% complete)</w:t>
            </w:r>
            <w:r w:rsidRPr="004778A0">
              <w:rPr>
                <w:rStyle w:val="eop"/>
                <w:sz w:val="22"/>
                <w:szCs w:val="22"/>
              </w:rPr>
              <w:t> </w:t>
            </w:r>
          </w:p>
          <w:p w14:paraId="7FCE8E5A" w14:textId="77777777" w:rsidR="007433CE" w:rsidRPr="004778A0" w:rsidRDefault="007433CE"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4778A0">
              <w:rPr>
                <w:rStyle w:val="normaltextrun"/>
                <w:sz w:val="22"/>
                <w:szCs w:val="22"/>
              </w:rPr>
              <w:lastRenderedPageBreak/>
              <w:t>Compliance History Summary Form / GA Compliance History Summary Form – show properties that have been </w:t>
            </w:r>
            <w:proofErr w:type="gramStart"/>
            <w:r w:rsidRPr="004778A0">
              <w:rPr>
                <w:rStyle w:val="normaltextrun"/>
                <w:sz w:val="22"/>
                <w:szCs w:val="22"/>
              </w:rPr>
              <w:t>completed</w:t>
            </w:r>
            <w:proofErr w:type="gramEnd"/>
            <w:r w:rsidRPr="004778A0">
              <w:rPr>
                <w:rStyle w:val="normaltextrun"/>
                <w:sz w:val="22"/>
                <w:szCs w:val="22"/>
              </w:rPr>
              <w:t> </w:t>
            </w:r>
            <w:r w:rsidRPr="004778A0">
              <w:rPr>
                <w:rStyle w:val="eop"/>
                <w:sz w:val="22"/>
                <w:szCs w:val="22"/>
              </w:rPr>
              <w:t> </w:t>
            </w:r>
          </w:p>
          <w:p w14:paraId="32381C31" w14:textId="77777777" w:rsidR="007433CE" w:rsidRPr="004778A0" w:rsidRDefault="007433CE" w:rsidP="00071086">
            <w:pPr>
              <w:contextualSpacing/>
              <w:rPr>
                <w:rFonts w:ascii="Times New Roman" w:hAnsi="Times New Roman" w:cs="Times New Roman"/>
                <w:b/>
                <w:bCs/>
              </w:rPr>
            </w:pPr>
          </w:p>
        </w:tc>
      </w:tr>
      <w:tr w:rsidR="007433CE" w:rsidRPr="00D90432" w14:paraId="29FE3768" w14:textId="77777777" w:rsidTr="2A62FF34">
        <w:trPr>
          <w:jc w:val="center"/>
        </w:trPr>
        <w:tc>
          <w:tcPr>
            <w:tcW w:w="2157" w:type="dxa"/>
            <w:tcMar>
              <w:top w:w="72" w:type="dxa"/>
              <w:left w:w="115" w:type="dxa"/>
              <w:bottom w:w="72" w:type="dxa"/>
              <w:right w:w="115" w:type="dxa"/>
            </w:tcMar>
            <w:vAlign w:val="center"/>
          </w:tcPr>
          <w:p w14:paraId="2B875BC6" w14:textId="77777777" w:rsidR="007433CE" w:rsidRDefault="007433CE"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2D88D21" w14:textId="77777777" w:rsidR="007433CE" w:rsidRDefault="007433CE" w:rsidP="006C0A83">
            <w:pPr>
              <w:rPr>
                <w:rFonts w:ascii="Times New Roman" w:hAnsi="Times New Roman" w:cs="Times New Roman"/>
              </w:rPr>
            </w:pPr>
            <w:r>
              <w:rPr>
                <w:rFonts w:ascii="Times New Roman" w:hAnsi="Times New Roman" w:cs="Times New Roman"/>
              </w:rPr>
              <w:t>1.14</w:t>
            </w:r>
          </w:p>
          <w:p w14:paraId="48AAE86E" w14:textId="77777777" w:rsidR="007433CE" w:rsidRDefault="007433CE" w:rsidP="006C0A83">
            <w:pPr>
              <w:rPr>
                <w:rFonts w:ascii="Times New Roman" w:hAnsi="Times New Roman" w:cs="Times New Roman"/>
              </w:rPr>
            </w:pPr>
            <w:r>
              <w:rPr>
                <w:rFonts w:ascii="Times New Roman" w:hAnsi="Times New Roman" w:cs="Times New Roman"/>
              </w:rPr>
              <w:t xml:space="preserve">Core, Eligibility of Certain Project Configurations </w:t>
            </w:r>
          </w:p>
        </w:tc>
        <w:tc>
          <w:tcPr>
            <w:tcW w:w="9590" w:type="dxa"/>
            <w:tcMar>
              <w:top w:w="72" w:type="dxa"/>
              <w:left w:w="115" w:type="dxa"/>
              <w:bottom w:w="72" w:type="dxa"/>
              <w:right w:w="115" w:type="dxa"/>
            </w:tcMar>
            <w:vAlign w:val="center"/>
          </w:tcPr>
          <w:p w14:paraId="5FA39BB4" w14:textId="77777777" w:rsidR="007433CE" w:rsidRPr="004778A0" w:rsidRDefault="007433CE" w:rsidP="0014106F">
            <w:pPr>
              <w:contextualSpacing/>
              <w:rPr>
                <w:rFonts w:ascii="Times New Roman" w:hAnsi="Times New Roman" w:cs="Times New Roman"/>
                <w:b/>
                <w:bCs/>
              </w:rPr>
            </w:pPr>
            <w:r w:rsidRPr="004778A0">
              <w:rPr>
                <w:rFonts w:ascii="Times New Roman" w:hAnsi="Times New Roman" w:cs="Times New Roman"/>
                <w:b/>
                <w:bCs/>
              </w:rPr>
              <w:t>Question: Q0220_04</w:t>
            </w:r>
          </w:p>
          <w:p w14:paraId="22992DC5" w14:textId="77777777" w:rsidR="007433CE" w:rsidRPr="004778A0" w:rsidRDefault="007433CE" w:rsidP="0014106F">
            <w:pPr>
              <w:contextualSpacing/>
              <w:rPr>
                <w:rFonts w:ascii="Times New Roman" w:hAnsi="Times New Roman" w:cs="Times New Roman"/>
              </w:rPr>
            </w:pPr>
            <w:r w:rsidRPr="004778A0">
              <w:rPr>
                <w:rFonts w:ascii="Times New Roman" w:hAnsi="Times New Roman" w:cs="Times New Roman"/>
              </w:rPr>
              <w:t>For scattered sites, the QAP says we need to submit the Conceptual Site Development Plan. Does the site</w:t>
            </w:r>
          </w:p>
          <w:p w14:paraId="697DAF30" w14:textId="77777777" w:rsidR="007433CE" w:rsidRPr="004778A0" w:rsidRDefault="007433CE" w:rsidP="0014106F">
            <w:pPr>
              <w:contextualSpacing/>
              <w:rPr>
                <w:rFonts w:ascii="Times New Roman" w:hAnsi="Times New Roman" w:cs="Times New Roman"/>
              </w:rPr>
            </w:pPr>
            <w:proofErr w:type="gramStart"/>
            <w:r w:rsidRPr="004778A0">
              <w:rPr>
                <w:rFonts w:ascii="Times New Roman" w:hAnsi="Times New Roman" w:cs="Times New Roman"/>
              </w:rPr>
              <w:t>plan</w:t>
            </w:r>
            <w:proofErr w:type="gramEnd"/>
            <w:r w:rsidRPr="004778A0">
              <w:rPr>
                <w:rFonts w:ascii="Times New Roman" w:hAnsi="Times New Roman" w:cs="Times New Roman"/>
              </w:rPr>
              <w:t xml:space="preserve"> need to meet all threshold requirements or are you just looking at the locations of the scattered sites</w:t>
            </w:r>
          </w:p>
          <w:p w14:paraId="15B6AF5D" w14:textId="77777777" w:rsidR="007433CE" w:rsidRPr="004778A0" w:rsidRDefault="007433CE" w:rsidP="0014106F">
            <w:pPr>
              <w:contextualSpacing/>
              <w:rPr>
                <w:rFonts w:ascii="Times New Roman" w:hAnsi="Times New Roman" w:cs="Times New Roman"/>
              </w:rPr>
            </w:pPr>
            <w:r w:rsidRPr="004778A0">
              <w:rPr>
                <w:rFonts w:ascii="Times New Roman" w:hAnsi="Times New Roman" w:cs="Times New Roman"/>
              </w:rPr>
              <w:t>for purposes of the pre-application?</w:t>
            </w:r>
          </w:p>
          <w:p w14:paraId="1C723DFB" w14:textId="77777777" w:rsidR="007433CE" w:rsidRPr="004778A0" w:rsidRDefault="007433CE" w:rsidP="0014106F">
            <w:pPr>
              <w:contextualSpacing/>
              <w:rPr>
                <w:rFonts w:ascii="Times New Roman" w:hAnsi="Times New Roman" w:cs="Times New Roman"/>
                <w:b/>
                <w:bCs/>
              </w:rPr>
            </w:pPr>
          </w:p>
          <w:p w14:paraId="65C08CB0" w14:textId="77777777" w:rsidR="007433CE" w:rsidRPr="004778A0" w:rsidRDefault="007433CE" w:rsidP="0014106F">
            <w:pPr>
              <w:contextualSpacing/>
              <w:rPr>
                <w:rFonts w:ascii="Times New Roman" w:hAnsi="Times New Roman" w:cs="Times New Roman"/>
                <w:b/>
                <w:bCs/>
              </w:rPr>
            </w:pPr>
            <w:r w:rsidRPr="004778A0">
              <w:rPr>
                <w:rFonts w:ascii="Times New Roman" w:hAnsi="Times New Roman" w:cs="Times New Roman"/>
                <w:b/>
                <w:bCs/>
              </w:rPr>
              <w:t xml:space="preserve">Answer: </w:t>
            </w:r>
          </w:p>
          <w:p w14:paraId="26E23938" w14:textId="77777777" w:rsidR="007433CE" w:rsidRPr="004778A0" w:rsidRDefault="007433CE" w:rsidP="0014106F">
            <w:pPr>
              <w:rPr>
                <w:rFonts w:ascii="Times New Roman" w:hAnsi="Times New Roman" w:cs="Times New Roman"/>
              </w:rPr>
            </w:pPr>
            <w:r w:rsidRPr="004778A0">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4778A0">
              <w:rPr>
                <w:rFonts w:ascii="Times New Roman" w:hAnsi="Times New Roman" w:cs="Times New Roman"/>
                <w:i/>
              </w:rPr>
              <w:t>Threshold, Site Information and Conceptual Site Development Plan</w:t>
            </w:r>
            <w:r w:rsidRPr="004778A0">
              <w:rPr>
                <w:rFonts w:ascii="Times New Roman" w:hAnsi="Times New Roman" w:cs="Times New Roman"/>
              </w:rPr>
              <w:t xml:space="preserve">: </w:t>
            </w:r>
          </w:p>
          <w:p w14:paraId="4FB9E7CB" w14:textId="77777777" w:rsidR="007433CE" w:rsidRPr="004778A0" w:rsidRDefault="007433CE" w:rsidP="00E66B6A">
            <w:pPr>
              <w:pStyle w:val="ListParagraph"/>
              <w:numPr>
                <w:ilvl w:val="0"/>
                <w:numId w:val="32"/>
              </w:numPr>
              <w:rPr>
                <w:rFonts w:ascii="Times New Roman" w:hAnsi="Times New Roman" w:cs="Times New Roman"/>
                <w:b/>
                <w:bCs/>
              </w:rPr>
            </w:pPr>
            <w:r w:rsidRPr="004778A0">
              <w:rPr>
                <w:rFonts w:ascii="Times New Roman" w:hAnsi="Times New Roman" w:cs="Times New Roman"/>
              </w:rPr>
              <w:t>“Conceptual Site Development Plan (Utilize DCA Cover Sheet Template)”</w:t>
            </w:r>
          </w:p>
        </w:tc>
      </w:tr>
      <w:tr w:rsidR="007433CE" w:rsidRPr="00D90432" w14:paraId="21C1DC3F" w14:textId="77777777" w:rsidTr="2A62FF34">
        <w:trPr>
          <w:jc w:val="center"/>
        </w:trPr>
        <w:tc>
          <w:tcPr>
            <w:tcW w:w="2157" w:type="dxa"/>
            <w:tcMar>
              <w:top w:w="72" w:type="dxa"/>
              <w:left w:w="115" w:type="dxa"/>
              <w:bottom w:w="72" w:type="dxa"/>
              <w:right w:w="115" w:type="dxa"/>
            </w:tcMar>
            <w:vAlign w:val="center"/>
          </w:tcPr>
          <w:p w14:paraId="18A05066" w14:textId="77777777" w:rsidR="007433CE" w:rsidRDefault="007433CE"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593914B2" w14:textId="77777777" w:rsidR="007433CE" w:rsidRDefault="007433CE" w:rsidP="006C0A83">
            <w:pPr>
              <w:rPr>
                <w:rFonts w:ascii="Times New Roman" w:hAnsi="Times New Roman" w:cs="Times New Roman"/>
              </w:rPr>
            </w:pPr>
            <w:r>
              <w:rPr>
                <w:rFonts w:ascii="Times New Roman" w:hAnsi="Times New Roman" w:cs="Times New Roman"/>
              </w:rPr>
              <w:t>2.02</w:t>
            </w:r>
          </w:p>
          <w:p w14:paraId="7DDBE0FA" w14:textId="77777777" w:rsidR="007433CE" w:rsidRDefault="007433CE"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7752E1BC" w14:textId="77777777" w:rsidR="007433CE" w:rsidRPr="00914F03" w:rsidRDefault="007433CE" w:rsidP="00914F03">
            <w:pPr>
              <w:contextualSpacing/>
              <w:rPr>
                <w:rFonts w:ascii="Times New Roman" w:hAnsi="Times New Roman" w:cs="Times New Roman"/>
                <w:b/>
                <w:bCs/>
              </w:rPr>
            </w:pPr>
            <w:r w:rsidRPr="00914F03">
              <w:rPr>
                <w:rFonts w:ascii="Times New Roman" w:hAnsi="Times New Roman" w:cs="Times New Roman"/>
                <w:b/>
                <w:bCs/>
              </w:rPr>
              <w:t>Question: Q0220_02</w:t>
            </w:r>
          </w:p>
          <w:p w14:paraId="41AAE082" w14:textId="77777777" w:rsidR="007433CE" w:rsidRPr="0025015C" w:rsidRDefault="007433CE" w:rsidP="00914F03">
            <w:pPr>
              <w:contextualSpacing/>
              <w:rPr>
                <w:rFonts w:ascii="Times New Roman" w:hAnsi="Times New Roman" w:cs="Times New Roman"/>
              </w:rPr>
            </w:pPr>
            <w:r>
              <w:rPr>
                <w:rFonts w:ascii="Times New Roman" w:hAnsi="Times New Roman" w:cs="Times New Roman"/>
              </w:rPr>
              <w:t xml:space="preserve">Can you please clarify the extent to which historic tax credit properties can exceed cost limits? Is the amount of historic tax credit equity </w:t>
            </w:r>
            <w:proofErr w:type="gramStart"/>
            <w:r>
              <w:rPr>
                <w:rFonts w:ascii="Times New Roman" w:hAnsi="Times New Roman" w:cs="Times New Roman"/>
              </w:rPr>
              <w:t>generated</w:t>
            </w:r>
            <w:proofErr w:type="gramEnd"/>
            <w:r>
              <w:rPr>
                <w:rFonts w:ascii="Times New Roman" w:hAnsi="Times New Roman" w:cs="Times New Roman"/>
              </w:rPr>
              <w:t xml:space="preserve"> the extent to which we can exceed cost limits? </w:t>
            </w:r>
          </w:p>
          <w:p w14:paraId="5373B4C4" w14:textId="77777777" w:rsidR="007433CE" w:rsidRPr="0025015C" w:rsidRDefault="007433CE" w:rsidP="00914F03">
            <w:pPr>
              <w:contextualSpacing/>
              <w:rPr>
                <w:rFonts w:ascii="Times New Roman" w:hAnsi="Times New Roman" w:cs="Times New Roman"/>
                <w:b/>
                <w:bCs/>
              </w:rPr>
            </w:pPr>
          </w:p>
          <w:p w14:paraId="18EA9F5E" w14:textId="77777777" w:rsidR="007433CE" w:rsidRPr="00914F03" w:rsidRDefault="007433CE" w:rsidP="00914F03">
            <w:pPr>
              <w:contextualSpacing/>
              <w:rPr>
                <w:rFonts w:ascii="Times New Roman" w:hAnsi="Times New Roman" w:cs="Times New Roman"/>
                <w:b/>
                <w:bCs/>
              </w:rPr>
            </w:pPr>
            <w:r w:rsidRPr="0025015C">
              <w:rPr>
                <w:rFonts w:ascii="Times New Roman" w:hAnsi="Times New Roman" w:cs="Times New Roman"/>
                <w:b/>
                <w:bCs/>
              </w:rPr>
              <w:t xml:space="preserve">Answer: </w:t>
            </w:r>
          </w:p>
          <w:p w14:paraId="7BF09CA8" w14:textId="77777777" w:rsidR="007433CE" w:rsidRDefault="007433CE" w:rsidP="00914F03">
            <w:pPr>
              <w:contextualSpacing/>
              <w:rPr>
                <w:rFonts w:ascii="Times New Roman" w:hAnsi="Times New Roman" w:cs="Times New Roman"/>
              </w:rPr>
            </w:pPr>
            <w:r w:rsidRPr="001C6BA3">
              <w:rPr>
                <w:rFonts w:ascii="Times New Roman" w:hAnsi="Times New Roman" w:cs="Times New Roman"/>
                <w:i/>
                <w:iCs/>
              </w:rPr>
              <w:t>Threshold, Cost Limits</w:t>
            </w:r>
            <w:r>
              <w:rPr>
                <w:rFonts w:ascii="Times New Roman" w:hAnsi="Times New Roman" w:cs="Times New Roman"/>
              </w:rPr>
              <w:t xml:space="preserve">, states the following: </w:t>
            </w:r>
          </w:p>
          <w:p w14:paraId="58B6CC1F" w14:textId="77777777" w:rsidR="007433CE" w:rsidRDefault="007433CE" w:rsidP="00914F03">
            <w:pPr>
              <w:contextualSpacing/>
              <w:rPr>
                <w:rFonts w:ascii="Times New Roman" w:hAnsi="Times New Roman" w:cs="Times New Roman"/>
              </w:rPr>
            </w:pPr>
          </w:p>
          <w:p w14:paraId="77C19B19" w14:textId="77777777" w:rsidR="007433CE" w:rsidRPr="00C13307" w:rsidRDefault="007433CE" w:rsidP="00914F03">
            <w:pPr>
              <w:pStyle w:val="ListParagraph"/>
              <w:numPr>
                <w:ilvl w:val="0"/>
                <w:numId w:val="31"/>
              </w:numPr>
              <w:rPr>
                <w:rFonts w:ascii="Times New Roman" w:hAnsi="Times New Roman" w:cs="Times New Roman"/>
                <w:i/>
                <w:iCs/>
              </w:rPr>
            </w:pPr>
            <w:r>
              <w:rPr>
                <w:rFonts w:ascii="Times New Roman" w:hAnsi="Times New Roman" w:cs="Times New Roman"/>
                <w:b/>
                <w:bCs/>
              </w:rPr>
              <w:t>“</w:t>
            </w:r>
            <w:r w:rsidRPr="00C13307">
              <w:rPr>
                <w:rFonts w:ascii="Times New Roman" w:hAnsi="Times New Roman" w:cs="Times New Roman"/>
                <w:b/>
                <w:bCs/>
                <w:i/>
                <w:iCs/>
              </w:rPr>
              <w:t>Cost Limits for Historic/Transit Oriented Properties</w:t>
            </w:r>
            <w:r w:rsidRPr="00C13307">
              <w:rPr>
                <w:rFonts w:ascii="Times New Roman" w:hAnsi="Times New Roman" w:cs="Times New Roman"/>
                <w:i/>
                <w:iCs/>
              </w:rPr>
              <w:t xml:space="preserve">: The cost limits for historic rehabilitation projects that qualify for scoring points under Historic Preservation…will be increased to 110% </w:t>
            </w:r>
            <w:r>
              <w:rPr>
                <w:rFonts w:ascii="Times New Roman" w:hAnsi="Times New Roman" w:cs="Times New Roman"/>
                <w:i/>
                <w:iCs/>
              </w:rPr>
              <w:t xml:space="preserve">[above the] </w:t>
            </w:r>
            <w:r w:rsidRPr="00C13307">
              <w:rPr>
                <w:rFonts w:ascii="Times New Roman" w:hAnsi="Times New Roman" w:cs="Times New Roman"/>
                <w:i/>
                <w:iCs/>
              </w:rPr>
              <w:t>applicable cost limits.</w:t>
            </w:r>
            <w:r>
              <w:rPr>
                <w:rFonts w:ascii="Times New Roman" w:hAnsi="Times New Roman" w:cs="Times New Roman"/>
                <w:i/>
                <w:iCs/>
              </w:rPr>
              <w:t>”</w:t>
            </w:r>
            <w:r>
              <w:rPr>
                <w:rFonts w:ascii="Times New Roman" w:hAnsi="Times New Roman" w:cs="Times New Roman"/>
                <w:i/>
                <w:iCs/>
              </w:rPr>
              <w:br/>
            </w:r>
          </w:p>
          <w:p w14:paraId="5968061E" w14:textId="77777777" w:rsidR="007433CE" w:rsidRPr="00A9179F" w:rsidRDefault="007433CE" w:rsidP="00914F03">
            <w:pPr>
              <w:pStyle w:val="ListParagraph"/>
              <w:numPr>
                <w:ilvl w:val="0"/>
                <w:numId w:val="31"/>
              </w:numPr>
              <w:rPr>
                <w:rFonts w:ascii="Times New Roman" w:hAnsi="Times New Roman" w:cs="Times New Roman"/>
              </w:rPr>
            </w:pPr>
            <w:r>
              <w:rPr>
                <w:rFonts w:ascii="Times New Roman" w:hAnsi="Times New Roman" w:cs="Times New Roman"/>
                <w:b/>
                <w:bCs/>
                <w:i/>
                <w:iCs/>
              </w:rPr>
              <w:t>“</w:t>
            </w:r>
            <w:r w:rsidRPr="00C13307">
              <w:rPr>
                <w:rFonts w:ascii="Times New Roman" w:hAnsi="Times New Roman" w:cs="Times New Roman"/>
                <w:b/>
                <w:bCs/>
                <w:i/>
                <w:iCs/>
              </w:rPr>
              <w:t>Cost Waivers</w:t>
            </w:r>
            <w:r w:rsidRPr="00C13307">
              <w:rPr>
                <w:rFonts w:ascii="Times New Roman" w:hAnsi="Times New Roman" w:cs="Times New Roman"/>
                <w:i/>
                <w:iCs/>
              </w:rPr>
              <w:t xml:space="preserve">…DCA will consider a cost waiver request for the following [three </w:t>
            </w:r>
            <w:proofErr w:type="gramStart"/>
            <w:r w:rsidRPr="00C13307">
              <w:rPr>
                <w:rFonts w:ascii="Times New Roman" w:hAnsi="Times New Roman" w:cs="Times New Roman"/>
                <w:i/>
                <w:iCs/>
              </w:rPr>
              <w:t>scenarios]…</w:t>
            </w:r>
            <w:proofErr w:type="gramEnd"/>
            <w:r w:rsidRPr="00C13307">
              <w:rPr>
                <w:rFonts w:ascii="Times New Roman" w:hAnsi="Times New Roman" w:cs="Times New Roman"/>
                <w:i/>
                <w:iCs/>
              </w:rPr>
              <w:t>Costs for historic development above the project cost limits which will be covered by historic credit equity.</w:t>
            </w:r>
            <w:r>
              <w:rPr>
                <w:rFonts w:ascii="Times New Roman" w:hAnsi="Times New Roman" w:cs="Times New Roman"/>
              </w:rPr>
              <w:t>”</w:t>
            </w:r>
          </w:p>
          <w:p w14:paraId="06BF8671" w14:textId="77777777" w:rsidR="007433CE" w:rsidRDefault="007433CE" w:rsidP="00914F03">
            <w:pPr>
              <w:rPr>
                <w:rFonts w:ascii="Times New Roman" w:hAnsi="Times New Roman" w:cs="Times New Roman"/>
              </w:rPr>
            </w:pPr>
          </w:p>
          <w:p w14:paraId="7C9552D9" w14:textId="77777777" w:rsidR="007433CE" w:rsidRPr="00E800FC" w:rsidRDefault="007433CE" w:rsidP="00914F03">
            <w:pPr>
              <w:rPr>
                <w:rFonts w:ascii="Times New Roman" w:hAnsi="Times New Roman" w:cs="Times New Roman"/>
              </w:rPr>
            </w:pPr>
            <w:r>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C21690">
              <w:rPr>
                <w:rFonts w:ascii="Times New Roman" w:hAnsi="Times New Roman" w:cs="Times New Roman"/>
                <w:i/>
                <w:iCs/>
              </w:rPr>
              <w:t>Scoring</w:t>
            </w:r>
            <w:r>
              <w:rPr>
                <w:rFonts w:ascii="Times New Roman" w:hAnsi="Times New Roman" w:cs="Times New Roman"/>
              </w:rPr>
              <w:t xml:space="preserve">, </w:t>
            </w:r>
            <w:r w:rsidRPr="00C21690">
              <w:rPr>
                <w:rFonts w:ascii="Times New Roman" w:hAnsi="Times New Roman" w:cs="Times New Roman"/>
                <w:i/>
                <w:iCs/>
              </w:rPr>
              <w:t>Historic Preservation</w:t>
            </w:r>
            <w:r>
              <w:rPr>
                <w:rFonts w:ascii="Times New Roman" w:hAnsi="Times New Roman" w:cs="Times New Roman"/>
              </w:rPr>
              <w:t xml:space="preserve">. </w:t>
            </w:r>
          </w:p>
          <w:p w14:paraId="079838B6" w14:textId="77777777" w:rsidR="007433CE" w:rsidRDefault="007433CE" w:rsidP="00914F03">
            <w:pPr>
              <w:rPr>
                <w:rFonts w:ascii="Times New Roman" w:hAnsi="Times New Roman" w:cs="Times New Roman"/>
              </w:rPr>
            </w:pPr>
          </w:p>
          <w:p w14:paraId="75C4448D" w14:textId="77777777" w:rsidR="007433CE" w:rsidRDefault="007433CE" w:rsidP="00914F03">
            <w:r w:rsidRPr="4E79E067">
              <w:rPr>
                <w:rFonts w:ascii="Times New Roman" w:eastAsia="Times New Roman" w:hAnsi="Times New Roman" w:cs="Times New Roman"/>
              </w:rPr>
              <w:lastRenderedPageBreak/>
              <w:t xml:space="preserve">9% Applicants may submit cost limit waivers at Application Submission or </w:t>
            </w:r>
            <w:proofErr w:type="gramStart"/>
            <w:r w:rsidRPr="4E79E067">
              <w:rPr>
                <w:rFonts w:ascii="Times New Roman" w:eastAsia="Times New Roman" w:hAnsi="Times New Roman" w:cs="Times New Roman"/>
              </w:rPr>
              <w:t>Pre Application</w:t>
            </w:r>
            <w:proofErr w:type="gramEnd"/>
            <w:r w:rsidRPr="4E79E067">
              <w:rPr>
                <w:rFonts w:ascii="Times New Roman" w:eastAsia="Times New Roman" w:hAnsi="Times New Roman" w:cs="Times New Roman"/>
              </w:rPr>
              <w:t xml:space="preserve">. If DCA denies a cost waiver submitted after the Application Submission deadline, the Applicant will fail Threshold. </w:t>
            </w:r>
          </w:p>
          <w:p w14:paraId="0586DC66" w14:textId="77777777" w:rsidR="007433CE" w:rsidRPr="0014106F" w:rsidRDefault="007433CE" w:rsidP="0014106F">
            <w:pPr>
              <w:contextualSpacing/>
              <w:rPr>
                <w:rFonts w:ascii="Times New Roman" w:hAnsi="Times New Roman" w:cs="Times New Roman"/>
                <w:b/>
                <w:bCs/>
              </w:rPr>
            </w:pPr>
          </w:p>
        </w:tc>
      </w:tr>
      <w:tr w:rsidR="007433CE" w:rsidRPr="00D90432" w14:paraId="49294E67" w14:textId="77777777" w:rsidTr="2A62FF34">
        <w:trPr>
          <w:jc w:val="center"/>
        </w:trPr>
        <w:tc>
          <w:tcPr>
            <w:tcW w:w="2157" w:type="dxa"/>
            <w:tcMar>
              <w:top w:w="72" w:type="dxa"/>
              <w:left w:w="115" w:type="dxa"/>
              <w:bottom w:w="72" w:type="dxa"/>
              <w:right w:w="115" w:type="dxa"/>
            </w:tcMar>
            <w:vAlign w:val="center"/>
          </w:tcPr>
          <w:p w14:paraId="252B104A" w14:textId="77777777" w:rsidR="007433CE" w:rsidRDefault="007433CE"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01CB197" w14:textId="77777777" w:rsidR="007433CE" w:rsidRDefault="007433CE" w:rsidP="006C0A83">
            <w:pPr>
              <w:rPr>
                <w:rFonts w:ascii="Times New Roman" w:hAnsi="Times New Roman" w:cs="Times New Roman"/>
              </w:rPr>
            </w:pPr>
            <w:r>
              <w:rPr>
                <w:rFonts w:ascii="Times New Roman" w:hAnsi="Times New Roman" w:cs="Times New Roman"/>
              </w:rPr>
              <w:t>2.02</w:t>
            </w:r>
          </w:p>
          <w:p w14:paraId="67D5A500" w14:textId="77777777" w:rsidR="007433CE" w:rsidRDefault="007433CE"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0A27E538" w14:textId="77777777" w:rsidR="007433CE" w:rsidRPr="00AB5CBF" w:rsidRDefault="007433CE" w:rsidP="00714AAF">
            <w:pPr>
              <w:contextualSpacing/>
              <w:rPr>
                <w:rFonts w:ascii="Times New Roman" w:hAnsi="Times New Roman" w:cs="Times New Roman"/>
                <w:b/>
                <w:bCs/>
              </w:rPr>
            </w:pPr>
            <w:r w:rsidRPr="00AB5CBF">
              <w:rPr>
                <w:rFonts w:ascii="Times New Roman" w:hAnsi="Times New Roman" w:cs="Times New Roman"/>
                <w:b/>
                <w:bCs/>
              </w:rPr>
              <w:t>Question: Q0220_03</w:t>
            </w:r>
          </w:p>
          <w:p w14:paraId="37914CA4" w14:textId="77777777" w:rsidR="007433CE" w:rsidRPr="002225EA" w:rsidRDefault="007433CE" w:rsidP="00714AAF">
            <w:pPr>
              <w:contextualSpacing/>
              <w:rPr>
                <w:rFonts w:ascii="Times New Roman" w:hAnsi="Times New Roman" w:cs="Times New Roman"/>
              </w:rPr>
            </w:pPr>
            <w:r w:rsidRPr="002225EA">
              <w:rPr>
                <w:rFonts w:ascii="Times New Roman" w:hAnsi="Times New Roman" w:cs="Times New Roman"/>
              </w:rPr>
              <w:t>When will core app be posted</w:t>
            </w:r>
            <w:r>
              <w:rPr>
                <w:rFonts w:ascii="Times New Roman" w:hAnsi="Times New Roman" w:cs="Times New Roman"/>
              </w:rPr>
              <w:t>?</w:t>
            </w:r>
            <w:r w:rsidRPr="002225EA">
              <w:rPr>
                <w:rFonts w:ascii="Times New Roman" w:hAnsi="Times New Roman" w:cs="Times New Roman"/>
              </w:rPr>
              <w:t xml:space="preserve"> </w:t>
            </w:r>
            <w:r>
              <w:rPr>
                <w:rFonts w:ascii="Times New Roman" w:hAnsi="Times New Roman" w:cs="Times New Roman"/>
              </w:rPr>
              <w:t>W</w:t>
            </w:r>
            <w:r w:rsidRPr="002225EA">
              <w:rPr>
                <w:rFonts w:ascii="Times New Roman" w:hAnsi="Times New Roman" w:cs="Times New Roman"/>
              </w:rPr>
              <w:t>e need to submit a cost waiver</w:t>
            </w:r>
            <w:r>
              <w:rPr>
                <w:rFonts w:ascii="Times New Roman" w:hAnsi="Times New Roman" w:cs="Times New Roman"/>
              </w:rPr>
              <w:t xml:space="preserve">. </w:t>
            </w:r>
          </w:p>
          <w:p w14:paraId="5C360B5D" w14:textId="77777777" w:rsidR="007433CE" w:rsidRPr="002225EA" w:rsidRDefault="007433CE" w:rsidP="00714AAF">
            <w:pPr>
              <w:contextualSpacing/>
              <w:rPr>
                <w:rFonts w:ascii="Times New Roman" w:hAnsi="Times New Roman" w:cs="Times New Roman"/>
                <w:b/>
                <w:bCs/>
              </w:rPr>
            </w:pPr>
          </w:p>
          <w:p w14:paraId="205EDC2F" w14:textId="77777777" w:rsidR="007433CE" w:rsidRPr="00D34FB3" w:rsidRDefault="007433CE" w:rsidP="00714AAF">
            <w:pPr>
              <w:contextualSpacing/>
              <w:rPr>
                <w:rFonts w:ascii="Times New Roman" w:hAnsi="Times New Roman" w:cs="Times New Roman"/>
                <w:b/>
                <w:bCs/>
              </w:rPr>
            </w:pPr>
            <w:r w:rsidRPr="00D34FB3">
              <w:rPr>
                <w:rFonts w:ascii="Times New Roman" w:hAnsi="Times New Roman" w:cs="Times New Roman"/>
                <w:b/>
                <w:bCs/>
              </w:rPr>
              <w:t xml:space="preserve">Answer: </w:t>
            </w:r>
          </w:p>
          <w:p w14:paraId="7231B20A" w14:textId="77777777" w:rsidR="007433CE" w:rsidRPr="001C2546" w:rsidRDefault="007433CE" w:rsidP="00714AAF">
            <w:pPr>
              <w:contextualSpacing/>
              <w:rPr>
                <w:rFonts w:ascii="Times New Roman" w:hAnsi="Times New Roman" w:cs="Times New Roman"/>
              </w:rPr>
            </w:pPr>
            <w:r w:rsidRPr="704F16A5">
              <w:rPr>
                <w:rFonts w:ascii="Times New Roman" w:hAnsi="Times New Roman" w:cs="Times New Roman"/>
              </w:rPr>
              <w:t>DCA anticipates publishing the 2021 core app in late April. For now, applicants</w:t>
            </w:r>
            <w:r w:rsidRPr="001C2546">
              <w:rPr>
                <w:rFonts w:ascii="Times New Roman" w:hAnsi="Times New Roman" w:cs="Times New Roman"/>
              </w:rPr>
              <w:t xml:space="preserve"> </w:t>
            </w:r>
            <w:r>
              <w:rPr>
                <w:rFonts w:ascii="Times New Roman" w:hAnsi="Times New Roman" w:cs="Times New Roman"/>
              </w:rPr>
              <w:t>may use the 2021 Cost Limit Testing Workbook posted on the “</w:t>
            </w:r>
            <w:r w:rsidRPr="00520ADE">
              <w:rPr>
                <w:rFonts w:ascii="Times New Roman" w:hAnsi="Times New Roman" w:cs="Times New Roman"/>
              </w:rPr>
              <w:t>2021 Pre-Application Forms</w:t>
            </w:r>
            <w:r>
              <w:rPr>
                <w:rFonts w:ascii="Times New Roman" w:hAnsi="Times New Roman" w:cs="Times New Roman"/>
              </w:rPr>
              <w:t>” section of the DCA website (</w:t>
            </w:r>
            <w:hyperlink r:id="rId18">
              <w:r w:rsidRPr="704F16A5">
                <w:rPr>
                  <w:rStyle w:val="Hyperlink"/>
                  <w:rFonts w:ascii="Times New Roman" w:hAnsi="Times New Roman" w:cs="Times New Roman"/>
                </w:rPr>
                <w:t>click here</w:t>
              </w:r>
            </w:hyperlink>
            <w:r>
              <w:rPr>
                <w:rFonts w:ascii="Times New Roman" w:hAnsi="Times New Roman" w:cs="Times New Roman"/>
              </w:rPr>
              <w:t xml:space="preserve">). </w:t>
            </w:r>
          </w:p>
          <w:p w14:paraId="778827F5" w14:textId="77777777" w:rsidR="007433CE" w:rsidRDefault="007433CE" w:rsidP="00714AAF">
            <w:pPr>
              <w:rPr>
                <w:rFonts w:ascii="Times New Roman" w:hAnsi="Times New Roman" w:cs="Times New Roman"/>
              </w:rPr>
            </w:pPr>
          </w:p>
          <w:p w14:paraId="3D71EBCC" w14:textId="77777777" w:rsidR="007433CE" w:rsidRDefault="007433CE" w:rsidP="00714AAF">
            <w:r w:rsidRPr="19D290AF">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566FCC72" w14:textId="77777777" w:rsidR="007433CE" w:rsidRDefault="007433CE" w:rsidP="00714AAF">
            <w:pPr>
              <w:rPr>
                <w:rFonts w:ascii="Times New Roman" w:eastAsia="Times New Roman" w:hAnsi="Times New Roman" w:cs="Times New Roman"/>
              </w:rPr>
            </w:pPr>
          </w:p>
          <w:p w14:paraId="1A031B5E" w14:textId="77777777" w:rsidR="007433CE" w:rsidRDefault="007433CE" w:rsidP="00714AAF">
            <w:pPr>
              <w:rPr>
                <w:rFonts w:ascii="Times New Roman" w:eastAsia="Times New Roman" w:hAnsi="Times New Roman" w:cs="Times New Roman"/>
              </w:rPr>
            </w:pPr>
            <w:r w:rsidRPr="19D290AF">
              <w:rPr>
                <w:rFonts w:ascii="Times New Roman" w:eastAsia="Times New Roman" w:hAnsi="Times New Roman" w:cs="Times New Roman"/>
              </w:rPr>
              <w:t xml:space="preserve">Please see the </w:t>
            </w:r>
            <w:hyperlink r:id="rId19">
              <w:r w:rsidRPr="19D290AF">
                <w:rPr>
                  <w:rStyle w:val="Hyperlink"/>
                  <w:rFonts w:ascii="Times New Roman" w:eastAsia="Times New Roman" w:hAnsi="Times New Roman" w:cs="Times New Roman"/>
                </w:rPr>
                <w:t>2020 Core App</w:t>
              </w:r>
            </w:hyperlink>
            <w:r w:rsidRPr="19D290AF">
              <w:rPr>
                <w:rFonts w:ascii="Times New Roman" w:eastAsia="Times New Roman" w:hAnsi="Times New Roman" w:cs="Times New Roman"/>
              </w:rPr>
              <w:t xml:space="preserve"> as an example for how the cost limits are calculated, with DCA excludable costs. See Part IV-Uses, J163-J166.</w:t>
            </w:r>
          </w:p>
          <w:p w14:paraId="043D927C" w14:textId="77777777" w:rsidR="007433CE" w:rsidRPr="001862C5" w:rsidRDefault="007433CE" w:rsidP="003A1828">
            <w:pPr>
              <w:contextualSpacing/>
              <w:rPr>
                <w:rFonts w:ascii="Times New Roman" w:hAnsi="Times New Roman" w:cs="Times New Roman"/>
                <w:b/>
                <w:bCs/>
              </w:rPr>
            </w:pPr>
          </w:p>
        </w:tc>
      </w:tr>
      <w:tr w:rsidR="007433CE" w:rsidRPr="00D90432" w14:paraId="0EB1BEF7" w14:textId="77777777" w:rsidTr="2A62FF34">
        <w:trPr>
          <w:jc w:val="center"/>
        </w:trPr>
        <w:tc>
          <w:tcPr>
            <w:tcW w:w="2157" w:type="dxa"/>
            <w:tcMar>
              <w:top w:w="72" w:type="dxa"/>
              <w:left w:w="115" w:type="dxa"/>
              <w:bottom w:w="72" w:type="dxa"/>
              <w:right w:w="115" w:type="dxa"/>
            </w:tcMar>
            <w:vAlign w:val="center"/>
          </w:tcPr>
          <w:p w14:paraId="50B19777" w14:textId="77777777" w:rsidR="007433CE" w:rsidRDefault="007433CE"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480C8619" w14:textId="77777777" w:rsidR="007433CE" w:rsidRDefault="007433CE" w:rsidP="006C0A83">
            <w:pPr>
              <w:rPr>
                <w:rFonts w:ascii="Times New Roman" w:hAnsi="Times New Roman" w:cs="Times New Roman"/>
              </w:rPr>
            </w:pPr>
            <w:r>
              <w:rPr>
                <w:rFonts w:ascii="Times New Roman" w:hAnsi="Times New Roman" w:cs="Times New Roman"/>
              </w:rPr>
              <w:t>4.00</w:t>
            </w:r>
          </w:p>
        </w:tc>
        <w:tc>
          <w:tcPr>
            <w:tcW w:w="9590" w:type="dxa"/>
            <w:tcMar>
              <w:top w:w="72" w:type="dxa"/>
              <w:left w:w="115" w:type="dxa"/>
              <w:bottom w:w="72" w:type="dxa"/>
              <w:right w:w="115" w:type="dxa"/>
            </w:tcMar>
            <w:vAlign w:val="center"/>
          </w:tcPr>
          <w:p w14:paraId="23814D11" w14:textId="77777777" w:rsidR="007433CE" w:rsidRPr="00B95C56" w:rsidRDefault="007433CE" w:rsidP="00B95C56">
            <w:pPr>
              <w:contextualSpacing/>
              <w:rPr>
                <w:rFonts w:ascii="Times New Roman" w:hAnsi="Times New Roman" w:cs="Times New Roman"/>
                <w:b/>
                <w:bCs/>
              </w:rPr>
            </w:pPr>
            <w:r w:rsidRPr="00B95C56">
              <w:rPr>
                <w:rFonts w:ascii="Times New Roman" w:hAnsi="Times New Roman" w:cs="Times New Roman"/>
                <w:b/>
                <w:bCs/>
              </w:rPr>
              <w:t>Question: Q0220_01</w:t>
            </w:r>
          </w:p>
          <w:p w14:paraId="327652CD" w14:textId="77777777" w:rsidR="007433CE" w:rsidRDefault="007433CE" w:rsidP="00B95C56">
            <w:pPr>
              <w:contextualSpacing/>
              <w:rPr>
                <w:rFonts w:ascii="Times New Roman" w:hAnsi="Times New Roman" w:cs="Times New Roman"/>
              </w:rPr>
            </w:pPr>
            <w:r w:rsidRPr="00A402B4">
              <w:rPr>
                <w:rFonts w:ascii="Times New Roman" w:hAnsi="Times New Roman" w:cs="Times New Roman"/>
                <w:i/>
                <w:iCs/>
              </w:rPr>
              <w:t>Appendix III: Compliance Monitoring Procedures</w:t>
            </w:r>
            <w:r>
              <w:rPr>
                <w:rFonts w:ascii="Times New Roman" w:hAnsi="Times New Roman" w:cs="Times New Roman"/>
              </w:rPr>
              <w:t>, states the following: “</w:t>
            </w:r>
            <w:r w:rsidRPr="00CD655C">
              <w:rPr>
                <w:rFonts w:ascii="Times New Roman" w:hAnsi="Times New Roman" w:cs="Times New Roman"/>
              </w:rPr>
              <w:t>Applicants must ensure the management company included in all applications is approved per DCA’s Management Company Approval policy</w:t>
            </w:r>
            <w:r>
              <w:rPr>
                <w:rFonts w:ascii="Times New Roman" w:hAnsi="Times New Roman" w:cs="Times New Roman"/>
              </w:rPr>
              <w:t xml:space="preserve">…” </w:t>
            </w:r>
          </w:p>
          <w:p w14:paraId="00536336" w14:textId="77777777" w:rsidR="007433CE" w:rsidRDefault="007433CE" w:rsidP="00B95C56">
            <w:pPr>
              <w:contextualSpacing/>
              <w:rPr>
                <w:rFonts w:ascii="Times New Roman" w:hAnsi="Times New Roman" w:cs="Times New Roman"/>
              </w:rPr>
            </w:pPr>
          </w:p>
          <w:p w14:paraId="1A11AED7" w14:textId="77777777" w:rsidR="007433CE" w:rsidRPr="005D69D1" w:rsidRDefault="007433CE" w:rsidP="00B95C56">
            <w:pPr>
              <w:contextualSpacing/>
              <w:rPr>
                <w:rFonts w:ascii="Times New Roman" w:hAnsi="Times New Roman" w:cs="Times New Roman"/>
              </w:rPr>
            </w:pPr>
            <w:r w:rsidRPr="005D69D1">
              <w:rPr>
                <w:rFonts w:ascii="Times New Roman" w:hAnsi="Times New Roman" w:cs="Times New Roman"/>
              </w:rPr>
              <w:t>Is my property management company on DCA’s list of approved management companies?</w:t>
            </w:r>
          </w:p>
          <w:p w14:paraId="336D25A1" w14:textId="77777777" w:rsidR="007433CE" w:rsidRPr="005D69D1" w:rsidRDefault="007433CE" w:rsidP="00B95C56">
            <w:pPr>
              <w:contextualSpacing/>
              <w:rPr>
                <w:rFonts w:ascii="Times New Roman" w:hAnsi="Times New Roman" w:cs="Times New Roman"/>
                <w:b/>
                <w:bCs/>
              </w:rPr>
            </w:pPr>
          </w:p>
          <w:p w14:paraId="7D496A2E" w14:textId="77777777" w:rsidR="007433CE" w:rsidRPr="00AB2B54" w:rsidRDefault="007433CE" w:rsidP="00B95C56">
            <w:pPr>
              <w:contextualSpacing/>
              <w:rPr>
                <w:rFonts w:ascii="Times New Roman" w:hAnsi="Times New Roman" w:cs="Times New Roman"/>
                <w:b/>
                <w:bCs/>
              </w:rPr>
            </w:pPr>
            <w:r w:rsidRPr="00AB2B54">
              <w:rPr>
                <w:rFonts w:ascii="Times New Roman" w:hAnsi="Times New Roman" w:cs="Times New Roman"/>
                <w:b/>
                <w:bCs/>
              </w:rPr>
              <w:t xml:space="preserve">Answer: </w:t>
            </w:r>
          </w:p>
          <w:p w14:paraId="047B712F" w14:textId="77777777" w:rsidR="007433CE" w:rsidRPr="00914F03" w:rsidRDefault="007433CE" w:rsidP="00B95C56">
            <w:pPr>
              <w:contextualSpacing/>
              <w:rPr>
                <w:rFonts w:ascii="Times New Roman" w:hAnsi="Times New Roman" w:cs="Times New Roman"/>
                <w:b/>
                <w:bCs/>
              </w:rPr>
            </w:pPr>
            <w:r w:rsidRPr="00B35521">
              <w:rPr>
                <w:rFonts w:ascii="Times New Roman" w:hAnsi="Times New Roman" w:cs="Times New Roman"/>
              </w:rPr>
              <w:t xml:space="preserve">DCA has not yet published a list of approved management companies. </w:t>
            </w:r>
            <w:r w:rsidRPr="00AB2B54">
              <w:rPr>
                <w:rFonts w:ascii="Times New Roman" w:hAnsi="Times New Roman" w:cs="Times New Roman"/>
              </w:rPr>
              <w:t xml:space="preserve">DCA will publish this list after June 30, 2021. For details regarding management company qualifications, please see </w:t>
            </w:r>
            <w:hyperlink r:id="rId20" w:history="1">
              <w:r w:rsidRPr="00AB2B54">
                <w:rPr>
                  <w:rFonts w:ascii="Times New Roman" w:hAnsi="Times New Roman" w:cs="Times New Roman"/>
                </w:rPr>
                <w:t>DCA’s Management Company Approval policy</w:t>
              </w:r>
            </w:hyperlink>
            <w:r w:rsidRPr="00AB2B54">
              <w:rPr>
                <w:rFonts w:ascii="Times New Roman" w:hAnsi="Times New Roman" w:cs="Times New Roman"/>
              </w:rPr>
              <w:t xml:space="preserve"> (</w:t>
            </w:r>
            <w:hyperlink r:id="rId21" w:history="1">
              <w:r w:rsidRPr="00AB2B54">
                <w:rPr>
                  <w:rStyle w:val="Hyperlink"/>
                  <w:rFonts w:ascii="Times New Roman" w:hAnsi="Times New Roman" w:cs="Times New Roman"/>
                </w:rPr>
                <w:t>click here</w:t>
              </w:r>
            </w:hyperlink>
            <w:r w:rsidRPr="00AB2B54">
              <w:rPr>
                <w:rFonts w:ascii="Times New Roman" w:hAnsi="Times New Roman" w:cs="Times New Roman"/>
              </w:rPr>
              <w:t>).</w:t>
            </w:r>
          </w:p>
        </w:tc>
      </w:tr>
      <w:tr w:rsidR="007433CE" w:rsidRPr="00D90432" w14:paraId="315B40A8" w14:textId="77777777" w:rsidTr="2A62FF34">
        <w:trPr>
          <w:jc w:val="center"/>
        </w:trPr>
        <w:tc>
          <w:tcPr>
            <w:tcW w:w="2157" w:type="dxa"/>
            <w:tcMar>
              <w:top w:w="72" w:type="dxa"/>
              <w:left w:w="115" w:type="dxa"/>
              <w:bottom w:w="72" w:type="dxa"/>
              <w:right w:w="115" w:type="dxa"/>
            </w:tcMar>
            <w:vAlign w:val="center"/>
          </w:tcPr>
          <w:p w14:paraId="53F7C79F" w14:textId="77777777" w:rsidR="007433CE" w:rsidRDefault="007433CE"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63B1F9F3" w14:textId="77777777" w:rsidR="007433CE" w:rsidRDefault="007433CE" w:rsidP="006C0A83">
            <w:pPr>
              <w:rPr>
                <w:rFonts w:ascii="Times New Roman" w:hAnsi="Times New Roman" w:cs="Times New Roman"/>
              </w:rPr>
            </w:pPr>
            <w:r>
              <w:rPr>
                <w:rFonts w:ascii="Times New Roman" w:hAnsi="Times New Roman" w:cs="Times New Roman"/>
              </w:rPr>
              <w:t>2.20</w:t>
            </w:r>
          </w:p>
          <w:p w14:paraId="3DCEBB4A" w14:textId="77777777" w:rsidR="007433CE" w:rsidRDefault="007433CE" w:rsidP="006C0A83">
            <w:pPr>
              <w:rPr>
                <w:rFonts w:ascii="Times New Roman" w:hAnsi="Times New Roman" w:cs="Times New Roman"/>
              </w:rPr>
            </w:pPr>
            <w:r>
              <w:rPr>
                <w:rFonts w:ascii="Times New Roman" w:hAnsi="Times New Roman" w:cs="Times New Roman"/>
              </w:rPr>
              <w:t xml:space="preserve">Experience, Capacity, and Performance Requirements for </w:t>
            </w:r>
            <w:r>
              <w:rPr>
                <w:rFonts w:ascii="Times New Roman" w:hAnsi="Times New Roman" w:cs="Times New Roman"/>
              </w:rPr>
              <w:lastRenderedPageBreak/>
              <w:t>General Partner and Developer Entities</w:t>
            </w:r>
          </w:p>
        </w:tc>
        <w:tc>
          <w:tcPr>
            <w:tcW w:w="9590" w:type="dxa"/>
            <w:tcMar>
              <w:top w:w="72" w:type="dxa"/>
              <w:left w:w="115" w:type="dxa"/>
              <w:bottom w:w="72" w:type="dxa"/>
              <w:right w:w="115" w:type="dxa"/>
            </w:tcMar>
            <w:vAlign w:val="center"/>
          </w:tcPr>
          <w:p w14:paraId="3EF3E1D2" w14:textId="77777777" w:rsidR="007433CE" w:rsidRPr="003A1828" w:rsidRDefault="007433CE" w:rsidP="003A1828">
            <w:pPr>
              <w:contextualSpacing/>
              <w:rPr>
                <w:rFonts w:ascii="Times New Roman" w:hAnsi="Times New Roman" w:cs="Times New Roman"/>
                <w:b/>
                <w:bCs/>
              </w:rPr>
            </w:pPr>
            <w:r w:rsidRPr="001862C5">
              <w:rPr>
                <w:rFonts w:ascii="Times New Roman" w:hAnsi="Times New Roman" w:cs="Times New Roman"/>
                <w:b/>
                <w:bCs/>
              </w:rPr>
              <w:lastRenderedPageBreak/>
              <w:t>Question:</w:t>
            </w:r>
            <w:r>
              <w:rPr>
                <w:rFonts w:ascii="Times New Roman" w:hAnsi="Times New Roman" w:cs="Times New Roman"/>
                <w:b/>
                <w:bCs/>
              </w:rPr>
              <w:t xml:space="preserve"> </w:t>
            </w:r>
            <w:r w:rsidRPr="007E688C">
              <w:rPr>
                <w:rFonts w:ascii="Times New Roman" w:hAnsi="Times New Roman" w:cs="Times New Roman"/>
                <w:b/>
                <w:bCs/>
              </w:rPr>
              <w:t>Q0227_01</w:t>
            </w:r>
          </w:p>
          <w:p w14:paraId="2D2B0A42" w14:textId="77777777" w:rsidR="007433CE" w:rsidRPr="003A1828" w:rsidRDefault="007433CE" w:rsidP="003A1828">
            <w:pPr>
              <w:contextualSpacing/>
              <w:rPr>
                <w:rFonts w:ascii="Times New Roman" w:hAnsi="Times New Roman" w:cs="Times New Roman"/>
              </w:rPr>
            </w:pPr>
            <w:r w:rsidRPr="001862C5">
              <w:rPr>
                <w:rFonts w:ascii="Times New Roman" w:hAnsi="Times New Roman" w:cs="Times New Roman"/>
              </w:rPr>
              <w:t xml:space="preserve">For Probationary Designation review, does DCA require anything specific for "evidence" of five or more years of </w:t>
            </w:r>
            <w:proofErr w:type="gramStart"/>
            <w:r w:rsidRPr="001862C5">
              <w:rPr>
                <w:rFonts w:ascii="Times New Roman" w:hAnsi="Times New Roman" w:cs="Times New Roman"/>
              </w:rPr>
              <w:t>full time</w:t>
            </w:r>
            <w:proofErr w:type="gramEnd"/>
            <w:r w:rsidRPr="001862C5">
              <w:rPr>
                <w:rFonts w:ascii="Times New Roman" w:hAnsi="Times New Roman" w:cs="Times New Roman"/>
              </w:rPr>
              <w:t xml:space="preserve"> employment in the industry and material participation in the development of at least </w:t>
            </w:r>
            <w:r w:rsidRPr="001862C5">
              <w:rPr>
                <w:rFonts w:ascii="Times New Roman" w:hAnsi="Times New Roman" w:cs="Times New Roman"/>
              </w:rPr>
              <w:lastRenderedPageBreak/>
              <w:t xml:space="preserve">three successful tax credit developments?  </w:t>
            </w:r>
            <w:r w:rsidRPr="003A1828">
              <w:rPr>
                <w:rFonts w:ascii="Times New Roman" w:hAnsi="Times New Roman" w:cs="Times New Roman"/>
              </w:rPr>
              <w:t>Is a written summary of experience and resume sufficient or are there specific documents or forms of evidence required?</w:t>
            </w:r>
          </w:p>
          <w:p w14:paraId="67355F10" w14:textId="77777777" w:rsidR="007433CE" w:rsidRPr="003A1828" w:rsidRDefault="007433CE" w:rsidP="003A1828">
            <w:pPr>
              <w:contextualSpacing/>
              <w:rPr>
                <w:rFonts w:ascii="Times New Roman" w:hAnsi="Times New Roman" w:cs="Times New Roman"/>
                <w:b/>
              </w:rPr>
            </w:pPr>
          </w:p>
          <w:p w14:paraId="058CE7E5" w14:textId="77777777" w:rsidR="007433CE" w:rsidRPr="003A1828" w:rsidRDefault="007433CE" w:rsidP="003A1828">
            <w:pPr>
              <w:contextualSpacing/>
              <w:rPr>
                <w:rFonts w:ascii="Times New Roman" w:hAnsi="Times New Roman" w:cs="Times New Roman"/>
                <w:b/>
                <w:bCs/>
              </w:rPr>
            </w:pPr>
            <w:r w:rsidRPr="007E688C">
              <w:rPr>
                <w:rFonts w:ascii="Times New Roman" w:hAnsi="Times New Roman" w:cs="Times New Roman"/>
                <w:b/>
                <w:bCs/>
              </w:rPr>
              <w:t xml:space="preserve">Answer: </w:t>
            </w:r>
          </w:p>
          <w:p w14:paraId="09A8F212" w14:textId="77777777" w:rsidR="007433CE" w:rsidRPr="008410CC" w:rsidRDefault="007433CE" w:rsidP="003A1828">
            <w:pPr>
              <w:contextualSpacing/>
              <w:rPr>
                <w:rFonts w:ascii="Times New Roman" w:hAnsi="Times New Roman" w:cs="Times New Roman"/>
                <w:b/>
                <w:bCs/>
              </w:rPr>
            </w:pPr>
            <w:r w:rsidRPr="007E688C">
              <w:rPr>
                <w:rFonts w:ascii="Times New Roman" w:hAnsi="Times New Roman" w:cs="Times New Roman"/>
              </w:rPr>
              <w:t>A written summary and resume are sufficient. DCA may request follow up documentation and/or clarification upon review.</w:t>
            </w:r>
          </w:p>
        </w:tc>
      </w:tr>
      <w:tr w:rsidR="007433CE" w:rsidRPr="00D90432" w14:paraId="30300569" w14:textId="77777777" w:rsidTr="2A62FF34">
        <w:trPr>
          <w:jc w:val="center"/>
        </w:trPr>
        <w:tc>
          <w:tcPr>
            <w:tcW w:w="2157" w:type="dxa"/>
            <w:tcMar>
              <w:top w:w="72" w:type="dxa"/>
              <w:left w:w="115" w:type="dxa"/>
              <w:bottom w:w="72" w:type="dxa"/>
              <w:right w:w="115" w:type="dxa"/>
            </w:tcMar>
            <w:vAlign w:val="center"/>
          </w:tcPr>
          <w:p w14:paraId="14CC35A4" w14:textId="77777777" w:rsidR="007433CE" w:rsidRDefault="007433CE"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7932886D" w14:textId="77777777" w:rsidR="007433CE" w:rsidRDefault="007433CE" w:rsidP="00190B8E">
            <w:pPr>
              <w:rPr>
                <w:rFonts w:ascii="Times New Roman" w:hAnsi="Times New Roman" w:cs="Times New Roman"/>
              </w:rPr>
            </w:pPr>
            <w:r>
              <w:rPr>
                <w:rFonts w:ascii="Times New Roman" w:hAnsi="Times New Roman" w:cs="Times New Roman"/>
              </w:rPr>
              <w:t>2.20</w:t>
            </w:r>
          </w:p>
          <w:p w14:paraId="22A8B21D" w14:textId="77777777" w:rsidR="007433CE" w:rsidRDefault="007433CE" w:rsidP="00190B8E">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3CC5C765" w14:textId="77777777" w:rsidR="007433CE" w:rsidRPr="0017751A" w:rsidRDefault="007433CE" w:rsidP="0017751A">
            <w:pPr>
              <w:contextualSpacing/>
              <w:rPr>
                <w:rFonts w:ascii="Times New Roman" w:hAnsi="Times New Roman" w:cs="Times New Roman"/>
                <w:b/>
                <w:bCs/>
              </w:rPr>
            </w:pPr>
            <w:r w:rsidRPr="0017751A">
              <w:rPr>
                <w:rFonts w:ascii="Times New Roman" w:hAnsi="Times New Roman" w:cs="Times New Roman"/>
                <w:b/>
                <w:bCs/>
              </w:rPr>
              <w:t>Question:</w:t>
            </w:r>
            <w:r>
              <w:rPr>
                <w:rFonts w:ascii="Times New Roman" w:hAnsi="Times New Roman" w:cs="Times New Roman"/>
                <w:b/>
                <w:bCs/>
              </w:rPr>
              <w:t xml:space="preserve"> </w:t>
            </w:r>
            <w:r w:rsidRPr="0001762A">
              <w:rPr>
                <w:rFonts w:ascii="Times New Roman" w:hAnsi="Times New Roman" w:cs="Times New Roman"/>
                <w:b/>
                <w:bCs/>
              </w:rPr>
              <w:t>Q0226_03</w:t>
            </w:r>
          </w:p>
          <w:p w14:paraId="0A7F44C3" w14:textId="77777777" w:rsidR="007433CE" w:rsidRDefault="007433CE" w:rsidP="0017751A">
            <w:pPr>
              <w:contextualSpacing/>
              <w:rPr>
                <w:rFonts w:ascii="Times New Roman" w:hAnsi="Times New Roman" w:cs="Times New Roman"/>
              </w:rPr>
            </w:pPr>
          </w:p>
          <w:p w14:paraId="4F7DA2DD" w14:textId="77777777" w:rsidR="007433CE" w:rsidRDefault="007433CE" w:rsidP="00C1367D">
            <w:pPr>
              <w:pStyle w:val="ListParagraph"/>
              <w:numPr>
                <w:ilvl w:val="0"/>
                <w:numId w:val="30"/>
              </w:numPr>
              <w:rPr>
                <w:rFonts w:ascii="Times New Roman" w:hAnsi="Times New Roman" w:cs="Times New Roman"/>
              </w:rPr>
            </w:pPr>
            <w:r w:rsidRPr="00C1367D">
              <w:rPr>
                <w:rFonts w:ascii="Times New Roman" w:hAnsi="Times New Roman" w:cs="Times New Roman"/>
              </w:rPr>
              <w:t xml:space="preserve">Are financial statements required for all principals filing a Performance Workbook?  I don't see it listed as a requirement in the Performance </w:t>
            </w:r>
            <w:proofErr w:type="gramStart"/>
            <w:r w:rsidRPr="00C1367D">
              <w:rPr>
                <w:rFonts w:ascii="Times New Roman" w:hAnsi="Times New Roman" w:cs="Times New Roman"/>
              </w:rPr>
              <w:t>Workbook</w:t>
            </w:r>
            <w:proofErr w:type="gramEnd"/>
            <w:r w:rsidRPr="00C1367D">
              <w:rPr>
                <w:rFonts w:ascii="Times New Roman" w:hAnsi="Times New Roman" w:cs="Times New Roman"/>
              </w:rPr>
              <w:t xml:space="preserve"> but it's shown on the checklist on the main Pre-Application form.</w:t>
            </w:r>
          </w:p>
          <w:p w14:paraId="21DDD0B4" w14:textId="77777777" w:rsidR="007433CE" w:rsidRPr="00C1367D" w:rsidRDefault="007433CE" w:rsidP="00C1367D">
            <w:pPr>
              <w:pStyle w:val="ListParagraph"/>
              <w:numPr>
                <w:ilvl w:val="0"/>
                <w:numId w:val="30"/>
              </w:numPr>
              <w:rPr>
                <w:rFonts w:ascii="Times New Roman" w:hAnsi="Times New Roman" w:cs="Times New Roman"/>
              </w:rPr>
            </w:pPr>
            <w:r w:rsidRPr="004250F7">
              <w:rPr>
                <w:rFonts w:ascii="Times New Roman" w:hAnsi="Times New Roman" w:cs="Times New Roman"/>
              </w:rPr>
              <w:t>We have the same team that was qualified last year, do we submit financial statements or are they "upon request" like the Credit &amp; Criminal Release?</w:t>
            </w:r>
          </w:p>
          <w:p w14:paraId="559C49C1" w14:textId="77777777" w:rsidR="007433CE" w:rsidRPr="0017751A" w:rsidRDefault="007433CE" w:rsidP="0017751A">
            <w:pPr>
              <w:contextualSpacing/>
              <w:rPr>
                <w:rFonts w:ascii="Times New Roman" w:hAnsi="Times New Roman" w:cs="Times New Roman"/>
                <w:b/>
                <w:bCs/>
              </w:rPr>
            </w:pPr>
          </w:p>
          <w:p w14:paraId="67C64C13" w14:textId="77777777" w:rsidR="007433CE" w:rsidRPr="0017751A" w:rsidRDefault="007433CE" w:rsidP="0017751A">
            <w:pPr>
              <w:contextualSpacing/>
              <w:rPr>
                <w:rFonts w:ascii="Times New Roman" w:hAnsi="Times New Roman" w:cs="Times New Roman"/>
                <w:b/>
                <w:bCs/>
              </w:rPr>
            </w:pPr>
            <w:r w:rsidRPr="0017751A">
              <w:rPr>
                <w:rFonts w:ascii="Times New Roman" w:hAnsi="Times New Roman" w:cs="Times New Roman"/>
                <w:b/>
                <w:bCs/>
              </w:rPr>
              <w:t xml:space="preserve">Answer: </w:t>
            </w:r>
          </w:p>
          <w:p w14:paraId="3D616260" w14:textId="77777777" w:rsidR="007433CE" w:rsidRPr="0017751A" w:rsidRDefault="007433CE" w:rsidP="0017751A">
            <w:pPr>
              <w:rPr>
                <w:rFonts w:ascii="Times New Roman" w:eastAsia="Times New Roman" w:hAnsi="Times New Roman" w:cs="Times New Roman"/>
              </w:rPr>
            </w:pPr>
            <w:r w:rsidRPr="0017751A">
              <w:rPr>
                <w:rFonts w:ascii="Times New Roman" w:eastAsia="Times New Roman" w:hAnsi="Times New Roman" w:cs="Times New Roman"/>
              </w:rPr>
              <w:t>Financial statements are not required at Pre-Application unless requested by DCA during the Qualification review.</w:t>
            </w:r>
          </w:p>
          <w:p w14:paraId="5C07BECF" w14:textId="77777777" w:rsidR="007433CE" w:rsidRPr="000328C6" w:rsidRDefault="007433CE" w:rsidP="000328C6">
            <w:pPr>
              <w:contextualSpacing/>
              <w:rPr>
                <w:rFonts w:ascii="Times New Roman" w:hAnsi="Times New Roman" w:cs="Times New Roman"/>
                <w:b/>
                <w:bCs/>
              </w:rPr>
            </w:pPr>
          </w:p>
        </w:tc>
      </w:tr>
      <w:tr w:rsidR="007433CE" w:rsidRPr="00D90432" w14:paraId="26788B83" w14:textId="77777777" w:rsidTr="2A62FF34">
        <w:trPr>
          <w:jc w:val="center"/>
        </w:trPr>
        <w:tc>
          <w:tcPr>
            <w:tcW w:w="2157" w:type="dxa"/>
            <w:tcMar>
              <w:top w:w="72" w:type="dxa"/>
              <w:left w:w="115" w:type="dxa"/>
              <w:bottom w:w="72" w:type="dxa"/>
              <w:right w:w="115" w:type="dxa"/>
            </w:tcMar>
            <w:vAlign w:val="center"/>
          </w:tcPr>
          <w:p w14:paraId="3D4C4A70" w14:textId="77777777" w:rsidR="007433CE" w:rsidRDefault="007433CE"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32D0747E" w14:textId="77777777" w:rsidR="007433CE" w:rsidRDefault="007433CE" w:rsidP="006A7B3F">
            <w:pPr>
              <w:rPr>
                <w:rFonts w:ascii="Times New Roman" w:hAnsi="Times New Roman" w:cs="Times New Roman"/>
              </w:rPr>
            </w:pPr>
            <w:r>
              <w:rPr>
                <w:rFonts w:ascii="Times New Roman" w:hAnsi="Times New Roman" w:cs="Times New Roman"/>
              </w:rPr>
              <w:t>2.20</w:t>
            </w:r>
          </w:p>
          <w:p w14:paraId="0211DC65" w14:textId="77777777" w:rsidR="007433CE" w:rsidRPr="006A7B3F" w:rsidRDefault="007433CE" w:rsidP="006A7B3F">
            <w:pPr>
              <w:rPr>
                <w:rFonts w:ascii="Times New Roman" w:hAnsi="Times New Roman" w:cs="Times New Roman"/>
              </w:rPr>
            </w:pPr>
            <w:r>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0240C146" w14:textId="77777777" w:rsidR="007433CE" w:rsidRPr="000328C6" w:rsidRDefault="007433CE" w:rsidP="000328C6">
            <w:pPr>
              <w:contextualSpacing/>
              <w:rPr>
                <w:rFonts w:ascii="Times New Roman" w:hAnsi="Times New Roman" w:cs="Times New Roman"/>
                <w:b/>
                <w:bCs/>
              </w:rPr>
            </w:pPr>
            <w:r w:rsidRPr="000328C6">
              <w:rPr>
                <w:rFonts w:ascii="Times New Roman" w:hAnsi="Times New Roman" w:cs="Times New Roman"/>
                <w:b/>
                <w:bCs/>
              </w:rPr>
              <w:t xml:space="preserve">Question: </w:t>
            </w:r>
            <w:r w:rsidRPr="00FB7294">
              <w:rPr>
                <w:rFonts w:ascii="Times New Roman" w:hAnsi="Times New Roman" w:cs="Times New Roman"/>
                <w:b/>
                <w:bCs/>
              </w:rPr>
              <w:t>Q0225_02</w:t>
            </w:r>
          </w:p>
          <w:p w14:paraId="09433EDA" w14:textId="77777777" w:rsidR="007433CE" w:rsidRDefault="007433CE" w:rsidP="000328C6">
            <w:pPr>
              <w:contextualSpacing/>
              <w:rPr>
                <w:rFonts w:ascii="Times New Roman" w:hAnsi="Times New Roman" w:cs="Times New Roman"/>
              </w:rPr>
            </w:pPr>
            <w:r>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73CEDFF1" w14:textId="77777777" w:rsidR="007433CE" w:rsidRDefault="007433CE" w:rsidP="000328C6">
            <w:pPr>
              <w:contextualSpacing/>
              <w:rPr>
                <w:rFonts w:ascii="Times New Roman" w:hAnsi="Times New Roman" w:cs="Times New Roman"/>
              </w:rPr>
            </w:pPr>
          </w:p>
          <w:p w14:paraId="62722651" w14:textId="77777777" w:rsidR="007433CE" w:rsidRDefault="007433CE" w:rsidP="000328C6">
            <w:pPr>
              <w:contextualSpacing/>
              <w:rPr>
                <w:rFonts w:ascii="Times New Roman" w:hAnsi="Times New Roman" w:cs="Times New Roman"/>
              </w:rPr>
            </w:pPr>
            <w:r>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5034CC50" w14:textId="77777777" w:rsidR="007433CE" w:rsidRDefault="007433CE" w:rsidP="000328C6">
            <w:pPr>
              <w:contextualSpacing/>
              <w:rPr>
                <w:rFonts w:ascii="Times New Roman" w:hAnsi="Times New Roman" w:cs="Times New Roman"/>
              </w:rPr>
            </w:pPr>
          </w:p>
          <w:p w14:paraId="148EFF91" w14:textId="77777777" w:rsidR="007433CE" w:rsidRDefault="007433CE" w:rsidP="000328C6">
            <w:pPr>
              <w:contextualSpacing/>
              <w:rPr>
                <w:rFonts w:ascii="Times New Roman" w:hAnsi="Times New Roman" w:cs="Times New Roman"/>
              </w:rPr>
            </w:pPr>
            <w:r>
              <w:rPr>
                <w:rFonts w:ascii="Times New Roman" w:hAnsi="Times New Roman" w:cs="Times New Roman"/>
              </w:rPr>
              <w:t xml:space="preserve">The relevant QAP provision is the following: </w:t>
            </w:r>
          </w:p>
          <w:p w14:paraId="4CEF23BC" w14:textId="77777777" w:rsidR="007433CE" w:rsidRDefault="007433CE" w:rsidP="000328C6">
            <w:pPr>
              <w:contextualSpacing/>
              <w:rPr>
                <w:rFonts w:ascii="Times New Roman" w:hAnsi="Times New Roman" w:cs="Times New Roman"/>
              </w:rPr>
            </w:pPr>
          </w:p>
          <w:p w14:paraId="0D3AB6C5" w14:textId="77777777" w:rsidR="007433CE" w:rsidRDefault="007433CE" w:rsidP="000328C6">
            <w:pPr>
              <w:contextualSpacing/>
              <w:rPr>
                <w:rFonts w:ascii="Times New Roman" w:hAnsi="Times New Roman" w:cs="Times New Roman"/>
              </w:rPr>
            </w:pPr>
            <w:r>
              <w:rPr>
                <w:rFonts w:ascii="Times New Roman" w:hAnsi="Times New Roman" w:cs="Times New Roman"/>
              </w:rPr>
              <w:t>“</w:t>
            </w:r>
            <w:r w:rsidRPr="000328C6">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Pr>
                <w:rFonts w:ascii="Times New Roman" w:hAnsi="Times New Roman" w:cs="Times New Roman"/>
              </w:rPr>
              <w:t>”</w:t>
            </w:r>
          </w:p>
          <w:p w14:paraId="20826462" w14:textId="77777777" w:rsidR="007433CE" w:rsidRPr="002A1531" w:rsidRDefault="007433CE" w:rsidP="000328C6">
            <w:pPr>
              <w:contextualSpacing/>
              <w:rPr>
                <w:rFonts w:ascii="Times New Roman" w:hAnsi="Times New Roman" w:cs="Times New Roman"/>
                <w:b/>
                <w:bCs/>
              </w:rPr>
            </w:pPr>
          </w:p>
          <w:p w14:paraId="4551BBA6" w14:textId="77777777" w:rsidR="007433CE" w:rsidRPr="000328C6" w:rsidRDefault="007433CE" w:rsidP="000328C6">
            <w:pPr>
              <w:contextualSpacing/>
              <w:rPr>
                <w:rFonts w:ascii="Times New Roman" w:hAnsi="Times New Roman" w:cs="Times New Roman"/>
                <w:b/>
                <w:bCs/>
              </w:rPr>
            </w:pPr>
            <w:r w:rsidRPr="002A1531">
              <w:rPr>
                <w:rFonts w:ascii="Times New Roman" w:hAnsi="Times New Roman" w:cs="Times New Roman"/>
                <w:b/>
                <w:bCs/>
              </w:rPr>
              <w:t xml:space="preserve">Answer: </w:t>
            </w:r>
          </w:p>
          <w:p w14:paraId="6B98A40C" w14:textId="77777777" w:rsidR="007433CE" w:rsidRPr="002A1531" w:rsidRDefault="007433CE" w:rsidP="000328C6">
            <w:pPr>
              <w:contextualSpacing/>
              <w:rPr>
                <w:rFonts w:ascii="Times New Roman" w:hAnsi="Times New Roman" w:cs="Times New Roman"/>
              </w:rPr>
            </w:pPr>
            <w:r w:rsidRPr="2953F683">
              <w:rPr>
                <w:rFonts w:ascii="Times New Roman" w:hAnsi="Times New Roman" w:cs="Times New Roman"/>
              </w:rPr>
              <w:t>Grandfathering also applies where an entity was qualified based on grandfathering in the 2020 round. Grandfathering turns on the receipt of a “Qualified” determination letter from DCA in the prior year’s round.</w:t>
            </w:r>
            <w:r>
              <w:rPr>
                <w:rFonts w:ascii="Times New Roman" w:hAnsi="Times New Roman" w:cs="Times New Roman"/>
              </w:rPr>
              <w:t xml:space="preserve"> </w:t>
            </w:r>
          </w:p>
          <w:p w14:paraId="59DA4AE8" w14:textId="77777777" w:rsidR="007433CE" w:rsidRPr="000328C6" w:rsidRDefault="007433CE" w:rsidP="00C94BF1">
            <w:pPr>
              <w:contextualSpacing/>
              <w:rPr>
                <w:rFonts w:ascii="Times New Roman" w:hAnsi="Times New Roman" w:cs="Times New Roman"/>
                <w:b/>
                <w:bCs/>
              </w:rPr>
            </w:pPr>
          </w:p>
        </w:tc>
      </w:tr>
      <w:tr w:rsidR="007433CE" w:rsidRPr="00D90432" w14:paraId="6C4525C2" w14:textId="77777777" w:rsidTr="2A62FF34">
        <w:trPr>
          <w:jc w:val="center"/>
        </w:trPr>
        <w:tc>
          <w:tcPr>
            <w:tcW w:w="2157" w:type="dxa"/>
            <w:tcMar>
              <w:top w:w="72" w:type="dxa"/>
              <w:left w:w="115" w:type="dxa"/>
              <w:bottom w:w="72" w:type="dxa"/>
              <w:right w:w="115" w:type="dxa"/>
            </w:tcMar>
            <w:vAlign w:val="center"/>
          </w:tcPr>
          <w:p w14:paraId="798CE346" w14:textId="77777777" w:rsidR="007433CE" w:rsidRDefault="007433CE"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2CF7E799" w14:textId="77777777" w:rsidR="007433CE" w:rsidRDefault="007433CE" w:rsidP="00235C79">
            <w:pPr>
              <w:rPr>
                <w:rFonts w:ascii="Times New Roman" w:hAnsi="Times New Roman" w:cs="Times New Roman"/>
              </w:rPr>
            </w:pPr>
            <w:r>
              <w:rPr>
                <w:rFonts w:ascii="Times New Roman" w:hAnsi="Times New Roman" w:cs="Times New Roman"/>
              </w:rPr>
              <w:t>6.00</w:t>
            </w:r>
          </w:p>
          <w:p w14:paraId="3D7C931A" w14:textId="77777777" w:rsidR="007433CE" w:rsidRPr="00235C79" w:rsidRDefault="007433CE" w:rsidP="00235C79">
            <w:pPr>
              <w:rPr>
                <w:rFonts w:ascii="Times New Roman" w:hAnsi="Times New Roman" w:cs="Times New Roman"/>
              </w:rPr>
            </w:pPr>
            <w:proofErr w:type="spellStart"/>
            <w:r w:rsidRPr="00235C79">
              <w:rPr>
                <w:rFonts w:ascii="Times New Roman" w:hAnsi="Times New Roman" w:cs="Times New Roman"/>
              </w:rPr>
              <w:t>Emphasys</w:t>
            </w:r>
            <w:proofErr w:type="spellEnd"/>
            <w:r w:rsidRPr="00235C79">
              <w:rPr>
                <w:rFonts w:ascii="Times New Roman" w:hAnsi="Times New Roman" w:cs="Times New Roman"/>
              </w:rPr>
              <w:t xml:space="preserve"> Application Portal </w:t>
            </w:r>
          </w:p>
          <w:p w14:paraId="6F2420F6" w14:textId="77777777" w:rsidR="007433CE" w:rsidRDefault="007433CE"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5811795F" w14:textId="77777777" w:rsidR="007433CE" w:rsidRPr="008D626A" w:rsidRDefault="007433CE" w:rsidP="002F2BC7">
            <w:pPr>
              <w:contextualSpacing/>
              <w:rPr>
                <w:rFonts w:ascii="Times New Roman" w:hAnsi="Times New Roman" w:cs="Times New Roman"/>
                <w:b/>
                <w:bCs/>
              </w:rPr>
            </w:pPr>
            <w:r w:rsidRPr="008410CC">
              <w:rPr>
                <w:rFonts w:ascii="Times New Roman" w:hAnsi="Times New Roman" w:cs="Times New Roman"/>
                <w:b/>
                <w:bCs/>
              </w:rPr>
              <w:t>Question:</w:t>
            </w:r>
            <w:r>
              <w:rPr>
                <w:rFonts w:ascii="Times New Roman" w:hAnsi="Times New Roman" w:cs="Times New Roman"/>
                <w:b/>
                <w:bCs/>
              </w:rPr>
              <w:t xml:space="preserve"> </w:t>
            </w:r>
            <w:r w:rsidRPr="002F2BC7">
              <w:rPr>
                <w:rFonts w:ascii="Times New Roman" w:hAnsi="Times New Roman" w:cs="Times New Roman"/>
                <w:b/>
                <w:bCs/>
              </w:rPr>
              <w:t>Q0226_04</w:t>
            </w:r>
          </w:p>
          <w:p w14:paraId="316A2307" w14:textId="77777777" w:rsidR="007433CE" w:rsidRPr="008410CC" w:rsidRDefault="007433CE" w:rsidP="002F2BC7">
            <w:pPr>
              <w:contextualSpacing/>
              <w:rPr>
                <w:rFonts w:ascii="Times New Roman" w:hAnsi="Times New Roman" w:cs="Times New Roman"/>
              </w:rPr>
            </w:pPr>
            <w:r w:rsidRPr="008410CC">
              <w:rPr>
                <w:rFonts w:ascii="Times New Roman" w:hAnsi="Times New Roman" w:cs="Times New Roman"/>
              </w:rPr>
              <w:t xml:space="preserve">On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in cases where a consultant is filing an application on an applicant's behalf, can the consultant file it via his own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account, or would you prefer he do so via the applicant's account?</w:t>
            </w:r>
          </w:p>
          <w:p w14:paraId="4FCEA480" w14:textId="77777777" w:rsidR="007433CE" w:rsidRPr="008410CC" w:rsidRDefault="007433CE" w:rsidP="002F2BC7">
            <w:pPr>
              <w:contextualSpacing/>
              <w:rPr>
                <w:rFonts w:ascii="Times New Roman" w:hAnsi="Times New Roman" w:cs="Times New Roman"/>
                <w:b/>
                <w:bCs/>
              </w:rPr>
            </w:pPr>
          </w:p>
          <w:p w14:paraId="45899DFD" w14:textId="77777777" w:rsidR="007433CE" w:rsidRPr="002C1811" w:rsidRDefault="007433CE" w:rsidP="002F2BC7">
            <w:pPr>
              <w:contextualSpacing/>
              <w:rPr>
                <w:rFonts w:ascii="Times New Roman" w:hAnsi="Times New Roman" w:cs="Times New Roman"/>
                <w:b/>
                <w:bCs/>
              </w:rPr>
            </w:pPr>
            <w:r w:rsidRPr="008D626A">
              <w:rPr>
                <w:rFonts w:ascii="Times New Roman" w:hAnsi="Times New Roman" w:cs="Times New Roman"/>
                <w:b/>
                <w:bCs/>
              </w:rPr>
              <w:t xml:space="preserve">Answer: </w:t>
            </w:r>
          </w:p>
          <w:p w14:paraId="4B7EC46F" w14:textId="77777777" w:rsidR="007433CE" w:rsidRPr="008D626A" w:rsidRDefault="007433CE" w:rsidP="002F2BC7">
            <w:pPr>
              <w:contextualSpacing/>
              <w:rPr>
                <w:rFonts w:ascii="Times New Roman" w:hAnsi="Times New Roman" w:cs="Times New Roman"/>
              </w:rPr>
            </w:pPr>
            <w:r w:rsidRPr="008D626A">
              <w:rPr>
                <w:rFonts w:ascii="Times New Roman" w:hAnsi="Times New Roman" w:cs="Times New Roman"/>
              </w:rPr>
              <w:t xml:space="preserve">A consultant may fill out the application, so long as all required documentation for Qualification Determination review and/or waiver reviews are provided. </w:t>
            </w:r>
          </w:p>
          <w:p w14:paraId="5942A1C7" w14:textId="77777777" w:rsidR="007433CE" w:rsidRPr="0017751A" w:rsidRDefault="007433CE" w:rsidP="0017751A">
            <w:pPr>
              <w:contextualSpacing/>
              <w:rPr>
                <w:rFonts w:ascii="Times New Roman" w:hAnsi="Times New Roman" w:cs="Times New Roman"/>
                <w:b/>
                <w:bCs/>
              </w:rPr>
            </w:pPr>
          </w:p>
        </w:tc>
      </w:tr>
      <w:tr w:rsidR="007433CE" w:rsidRPr="00D90432" w14:paraId="4121093D" w14:textId="77777777" w:rsidTr="2A62FF34">
        <w:trPr>
          <w:jc w:val="center"/>
        </w:trPr>
        <w:tc>
          <w:tcPr>
            <w:tcW w:w="2157" w:type="dxa"/>
            <w:tcMar>
              <w:top w:w="72" w:type="dxa"/>
              <w:left w:w="115" w:type="dxa"/>
              <w:bottom w:w="72" w:type="dxa"/>
              <w:right w:w="115" w:type="dxa"/>
            </w:tcMar>
            <w:vAlign w:val="center"/>
          </w:tcPr>
          <w:p w14:paraId="33C674D8" w14:textId="77777777" w:rsidR="007433CE" w:rsidRDefault="007433CE"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5F7D5590" w14:textId="77777777" w:rsidR="007433CE" w:rsidRDefault="007433CE" w:rsidP="006A7B3F">
            <w:pPr>
              <w:rPr>
                <w:rFonts w:ascii="Times New Roman" w:hAnsi="Times New Roman" w:cs="Times New Roman"/>
              </w:rPr>
            </w:pPr>
            <w:r w:rsidRPr="006A7B3F">
              <w:rPr>
                <w:rFonts w:ascii="Times New Roman" w:hAnsi="Times New Roman" w:cs="Times New Roman"/>
              </w:rPr>
              <w:t>7</w:t>
            </w:r>
            <w:r>
              <w:rPr>
                <w:rFonts w:ascii="Times New Roman" w:hAnsi="Times New Roman" w:cs="Times New Roman"/>
              </w:rPr>
              <w:t>.00</w:t>
            </w:r>
          </w:p>
          <w:p w14:paraId="66486002" w14:textId="77777777" w:rsidR="007433CE" w:rsidRPr="006A7B3F" w:rsidRDefault="007433CE" w:rsidP="006A7B3F">
            <w:pPr>
              <w:rPr>
                <w:rFonts w:ascii="Times New Roman" w:hAnsi="Times New Roman" w:cs="Times New Roman"/>
              </w:rPr>
            </w:pPr>
            <w:r w:rsidRPr="006A7B3F">
              <w:rPr>
                <w:rFonts w:ascii="Times New Roman" w:hAnsi="Times New Roman" w:cs="Times New Roman"/>
              </w:rPr>
              <w:t>Application Materials (Forms, etc.)</w:t>
            </w:r>
          </w:p>
          <w:p w14:paraId="01981FBF" w14:textId="77777777" w:rsidR="007433CE" w:rsidRDefault="007433CE"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44068EE5" w14:textId="77777777" w:rsidR="007433CE" w:rsidRPr="00E04A71" w:rsidRDefault="007433CE" w:rsidP="00C94BF1">
            <w:pPr>
              <w:contextualSpacing/>
              <w:rPr>
                <w:rFonts w:ascii="Times New Roman" w:hAnsi="Times New Roman" w:cs="Times New Roman"/>
                <w:b/>
                <w:bCs/>
                <w:lang w:val="fr-FR"/>
              </w:rPr>
            </w:pPr>
            <w:proofErr w:type="gramStart"/>
            <w:r w:rsidRPr="00E04A71">
              <w:rPr>
                <w:rFonts w:ascii="Times New Roman" w:hAnsi="Times New Roman" w:cs="Times New Roman"/>
                <w:b/>
                <w:bCs/>
                <w:lang w:val="fr-FR"/>
              </w:rPr>
              <w:t>Question</w:t>
            </w:r>
            <w:r>
              <w:rPr>
                <w:rFonts w:ascii="Times New Roman" w:hAnsi="Times New Roman" w:cs="Times New Roman"/>
                <w:b/>
                <w:bCs/>
                <w:lang w:val="fr-FR"/>
              </w:rPr>
              <w:t>:</w:t>
            </w:r>
            <w:proofErr w:type="gramEnd"/>
            <w:r>
              <w:rPr>
                <w:rFonts w:ascii="Times New Roman" w:hAnsi="Times New Roman" w:cs="Times New Roman"/>
                <w:b/>
                <w:bCs/>
                <w:lang w:val="fr-FR"/>
              </w:rPr>
              <w:t xml:space="preserve"> </w:t>
            </w:r>
            <w:r w:rsidRPr="00F73A3C">
              <w:rPr>
                <w:rFonts w:ascii="Times New Roman" w:hAnsi="Times New Roman" w:cs="Times New Roman"/>
                <w:b/>
                <w:bCs/>
                <w:lang w:val="fr-FR"/>
              </w:rPr>
              <w:t>Q0226_02</w:t>
            </w:r>
          </w:p>
          <w:p w14:paraId="4AA4BCFC" w14:textId="77777777" w:rsidR="007433CE" w:rsidRDefault="007433CE" w:rsidP="00C94BF1">
            <w:pPr>
              <w:contextualSpacing/>
              <w:rPr>
                <w:rFonts w:ascii="Times New Roman" w:hAnsi="Times New Roman" w:cs="Times New Roman"/>
                <w:lang w:val="fr-FR"/>
              </w:rPr>
            </w:pPr>
          </w:p>
          <w:p w14:paraId="2CF2F407" w14:textId="77777777" w:rsidR="007433CE" w:rsidRDefault="007433CE" w:rsidP="00C94BF1">
            <w:pPr>
              <w:pStyle w:val="ListParagraph"/>
              <w:numPr>
                <w:ilvl w:val="0"/>
                <w:numId w:val="29"/>
              </w:numPr>
              <w:rPr>
                <w:rFonts w:ascii="Times New Roman" w:hAnsi="Times New Roman" w:cs="Times New Roman"/>
              </w:rPr>
            </w:pPr>
            <w:r w:rsidRPr="00AE1A01">
              <w:rPr>
                <w:rFonts w:ascii="Times New Roman" w:hAnsi="Times New Roman" w:cs="Times New Roman"/>
              </w:rPr>
              <w:t xml:space="preserve">Can you confirm if the Competitive Pool designation and/or the LIHTC Election </w:t>
            </w:r>
            <w:proofErr w:type="gramStart"/>
            <w:r w:rsidRPr="00AE1A01">
              <w:rPr>
                <w:rFonts w:ascii="Times New Roman" w:hAnsi="Times New Roman" w:cs="Times New Roman"/>
              </w:rPr>
              <w:t>designation  selected</w:t>
            </w:r>
            <w:proofErr w:type="gramEnd"/>
            <w:r w:rsidRPr="00AE1A01">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E1A01">
              <w:rPr>
                <w:rFonts w:ascii="Times New Roman" w:hAnsi="Times New Roman" w:cs="Times New Roman"/>
              </w:rPr>
              <w:t>Specifically</w:t>
            </w:r>
            <w:proofErr w:type="gramEnd"/>
            <w:r w:rsidRPr="00AE1A01">
              <w:rPr>
                <w:rFonts w:ascii="Times New Roman" w:hAnsi="Times New Roman" w:cs="Times New Roman"/>
              </w:rPr>
              <w:t xml:space="preserve"> for the LIHTC Election, can there be a change from Income Average to 40% of Units at 60% AMI from pre-app to full app?  </w:t>
            </w:r>
            <w:r>
              <w:rPr>
                <w:rFonts w:ascii="Times New Roman" w:hAnsi="Times New Roman" w:cs="Times New Roman"/>
              </w:rPr>
              <w:br/>
            </w:r>
          </w:p>
          <w:p w14:paraId="7F887A45" w14:textId="77777777" w:rsidR="007433CE" w:rsidRPr="00AE1A01" w:rsidRDefault="007433CE" w:rsidP="00C94BF1">
            <w:pPr>
              <w:pStyle w:val="ListParagraph"/>
              <w:numPr>
                <w:ilvl w:val="0"/>
                <w:numId w:val="29"/>
              </w:numPr>
              <w:rPr>
                <w:rFonts w:ascii="Times New Roman" w:hAnsi="Times New Roman" w:cs="Times New Roman"/>
              </w:rPr>
            </w:pPr>
            <w:r>
              <w:rPr>
                <w:rFonts w:ascii="Times New Roman" w:hAnsi="Times New Roman" w:cs="Times New Roman"/>
              </w:rPr>
              <w:t xml:space="preserve">Similarly, regarding </w:t>
            </w:r>
            <w:r w:rsidRPr="00AE1A01">
              <w:rPr>
                <w:rFonts w:ascii="Times New Roman" w:hAnsi="Times New Roman" w:cs="Times New Roman"/>
              </w:rPr>
              <w:t>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br/>
            </w:r>
          </w:p>
          <w:p w14:paraId="31C79F14" w14:textId="77777777" w:rsidR="007433CE" w:rsidRDefault="007433CE" w:rsidP="00C94BF1">
            <w:pPr>
              <w:pStyle w:val="ListParagraph"/>
              <w:numPr>
                <w:ilvl w:val="0"/>
                <w:numId w:val="29"/>
              </w:numPr>
            </w:pPr>
            <w:r w:rsidRPr="2E2A2571">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522E9F67" w14:textId="77777777" w:rsidR="007433CE" w:rsidRPr="00AE1A01" w:rsidRDefault="007433CE" w:rsidP="00C94BF1">
            <w:pPr>
              <w:contextualSpacing/>
              <w:rPr>
                <w:rFonts w:ascii="Times New Roman" w:hAnsi="Times New Roman" w:cs="Times New Roman"/>
                <w:b/>
                <w:bCs/>
              </w:rPr>
            </w:pPr>
          </w:p>
          <w:p w14:paraId="61A603CA" w14:textId="77777777" w:rsidR="007433CE" w:rsidRPr="00AE4143" w:rsidRDefault="007433CE" w:rsidP="00C94BF1">
            <w:pPr>
              <w:contextualSpacing/>
              <w:rPr>
                <w:rFonts w:ascii="Times New Roman" w:hAnsi="Times New Roman" w:cs="Times New Roman"/>
                <w:b/>
              </w:rPr>
            </w:pPr>
            <w:r w:rsidRPr="00C94BF1">
              <w:rPr>
                <w:rFonts w:ascii="Times New Roman" w:hAnsi="Times New Roman" w:cs="Times New Roman"/>
                <w:b/>
              </w:rPr>
              <w:t xml:space="preserve">Answer: </w:t>
            </w:r>
          </w:p>
          <w:p w14:paraId="38EC4043" w14:textId="77777777" w:rsidR="007433CE" w:rsidRPr="00994127" w:rsidRDefault="007433CE" w:rsidP="00C94BF1">
            <w:pPr>
              <w:contextualSpacing/>
              <w:rPr>
                <w:rFonts w:ascii="Times New Roman" w:eastAsia="Times New Roman" w:hAnsi="Times New Roman" w:cs="Times New Roman"/>
                <w:color w:val="000000" w:themeColor="text1"/>
              </w:rPr>
            </w:pPr>
            <w:r w:rsidRPr="00C94BF1">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5A6A290C" w14:textId="77777777" w:rsidR="007433CE" w:rsidRPr="00994127" w:rsidRDefault="007433CE" w:rsidP="00C94BF1">
            <w:pPr>
              <w:contextualSpacing/>
              <w:rPr>
                <w:rFonts w:ascii="Times New Roman" w:eastAsia="Times New Roman" w:hAnsi="Times New Roman" w:cs="Times New Roman"/>
                <w:color w:val="000000" w:themeColor="text1"/>
              </w:rPr>
            </w:pPr>
          </w:p>
          <w:p w14:paraId="35B5A1FA" w14:textId="77777777" w:rsidR="007433CE" w:rsidRPr="00C94BF1" w:rsidRDefault="007433CE" w:rsidP="00C94BF1">
            <w:pPr>
              <w:contextualSpacing/>
              <w:rPr>
                <w:rFonts w:eastAsiaTheme="minorEastAsia"/>
                <w:iCs/>
                <w:color w:val="000000" w:themeColor="text1"/>
              </w:rPr>
            </w:pPr>
            <w:r>
              <w:rPr>
                <w:rFonts w:ascii="Times New Roman" w:eastAsia="Times New Roman" w:hAnsi="Times New Roman" w:cs="Times New Roman"/>
                <w:iCs/>
                <w:color w:val="000000" w:themeColor="text1"/>
              </w:rPr>
              <w:lastRenderedPageBreak/>
              <w:t>“</w:t>
            </w:r>
            <w:r w:rsidRPr="00AE4143">
              <w:rPr>
                <w:rFonts w:ascii="Times New Roman" w:eastAsia="Times New Roman" w:hAnsi="Times New Roman" w:cs="Times New Roman"/>
                <w:i/>
                <w:color w:val="000000" w:themeColor="text1"/>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E4143">
              <w:rPr>
                <w:rFonts w:ascii="Times New Roman" w:eastAsia="Times New Roman" w:hAnsi="Times New Roman" w:cs="Times New Roman"/>
                <w:i/>
                <w:color w:val="000000" w:themeColor="text1"/>
              </w:rPr>
              <w:t>team qualifications</w:t>
            </w:r>
            <w:proofErr w:type="gramEnd"/>
            <w:r w:rsidRPr="00AE4143">
              <w:rPr>
                <w:rFonts w:ascii="Times New Roman" w:eastAsia="Times New Roman" w:hAnsi="Times New Roman" w:cs="Times New Roman"/>
                <w:i/>
                <w:color w:val="000000" w:themeColor="text1"/>
              </w:rPr>
              <w:t xml:space="preserve"> review during the Pre-Application review phase.</w:t>
            </w:r>
            <w:r>
              <w:rPr>
                <w:rFonts w:ascii="Times New Roman" w:eastAsia="Times New Roman" w:hAnsi="Times New Roman" w:cs="Times New Roman"/>
                <w:iCs/>
                <w:color w:val="000000" w:themeColor="text1"/>
              </w:rPr>
              <w:t>”</w:t>
            </w:r>
          </w:p>
          <w:p w14:paraId="1413CDE3" w14:textId="77777777" w:rsidR="007433CE" w:rsidRPr="00994127" w:rsidRDefault="007433CE" w:rsidP="00C94BF1">
            <w:pPr>
              <w:contextualSpacing/>
              <w:rPr>
                <w:rFonts w:eastAsiaTheme="minorEastAsia"/>
                <w:color w:val="000000" w:themeColor="text1"/>
              </w:rPr>
            </w:pPr>
          </w:p>
          <w:p w14:paraId="56CE3DAD" w14:textId="77777777" w:rsidR="007433CE" w:rsidRPr="00C94BF1" w:rsidRDefault="007433CE" w:rsidP="00C94BF1">
            <w:pPr>
              <w:keepNext/>
              <w:contextualSpacing/>
              <w:rPr>
                <w:rFonts w:ascii="Times New Roman" w:hAnsi="Times New Roman" w:cs="Times New Roman"/>
                <w:b/>
                <w:bCs/>
              </w:rPr>
            </w:pPr>
            <w:r w:rsidRPr="235888FB">
              <w:rPr>
                <w:rFonts w:ascii="Times New Roman" w:eastAsia="Times New Roman" w:hAnsi="Times New Roman" w:cs="Times New Roman"/>
                <w:color w:val="000000" w:themeColor="text1"/>
              </w:rPr>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7433CE" w:rsidRPr="00D90432" w14:paraId="1937664F" w14:textId="77777777" w:rsidTr="2A62FF34">
        <w:trPr>
          <w:jc w:val="center"/>
        </w:trPr>
        <w:tc>
          <w:tcPr>
            <w:tcW w:w="2157" w:type="dxa"/>
            <w:tcMar>
              <w:top w:w="72" w:type="dxa"/>
              <w:left w:w="115" w:type="dxa"/>
              <w:bottom w:w="72" w:type="dxa"/>
              <w:right w:w="115" w:type="dxa"/>
            </w:tcMar>
            <w:vAlign w:val="center"/>
          </w:tcPr>
          <w:p w14:paraId="2B6C3883" w14:textId="77777777" w:rsidR="007433CE" w:rsidRPr="001001AE" w:rsidRDefault="007433CE"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1C0BAC6" w14:textId="77777777" w:rsidR="007433CE" w:rsidRDefault="007433CE" w:rsidP="000078D6">
            <w:pPr>
              <w:rPr>
                <w:rFonts w:ascii="Times New Roman" w:hAnsi="Times New Roman" w:cs="Times New Roman"/>
                <w:noProof/>
              </w:rPr>
            </w:pPr>
            <w:r>
              <w:rPr>
                <w:rFonts w:ascii="Times New Roman" w:hAnsi="Times New Roman" w:cs="Times New Roman"/>
                <w:noProof/>
              </w:rPr>
              <w:t>1.14</w:t>
            </w:r>
          </w:p>
          <w:p w14:paraId="09CA3F2F" w14:textId="77777777" w:rsidR="007433CE" w:rsidRDefault="007433CE"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2EE6AE4A" w14:textId="77777777" w:rsidR="007433CE" w:rsidRPr="00C45600" w:rsidRDefault="007433CE"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62B919E8" w14:textId="77777777" w:rsidR="007433CE" w:rsidRPr="00C45600" w:rsidRDefault="007433CE"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7223CEFE" w14:textId="77777777" w:rsidR="007433CE" w:rsidRPr="00C45600" w:rsidRDefault="007433CE" w:rsidP="00C45600">
            <w:pPr>
              <w:contextualSpacing/>
              <w:rPr>
                <w:rFonts w:ascii="Times New Roman" w:hAnsi="Times New Roman" w:cs="Times New Roman"/>
                <w:b/>
                <w:bCs/>
              </w:rPr>
            </w:pPr>
          </w:p>
          <w:p w14:paraId="62C8CDD3" w14:textId="77777777" w:rsidR="007433CE" w:rsidRPr="00C45600" w:rsidRDefault="007433CE"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4C8CF2B1" w14:textId="77777777" w:rsidR="007433CE" w:rsidRPr="00C45600" w:rsidRDefault="007433CE"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56473E60" w14:textId="77777777" w:rsidR="007433CE" w:rsidRPr="00C45600" w:rsidRDefault="007433CE" w:rsidP="00C45600">
            <w:pPr>
              <w:contextualSpacing/>
              <w:rPr>
                <w:rFonts w:ascii="Times New Roman" w:hAnsi="Times New Roman" w:cs="Times New Roman"/>
              </w:rPr>
            </w:pPr>
          </w:p>
          <w:p w14:paraId="0630CD0F" w14:textId="77777777" w:rsidR="007433CE" w:rsidRPr="00BF0D86" w:rsidRDefault="007433CE" w:rsidP="00C45600">
            <w:pPr>
              <w:contextualSpacing/>
              <w:rPr>
                <w:rFonts w:ascii="Times New Roman" w:hAnsi="Times New Roman" w:cs="Times New Roman"/>
                <w:b/>
                <w:bCs/>
              </w:rPr>
            </w:pPr>
            <w:r w:rsidRPr="00C45600">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7433CE" w:rsidRPr="00D90432" w14:paraId="4114A88E" w14:textId="77777777" w:rsidTr="2A62FF34">
        <w:trPr>
          <w:jc w:val="center"/>
        </w:trPr>
        <w:tc>
          <w:tcPr>
            <w:tcW w:w="2157" w:type="dxa"/>
            <w:tcMar>
              <w:top w:w="72" w:type="dxa"/>
              <w:left w:w="115" w:type="dxa"/>
              <w:bottom w:w="72" w:type="dxa"/>
              <w:right w:w="115" w:type="dxa"/>
            </w:tcMar>
            <w:vAlign w:val="center"/>
          </w:tcPr>
          <w:p w14:paraId="7D5C9E77"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65383D27" w14:textId="77777777" w:rsidR="007433CE" w:rsidRDefault="007433CE" w:rsidP="000078D6">
            <w:pPr>
              <w:rPr>
                <w:rFonts w:ascii="Times New Roman" w:hAnsi="Times New Roman" w:cs="Times New Roman"/>
                <w:noProof/>
              </w:rPr>
            </w:pPr>
            <w:r>
              <w:rPr>
                <w:rFonts w:ascii="Times New Roman" w:hAnsi="Times New Roman" w:cs="Times New Roman"/>
                <w:noProof/>
              </w:rPr>
              <w:t>1.15</w:t>
            </w:r>
          </w:p>
          <w:p w14:paraId="398F002C" w14:textId="77777777" w:rsidR="007433CE" w:rsidRDefault="007433CE"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3E066D41" w14:textId="77777777" w:rsidR="007433CE" w:rsidRPr="007439DC" w:rsidRDefault="007433CE"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179A2537" w14:textId="77777777" w:rsidR="007433CE" w:rsidRPr="00DB4135" w:rsidRDefault="007433CE" w:rsidP="007439DC">
            <w:pPr>
              <w:contextualSpacing/>
              <w:rPr>
                <w:rFonts w:ascii="Times New Roman" w:hAnsi="Times New Roman" w:cs="Times New Roman"/>
              </w:rPr>
            </w:pPr>
            <w:r w:rsidRPr="00091B6B">
              <w:rPr>
                <w:rFonts w:ascii="Times New Roman" w:hAnsi="Times New Roman" w:cs="Times New Roman"/>
              </w:rPr>
              <w:t xml:space="preserve">We will be </w:t>
            </w:r>
            <w:proofErr w:type="gramStart"/>
            <w:r w:rsidRPr="00091B6B">
              <w:rPr>
                <w:rFonts w:ascii="Times New Roman" w:hAnsi="Times New Roman" w:cs="Times New Roman"/>
              </w:rPr>
              <w:t>submitting an application</w:t>
            </w:r>
            <w:proofErr w:type="gramEnd"/>
            <w:r w:rsidRPr="00091B6B">
              <w:rPr>
                <w:rFonts w:ascii="Times New Roman" w:hAnsi="Times New Roman" w:cs="Times New Roman"/>
              </w:rPr>
              <w:t xml:space="preserve"> for a rehab in the upcoming 2021 round. </w:t>
            </w:r>
            <w:r w:rsidRPr="00DB4135">
              <w:rPr>
                <w:rFonts w:ascii="Times New Roman" w:hAnsi="Times New Roman" w:cs="Times New Roman"/>
              </w:rPr>
              <w:t xml:space="preserve">The property is owned by a housing authority, and they are operating with a skeleton staff because of </w:t>
            </w:r>
            <w:proofErr w:type="spellStart"/>
            <w:r w:rsidRPr="00DB4135">
              <w:rPr>
                <w:rFonts w:ascii="Times New Roman" w:hAnsi="Times New Roman" w:cs="Times New Roman"/>
              </w:rPr>
              <w:t>Covid</w:t>
            </w:r>
            <w:proofErr w:type="spellEnd"/>
            <w:r w:rsidRPr="00DB4135">
              <w:rPr>
                <w:rFonts w:ascii="Times New Roman" w:hAnsi="Times New Roman" w:cs="Times New Roman"/>
              </w:rPr>
              <w:t xml:space="preserve">. We are trying to prepare Architectural Standards waivers, as well as the Rehabilitation Work Scope and PNA Fannie Mae forms, but due to </w:t>
            </w:r>
            <w:proofErr w:type="spellStart"/>
            <w:r w:rsidRPr="00DB4135">
              <w:rPr>
                <w:rFonts w:ascii="Times New Roman" w:hAnsi="Times New Roman" w:cs="Times New Roman"/>
              </w:rPr>
              <w:t>Covid</w:t>
            </w:r>
            <w:proofErr w:type="spellEnd"/>
            <w:r w:rsidRPr="00DB4135">
              <w:rPr>
                <w:rFonts w:ascii="Times New Roman" w:hAnsi="Times New Roman" w:cs="Times New Roman"/>
              </w:rPr>
              <w:t>-related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0F927737" w14:textId="77777777" w:rsidR="007433CE" w:rsidRDefault="007433CE" w:rsidP="007439DC">
            <w:pPr>
              <w:contextualSpacing/>
              <w:rPr>
                <w:rFonts w:ascii="Times New Roman" w:hAnsi="Times New Roman" w:cs="Times New Roman"/>
                <w:b/>
                <w:bCs/>
              </w:rPr>
            </w:pPr>
          </w:p>
          <w:p w14:paraId="00F4305B" w14:textId="77777777" w:rsidR="007433CE" w:rsidRPr="00956C51" w:rsidRDefault="007433CE"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32EFCF74" w14:textId="77777777" w:rsidR="007433CE" w:rsidRPr="00956C51" w:rsidRDefault="007433CE"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34F6580E" w14:textId="77777777" w:rsidR="007433CE" w:rsidRDefault="007433CE" w:rsidP="007439DC">
            <w:pPr>
              <w:contextualSpacing/>
              <w:rPr>
                <w:rFonts w:ascii="Times New Roman" w:hAnsi="Times New Roman" w:cs="Times New Roman"/>
              </w:rPr>
            </w:pPr>
          </w:p>
          <w:p w14:paraId="699CD7EE" w14:textId="77777777" w:rsidR="007433CE" w:rsidRPr="000C19C9" w:rsidRDefault="007433CE" w:rsidP="007439DC">
            <w:pPr>
              <w:contextualSpacing/>
              <w:rPr>
                <w:rFonts w:ascii="Times New Roman" w:hAnsi="Times New Roman" w:cs="Times New Roman"/>
                <w:b/>
                <w:bCs/>
              </w:rPr>
            </w:pPr>
            <w:r>
              <w:rPr>
                <w:rFonts w:ascii="Times New Roman" w:hAnsi="Times New Roman" w:cs="Times New Roman"/>
              </w:rPr>
              <w:lastRenderedPageBreak/>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7433CE" w:rsidRPr="00D90432" w14:paraId="693B5471" w14:textId="77777777" w:rsidTr="2A62FF34">
        <w:trPr>
          <w:jc w:val="center"/>
        </w:trPr>
        <w:tc>
          <w:tcPr>
            <w:tcW w:w="2157" w:type="dxa"/>
            <w:tcMar>
              <w:top w:w="72" w:type="dxa"/>
              <w:left w:w="115" w:type="dxa"/>
              <w:bottom w:w="72" w:type="dxa"/>
              <w:right w:w="115" w:type="dxa"/>
            </w:tcMar>
            <w:vAlign w:val="center"/>
          </w:tcPr>
          <w:p w14:paraId="50931EB6" w14:textId="77777777" w:rsidR="007433CE" w:rsidRDefault="007433CE"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70DFEC4" w14:textId="77777777" w:rsidR="007433CE" w:rsidRDefault="007433CE" w:rsidP="000078D6">
            <w:pPr>
              <w:rPr>
                <w:rFonts w:ascii="Times New Roman" w:hAnsi="Times New Roman" w:cs="Times New Roman"/>
                <w:noProof/>
              </w:rPr>
            </w:pPr>
            <w:r>
              <w:rPr>
                <w:rFonts w:ascii="Times New Roman" w:hAnsi="Times New Roman" w:cs="Times New Roman"/>
                <w:noProof/>
              </w:rPr>
              <w:t>1.18</w:t>
            </w:r>
          </w:p>
          <w:p w14:paraId="2EF36618" w14:textId="77777777" w:rsidR="007433CE" w:rsidRDefault="007433CE" w:rsidP="000078D6">
            <w:pPr>
              <w:rPr>
                <w:rFonts w:ascii="Times New Roman" w:hAnsi="Times New Roman" w:cs="Times New Roman"/>
                <w:noProof/>
              </w:rPr>
            </w:pPr>
            <w:r>
              <w:rPr>
                <w:rFonts w:ascii="Times New Roman" w:hAnsi="Times New Roman" w:cs="Times New Roman"/>
                <w:noProof/>
              </w:rPr>
              <w:t xml:space="preserve">Core, Evaluation of 9% Tax Credit Competitive Applications </w:t>
            </w:r>
          </w:p>
        </w:tc>
        <w:tc>
          <w:tcPr>
            <w:tcW w:w="9590" w:type="dxa"/>
            <w:tcMar>
              <w:top w:w="72" w:type="dxa"/>
              <w:left w:w="115" w:type="dxa"/>
              <w:bottom w:w="72" w:type="dxa"/>
              <w:right w:w="115" w:type="dxa"/>
            </w:tcMar>
            <w:vAlign w:val="center"/>
          </w:tcPr>
          <w:p w14:paraId="4AA065BC" w14:textId="77777777" w:rsidR="007433CE" w:rsidRPr="00193258" w:rsidRDefault="007433CE" w:rsidP="00193258">
            <w:pPr>
              <w:contextualSpacing/>
              <w:rPr>
                <w:rFonts w:ascii="Times New Roman" w:hAnsi="Times New Roman" w:cs="Times New Roman"/>
                <w:b/>
                <w:bCs/>
              </w:rPr>
            </w:pPr>
            <w:r w:rsidRPr="00193258">
              <w:rPr>
                <w:rFonts w:ascii="Times New Roman" w:hAnsi="Times New Roman" w:cs="Times New Roman"/>
                <w:b/>
                <w:bCs/>
              </w:rPr>
              <w:t>Question: Q0223_02</w:t>
            </w:r>
          </w:p>
          <w:p w14:paraId="066BADEC" w14:textId="77777777" w:rsidR="007433CE" w:rsidRPr="00193258" w:rsidRDefault="007433CE" w:rsidP="00193258">
            <w:pPr>
              <w:contextualSpacing/>
              <w:rPr>
                <w:rFonts w:ascii="Times New Roman" w:hAnsi="Times New Roman" w:cs="Times New Roman"/>
              </w:rPr>
            </w:pPr>
            <w:r w:rsidRPr="00193258">
              <w:rPr>
                <w:rFonts w:ascii="Times New Roman" w:hAnsi="Times New Roman" w:cs="Times New Roman"/>
              </w:rPr>
              <w:t>Please clarify what types of proposed developments are eligible for consideration under the 2021 9% Competitive Round.</w:t>
            </w:r>
          </w:p>
          <w:p w14:paraId="6BFBFB4B" w14:textId="77777777" w:rsidR="007433CE" w:rsidRPr="00193258" w:rsidRDefault="007433CE" w:rsidP="00193258">
            <w:pPr>
              <w:contextualSpacing/>
              <w:rPr>
                <w:rFonts w:ascii="Times New Roman" w:hAnsi="Times New Roman" w:cs="Times New Roman"/>
                <w:b/>
                <w:bCs/>
              </w:rPr>
            </w:pPr>
          </w:p>
          <w:p w14:paraId="3CE44DCE" w14:textId="77777777" w:rsidR="007433CE" w:rsidRPr="00193258" w:rsidRDefault="007433CE"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1D899E7F" w14:textId="77777777" w:rsidR="007433CE" w:rsidRPr="00193258" w:rsidRDefault="007433CE"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43922CA1" w14:textId="77777777" w:rsidR="007433CE" w:rsidRPr="00193258" w:rsidRDefault="007433CE" w:rsidP="00193258">
            <w:pPr>
              <w:contextualSpacing/>
              <w:rPr>
                <w:rFonts w:ascii="Times New Roman" w:hAnsi="Times New Roman" w:cs="Times New Roman"/>
              </w:rPr>
            </w:pPr>
          </w:p>
          <w:p w14:paraId="59C6E2B2" w14:textId="77777777" w:rsidR="007433CE" w:rsidRPr="00193258" w:rsidRDefault="007433CE"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3DF3A812" w14:textId="77777777" w:rsidR="007433CE" w:rsidRPr="00193258" w:rsidRDefault="007433CE"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47839979" w14:textId="77777777" w:rsidR="007433CE" w:rsidRPr="00193258" w:rsidRDefault="007433CE"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1EA3961E" w14:textId="77777777" w:rsidR="007433CE" w:rsidRPr="00193258" w:rsidRDefault="007433CE" w:rsidP="00193258">
            <w:pPr>
              <w:contextualSpacing/>
              <w:rPr>
                <w:rFonts w:ascii="Times New Roman" w:hAnsi="Times New Roman" w:cs="Times New Roman"/>
              </w:rPr>
            </w:pPr>
          </w:p>
          <w:p w14:paraId="04C2CA9A" w14:textId="77777777" w:rsidR="007433CE" w:rsidRPr="00193258" w:rsidRDefault="007433CE"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3FE33748" w14:textId="77777777" w:rsidR="007433CE" w:rsidRPr="00193258" w:rsidRDefault="007433CE" w:rsidP="00193258">
            <w:pPr>
              <w:contextualSpacing/>
              <w:rPr>
                <w:rFonts w:ascii="Times New Roman" w:hAnsi="Times New Roman" w:cs="Times New Roman"/>
              </w:rPr>
            </w:pPr>
          </w:p>
          <w:p w14:paraId="0ACCADFC" w14:textId="77777777" w:rsidR="007433CE" w:rsidRPr="00C45600" w:rsidRDefault="007433CE" w:rsidP="00193258">
            <w:pPr>
              <w:contextualSpacing/>
              <w:rPr>
                <w:rFonts w:ascii="Times New Roman" w:hAnsi="Times New Roman" w:cs="Times New Roman"/>
                <w:b/>
                <w:bCs/>
              </w:rPr>
            </w:pPr>
            <w:r w:rsidRPr="002B0E8A">
              <w:rPr>
                <w:rFonts w:ascii="Times New Roman" w:hAnsi="Times New Roman" w:cs="Times New Roman"/>
                <w:i/>
                <w:iCs/>
              </w:rPr>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7433CE" w:rsidRPr="00D90432" w14:paraId="6A6FAAC7" w14:textId="77777777" w:rsidTr="2A62FF34">
        <w:trPr>
          <w:jc w:val="center"/>
        </w:trPr>
        <w:tc>
          <w:tcPr>
            <w:tcW w:w="2157" w:type="dxa"/>
            <w:tcMar>
              <w:top w:w="72" w:type="dxa"/>
              <w:left w:w="115" w:type="dxa"/>
              <w:bottom w:w="72" w:type="dxa"/>
              <w:right w:w="115" w:type="dxa"/>
            </w:tcMar>
            <w:vAlign w:val="center"/>
          </w:tcPr>
          <w:p w14:paraId="24236039" w14:textId="77777777" w:rsidR="007433CE" w:rsidRPr="002D5107" w:rsidRDefault="007433CE"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7C2F3721" w14:textId="77777777" w:rsidR="007433CE" w:rsidRDefault="007433CE" w:rsidP="000078D6">
            <w:pPr>
              <w:rPr>
                <w:rFonts w:ascii="Times New Roman" w:hAnsi="Times New Roman" w:cs="Times New Roman"/>
                <w:noProof/>
              </w:rPr>
            </w:pPr>
            <w:r>
              <w:rPr>
                <w:rFonts w:ascii="Times New Roman" w:hAnsi="Times New Roman" w:cs="Times New Roman"/>
                <w:noProof/>
              </w:rPr>
              <w:t>1.23</w:t>
            </w:r>
          </w:p>
          <w:p w14:paraId="3A62F7AE" w14:textId="77777777" w:rsidR="007433CE" w:rsidRDefault="007433CE"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01C4B072" w14:textId="77777777" w:rsidR="007433CE" w:rsidRPr="00FA6344" w:rsidRDefault="007433CE"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71B1BDE8" w14:textId="77777777" w:rsidR="007433CE" w:rsidRDefault="007433CE"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4ACF6BD6" w14:textId="77777777" w:rsidR="007433CE" w:rsidRDefault="007433CE" w:rsidP="00FA6344">
            <w:pPr>
              <w:contextualSpacing/>
              <w:rPr>
                <w:rFonts w:ascii="Times New Roman" w:hAnsi="Times New Roman" w:cs="Times New Roman"/>
              </w:rPr>
            </w:pPr>
          </w:p>
          <w:p w14:paraId="1268D992" w14:textId="77777777" w:rsidR="007433CE" w:rsidRDefault="007433CE"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5B6F6DEF" w14:textId="77777777" w:rsidR="007433CE" w:rsidRPr="00935F34" w:rsidRDefault="007433CE" w:rsidP="00FA6344">
            <w:pPr>
              <w:contextualSpacing/>
              <w:rPr>
                <w:rFonts w:ascii="Times New Roman" w:hAnsi="Times New Roman" w:cs="Times New Roman"/>
              </w:rPr>
            </w:pPr>
          </w:p>
          <w:p w14:paraId="5CD956FE" w14:textId="77777777" w:rsidR="007433CE" w:rsidRDefault="007433CE"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18EB4111" w14:textId="77777777" w:rsidR="007433CE" w:rsidRDefault="007433CE" w:rsidP="00FA6344">
            <w:pPr>
              <w:contextualSpacing/>
              <w:rPr>
                <w:rFonts w:ascii="Times New Roman" w:hAnsi="Times New Roman" w:cs="Times New Roman"/>
              </w:rPr>
            </w:pPr>
          </w:p>
          <w:p w14:paraId="142BE725" w14:textId="77777777" w:rsidR="007433CE" w:rsidRDefault="007433CE"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734F323B" w14:textId="77777777" w:rsidR="007433CE" w:rsidRPr="00BB360C" w:rsidRDefault="007433CE" w:rsidP="00FA6344">
            <w:pPr>
              <w:contextualSpacing/>
              <w:rPr>
                <w:rFonts w:ascii="Times New Roman" w:hAnsi="Times New Roman" w:cs="Times New Roman"/>
              </w:rPr>
            </w:pPr>
          </w:p>
          <w:p w14:paraId="4046FFB0" w14:textId="77777777" w:rsidR="007433CE" w:rsidRDefault="007433CE"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7ECBDF52" w14:textId="77777777" w:rsidR="007433CE" w:rsidRPr="00BB360C" w:rsidRDefault="007433CE" w:rsidP="00FA6344">
            <w:pPr>
              <w:contextualSpacing/>
              <w:rPr>
                <w:rFonts w:ascii="Times New Roman" w:hAnsi="Times New Roman" w:cs="Times New Roman"/>
              </w:rPr>
            </w:pPr>
          </w:p>
          <w:p w14:paraId="6E434B91" w14:textId="77777777" w:rsidR="007433CE" w:rsidRPr="00CC657C" w:rsidRDefault="007433CE"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26B6E068" w14:textId="77777777" w:rsidR="007433CE" w:rsidRPr="00CC657C" w:rsidRDefault="007433CE"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CC657C">
              <w:rPr>
                <w:rFonts w:ascii="Times New Roman" w:hAnsi="Times New Roman" w:cs="Times New Roman"/>
              </w:rPr>
              <w:t>Third Party</w:t>
            </w:r>
            <w:proofErr w:type="gramEnd"/>
            <w:r w:rsidRPr="00CC657C">
              <w:rPr>
                <w:rFonts w:ascii="Times New Roman" w:hAnsi="Times New Roman" w:cs="Times New Roman"/>
              </w:rPr>
              <w:t xml:space="preserve"> Review Fee.</w:t>
            </w:r>
          </w:p>
          <w:p w14:paraId="50CBAA75" w14:textId="77777777" w:rsidR="007433CE" w:rsidRPr="00845AB8" w:rsidRDefault="007433CE" w:rsidP="00FA6344">
            <w:pPr>
              <w:contextualSpacing/>
              <w:rPr>
                <w:rFonts w:ascii="Times New Roman" w:hAnsi="Times New Roman" w:cs="Times New Roman"/>
                <w:b/>
                <w:bCs/>
              </w:rPr>
            </w:pPr>
          </w:p>
          <w:p w14:paraId="30571895" w14:textId="77777777" w:rsidR="007433CE" w:rsidRPr="00FA6344" w:rsidRDefault="007433CE" w:rsidP="00FA6344">
            <w:pPr>
              <w:contextualSpacing/>
              <w:rPr>
                <w:rFonts w:ascii="Times New Roman" w:hAnsi="Times New Roman" w:cs="Times New Roman"/>
                <w:b/>
                <w:bCs/>
              </w:rPr>
            </w:pPr>
            <w:r w:rsidRPr="00845AB8">
              <w:rPr>
                <w:rFonts w:ascii="Times New Roman" w:hAnsi="Times New Roman" w:cs="Times New Roman"/>
                <w:b/>
                <w:bCs/>
              </w:rPr>
              <w:t>Answer</w:t>
            </w:r>
            <w:r>
              <w:rPr>
                <w:rFonts w:ascii="Times New Roman" w:hAnsi="Times New Roman" w:cs="Times New Roman"/>
                <w:b/>
                <w:bCs/>
              </w:rPr>
              <w:t>:</w:t>
            </w:r>
          </w:p>
          <w:p w14:paraId="1856C9F3" w14:textId="77777777" w:rsidR="007433CE" w:rsidRDefault="007433CE"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548E1D22" w14:textId="77777777" w:rsidR="007433CE" w:rsidRDefault="007433CE" w:rsidP="00FA6344">
            <w:pPr>
              <w:contextualSpacing/>
              <w:rPr>
                <w:rFonts w:ascii="Times New Roman" w:hAnsi="Times New Roman" w:cs="Times New Roman"/>
              </w:rPr>
            </w:pPr>
          </w:p>
          <w:p w14:paraId="6B00817B" w14:textId="77777777" w:rsidR="007433CE" w:rsidRDefault="007433CE"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0D744D9D" w14:textId="77777777" w:rsidR="007433CE" w:rsidRDefault="007433CE" w:rsidP="00FA6344">
            <w:pPr>
              <w:contextualSpacing/>
              <w:rPr>
                <w:rFonts w:ascii="Times New Roman" w:hAnsi="Times New Roman" w:cs="Times New Roman"/>
              </w:rPr>
            </w:pPr>
          </w:p>
          <w:p w14:paraId="41D23250" w14:textId="77777777" w:rsidR="007433CE" w:rsidRDefault="007433CE"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37E0FC55" w14:textId="77777777" w:rsidR="007433CE" w:rsidRDefault="007433CE" w:rsidP="00FA6344">
            <w:pPr>
              <w:contextualSpacing/>
              <w:rPr>
                <w:rFonts w:ascii="Times New Roman" w:hAnsi="Times New Roman" w:cs="Times New Roman"/>
              </w:rPr>
            </w:pPr>
          </w:p>
          <w:p w14:paraId="4D3D177A" w14:textId="77777777" w:rsidR="007433CE" w:rsidRDefault="007433CE"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3BBA91EA" w14:textId="77777777" w:rsidR="007433CE" w:rsidRDefault="007433CE" w:rsidP="00FA6344">
            <w:pPr>
              <w:contextualSpacing/>
              <w:rPr>
                <w:rFonts w:ascii="Times New Roman" w:hAnsi="Times New Roman" w:cs="Times New Roman"/>
              </w:rPr>
            </w:pPr>
          </w:p>
          <w:p w14:paraId="7F7C9BBD" w14:textId="77777777" w:rsidR="007433CE" w:rsidRDefault="007433CE"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7433CE" w:rsidRPr="00D90432" w14:paraId="38897C93" w14:textId="77777777" w:rsidTr="2A62FF34">
        <w:trPr>
          <w:jc w:val="center"/>
        </w:trPr>
        <w:tc>
          <w:tcPr>
            <w:tcW w:w="2157" w:type="dxa"/>
            <w:tcMar>
              <w:top w:w="72" w:type="dxa"/>
              <w:left w:w="115" w:type="dxa"/>
              <w:bottom w:w="72" w:type="dxa"/>
              <w:right w:w="115" w:type="dxa"/>
            </w:tcMar>
            <w:vAlign w:val="center"/>
          </w:tcPr>
          <w:p w14:paraId="58F77DB7" w14:textId="77777777" w:rsidR="007433CE" w:rsidRPr="00D90432" w:rsidRDefault="007433CE"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99EC520" w14:textId="77777777" w:rsidR="007433CE" w:rsidRDefault="007433CE" w:rsidP="009579DD">
            <w:pPr>
              <w:keepNext/>
              <w:rPr>
                <w:rFonts w:ascii="Times New Roman" w:hAnsi="Times New Roman" w:cs="Times New Roman"/>
                <w:noProof/>
              </w:rPr>
            </w:pPr>
            <w:r>
              <w:rPr>
                <w:rFonts w:ascii="Times New Roman" w:hAnsi="Times New Roman" w:cs="Times New Roman"/>
                <w:noProof/>
              </w:rPr>
              <w:t>2.02</w:t>
            </w:r>
          </w:p>
          <w:p w14:paraId="4AFD28D4" w14:textId="77777777" w:rsidR="007433CE" w:rsidRPr="00D90432" w:rsidRDefault="007433CE"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6D141C70" w14:textId="77777777" w:rsidR="007433CE" w:rsidRPr="00BD40F5" w:rsidRDefault="007433CE"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3793E335" w14:textId="77777777" w:rsidR="007433CE" w:rsidRDefault="007433CE"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3F803F19" w14:textId="77777777" w:rsidR="007433CE" w:rsidRDefault="007433CE" w:rsidP="00BD40F5">
            <w:pPr>
              <w:rPr>
                <w:rFonts w:ascii="Times New Roman" w:hAnsi="Times New Roman" w:cs="Times New Roman"/>
              </w:rPr>
            </w:pPr>
          </w:p>
          <w:p w14:paraId="36016991" w14:textId="77777777" w:rsidR="007433CE" w:rsidRDefault="007433CE"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6F3B9E17" w14:textId="77777777" w:rsidR="007433CE" w:rsidRDefault="007433CE" w:rsidP="00BD40F5">
            <w:pPr>
              <w:rPr>
                <w:rFonts w:ascii="Times New Roman" w:hAnsi="Times New Roman" w:cs="Times New Roman"/>
              </w:rPr>
            </w:pPr>
          </w:p>
          <w:p w14:paraId="5D2CBDF5" w14:textId="77777777" w:rsidR="007433CE" w:rsidRDefault="007433CE"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18804589" w14:textId="77777777" w:rsidR="007433CE" w:rsidRPr="00DA1F1E" w:rsidRDefault="007433CE" w:rsidP="00BD40F5">
            <w:pPr>
              <w:rPr>
                <w:rFonts w:ascii="Times New Roman" w:hAnsi="Times New Roman" w:cs="Times New Roman"/>
              </w:rPr>
            </w:pPr>
          </w:p>
          <w:p w14:paraId="0BF850F8" w14:textId="77777777" w:rsidR="007433CE" w:rsidRDefault="007433CE"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5046F669" w14:textId="77777777" w:rsidR="007433CE" w:rsidRDefault="007433CE" w:rsidP="00BD40F5">
            <w:pPr>
              <w:rPr>
                <w:rFonts w:ascii="Times New Roman" w:hAnsi="Times New Roman" w:cs="Times New Roman"/>
              </w:rPr>
            </w:pPr>
          </w:p>
          <w:p w14:paraId="4D67FC73" w14:textId="77777777" w:rsidR="007433CE" w:rsidRDefault="007433CE"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294CAD9B" w14:textId="77777777" w:rsidR="007433CE" w:rsidRDefault="007433CE" w:rsidP="00171FBE">
            <w:pPr>
              <w:pStyle w:val="ListParagraph"/>
              <w:ind w:left="773"/>
              <w:rPr>
                <w:rFonts w:ascii="Times New Roman" w:hAnsi="Times New Roman" w:cs="Times New Roman"/>
              </w:rPr>
            </w:pPr>
          </w:p>
          <w:p w14:paraId="7DACE760" w14:textId="77777777" w:rsidR="007433CE" w:rsidRDefault="007433CE"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6D35466F" w14:textId="77777777" w:rsidR="007433CE" w:rsidRDefault="007433CE" w:rsidP="00171FBE">
            <w:pPr>
              <w:pStyle w:val="ListParagraph"/>
              <w:ind w:left="773"/>
              <w:rPr>
                <w:rFonts w:ascii="Times New Roman" w:hAnsi="Times New Roman" w:cs="Times New Roman"/>
              </w:rPr>
            </w:pPr>
          </w:p>
          <w:p w14:paraId="2FDBF434" w14:textId="77777777" w:rsidR="007433CE" w:rsidRDefault="007433CE" w:rsidP="00BD40F5">
            <w:pPr>
              <w:rPr>
                <w:rFonts w:ascii="Times New Roman" w:hAnsi="Times New Roman" w:cs="Times New Roman"/>
                <w:b/>
                <w:bCs/>
              </w:rPr>
            </w:pPr>
            <w:r w:rsidRPr="009F059C">
              <w:rPr>
                <w:rFonts w:ascii="Times New Roman" w:hAnsi="Times New Roman" w:cs="Times New Roman"/>
                <w:b/>
                <w:bCs/>
              </w:rPr>
              <w:t>Answer:</w:t>
            </w:r>
          </w:p>
          <w:p w14:paraId="24344DAD" w14:textId="77777777" w:rsidR="007433CE" w:rsidRDefault="007433CE" w:rsidP="00BD40F5">
            <w:pPr>
              <w:rPr>
                <w:rFonts w:ascii="Times New Roman" w:hAnsi="Times New Roman" w:cs="Times New Roman"/>
                <w:b/>
                <w:bCs/>
              </w:rPr>
            </w:pPr>
          </w:p>
          <w:p w14:paraId="0594B713" w14:textId="77777777" w:rsidR="007433CE" w:rsidRDefault="007433CE"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3540037C" w14:textId="77777777" w:rsidR="007433CE" w:rsidRDefault="007433CE" w:rsidP="00BD40F5">
            <w:pPr>
              <w:rPr>
                <w:rFonts w:ascii="Times New Roman" w:hAnsi="Times New Roman" w:cs="Times New Roman"/>
                <w:u w:val="single"/>
              </w:rPr>
            </w:pPr>
          </w:p>
          <w:p w14:paraId="73D26CA2" w14:textId="77777777" w:rsidR="007433CE" w:rsidRDefault="007433CE"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6A9E72B8" w14:textId="77777777" w:rsidR="007433CE" w:rsidRDefault="007433CE" w:rsidP="00BD40F5">
            <w:pPr>
              <w:rPr>
                <w:rFonts w:ascii="Times New Roman" w:hAnsi="Times New Roman" w:cs="Times New Roman"/>
              </w:rPr>
            </w:pPr>
          </w:p>
          <w:p w14:paraId="5BA3DE06" w14:textId="77777777" w:rsidR="007433CE" w:rsidRPr="00D90432" w:rsidRDefault="007433CE"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7433CE" w:rsidRPr="00D90432" w14:paraId="6A1A4420" w14:textId="77777777" w:rsidTr="2A62FF34">
        <w:trPr>
          <w:jc w:val="center"/>
        </w:trPr>
        <w:tc>
          <w:tcPr>
            <w:tcW w:w="2157" w:type="dxa"/>
            <w:tcMar>
              <w:top w:w="72" w:type="dxa"/>
              <w:left w:w="115" w:type="dxa"/>
              <w:bottom w:w="72" w:type="dxa"/>
              <w:right w:w="115" w:type="dxa"/>
            </w:tcMar>
            <w:vAlign w:val="center"/>
          </w:tcPr>
          <w:p w14:paraId="0D7CD891"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98CD8E5" w14:textId="77777777" w:rsidR="007433CE" w:rsidRDefault="007433CE" w:rsidP="000078D6">
            <w:pPr>
              <w:rPr>
                <w:rFonts w:ascii="Times New Roman" w:hAnsi="Times New Roman" w:cs="Times New Roman"/>
                <w:noProof/>
              </w:rPr>
            </w:pPr>
            <w:r>
              <w:rPr>
                <w:rFonts w:ascii="Times New Roman" w:hAnsi="Times New Roman" w:cs="Times New Roman"/>
                <w:noProof/>
              </w:rPr>
              <w:t>2.03</w:t>
            </w:r>
          </w:p>
          <w:p w14:paraId="7B696EBA" w14:textId="77777777" w:rsidR="007433CE" w:rsidRDefault="007433CE"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16C9D5DA" w14:textId="77777777" w:rsidR="007433CE" w:rsidRPr="004936E3" w:rsidRDefault="007433CE"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581DBE79" w14:textId="77777777" w:rsidR="007433CE" w:rsidRDefault="007433CE"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0820FD3B" w14:textId="77777777" w:rsidR="007433CE" w:rsidRPr="00F635B7" w:rsidRDefault="007433CE" w:rsidP="004936E3">
            <w:pPr>
              <w:contextualSpacing/>
              <w:rPr>
                <w:rFonts w:ascii="Times New Roman" w:hAnsi="Times New Roman" w:cs="Times New Roman"/>
              </w:rPr>
            </w:pPr>
          </w:p>
          <w:p w14:paraId="749F68AB" w14:textId="77777777" w:rsidR="007433CE" w:rsidRPr="00F635B7" w:rsidRDefault="007433CE" w:rsidP="000041FD">
            <w:pPr>
              <w:keepNext/>
              <w:contextualSpacing/>
              <w:rPr>
                <w:rFonts w:ascii="Times New Roman" w:hAnsi="Times New Roman" w:cs="Times New Roman"/>
                <w:b/>
                <w:bCs/>
              </w:rPr>
            </w:pPr>
            <w:r>
              <w:rPr>
                <w:rFonts w:ascii="Times New Roman" w:hAnsi="Times New Roman" w:cs="Times New Roman"/>
                <w:b/>
                <w:bCs/>
              </w:rPr>
              <w:t>Answer:</w:t>
            </w:r>
          </w:p>
          <w:p w14:paraId="227F56B8" w14:textId="77777777" w:rsidR="007433CE" w:rsidRDefault="007433CE"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0A2E8838" w14:textId="77777777" w:rsidR="007433CE" w:rsidRDefault="007433CE" w:rsidP="004936E3">
            <w:pPr>
              <w:contextualSpacing/>
              <w:rPr>
                <w:rFonts w:ascii="Times New Roman" w:hAnsi="Times New Roman" w:cs="Times New Roman"/>
              </w:rPr>
            </w:pPr>
          </w:p>
          <w:p w14:paraId="362C88BD" w14:textId="77777777" w:rsidR="007433CE" w:rsidRDefault="007433CE"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65867D92" w14:textId="77777777" w:rsidR="007433CE" w:rsidRPr="00F635B7" w:rsidRDefault="007433CE" w:rsidP="004936E3">
            <w:pPr>
              <w:contextualSpacing/>
              <w:rPr>
                <w:rFonts w:ascii="Times New Roman" w:hAnsi="Times New Roman" w:cs="Times New Roman"/>
              </w:rPr>
            </w:pPr>
          </w:p>
          <w:p w14:paraId="738C2BBE" w14:textId="77777777" w:rsidR="007433CE" w:rsidRDefault="007433CE"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637712D4" w14:textId="77777777" w:rsidR="007433CE" w:rsidRPr="007439DC" w:rsidRDefault="007433CE" w:rsidP="007439DC">
            <w:pPr>
              <w:contextualSpacing/>
              <w:rPr>
                <w:rFonts w:ascii="Times New Roman" w:hAnsi="Times New Roman" w:cs="Times New Roman"/>
                <w:b/>
                <w:bCs/>
              </w:rPr>
            </w:pPr>
          </w:p>
        </w:tc>
      </w:tr>
      <w:tr w:rsidR="007433CE" w:rsidRPr="00D90432" w14:paraId="652299C3" w14:textId="77777777" w:rsidTr="2A62FF34">
        <w:trPr>
          <w:jc w:val="center"/>
        </w:trPr>
        <w:tc>
          <w:tcPr>
            <w:tcW w:w="2157" w:type="dxa"/>
            <w:tcMar>
              <w:top w:w="72" w:type="dxa"/>
              <w:left w:w="115" w:type="dxa"/>
              <w:bottom w:w="72" w:type="dxa"/>
              <w:right w:w="115" w:type="dxa"/>
            </w:tcMar>
            <w:vAlign w:val="center"/>
          </w:tcPr>
          <w:p w14:paraId="0CB47C29"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030BE007" w14:textId="77777777" w:rsidR="007433CE" w:rsidRDefault="007433CE" w:rsidP="000078D6">
            <w:pPr>
              <w:rPr>
                <w:rFonts w:ascii="Times New Roman" w:hAnsi="Times New Roman" w:cs="Times New Roman"/>
                <w:noProof/>
              </w:rPr>
            </w:pPr>
            <w:r>
              <w:rPr>
                <w:rFonts w:ascii="Times New Roman" w:hAnsi="Times New Roman" w:cs="Times New Roman"/>
                <w:noProof/>
              </w:rPr>
              <w:t>2.12</w:t>
            </w:r>
          </w:p>
          <w:p w14:paraId="799E29AE" w14:textId="77777777" w:rsidR="007433CE" w:rsidRDefault="007433CE" w:rsidP="000078D6">
            <w:pPr>
              <w:rPr>
                <w:rFonts w:ascii="Times New Roman" w:hAnsi="Times New Roman" w:cs="Times New Roman"/>
                <w:noProof/>
              </w:rPr>
            </w:pPr>
            <w:r>
              <w:rPr>
                <w:rFonts w:ascii="Times New Roman" w:hAnsi="Times New Roman" w:cs="Times New Roman"/>
                <w:noProof/>
              </w:rPr>
              <w:lastRenderedPageBreak/>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43B200CF" w14:textId="77777777" w:rsidR="007433CE" w:rsidRPr="00BF0D86" w:rsidRDefault="007433CE" w:rsidP="00BF0D86">
            <w:pPr>
              <w:contextualSpacing/>
              <w:rPr>
                <w:rFonts w:ascii="Times New Roman" w:hAnsi="Times New Roman" w:cs="Times New Roman"/>
                <w:b/>
                <w:bCs/>
              </w:rPr>
            </w:pPr>
            <w:r w:rsidRPr="00BF0D86">
              <w:rPr>
                <w:rFonts w:ascii="Times New Roman" w:hAnsi="Times New Roman" w:cs="Times New Roman"/>
                <w:b/>
                <w:bCs/>
              </w:rPr>
              <w:lastRenderedPageBreak/>
              <w:t>Question: Q0211_01</w:t>
            </w:r>
          </w:p>
          <w:p w14:paraId="1ED5D4B3" w14:textId="77777777" w:rsidR="007433CE" w:rsidRPr="00BF0D86" w:rsidRDefault="007433CE" w:rsidP="00BF0D86">
            <w:pPr>
              <w:contextualSpacing/>
              <w:rPr>
                <w:rFonts w:ascii="Times New Roman" w:hAnsi="Times New Roman" w:cs="Times New Roman"/>
              </w:rPr>
            </w:pPr>
            <w:r w:rsidRPr="00BF0D86">
              <w:rPr>
                <w:rFonts w:ascii="Times New Roman" w:hAnsi="Times New Roman" w:cs="Times New Roman"/>
              </w:rPr>
              <w:lastRenderedPageBreak/>
              <w:t xml:space="preserve">We are contemplating doing a </w:t>
            </w:r>
            <w:proofErr w:type="gramStart"/>
            <w:r w:rsidRPr="00BF0D86">
              <w:rPr>
                <w:rFonts w:ascii="Times New Roman" w:hAnsi="Times New Roman" w:cs="Times New Roman"/>
              </w:rPr>
              <w:t>single family</w:t>
            </w:r>
            <w:proofErr w:type="gramEnd"/>
            <w:r w:rsidRPr="00BF0D86">
              <w:rPr>
                <w:rFonts w:ascii="Times New Roman" w:hAnsi="Times New Roman" w:cs="Times New Roman"/>
              </w:rPr>
              <w:t xml:space="preserve"> home ownership application in rural Georgia.   In many rural areas and some metro areas, septic tanks are viable, </w:t>
            </w:r>
            <w:proofErr w:type="gramStart"/>
            <w:r w:rsidRPr="00BF0D86">
              <w:rPr>
                <w:rFonts w:ascii="Times New Roman" w:hAnsi="Times New Roman" w:cs="Times New Roman"/>
              </w:rPr>
              <w:t>reliable</w:t>
            </w:r>
            <w:proofErr w:type="gramEnd"/>
            <w:r w:rsidRPr="00BF0D86">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BF0D86">
              <w:rPr>
                <w:rFonts w:ascii="Times New Roman" w:hAnsi="Times New Roman" w:cs="Times New Roman"/>
              </w:rPr>
              <w:t>15 year</w:t>
            </w:r>
            <w:proofErr w:type="gramEnd"/>
            <w:r w:rsidRPr="00BF0D86">
              <w:rPr>
                <w:rFonts w:ascii="Times New Roman" w:hAnsi="Times New Roman" w:cs="Times New Roman"/>
              </w:rPr>
              <w:t xml:space="preserve"> compliance period.   The QAP only speaks to public sewer.  Will DCA consider a septic tank system for single family home ownership if public sewer is not available in </w:t>
            </w:r>
            <w:proofErr w:type="gramStart"/>
            <w:r w:rsidRPr="00BF0D86">
              <w:rPr>
                <w:rFonts w:ascii="Times New Roman" w:hAnsi="Times New Roman" w:cs="Times New Roman"/>
              </w:rPr>
              <w:t>an</w:t>
            </w:r>
            <w:proofErr w:type="gramEnd"/>
            <w:r w:rsidRPr="00BF0D86">
              <w:rPr>
                <w:rFonts w:ascii="Times New Roman" w:hAnsi="Times New Roman" w:cs="Times New Roman"/>
              </w:rPr>
              <w:t xml:space="preserve"> rural area?</w:t>
            </w:r>
          </w:p>
          <w:p w14:paraId="0C4DA628" w14:textId="77777777" w:rsidR="007433CE" w:rsidRPr="00BF0D86" w:rsidRDefault="007433CE" w:rsidP="00BF0D86">
            <w:pPr>
              <w:contextualSpacing/>
              <w:rPr>
                <w:rFonts w:ascii="Times New Roman" w:hAnsi="Times New Roman" w:cs="Times New Roman"/>
                <w:b/>
                <w:bCs/>
              </w:rPr>
            </w:pPr>
          </w:p>
          <w:p w14:paraId="19EBF8D1" w14:textId="77777777" w:rsidR="007433CE" w:rsidRPr="00BF0D86" w:rsidRDefault="007433CE" w:rsidP="00BF0D86">
            <w:pPr>
              <w:contextualSpacing/>
              <w:rPr>
                <w:rFonts w:ascii="Times New Roman" w:hAnsi="Times New Roman" w:cs="Times New Roman"/>
                <w:b/>
                <w:bCs/>
              </w:rPr>
            </w:pPr>
            <w:r w:rsidRPr="00BF0D86">
              <w:rPr>
                <w:rFonts w:ascii="Times New Roman" w:hAnsi="Times New Roman" w:cs="Times New Roman"/>
                <w:b/>
                <w:bCs/>
              </w:rPr>
              <w:t>Answer</w:t>
            </w:r>
          </w:p>
          <w:p w14:paraId="0CB52AD1" w14:textId="77777777" w:rsidR="007433CE" w:rsidRDefault="007433CE"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Pr>
                <w:rFonts w:ascii="Times New Roman" w:hAnsi="Times New Roman" w:cs="Times New Roman"/>
              </w:rPr>
              <w:t xml:space="preserve">, </w:t>
            </w:r>
            <w:r w:rsidRPr="0061413A">
              <w:rPr>
                <w:rFonts w:ascii="Times New Roman" w:hAnsi="Times New Roman" w:cs="Times New Roman"/>
                <w:i/>
                <w:iCs/>
              </w:rPr>
              <w:t>Public Water/Sanitary Sewer/Storm Sewer</w:t>
            </w:r>
            <w:r>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1D3852F1" w14:textId="77777777" w:rsidR="007433CE" w:rsidRPr="00BF0D86" w:rsidRDefault="007433CE" w:rsidP="00BF0D86">
            <w:pPr>
              <w:contextualSpacing/>
              <w:rPr>
                <w:rFonts w:ascii="Times New Roman" w:hAnsi="Times New Roman" w:cs="Times New Roman"/>
              </w:rPr>
            </w:pPr>
          </w:p>
          <w:p w14:paraId="14D2B82D" w14:textId="77777777" w:rsidR="007433CE" w:rsidRPr="00BF0D86" w:rsidRDefault="007433CE"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72F05AE7" w14:textId="77777777" w:rsidR="007433CE" w:rsidRDefault="007433CE" w:rsidP="00BF0D86">
            <w:pPr>
              <w:contextualSpacing/>
              <w:rPr>
                <w:rFonts w:ascii="Times New Roman" w:hAnsi="Times New Roman" w:cs="Times New Roman"/>
              </w:rPr>
            </w:pPr>
          </w:p>
          <w:p w14:paraId="09DC57D7" w14:textId="77777777" w:rsidR="007433CE" w:rsidRPr="00FA6344" w:rsidRDefault="007433CE" w:rsidP="00BF0D86">
            <w:pPr>
              <w:contextualSpacing/>
              <w:rPr>
                <w:rFonts w:ascii="Times New Roman" w:hAnsi="Times New Roman" w:cs="Times New Roman"/>
                <w:b/>
                <w:bCs/>
              </w:rPr>
            </w:pPr>
            <w:r w:rsidRPr="00BF0D86">
              <w:rPr>
                <w:rFonts w:ascii="Times New Roman" w:hAnsi="Times New Roman" w:cs="Times New Roman"/>
              </w:rPr>
              <w:t xml:space="preserve">Per 2021 QAP </w:t>
            </w:r>
            <w:r w:rsidRPr="007A205F">
              <w:rPr>
                <w:rFonts w:ascii="Times New Roman" w:hAnsi="Times New Roman" w:cs="Times New Roman"/>
                <w:i/>
                <w:iCs/>
              </w:rPr>
              <w:t>Threshold, 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7433CE" w:rsidRPr="00D90432" w14:paraId="7C0FB0CE" w14:textId="77777777" w:rsidTr="2A62FF34">
        <w:trPr>
          <w:jc w:val="center"/>
        </w:trPr>
        <w:tc>
          <w:tcPr>
            <w:tcW w:w="2157" w:type="dxa"/>
            <w:tcMar>
              <w:top w:w="72" w:type="dxa"/>
              <w:left w:w="115" w:type="dxa"/>
              <w:bottom w:w="72" w:type="dxa"/>
              <w:right w:w="115" w:type="dxa"/>
            </w:tcMar>
            <w:vAlign w:val="center"/>
          </w:tcPr>
          <w:p w14:paraId="7B71B2B1"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53E11CDF" w14:textId="77777777" w:rsidR="007433CE" w:rsidRDefault="007433CE" w:rsidP="00610483">
            <w:pPr>
              <w:keepNext/>
              <w:rPr>
                <w:rFonts w:ascii="Times New Roman" w:hAnsi="Times New Roman" w:cs="Times New Roman"/>
                <w:noProof/>
              </w:rPr>
            </w:pPr>
            <w:r>
              <w:rPr>
                <w:rFonts w:ascii="Times New Roman" w:hAnsi="Times New Roman" w:cs="Times New Roman"/>
                <w:noProof/>
              </w:rPr>
              <w:t>2.20</w:t>
            </w:r>
          </w:p>
          <w:p w14:paraId="7E1D787D" w14:textId="77777777" w:rsidR="007433CE" w:rsidRDefault="007433CE"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4BA45FAD" w14:textId="77777777" w:rsidR="007433CE" w:rsidRDefault="007433CE"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7BF74AE2" w14:textId="77777777" w:rsidR="007433CE" w:rsidRPr="00915790" w:rsidRDefault="007433CE"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5900B48A" w14:textId="77777777" w:rsidR="007433CE" w:rsidRDefault="007433CE" w:rsidP="008F7754">
            <w:pPr>
              <w:contextualSpacing/>
              <w:rPr>
                <w:rFonts w:ascii="Times New Roman" w:hAnsi="Times New Roman" w:cs="Times New Roman"/>
                <w:b/>
                <w:bCs/>
              </w:rPr>
            </w:pPr>
          </w:p>
          <w:p w14:paraId="0B1AF677" w14:textId="77777777" w:rsidR="007433CE" w:rsidRPr="00EF4357" w:rsidRDefault="007433CE"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246DEF06" w14:textId="77777777" w:rsidR="007433CE" w:rsidRPr="004014B0" w:rsidRDefault="007433CE"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28779113" w14:textId="77777777" w:rsidR="007433CE" w:rsidRDefault="007433CE" w:rsidP="008F7754">
            <w:pPr>
              <w:contextualSpacing/>
              <w:rPr>
                <w:rFonts w:ascii="Times New Roman" w:hAnsi="Times New Roman" w:cs="Times New Roman"/>
              </w:rPr>
            </w:pPr>
          </w:p>
          <w:p w14:paraId="0E053BDB" w14:textId="77777777" w:rsidR="007433CE" w:rsidRDefault="007433CE"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79D5EBA4" w14:textId="77777777" w:rsidR="007433CE" w:rsidRDefault="007433CE" w:rsidP="008F7754">
            <w:pPr>
              <w:contextualSpacing/>
              <w:rPr>
                <w:rFonts w:ascii="Times New Roman" w:hAnsi="Times New Roman" w:cs="Times New Roman"/>
              </w:rPr>
            </w:pPr>
          </w:p>
          <w:p w14:paraId="1EBDDD6E" w14:textId="77777777" w:rsidR="007433CE" w:rsidRPr="00EF4357" w:rsidRDefault="007433CE" w:rsidP="008F7754">
            <w:pPr>
              <w:contextualSpacing/>
              <w:rPr>
                <w:rFonts w:ascii="Times New Roman" w:hAnsi="Times New Roman" w:cs="Times New Roman"/>
              </w:rPr>
            </w:pPr>
            <w:r w:rsidRPr="00EF4357">
              <w:rPr>
                <w:rFonts w:ascii="Times New Roman" w:hAnsi="Times New Roman" w:cs="Times New Roman"/>
              </w:rPr>
              <w:lastRenderedPageBreak/>
              <w:t>Certifying entities that qualify under grandfathering are exempt from submitting the required documents related to Experience, such as the syndicator letters, IRS Forms 8609, and trailing twelve-month occupancy reports for each Successful Tax Credit Project.</w:t>
            </w:r>
          </w:p>
          <w:p w14:paraId="74E47955" w14:textId="77777777" w:rsidR="007433CE" w:rsidRPr="004936E3" w:rsidRDefault="007433CE" w:rsidP="004936E3">
            <w:pPr>
              <w:contextualSpacing/>
              <w:rPr>
                <w:rFonts w:ascii="Times New Roman" w:hAnsi="Times New Roman" w:cs="Times New Roman"/>
                <w:b/>
                <w:bCs/>
              </w:rPr>
            </w:pPr>
          </w:p>
        </w:tc>
      </w:tr>
      <w:tr w:rsidR="007433CE" w:rsidRPr="00D90432" w14:paraId="2F4AE5A4" w14:textId="77777777" w:rsidTr="2A62FF34">
        <w:trPr>
          <w:jc w:val="center"/>
        </w:trPr>
        <w:tc>
          <w:tcPr>
            <w:tcW w:w="2157" w:type="dxa"/>
            <w:tcMar>
              <w:top w:w="72" w:type="dxa"/>
              <w:left w:w="115" w:type="dxa"/>
              <w:bottom w:w="72" w:type="dxa"/>
              <w:right w:w="115" w:type="dxa"/>
            </w:tcMar>
            <w:vAlign w:val="center"/>
          </w:tcPr>
          <w:p w14:paraId="00FEC3A7" w14:textId="77777777" w:rsidR="007433CE" w:rsidRPr="001001AE" w:rsidRDefault="007433CE"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8A49809" w14:textId="77777777" w:rsidR="007433CE" w:rsidRDefault="007433CE" w:rsidP="000078D6">
            <w:pPr>
              <w:rPr>
                <w:rFonts w:ascii="Times New Roman" w:hAnsi="Times New Roman" w:cs="Times New Roman"/>
                <w:noProof/>
              </w:rPr>
            </w:pPr>
            <w:r>
              <w:rPr>
                <w:rFonts w:ascii="Times New Roman" w:hAnsi="Times New Roman" w:cs="Times New Roman"/>
                <w:noProof/>
              </w:rPr>
              <w:t>2.25</w:t>
            </w:r>
          </w:p>
          <w:p w14:paraId="6D697E37" w14:textId="77777777" w:rsidR="007433CE" w:rsidRDefault="007433CE"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031BED55" w14:textId="77777777" w:rsidR="007433CE" w:rsidRPr="00E96415" w:rsidRDefault="007433CE"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616C9857" w14:textId="77777777" w:rsidR="007433CE" w:rsidRPr="00E96415" w:rsidRDefault="007433CE"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1E1D1FDF" w14:textId="77777777" w:rsidR="007433CE" w:rsidRPr="00E96415" w:rsidRDefault="007433CE" w:rsidP="00E96415">
            <w:pPr>
              <w:contextualSpacing/>
              <w:rPr>
                <w:rFonts w:ascii="Times New Roman" w:hAnsi="Times New Roman" w:cs="Times New Roman"/>
                <w:b/>
                <w:bCs/>
              </w:rPr>
            </w:pPr>
          </w:p>
          <w:p w14:paraId="5E5C6575" w14:textId="77777777" w:rsidR="007433CE" w:rsidRPr="00B76938" w:rsidRDefault="007433CE" w:rsidP="00E96415">
            <w:pPr>
              <w:contextualSpacing/>
              <w:rPr>
                <w:rFonts w:ascii="Times New Roman" w:hAnsi="Times New Roman" w:cs="Times New Roman"/>
              </w:rPr>
            </w:pPr>
            <w:r w:rsidRPr="00B76938">
              <w:rPr>
                <w:rFonts w:ascii="Times New Roman" w:hAnsi="Times New Roman" w:cs="Times New Roman"/>
              </w:rPr>
              <w:t>“For 9% Applications, DCA will not allow permanent displacement of tenants unless a waiver is obtained.”</w:t>
            </w:r>
          </w:p>
          <w:p w14:paraId="19AD233B" w14:textId="77777777" w:rsidR="007433CE" w:rsidRPr="00B76938" w:rsidRDefault="007433CE" w:rsidP="00E96415">
            <w:pPr>
              <w:contextualSpacing/>
              <w:rPr>
                <w:rFonts w:ascii="Times New Roman" w:hAnsi="Times New Roman" w:cs="Times New Roman"/>
              </w:rPr>
            </w:pPr>
          </w:p>
          <w:p w14:paraId="222D4D3A" w14:textId="77777777" w:rsidR="007433CE" w:rsidRPr="00B76938" w:rsidRDefault="007433CE"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3EF865CA" w14:textId="77777777" w:rsidR="007433CE" w:rsidRPr="00E96415" w:rsidRDefault="007433CE"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5A65C74E" w14:textId="77777777" w:rsidR="007433CE" w:rsidRPr="00E96415" w:rsidRDefault="007433CE" w:rsidP="00E96415">
            <w:pPr>
              <w:contextualSpacing/>
              <w:rPr>
                <w:rFonts w:ascii="Times New Roman" w:hAnsi="Times New Roman" w:cs="Times New Roman"/>
                <w:b/>
                <w:bCs/>
              </w:rPr>
            </w:pPr>
            <w:r w:rsidRPr="00E96415">
              <w:rPr>
                <w:rFonts w:ascii="Times New Roman" w:hAnsi="Times New Roman" w:cs="Times New Roman"/>
                <w:b/>
                <w:bCs/>
              </w:rPr>
              <w:t>Answer:</w:t>
            </w:r>
          </w:p>
          <w:p w14:paraId="0D9BDBC6" w14:textId="77777777" w:rsidR="007433CE" w:rsidRPr="00B76938" w:rsidRDefault="007433CE"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7433CE" w:rsidRPr="00D90432" w14:paraId="144609D6" w14:textId="77777777" w:rsidTr="2A62FF34">
        <w:trPr>
          <w:jc w:val="center"/>
        </w:trPr>
        <w:tc>
          <w:tcPr>
            <w:tcW w:w="2157" w:type="dxa"/>
            <w:tcMar>
              <w:top w:w="72" w:type="dxa"/>
              <w:left w:w="115" w:type="dxa"/>
              <w:bottom w:w="72" w:type="dxa"/>
              <w:right w:w="115" w:type="dxa"/>
            </w:tcMar>
            <w:vAlign w:val="center"/>
          </w:tcPr>
          <w:p w14:paraId="67588C95"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4B161F52" w14:textId="77777777" w:rsidR="007433CE" w:rsidRDefault="007433CE" w:rsidP="000078D6">
            <w:pPr>
              <w:rPr>
                <w:rFonts w:ascii="Times New Roman" w:hAnsi="Times New Roman" w:cs="Times New Roman"/>
                <w:noProof/>
              </w:rPr>
            </w:pPr>
            <w:r>
              <w:rPr>
                <w:rFonts w:ascii="Times New Roman" w:hAnsi="Times New Roman" w:cs="Times New Roman"/>
                <w:noProof/>
              </w:rPr>
              <w:t>3.05</w:t>
            </w:r>
          </w:p>
          <w:p w14:paraId="2ABC7BE9" w14:textId="77777777" w:rsidR="007433CE" w:rsidRDefault="007433CE"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BEA5B6F" w14:textId="77777777" w:rsidR="007433CE" w:rsidRPr="000C19C9" w:rsidRDefault="007433CE"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08C2773C" w14:textId="77777777" w:rsidR="007433CE" w:rsidRPr="000C19C9" w:rsidRDefault="007433CE"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2764FE55" w14:textId="77777777" w:rsidR="007433CE" w:rsidRPr="000C19C9" w:rsidRDefault="007433CE" w:rsidP="002D5F7C">
            <w:pPr>
              <w:contextualSpacing/>
              <w:rPr>
                <w:rFonts w:ascii="Times New Roman" w:hAnsi="Times New Roman" w:cs="Times New Roman"/>
              </w:rPr>
            </w:pPr>
          </w:p>
          <w:p w14:paraId="687DCBEF" w14:textId="77777777" w:rsidR="007433CE" w:rsidRPr="000C19C9" w:rsidRDefault="007433CE" w:rsidP="002D5F7C">
            <w:pPr>
              <w:contextualSpacing/>
              <w:rPr>
                <w:rFonts w:ascii="Times New Roman" w:hAnsi="Times New Roman" w:cs="Times New Roman"/>
                <w:b/>
                <w:bCs/>
              </w:rPr>
            </w:pPr>
            <w:r w:rsidRPr="000C19C9">
              <w:rPr>
                <w:rFonts w:ascii="Times New Roman" w:hAnsi="Times New Roman" w:cs="Times New Roman"/>
                <w:b/>
                <w:bCs/>
              </w:rPr>
              <w:t xml:space="preserve">Answer: </w:t>
            </w:r>
          </w:p>
          <w:p w14:paraId="3D056D7C" w14:textId="77777777" w:rsidR="007433CE" w:rsidRPr="002A518B" w:rsidRDefault="007433CE"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7433CE" w:rsidRPr="00D90432" w14:paraId="2EF5B88F" w14:textId="77777777" w:rsidTr="2A62FF34">
        <w:trPr>
          <w:jc w:val="center"/>
        </w:trPr>
        <w:tc>
          <w:tcPr>
            <w:tcW w:w="2157" w:type="dxa"/>
            <w:tcMar>
              <w:top w:w="72" w:type="dxa"/>
              <w:left w:w="115" w:type="dxa"/>
              <w:bottom w:w="72" w:type="dxa"/>
              <w:right w:w="115" w:type="dxa"/>
            </w:tcMar>
            <w:vAlign w:val="center"/>
          </w:tcPr>
          <w:p w14:paraId="5DF41DC6"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79271642" w14:textId="77777777" w:rsidR="007433CE" w:rsidRDefault="007433CE" w:rsidP="000078D6">
            <w:pPr>
              <w:rPr>
                <w:rFonts w:ascii="Times New Roman" w:hAnsi="Times New Roman" w:cs="Times New Roman"/>
                <w:noProof/>
              </w:rPr>
            </w:pPr>
            <w:r>
              <w:rPr>
                <w:rFonts w:ascii="Times New Roman" w:hAnsi="Times New Roman" w:cs="Times New Roman"/>
                <w:noProof/>
              </w:rPr>
              <w:t>3.14</w:t>
            </w:r>
          </w:p>
          <w:p w14:paraId="6B8DE04E" w14:textId="77777777" w:rsidR="007433CE" w:rsidRDefault="007433CE"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3CE2F3C4" w14:textId="77777777" w:rsidR="007433CE" w:rsidRPr="00416A34" w:rsidRDefault="007433CE"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69AE818A" w14:textId="77777777" w:rsidR="007433CE" w:rsidRDefault="007433CE"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66AC7514" w14:textId="77777777" w:rsidR="007433CE" w:rsidRPr="00416A34" w:rsidRDefault="007433CE" w:rsidP="00416A34">
            <w:pPr>
              <w:contextualSpacing/>
              <w:rPr>
                <w:rFonts w:ascii="Times New Roman" w:hAnsi="Times New Roman" w:cs="Times New Roman"/>
              </w:rPr>
            </w:pPr>
          </w:p>
          <w:p w14:paraId="01147A54" w14:textId="77777777" w:rsidR="007433CE" w:rsidRPr="00416A34" w:rsidRDefault="007433CE" w:rsidP="00416A34">
            <w:pPr>
              <w:contextualSpacing/>
              <w:rPr>
                <w:rFonts w:ascii="Times New Roman" w:hAnsi="Times New Roman" w:cs="Times New Roman"/>
              </w:rPr>
            </w:pPr>
            <w:r w:rsidRPr="00416A34">
              <w:rPr>
                <w:rFonts w:ascii="Times New Roman" w:hAnsi="Times New Roman" w:cs="Times New Roman"/>
              </w:rPr>
              <w:t xml:space="preserve">No approvals are expected to be necessary for the city. We have not gotten very far on water sewer letters or building </w:t>
            </w:r>
            <w:proofErr w:type="gramStart"/>
            <w:r w:rsidRPr="00416A34">
              <w:rPr>
                <w:rFonts w:ascii="Times New Roman" w:hAnsi="Times New Roman" w:cs="Times New Roman"/>
              </w:rPr>
              <w:t>permits</w:t>
            </w:r>
            <w:proofErr w:type="gramEnd"/>
            <w:r w:rsidRPr="00416A34">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09A597E0" w14:textId="77777777" w:rsidR="007433CE" w:rsidRPr="00416A34" w:rsidRDefault="007433CE" w:rsidP="00416A34">
            <w:pPr>
              <w:contextualSpacing/>
              <w:rPr>
                <w:rFonts w:ascii="Times New Roman" w:hAnsi="Times New Roman" w:cs="Times New Roman"/>
              </w:rPr>
            </w:pPr>
          </w:p>
          <w:p w14:paraId="30C01810" w14:textId="77777777" w:rsidR="007433CE" w:rsidRPr="00290C4B" w:rsidRDefault="007433CE" w:rsidP="007E3529">
            <w:pPr>
              <w:keepNext/>
              <w:contextualSpacing/>
              <w:rPr>
                <w:rFonts w:ascii="Times New Roman" w:hAnsi="Times New Roman" w:cs="Times New Roman"/>
                <w:b/>
                <w:bCs/>
              </w:rPr>
            </w:pPr>
            <w:r w:rsidRPr="00290C4B">
              <w:rPr>
                <w:rFonts w:ascii="Times New Roman" w:hAnsi="Times New Roman" w:cs="Times New Roman"/>
                <w:b/>
                <w:bCs/>
              </w:rPr>
              <w:lastRenderedPageBreak/>
              <w:t>Answer:</w:t>
            </w:r>
          </w:p>
          <w:p w14:paraId="5467D8D1" w14:textId="77777777" w:rsidR="007433CE" w:rsidRPr="00C311B1" w:rsidRDefault="007433CE"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xml:space="preserve">, DCA considers this proposed development to be located outside the city limits </w:t>
            </w:r>
            <w:proofErr w:type="gramStart"/>
            <w:r w:rsidRPr="00416A34">
              <w:rPr>
                <w:rFonts w:ascii="Times New Roman" w:hAnsi="Times New Roman" w:cs="Times New Roman"/>
              </w:rPr>
              <w:t>due to the fact that</w:t>
            </w:r>
            <w:proofErr w:type="gramEnd"/>
            <w:r w:rsidRPr="00416A34">
              <w:rPr>
                <w:rFonts w:ascii="Times New Roman" w:hAnsi="Times New Roman" w:cs="Times New Roman"/>
              </w:rPr>
              <w:t xml:space="preserve"> all buildings will be located outside city limits and all approvals necessary for construction will be outside the jurisdiction of the city.</w:t>
            </w:r>
          </w:p>
        </w:tc>
      </w:tr>
      <w:tr w:rsidR="007433CE" w:rsidRPr="00D90432" w14:paraId="2740E49D" w14:textId="77777777" w:rsidTr="2A62FF34">
        <w:trPr>
          <w:jc w:val="center"/>
        </w:trPr>
        <w:tc>
          <w:tcPr>
            <w:tcW w:w="2157" w:type="dxa"/>
            <w:tcMar>
              <w:top w:w="72" w:type="dxa"/>
              <w:left w:w="115" w:type="dxa"/>
              <w:bottom w:w="72" w:type="dxa"/>
              <w:right w:w="115" w:type="dxa"/>
            </w:tcMar>
            <w:vAlign w:val="center"/>
          </w:tcPr>
          <w:p w14:paraId="23B61407" w14:textId="77777777" w:rsidR="007433CE" w:rsidRDefault="007433CE"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B2B0E5D" w14:textId="77777777" w:rsidR="007433CE" w:rsidRDefault="007433CE" w:rsidP="000078D6">
            <w:pPr>
              <w:rPr>
                <w:rFonts w:ascii="Times New Roman" w:hAnsi="Times New Roman" w:cs="Times New Roman"/>
                <w:noProof/>
              </w:rPr>
            </w:pPr>
            <w:r>
              <w:rPr>
                <w:rFonts w:ascii="Times New Roman" w:hAnsi="Times New Roman" w:cs="Times New Roman"/>
                <w:noProof/>
              </w:rPr>
              <w:t>7.00</w:t>
            </w:r>
          </w:p>
          <w:p w14:paraId="5DD2B3A4" w14:textId="77777777" w:rsidR="007433CE" w:rsidRDefault="007433CE" w:rsidP="000078D6">
            <w:pPr>
              <w:rPr>
                <w:rFonts w:ascii="Times New Roman" w:hAnsi="Times New Roman" w:cs="Times New Roman"/>
                <w:noProof/>
              </w:rPr>
            </w:pPr>
            <w:r>
              <w:rPr>
                <w:rFonts w:ascii="Times New Roman" w:hAnsi="Times New Roman" w:cs="Times New Roman"/>
                <w:noProof/>
              </w:rPr>
              <w:t>Application Materials; Pre-Application Instructions</w:t>
            </w:r>
          </w:p>
        </w:tc>
        <w:tc>
          <w:tcPr>
            <w:tcW w:w="9590" w:type="dxa"/>
            <w:tcMar>
              <w:top w:w="72" w:type="dxa"/>
              <w:left w:w="115" w:type="dxa"/>
              <w:bottom w:w="72" w:type="dxa"/>
              <w:right w:w="115" w:type="dxa"/>
            </w:tcMar>
            <w:vAlign w:val="center"/>
          </w:tcPr>
          <w:p w14:paraId="77427AB5" w14:textId="77777777" w:rsidR="007433CE" w:rsidRPr="002A518B" w:rsidRDefault="007433CE" w:rsidP="002A518B">
            <w:pPr>
              <w:contextualSpacing/>
              <w:rPr>
                <w:rFonts w:ascii="Times New Roman" w:hAnsi="Times New Roman" w:cs="Times New Roman"/>
                <w:b/>
                <w:bCs/>
              </w:rPr>
            </w:pPr>
            <w:r w:rsidRPr="002A518B">
              <w:rPr>
                <w:rFonts w:ascii="Times New Roman" w:hAnsi="Times New Roman" w:cs="Times New Roman"/>
                <w:b/>
                <w:bCs/>
              </w:rPr>
              <w:t>Question</w:t>
            </w:r>
            <w:r>
              <w:rPr>
                <w:rFonts w:ascii="Times New Roman" w:hAnsi="Times New Roman" w:cs="Times New Roman"/>
                <w:b/>
                <w:bCs/>
              </w:rPr>
              <w:t xml:space="preserve">: </w:t>
            </w:r>
            <w:r w:rsidRPr="00D36A0A">
              <w:rPr>
                <w:rFonts w:ascii="Times New Roman" w:hAnsi="Times New Roman" w:cs="Times New Roman"/>
                <w:b/>
                <w:bCs/>
              </w:rPr>
              <w:t>Q0222_01</w:t>
            </w:r>
          </w:p>
          <w:p w14:paraId="4C6A73AE" w14:textId="77777777" w:rsidR="007433CE" w:rsidRPr="00D36A0A" w:rsidRDefault="007433CE" w:rsidP="002A518B">
            <w:pPr>
              <w:contextualSpacing/>
              <w:rPr>
                <w:rFonts w:ascii="Times New Roman" w:hAnsi="Times New Roman" w:cs="Times New Roman"/>
              </w:rPr>
            </w:pPr>
            <w:r w:rsidRPr="00D36A0A">
              <w:rPr>
                <w:rFonts w:ascii="Times New Roman" w:hAnsi="Times New Roman" w:cs="Times New Roman"/>
              </w:rPr>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2AE4B2DA" w14:textId="77777777" w:rsidR="007433CE" w:rsidRDefault="007433CE" w:rsidP="002A518B">
            <w:pPr>
              <w:contextualSpacing/>
              <w:rPr>
                <w:rFonts w:ascii="Times New Roman" w:hAnsi="Times New Roman" w:cs="Times New Roman"/>
                <w:b/>
                <w:bCs/>
              </w:rPr>
            </w:pPr>
          </w:p>
          <w:p w14:paraId="22AE2A77" w14:textId="77777777" w:rsidR="007433CE" w:rsidRPr="002A518B" w:rsidRDefault="007433CE" w:rsidP="002A518B">
            <w:pPr>
              <w:contextualSpacing/>
              <w:rPr>
                <w:rFonts w:ascii="Times New Roman" w:hAnsi="Times New Roman" w:cs="Times New Roman"/>
                <w:b/>
                <w:bCs/>
              </w:rPr>
            </w:pPr>
            <w:r w:rsidRPr="002A518B">
              <w:rPr>
                <w:rFonts w:ascii="Times New Roman" w:hAnsi="Times New Roman" w:cs="Times New Roman"/>
                <w:b/>
                <w:bCs/>
              </w:rPr>
              <w:t>Answer</w:t>
            </w:r>
          </w:p>
          <w:p w14:paraId="0E9FE5D5" w14:textId="77777777" w:rsidR="007433CE" w:rsidRPr="002A518B" w:rsidRDefault="007433CE"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7433CE" w:rsidRPr="00D90432" w14:paraId="29DABF46" w14:textId="77777777" w:rsidTr="2A62FF34">
        <w:trPr>
          <w:jc w:val="center"/>
        </w:trPr>
        <w:tc>
          <w:tcPr>
            <w:tcW w:w="2157" w:type="dxa"/>
            <w:tcMar>
              <w:top w:w="72" w:type="dxa"/>
              <w:left w:w="115" w:type="dxa"/>
              <w:bottom w:w="72" w:type="dxa"/>
              <w:right w:w="115" w:type="dxa"/>
            </w:tcMar>
            <w:vAlign w:val="center"/>
          </w:tcPr>
          <w:p w14:paraId="7F8F1267"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2EC2028A" w14:textId="77777777" w:rsidR="007433CE" w:rsidRDefault="007433CE"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63E82B31"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5CCDE671" w14:textId="77777777" w:rsidR="007433CE" w:rsidRPr="00D90432" w:rsidRDefault="007433CE"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620E6F9D" w14:textId="77777777" w:rsidR="007433CE" w:rsidRPr="00D90432" w:rsidRDefault="007433CE"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5EDCCFD2" w14:textId="77777777" w:rsidR="007433CE" w:rsidRPr="00D90432" w:rsidRDefault="007433CE" w:rsidP="00FC23CC">
            <w:pPr>
              <w:contextualSpacing/>
              <w:rPr>
                <w:rFonts w:ascii="Times New Roman" w:hAnsi="Times New Roman" w:cs="Times New Roman"/>
                <w:b/>
                <w:bCs/>
              </w:rPr>
            </w:pPr>
          </w:p>
          <w:p w14:paraId="581D99CF" w14:textId="77777777" w:rsidR="007433CE" w:rsidRPr="00D90432" w:rsidRDefault="007433CE" w:rsidP="00FC23CC">
            <w:pPr>
              <w:contextualSpacing/>
              <w:rPr>
                <w:rFonts w:ascii="Times New Roman" w:hAnsi="Times New Roman" w:cs="Times New Roman"/>
                <w:b/>
                <w:bCs/>
              </w:rPr>
            </w:pPr>
            <w:r w:rsidRPr="00D90432">
              <w:rPr>
                <w:rFonts w:ascii="Times New Roman" w:hAnsi="Times New Roman" w:cs="Times New Roman"/>
                <w:b/>
                <w:bCs/>
              </w:rPr>
              <w:t>Answer:</w:t>
            </w:r>
          </w:p>
          <w:p w14:paraId="02A270F8" w14:textId="77777777" w:rsidR="007433CE" w:rsidRPr="00D90432" w:rsidRDefault="007433CE"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2CD49A9C" w14:textId="77777777" w:rsidR="007433CE" w:rsidRPr="00D90432" w:rsidRDefault="007433CE" w:rsidP="00FC23CC">
            <w:pPr>
              <w:contextualSpacing/>
              <w:rPr>
                <w:rFonts w:ascii="Times New Roman" w:eastAsia="Times New Roman" w:hAnsi="Times New Roman" w:cs="Times New Roman"/>
                <w:color w:val="000000" w:themeColor="text1"/>
              </w:rPr>
            </w:pPr>
          </w:p>
          <w:p w14:paraId="733C1535" w14:textId="77777777" w:rsidR="007433CE" w:rsidRPr="00D90432" w:rsidRDefault="007433CE"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22">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23">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63068E7C" w14:textId="77777777" w:rsidR="007433CE" w:rsidRPr="00D90432" w:rsidRDefault="007433CE" w:rsidP="00FC23CC">
            <w:pPr>
              <w:contextualSpacing/>
              <w:rPr>
                <w:rFonts w:ascii="Times New Roman" w:hAnsi="Times New Roman" w:cs="Times New Roman"/>
              </w:rPr>
            </w:pPr>
          </w:p>
          <w:p w14:paraId="0D950B2F" w14:textId="77777777" w:rsidR="007433CE" w:rsidRPr="00D90432" w:rsidRDefault="007433CE" w:rsidP="00FC23CC">
            <w:pPr>
              <w:rPr>
                <w:rFonts w:ascii="Times New Roman" w:hAnsi="Times New Roman" w:cs="Times New Roman"/>
                <w:noProof/>
              </w:rPr>
            </w:pPr>
            <w:hyperlink r:id="rId24">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7433CE" w:rsidRPr="00D90432" w14:paraId="3F7D2418" w14:textId="77777777" w:rsidTr="2A62FF34">
        <w:trPr>
          <w:jc w:val="center"/>
        </w:trPr>
        <w:tc>
          <w:tcPr>
            <w:tcW w:w="2157" w:type="dxa"/>
            <w:tcMar>
              <w:top w:w="72" w:type="dxa"/>
              <w:left w:w="115" w:type="dxa"/>
              <w:bottom w:w="72" w:type="dxa"/>
              <w:right w:w="115" w:type="dxa"/>
            </w:tcMar>
            <w:vAlign w:val="center"/>
          </w:tcPr>
          <w:p w14:paraId="47E8B8EB"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60AFD11" w14:textId="77777777" w:rsidR="007433CE" w:rsidRDefault="007433CE" w:rsidP="000078D6">
            <w:pPr>
              <w:rPr>
                <w:rFonts w:ascii="Times New Roman" w:hAnsi="Times New Roman" w:cs="Times New Roman"/>
                <w:noProof/>
              </w:rPr>
            </w:pPr>
            <w:r>
              <w:rPr>
                <w:rFonts w:ascii="Times New Roman" w:hAnsi="Times New Roman" w:cs="Times New Roman"/>
                <w:noProof/>
              </w:rPr>
              <w:t>1.18</w:t>
            </w:r>
          </w:p>
          <w:p w14:paraId="2E9B4C05"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16C0234D"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6416FF63"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1505E91" w14:textId="77777777" w:rsidR="007433CE" w:rsidRPr="00D90432" w:rsidRDefault="007433CE" w:rsidP="000078D6">
            <w:pPr>
              <w:rPr>
                <w:rFonts w:ascii="Times New Roman" w:hAnsi="Times New Roman" w:cs="Times New Roman"/>
                <w:noProof/>
              </w:rPr>
            </w:pPr>
          </w:p>
          <w:p w14:paraId="6348C634"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b/>
                <w:bCs/>
                <w:noProof/>
              </w:rPr>
              <w:lastRenderedPageBreak/>
              <w:t>Answer</w:t>
            </w:r>
            <w:r w:rsidRPr="00D90432">
              <w:rPr>
                <w:rFonts w:ascii="Times New Roman" w:hAnsi="Times New Roman" w:cs="Times New Roman"/>
                <w:noProof/>
              </w:rPr>
              <w:t>:</w:t>
            </w:r>
          </w:p>
          <w:p w14:paraId="79E89772" w14:textId="77777777" w:rsidR="007433CE" w:rsidRPr="00D90432" w:rsidRDefault="007433CE"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6B06F975" w14:textId="77777777" w:rsidR="007433CE" w:rsidRPr="00D90432" w:rsidRDefault="007433CE" w:rsidP="00700A00">
            <w:pPr>
              <w:rPr>
                <w:rFonts w:ascii="Times New Roman" w:hAnsi="Times New Roman" w:cs="Times New Roman"/>
                <w:noProof/>
              </w:rPr>
            </w:pPr>
          </w:p>
          <w:p w14:paraId="059CDFE3" w14:textId="77777777" w:rsidR="007433CE" w:rsidRPr="00D90432" w:rsidRDefault="007433CE"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6E45CDF8" w14:textId="77777777" w:rsidR="007433CE" w:rsidRPr="00D90432" w:rsidRDefault="007433CE"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Identify which of these most recent allocations is the oldest. The application in the LGB with the oldest of these allocations wins the tiebreaker. </w:t>
            </w:r>
          </w:p>
          <w:p w14:paraId="06FBA061" w14:textId="77777777" w:rsidR="007433CE" w:rsidRPr="00D90432" w:rsidRDefault="007433CE" w:rsidP="0085629A">
            <w:pPr>
              <w:pStyle w:val="ListParagraph"/>
              <w:rPr>
                <w:rFonts w:ascii="Times New Roman" w:hAnsi="Times New Roman" w:cs="Times New Roman"/>
                <w:noProof/>
              </w:rPr>
            </w:pPr>
          </w:p>
          <w:p w14:paraId="7E445152" w14:textId="77777777" w:rsidR="007433CE" w:rsidRPr="00D90432" w:rsidRDefault="007433CE"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1DF0BDD0" w14:textId="77777777" w:rsidR="007433CE" w:rsidRPr="00D90432" w:rsidRDefault="007433CE" w:rsidP="000078D6">
            <w:pPr>
              <w:rPr>
                <w:rFonts w:ascii="Times New Roman" w:hAnsi="Times New Roman" w:cs="Times New Roman"/>
                <w:noProof/>
              </w:rPr>
            </w:pPr>
          </w:p>
          <w:p w14:paraId="37AE9454" w14:textId="77777777" w:rsidR="007433CE" w:rsidRPr="00D90432" w:rsidRDefault="007433CE" w:rsidP="000078D6">
            <w:pPr>
              <w:rPr>
                <w:rFonts w:ascii="Times New Roman" w:hAnsi="Times New Roman" w:cs="Times New Roman"/>
                <w:noProof/>
              </w:rPr>
            </w:pPr>
          </w:p>
        </w:tc>
      </w:tr>
      <w:tr w:rsidR="007433CE" w:rsidRPr="00D90432" w14:paraId="1106E85C" w14:textId="77777777" w:rsidTr="2A62FF34">
        <w:trPr>
          <w:jc w:val="center"/>
        </w:trPr>
        <w:tc>
          <w:tcPr>
            <w:tcW w:w="2157" w:type="dxa"/>
            <w:tcMar>
              <w:top w:w="72" w:type="dxa"/>
              <w:left w:w="115" w:type="dxa"/>
              <w:bottom w:w="72" w:type="dxa"/>
              <w:right w:w="115" w:type="dxa"/>
            </w:tcMar>
            <w:vAlign w:val="center"/>
          </w:tcPr>
          <w:p w14:paraId="3EDE94CB" w14:textId="77777777" w:rsidR="007433CE" w:rsidRPr="00D90432" w:rsidRDefault="007433CE" w:rsidP="007D019A">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BFF150C" w14:textId="77777777" w:rsidR="007433CE" w:rsidRDefault="007433CE"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03D75D62" w14:textId="77777777" w:rsidR="007433CE" w:rsidRPr="00D90432" w:rsidRDefault="007433CE"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78261AFE" w14:textId="77777777" w:rsidR="007433CE" w:rsidRPr="00D90432" w:rsidRDefault="007433CE"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68E66A6C" w14:textId="77777777" w:rsidR="007433CE" w:rsidRPr="00D90432" w:rsidRDefault="007433CE" w:rsidP="00834C7C">
            <w:pPr>
              <w:keepNext/>
              <w:rPr>
                <w:rFonts w:ascii="Times New Roman" w:hAnsi="Times New Roman" w:cs="Times New Roman"/>
              </w:rPr>
            </w:pPr>
            <w:r w:rsidRPr="00D90432">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D90432">
              <w:rPr>
                <w:rFonts w:ascii="Times New Roman" w:hAnsi="Times New Roman" w:cs="Times New Roman"/>
              </w:rPr>
              <w:t>previously-funded</w:t>
            </w:r>
            <w:proofErr w:type="gramEnd"/>
            <w:r w:rsidRPr="00D90432">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6A8D9DA7" w14:textId="77777777" w:rsidR="007433CE" w:rsidRPr="00D90432" w:rsidRDefault="007433CE" w:rsidP="000D1947">
            <w:pPr>
              <w:rPr>
                <w:rFonts w:ascii="Times New Roman" w:hAnsi="Times New Roman" w:cs="Times New Roman"/>
                <w:b/>
                <w:bCs/>
              </w:rPr>
            </w:pPr>
          </w:p>
          <w:p w14:paraId="55E60980" w14:textId="77777777" w:rsidR="007433CE" w:rsidRPr="00D90432" w:rsidRDefault="007433CE" w:rsidP="000D1947">
            <w:pPr>
              <w:rPr>
                <w:rFonts w:ascii="Times New Roman" w:hAnsi="Times New Roman" w:cs="Times New Roman"/>
                <w:b/>
                <w:bCs/>
              </w:rPr>
            </w:pPr>
            <w:r w:rsidRPr="00D90432">
              <w:rPr>
                <w:rFonts w:ascii="Times New Roman" w:hAnsi="Times New Roman" w:cs="Times New Roman"/>
                <w:b/>
                <w:bCs/>
              </w:rPr>
              <w:t>Answer:</w:t>
            </w:r>
          </w:p>
          <w:p w14:paraId="75075AAC" w14:textId="77777777" w:rsidR="007433CE" w:rsidRPr="00D90432" w:rsidRDefault="007433CE"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362E7D42" w14:textId="77777777" w:rsidR="007433CE" w:rsidRPr="00D90432" w:rsidRDefault="007433CE" w:rsidP="000D1947">
            <w:pPr>
              <w:rPr>
                <w:rFonts w:ascii="Times New Roman" w:hAnsi="Times New Roman" w:cs="Times New Roman"/>
              </w:rPr>
            </w:pPr>
          </w:p>
          <w:p w14:paraId="308821B9" w14:textId="77777777" w:rsidR="007433CE" w:rsidRPr="00D90432" w:rsidRDefault="007433CE"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71827A64" w14:textId="77777777" w:rsidR="007433CE" w:rsidRPr="00D90432" w:rsidRDefault="007433CE" w:rsidP="000D1947">
            <w:pPr>
              <w:rPr>
                <w:rFonts w:ascii="Times New Roman" w:hAnsi="Times New Roman" w:cs="Times New Roman"/>
              </w:rPr>
            </w:pPr>
          </w:p>
          <w:p w14:paraId="359E3368" w14:textId="77777777" w:rsidR="007433CE" w:rsidRPr="00D90432" w:rsidRDefault="007433CE"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1126F7F9" w14:textId="77777777" w:rsidR="007433CE" w:rsidRPr="00D90432" w:rsidRDefault="007433CE"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1F03C11C" w14:textId="77777777" w:rsidR="007433CE" w:rsidRPr="00D90432" w:rsidRDefault="007433CE" w:rsidP="000D1947">
            <w:pPr>
              <w:rPr>
                <w:rFonts w:ascii="Times New Roman" w:hAnsi="Times New Roman" w:cs="Times New Roman"/>
              </w:rPr>
            </w:pPr>
          </w:p>
          <w:p w14:paraId="6E1404BE" w14:textId="77777777" w:rsidR="007433CE" w:rsidRPr="00D90432" w:rsidRDefault="007433CE" w:rsidP="000D1947">
            <w:pPr>
              <w:rPr>
                <w:rFonts w:ascii="Times New Roman" w:hAnsi="Times New Roman" w:cs="Times New Roman"/>
                <w:noProof/>
              </w:rPr>
            </w:pPr>
            <w:r w:rsidRPr="00D90432">
              <w:rPr>
                <w:rFonts w:ascii="Times New Roman" w:hAnsi="Times New Roman" w:cs="Times New Roman"/>
              </w:rPr>
              <w:t xml:space="preserve">If an applicant notices a point differential based off measuring from a pedestrian/vehicle site entrance, geo-coordinates, or address, they should note the difference in the supporting documentation and </w:t>
            </w:r>
            <w:r w:rsidRPr="00D90432">
              <w:rPr>
                <w:rFonts w:ascii="Times New Roman" w:hAnsi="Times New Roman" w:cs="Times New Roman"/>
              </w:rPr>
              <w:lastRenderedPageBreak/>
              <w:t>applicant comment box of the application. In such instances where the QAP is silent on starting point and multiple starting points are relevant, the starting point location may be construed in favor of the applicant.</w:t>
            </w:r>
          </w:p>
        </w:tc>
      </w:tr>
      <w:tr w:rsidR="007433CE" w:rsidRPr="00D90432" w14:paraId="00A9BD9A" w14:textId="77777777" w:rsidTr="2A62FF34">
        <w:trPr>
          <w:jc w:val="center"/>
        </w:trPr>
        <w:tc>
          <w:tcPr>
            <w:tcW w:w="2157" w:type="dxa"/>
            <w:tcMar>
              <w:top w:w="72" w:type="dxa"/>
              <w:left w:w="115" w:type="dxa"/>
              <w:bottom w:w="72" w:type="dxa"/>
              <w:right w:w="115" w:type="dxa"/>
            </w:tcMar>
            <w:vAlign w:val="center"/>
          </w:tcPr>
          <w:p w14:paraId="510CC44C"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1D37E42" w14:textId="77777777" w:rsidR="007433CE" w:rsidRDefault="007433CE"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599FA455"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5C70428B" w14:textId="77777777" w:rsidR="007433CE" w:rsidRDefault="007433CE"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59B5BD64" w14:textId="77777777" w:rsidR="007433CE" w:rsidRPr="00D90432" w:rsidRDefault="007433CE" w:rsidP="00854543">
            <w:pPr>
              <w:contextualSpacing/>
              <w:rPr>
                <w:rFonts w:ascii="Times New Roman" w:hAnsi="Times New Roman" w:cs="Times New Roman"/>
              </w:rPr>
            </w:pPr>
            <w:r w:rsidRPr="00D90432">
              <w:rPr>
                <w:rFonts w:ascii="Times New Roman" w:hAnsi="Times New Roman" w:cs="Times New Roman"/>
              </w:rPr>
              <w:t>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maximum points a new 4% application can get in that area is 12 as opposed to 20 points max for a new construction 9%?</w:t>
            </w:r>
          </w:p>
          <w:p w14:paraId="2C2F7893" w14:textId="77777777" w:rsidR="007433CE" w:rsidRPr="00D90432" w:rsidRDefault="007433CE" w:rsidP="00854543">
            <w:pPr>
              <w:contextualSpacing/>
              <w:rPr>
                <w:rFonts w:ascii="Times New Roman" w:hAnsi="Times New Roman" w:cs="Times New Roman"/>
              </w:rPr>
            </w:pPr>
          </w:p>
          <w:p w14:paraId="343171AD" w14:textId="77777777" w:rsidR="007433CE" w:rsidRPr="00D90432" w:rsidRDefault="007433CE"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67E2BE41" w14:textId="77777777" w:rsidR="007433CE" w:rsidRPr="00D90432" w:rsidRDefault="007433CE" w:rsidP="000078D6">
            <w:pPr>
              <w:rPr>
                <w:rFonts w:ascii="Times New Roman" w:hAnsi="Times New Roman" w:cs="Times New Roman"/>
                <w:noProof/>
              </w:rPr>
            </w:pPr>
          </w:p>
        </w:tc>
      </w:tr>
      <w:tr w:rsidR="007433CE" w:rsidRPr="00D90432" w14:paraId="08655ED7" w14:textId="77777777" w:rsidTr="2A62FF34">
        <w:trPr>
          <w:jc w:val="center"/>
        </w:trPr>
        <w:tc>
          <w:tcPr>
            <w:tcW w:w="2157" w:type="dxa"/>
            <w:tcMar>
              <w:top w:w="72" w:type="dxa"/>
              <w:left w:w="115" w:type="dxa"/>
              <w:bottom w:w="72" w:type="dxa"/>
              <w:right w:w="115" w:type="dxa"/>
            </w:tcMar>
            <w:vAlign w:val="center"/>
          </w:tcPr>
          <w:p w14:paraId="0ADB6556"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1DCB440D" w14:textId="77777777" w:rsidR="007433CE" w:rsidRDefault="007433CE"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19FE615B"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4EE9ABD9" w14:textId="77777777" w:rsidR="007433CE" w:rsidRPr="00D90432" w:rsidRDefault="007433CE"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75728679" w14:textId="77777777" w:rsidR="007433CE" w:rsidRPr="00D90432" w:rsidRDefault="007433CE"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459DC1FF" w14:textId="77777777" w:rsidR="007433CE" w:rsidRPr="00D90432" w:rsidRDefault="007433CE" w:rsidP="007C4B63">
            <w:pPr>
              <w:contextualSpacing/>
              <w:rPr>
                <w:rFonts w:ascii="Times New Roman" w:hAnsi="Times New Roman" w:cs="Times New Roman"/>
                <w:b/>
              </w:rPr>
            </w:pPr>
          </w:p>
          <w:p w14:paraId="50283F28" w14:textId="77777777" w:rsidR="007433CE" w:rsidRPr="00D90432" w:rsidRDefault="007433CE" w:rsidP="007C4B63">
            <w:pPr>
              <w:contextualSpacing/>
              <w:rPr>
                <w:rFonts w:ascii="Times New Roman" w:hAnsi="Times New Roman" w:cs="Times New Roman"/>
                <w:b/>
                <w:bCs/>
              </w:rPr>
            </w:pPr>
            <w:r w:rsidRPr="00D90432">
              <w:rPr>
                <w:rFonts w:ascii="Times New Roman" w:hAnsi="Times New Roman" w:cs="Times New Roman"/>
                <w:b/>
                <w:bCs/>
              </w:rPr>
              <w:t>Answer</w:t>
            </w:r>
          </w:p>
          <w:p w14:paraId="330BD479" w14:textId="77777777" w:rsidR="007433CE" w:rsidRPr="00D90432" w:rsidRDefault="007433CE"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67E2F1DB" w14:textId="77777777" w:rsidR="007433CE" w:rsidRPr="00D90432" w:rsidRDefault="007433CE" w:rsidP="000078D6">
            <w:pPr>
              <w:rPr>
                <w:rFonts w:ascii="Times New Roman" w:hAnsi="Times New Roman" w:cs="Times New Roman"/>
                <w:noProof/>
              </w:rPr>
            </w:pPr>
          </w:p>
        </w:tc>
      </w:tr>
      <w:tr w:rsidR="007433CE" w:rsidRPr="00D90432" w14:paraId="456C04B7" w14:textId="77777777" w:rsidTr="2A62FF34">
        <w:trPr>
          <w:jc w:val="center"/>
        </w:trPr>
        <w:tc>
          <w:tcPr>
            <w:tcW w:w="2157" w:type="dxa"/>
            <w:tcMar>
              <w:top w:w="72" w:type="dxa"/>
              <w:left w:w="115" w:type="dxa"/>
              <w:bottom w:w="72" w:type="dxa"/>
              <w:right w:w="115" w:type="dxa"/>
            </w:tcMar>
            <w:vAlign w:val="center"/>
          </w:tcPr>
          <w:p w14:paraId="33F41062"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52554DF" w14:textId="77777777" w:rsidR="007433CE" w:rsidRDefault="007433CE"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7435BD9C" w14:textId="77777777" w:rsidR="007433CE" w:rsidRPr="00D90432" w:rsidRDefault="007433CE"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4CB7F844" w14:textId="77777777" w:rsidR="007433CE" w:rsidRDefault="007433CE"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48BC2670" w14:textId="77777777" w:rsidR="007433CE" w:rsidRPr="00D90432" w:rsidRDefault="007433CE"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751B7971" w14:textId="77777777" w:rsidR="007433CE" w:rsidRPr="00D90432" w:rsidRDefault="007433CE" w:rsidP="00DE5733">
            <w:pPr>
              <w:contextualSpacing/>
              <w:rPr>
                <w:rFonts w:ascii="Times New Roman" w:hAnsi="Times New Roman" w:cs="Times New Roman"/>
              </w:rPr>
            </w:pPr>
          </w:p>
          <w:p w14:paraId="3A0ECD53" w14:textId="77777777" w:rsidR="007433CE" w:rsidRPr="00D90432" w:rsidRDefault="007433CE"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64E7CAEF" w14:textId="77777777" w:rsidR="007433CE" w:rsidRPr="00D90432" w:rsidRDefault="007433CE" w:rsidP="00DE5733">
            <w:pPr>
              <w:contextualSpacing/>
              <w:rPr>
                <w:rFonts w:ascii="Times New Roman" w:hAnsi="Times New Roman" w:cs="Times New Roman"/>
              </w:rPr>
            </w:pPr>
          </w:p>
          <w:p w14:paraId="2B610E3D" w14:textId="77777777" w:rsidR="007433CE" w:rsidRPr="00D90432" w:rsidRDefault="007433CE"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7433CE" w:rsidRPr="00D90432" w14:paraId="24FB6251" w14:textId="77777777" w:rsidTr="2A62FF34">
        <w:trPr>
          <w:jc w:val="center"/>
        </w:trPr>
        <w:tc>
          <w:tcPr>
            <w:tcW w:w="2157" w:type="dxa"/>
            <w:tcMar>
              <w:top w:w="72" w:type="dxa"/>
              <w:left w:w="115" w:type="dxa"/>
              <w:bottom w:w="72" w:type="dxa"/>
              <w:right w:w="115" w:type="dxa"/>
            </w:tcMar>
            <w:vAlign w:val="center"/>
          </w:tcPr>
          <w:p w14:paraId="5BFDB00E"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2E57DF2E" w14:textId="77777777" w:rsidR="007433CE" w:rsidRDefault="007433CE"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7C19B63C" w14:textId="77777777" w:rsidR="007433CE" w:rsidRPr="00D90432" w:rsidRDefault="007433CE"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0171036D" w14:textId="77777777" w:rsidR="007433CE" w:rsidRDefault="007433CE"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679D282A" w14:textId="77777777" w:rsidR="007433CE" w:rsidRPr="00D90432" w:rsidRDefault="007433CE"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w:t>
            </w:r>
            <w:r w:rsidRPr="00D90432">
              <w:rPr>
                <w:rFonts w:ascii="Times New Roman" w:hAnsi="Times New Roman" w:cs="Times New Roman"/>
              </w:rPr>
              <w:lastRenderedPageBreak/>
              <w:t xml:space="preserve">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131ABC9C" w14:textId="77777777" w:rsidR="007433CE" w:rsidRPr="00D90432" w:rsidRDefault="007433CE"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03C27A74" w14:textId="77777777" w:rsidR="007433CE" w:rsidRPr="00D90432" w:rsidRDefault="007433CE"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56E05615" w14:textId="77777777" w:rsidR="007433CE" w:rsidRPr="00D90432" w:rsidRDefault="007433CE"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t>Qualifying schools with CCRPI – Applicants now have two, rather than three, years to use for qualifying schools. </w:t>
            </w:r>
            <w:hyperlink r:id="rId25"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77534854" w14:textId="77777777" w:rsidR="007433CE" w:rsidRPr="00D90432" w:rsidRDefault="007433CE"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26">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510AC383" w14:textId="77777777" w:rsidR="007433CE" w:rsidRPr="00D90432" w:rsidRDefault="007433CE" w:rsidP="000078D6">
            <w:pPr>
              <w:rPr>
                <w:rFonts w:ascii="Times New Roman" w:hAnsi="Times New Roman" w:cs="Times New Roman"/>
                <w:noProof/>
              </w:rPr>
            </w:pPr>
          </w:p>
        </w:tc>
      </w:tr>
      <w:tr w:rsidR="007433CE" w:rsidRPr="00D90432" w14:paraId="0FB6B2BF" w14:textId="77777777" w:rsidTr="2A62FF34">
        <w:trPr>
          <w:jc w:val="center"/>
        </w:trPr>
        <w:tc>
          <w:tcPr>
            <w:tcW w:w="2157" w:type="dxa"/>
            <w:tcMar>
              <w:top w:w="72" w:type="dxa"/>
              <w:left w:w="115" w:type="dxa"/>
              <w:bottom w:w="72" w:type="dxa"/>
              <w:right w:w="115" w:type="dxa"/>
            </w:tcMar>
            <w:vAlign w:val="center"/>
          </w:tcPr>
          <w:p w14:paraId="5AF77C37" w14:textId="77777777" w:rsidR="007433CE" w:rsidRPr="00D90432" w:rsidRDefault="007433CE"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3652C0F" w14:textId="77777777" w:rsidR="007433CE" w:rsidRDefault="007433CE"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3B5832BC" w14:textId="77777777" w:rsidR="007433CE" w:rsidRPr="00D90432" w:rsidRDefault="007433CE" w:rsidP="00E233E5">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419F36BB" w14:textId="77777777" w:rsidR="007433CE" w:rsidRPr="00D90432" w:rsidRDefault="007433CE"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14037502" w14:textId="77777777" w:rsidR="007433CE" w:rsidRPr="00D90432" w:rsidRDefault="007433CE"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63AC95BB" w14:textId="77777777" w:rsidR="007433CE" w:rsidRPr="00D90432" w:rsidRDefault="007433CE" w:rsidP="00781603">
            <w:pPr>
              <w:contextualSpacing/>
              <w:rPr>
                <w:rFonts w:ascii="Times New Roman" w:hAnsi="Times New Roman" w:cs="Times New Roman"/>
              </w:rPr>
            </w:pPr>
          </w:p>
          <w:p w14:paraId="6EF91620" w14:textId="77777777" w:rsidR="007433CE" w:rsidRPr="00D90432" w:rsidRDefault="007433CE"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27"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64D2B8BE" w14:textId="77777777" w:rsidR="007433CE" w:rsidRPr="00D90432" w:rsidRDefault="007433CE"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28" w:history="1">
              <w:r w:rsidRPr="00D90432">
                <w:rPr>
                  <w:rStyle w:val="Hyperlink"/>
                  <w:rFonts w:ascii="Times New Roman" w:hAnsi="Times New Roman" w:cs="Times New Roman"/>
                </w:rPr>
                <w:t>https://www.dca.ga.gov/sites/default/files/2021ccrpi_scores_table.pdf</w:t>
              </w:r>
            </w:hyperlink>
          </w:p>
          <w:p w14:paraId="03063941" w14:textId="77777777" w:rsidR="007433CE" w:rsidRPr="00D90432" w:rsidRDefault="007433CE" w:rsidP="00781603">
            <w:pPr>
              <w:contextualSpacing/>
              <w:rPr>
                <w:rFonts w:ascii="Times New Roman" w:hAnsi="Times New Roman" w:cs="Times New Roman"/>
              </w:rPr>
            </w:pPr>
          </w:p>
          <w:p w14:paraId="20CF1921" w14:textId="77777777" w:rsidR="007433CE" w:rsidRPr="00D90432" w:rsidRDefault="007433CE"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4403C867" w14:textId="77777777" w:rsidR="007433CE" w:rsidRPr="00D90432" w:rsidRDefault="007433CE" w:rsidP="00781603">
            <w:pPr>
              <w:contextualSpacing/>
              <w:rPr>
                <w:rFonts w:ascii="Times New Roman" w:hAnsi="Times New Roman" w:cs="Times New Roman"/>
              </w:rPr>
            </w:pPr>
          </w:p>
          <w:p w14:paraId="602BF7D9" w14:textId="77777777" w:rsidR="007433CE" w:rsidRPr="00D90432" w:rsidRDefault="007433CE" w:rsidP="00781603">
            <w:pPr>
              <w:contextualSpacing/>
              <w:rPr>
                <w:rFonts w:ascii="Times New Roman" w:hAnsi="Times New Roman" w:cs="Times New Roman"/>
                <w:b/>
                <w:bCs/>
              </w:rPr>
            </w:pPr>
            <w:r w:rsidRPr="00D90432">
              <w:rPr>
                <w:rFonts w:ascii="Times New Roman" w:hAnsi="Times New Roman" w:cs="Times New Roman"/>
                <w:b/>
                <w:bCs/>
              </w:rPr>
              <w:t>Answer:</w:t>
            </w:r>
          </w:p>
          <w:p w14:paraId="11D03745" w14:textId="77777777" w:rsidR="007433CE" w:rsidRPr="00D90432" w:rsidRDefault="007433CE"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7BE51A12" w14:textId="77777777" w:rsidR="007433CE" w:rsidRPr="00D90432" w:rsidRDefault="007433CE" w:rsidP="00781603">
            <w:pPr>
              <w:contextualSpacing/>
              <w:rPr>
                <w:rFonts w:ascii="Times New Roman" w:hAnsi="Times New Roman" w:cs="Times New Roman"/>
                <w:i/>
                <w:iCs/>
              </w:rPr>
            </w:pPr>
          </w:p>
          <w:p w14:paraId="1F2613BC" w14:textId="77777777" w:rsidR="007433CE" w:rsidRPr="00D90432" w:rsidRDefault="007433CE" w:rsidP="00781603">
            <w:pPr>
              <w:contextualSpacing/>
              <w:rPr>
                <w:rFonts w:ascii="Times New Roman" w:hAnsi="Times New Roman" w:cs="Times New Roman"/>
                <w:i/>
                <w:iCs/>
              </w:rPr>
            </w:pPr>
            <w:r w:rsidRPr="00D90432">
              <w:rPr>
                <w:rFonts w:ascii="Times New Roman" w:hAnsi="Times New Roman" w:cs="Times New Roman"/>
                <w:i/>
                <w:iCs/>
              </w:rPr>
              <w:lastRenderedPageBreak/>
              <w:t>“NOTE: The state-level 2019 CCRPI scores have been updated… Please note that district- and school-level scores did not change; this is an update to the state scores only.​”</w:t>
            </w:r>
          </w:p>
          <w:p w14:paraId="12CFDC0E" w14:textId="77777777" w:rsidR="007433CE" w:rsidRPr="00D90432" w:rsidRDefault="007433CE" w:rsidP="00781603">
            <w:pPr>
              <w:contextualSpacing/>
              <w:rPr>
                <w:rFonts w:ascii="Times New Roman" w:hAnsi="Times New Roman" w:cs="Times New Roman"/>
              </w:rPr>
            </w:pPr>
          </w:p>
          <w:p w14:paraId="4B39C6DF" w14:textId="77777777" w:rsidR="007433CE" w:rsidRPr="00D90432" w:rsidRDefault="007433CE"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028F454A" w14:textId="77777777" w:rsidR="007433CE" w:rsidRPr="00D90432" w:rsidRDefault="007433CE" w:rsidP="00781603">
            <w:pPr>
              <w:contextualSpacing/>
              <w:rPr>
                <w:rFonts w:ascii="Times New Roman" w:hAnsi="Times New Roman" w:cs="Times New Roman"/>
              </w:rPr>
            </w:pPr>
          </w:p>
          <w:p w14:paraId="4D61C70D" w14:textId="77777777" w:rsidR="007433CE" w:rsidRPr="00D90432" w:rsidRDefault="007433CE" w:rsidP="00781603">
            <w:pPr>
              <w:contextualSpacing/>
              <w:rPr>
                <w:rFonts w:ascii="Times New Roman" w:hAnsi="Times New Roman" w:cs="Times New Roman"/>
              </w:rPr>
            </w:pPr>
            <w:r w:rsidRPr="00D90432">
              <w:rPr>
                <w:rFonts w:ascii="Times New Roman" w:hAnsi="Times New Roman" w:cs="Times New Roman"/>
              </w:rPr>
              <w:t>For purposes of the 2021 round, DCA will allow scores to qualify based on the originally published 2019 scores, all of which are lower than the updated 2019 data. An updated CCRPI scores table has been posted to the DCA website (</w:t>
            </w:r>
            <w:hyperlink r:id="rId29">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3B1E2D25" w14:textId="77777777" w:rsidR="007433CE" w:rsidRPr="00D90432" w:rsidRDefault="007433CE" w:rsidP="000078D6">
            <w:pPr>
              <w:rPr>
                <w:rFonts w:ascii="Times New Roman" w:hAnsi="Times New Roman" w:cs="Times New Roman"/>
                <w:noProof/>
              </w:rPr>
            </w:pPr>
          </w:p>
        </w:tc>
      </w:tr>
      <w:tr w:rsidR="007433CE" w:rsidRPr="00D90432" w14:paraId="292265FD" w14:textId="77777777" w:rsidTr="2A62FF34">
        <w:trPr>
          <w:jc w:val="center"/>
        </w:trPr>
        <w:tc>
          <w:tcPr>
            <w:tcW w:w="2157" w:type="dxa"/>
            <w:tcMar>
              <w:top w:w="72" w:type="dxa"/>
              <w:left w:w="115" w:type="dxa"/>
              <w:bottom w:w="72" w:type="dxa"/>
              <w:right w:w="115" w:type="dxa"/>
            </w:tcMar>
            <w:vAlign w:val="center"/>
          </w:tcPr>
          <w:p w14:paraId="6EF3F5BE" w14:textId="77777777" w:rsidR="007433CE" w:rsidRPr="00D90432" w:rsidRDefault="007433CE"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027683F" w14:textId="77777777" w:rsidR="007433CE" w:rsidRDefault="007433CE"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22D6F3DB" w14:textId="77777777" w:rsidR="007433CE" w:rsidRPr="00D90432" w:rsidRDefault="007433CE"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B55F087" w14:textId="77777777" w:rsidR="007433CE" w:rsidRDefault="007433CE"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1AF927F6" w14:textId="77777777" w:rsidR="007433CE" w:rsidRPr="00D90432" w:rsidRDefault="007433CE"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637ED5B1" w14:textId="77777777" w:rsidR="007433CE" w:rsidRPr="00D90432" w:rsidRDefault="007433CE" w:rsidP="004854D7">
            <w:pPr>
              <w:contextualSpacing/>
              <w:rPr>
                <w:rFonts w:ascii="Times New Roman" w:hAnsi="Times New Roman" w:cs="Times New Roman"/>
                <w:b/>
                <w:bCs/>
              </w:rPr>
            </w:pPr>
          </w:p>
          <w:p w14:paraId="13D8D287" w14:textId="77777777" w:rsidR="007433CE" w:rsidRPr="00D90432" w:rsidRDefault="007433CE"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30">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001135C0" w14:textId="77777777" w:rsidR="007433CE" w:rsidRPr="00D90432" w:rsidRDefault="007433CE" w:rsidP="004854D7">
            <w:pPr>
              <w:contextualSpacing/>
              <w:rPr>
                <w:rFonts w:ascii="Times New Roman" w:hAnsi="Times New Roman" w:cs="Times New Roman"/>
              </w:rPr>
            </w:pPr>
          </w:p>
          <w:p w14:paraId="2F47BCC6" w14:textId="77777777" w:rsidR="007433CE" w:rsidRPr="00D90432" w:rsidRDefault="007433CE"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w:t>
            </w:r>
            <w:proofErr w:type="gramStart"/>
            <w:r w:rsidRPr="00D90432">
              <w:rPr>
                <w:rFonts w:ascii="Times New Roman" w:hAnsi="Times New Roman" w:cs="Times New Roman"/>
              </w:rPr>
              <w:t>statistics</w:t>
            </w:r>
            <w:proofErr w:type="gramEnd"/>
            <w:r w:rsidRPr="00D90432">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6E21D058" w14:textId="77777777" w:rsidR="007433CE" w:rsidRPr="00D90432" w:rsidRDefault="007433CE"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7433CE" w:rsidRPr="00D90432" w14:paraId="010E4651"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2242B456"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740CFE29"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317F7091"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7433CE" w:rsidRPr="00D90432" w14:paraId="5B108D35"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1BAC4A86" w14:textId="77777777" w:rsidR="007433CE" w:rsidRPr="00D90432" w:rsidRDefault="007433CE"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3BB3B9E4"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78EF428B"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0DD8C76F"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5067A765"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38D9EC4" w14:textId="77777777" w:rsidR="007433CE" w:rsidRPr="00D90432" w:rsidRDefault="007433CE" w:rsidP="00075342">
                  <w:pPr>
                    <w:keepNext/>
                    <w:keepLines/>
                    <w:contextualSpacing/>
                    <w:rPr>
                      <w:rFonts w:ascii="Times New Roman" w:hAnsi="Times New Roman" w:cs="Times New Roman"/>
                    </w:rPr>
                  </w:pPr>
                </w:p>
              </w:tc>
            </w:tr>
            <w:tr w:rsidR="007433CE" w:rsidRPr="00D90432" w14:paraId="79ED3AD4" w14:textId="77777777" w:rsidTr="006354C4">
              <w:trPr>
                <w:jc w:val="center"/>
              </w:trPr>
              <w:tc>
                <w:tcPr>
                  <w:tcW w:w="1431" w:type="dxa"/>
                  <w:tcMar>
                    <w:top w:w="72" w:type="dxa"/>
                    <w:left w:w="115" w:type="dxa"/>
                    <w:bottom w:w="72" w:type="dxa"/>
                    <w:right w:w="115" w:type="dxa"/>
                  </w:tcMar>
                  <w:vAlign w:val="center"/>
                </w:tcPr>
                <w:p w14:paraId="25061973" w14:textId="77777777" w:rsidR="007433CE" w:rsidRPr="00D90432" w:rsidRDefault="007433CE"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760B1988"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22DF5E8F"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6E3B5A01"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75F8D232"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65A4AF7D"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7433CE" w:rsidRPr="00D90432" w14:paraId="31CC4566" w14:textId="77777777" w:rsidTr="006354C4">
              <w:trPr>
                <w:jc w:val="center"/>
              </w:trPr>
              <w:tc>
                <w:tcPr>
                  <w:tcW w:w="1431" w:type="dxa"/>
                  <w:tcMar>
                    <w:top w:w="72" w:type="dxa"/>
                    <w:left w:w="115" w:type="dxa"/>
                    <w:bottom w:w="72" w:type="dxa"/>
                    <w:right w:w="115" w:type="dxa"/>
                  </w:tcMar>
                  <w:vAlign w:val="center"/>
                </w:tcPr>
                <w:p w14:paraId="1CF6D0DA" w14:textId="77777777" w:rsidR="007433CE" w:rsidRPr="00D90432" w:rsidRDefault="007433CE"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43B6FC29"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5DF476E0"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0681623E"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2CA2A975" w14:textId="77777777" w:rsidR="007433CE" w:rsidRPr="00D90432" w:rsidRDefault="007433CE"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774BCB89" w14:textId="77777777" w:rsidR="007433CE" w:rsidRPr="00D90432" w:rsidRDefault="007433CE"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048F3300" w14:textId="77777777" w:rsidR="007433CE" w:rsidRPr="00D90432" w:rsidRDefault="007433CE" w:rsidP="004854D7">
            <w:pPr>
              <w:contextualSpacing/>
              <w:rPr>
                <w:rFonts w:ascii="Times New Roman" w:hAnsi="Times New Roman" w:cs="Times New Roman"/>
              </w:rPr>
            </w:pPr>
          </w:p>
          <w:p w14:paraId="04A42B6B" w14:textId="77777777" w:rsidR="007433CE" w:rsidRPr="00D90432" w:rsidRDefault="007433CE" w:rsidP="000078D6">
            <w:pPr>
              <w:rPr>
                <w:rFonts w:ascii="Times New Roman" w:hAnsi="Times New Roman" w:cs="Times New Roman"/>
                <w:noProof/>
              </w:rPr>
            </w:pPr>
          </w:p>
        </w:tc>
      </w:tr>
      <w:tr w:rsidR="007433CE" w:rsidRPr="00D90432" w14:paraId="799FE809" w14:textId="77777777" w:rsidTr="2A62FF34">
        <w:trPr>
          <w:jc w:val="center"/>
        </w:trPr>
        <w:tc>
          <w:tcPr>
            <w:tcW w:w="2157" w:type="dxa"/>
            <w:tcMar>
              <w:top w:w="72" w:type="dxa"/>
              <w:left w:w="115" w:type="dxa"/>
              <w:bottom w:w="72" w:type="dxa"/>
              <w:right w:w="115" w:type="dxa"/>
            </w:tcMar>
            <w:vAlign w:val="center"/>
          </w:tcPr>
          <w:p w14:paraId="27AF64A4" w14:textId="77777777" w:rsidR="007433CE" w:rsidRDefault="007433CE" w:rsidP="000078D6">
            <w:pPr>
              <w:rPr>
                <w:rFonts w:ascii="Times New Roman" w:hAnsi="Times New Roman" w:cs="Times New Roman"/>
              </w:rPr>
            </w:pPr>
            <w:r>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EB4B73B" w14:textId="77777777" w:rsidR="007433CE" w:rsidRDefault="007433CE" w:rsidP="00B77021">
            <w:pPr>
              <w:rPr>
                <w:rFonts w:ascii="Times New Roman" w:hAnsi="Times New Roman" w:cs="Times New Roman"/>
              </w:rPr>
            </w:pPr>
            <w:r>
              <w:rPr>
                <w:rFonts w:ascii="Times New Roman" w:hAnsi="Times New Roman" w:cs="Times New Roman"/>
              </w:rPr>
              <w:t>3.14</w:t>
            </w:r>
          </w:p>
          <w:p w14:paraId="45E60922" w14:textId="77777777" w:rsidR="007433CE" w:rsidRPr="00B77021" w:rsidRDefault="007433CE"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24F927C2" w14:textId="77777777" w:rsidR="007433CE" w:rsidRPr="00991B9F" w:rsidRDefault="007433CE"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0576FF1E" w14:textId="77777777" w:rsidR="007433CE" w:rsidRPr="00991B9F" w:rsidRDefault="007433CE"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4125D9DF" w14:textId="77777777" w:rsidR="007433CE" w:rsidRPr="00991B9F" w:rsidRDefault="007433CE" w:rsidP="000C54E0">
            <w:pPr>
              <w:contextualSpacing/>
              <w:rPr>
                <w:rFonts w:ascii="Times New Roman" w:hAnsi="Times New Roman" w:cs="Times New Roman"/>
                <w:b/>
                <w:bCs/>
              </w:rPr>
            </w:pPr>
          </w:p>
          <w:p w14:paraId="64240DC9" w14:textId="77777777" w:rsidR="007433CE" w:rsidRPr="00991B9F" w:rsidRDefault="007433CE"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5631C6B0" w14:textId="77777777" w:rsidR="007433CE" w:rsidRPr="00991B9F" w:rsidRDefault="007433CE" w:rsidP="000C54E0">
            <w:pPr>
              <w:contextualSpacing/>
              <w:rPr>
                <w:rFonts w:ascii="Times New Roman" w:hAnsi="Times New Roman" w:cs="Times New Roman"/>
              </w:rPr>
            </w:pPr>
          </w:p>
          <w:p w14:paraId="4EA032A4" w14:textId="77777777" w:rsidR="007433CE" w:rsidRPr="00991B9F" w:rsidRDefault="007433CE"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72C39C36" w14:textId="77777777" w:rsidR="007433CE" w:rsidRPr="00991B9F" w:rsidRDefault="007433CE" w:rsidP="000C54E0">
            <w:pPr>
              <w:contextualSpacing/>
              <w:rPr>
                <w:rFonts w:ascii="Times New Roman" w:hAnsi="Times New Roman" w:cs="Times New Roman"/>
              </w:rPr>
            </w:pPr>
          </w:p>
          <w:p w14:paraId="554CAD44" w14:textId="77777777" w:rsidR="007433CE" w:rsidRPr="001F07A3" w:rsidRDefault="007433CE"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7433CE" w:rsidRPr="00D90432" w14:paraId="66C81549" w14:textId="77777777" w:rsidTr="2A62FF34">
        <w:trPr>
          <w:jc w:val="center"/>
        </w:trPr>
        <w:tc>
          <w:tcPr>
            <w:tcW w:w="2157" w:type="dxa"/>
            <w:tcMar>
              <w:top w:w="72" w:type="dxa"/>
              <w:left w:w="115" w:type="dxa"/>
              <w:bottom w:w="72" w:type="dxa"/>
              <w:right w:w="115" w:type="dxa"/>
            </w:tcMar>
            <w:vAlign w:val="center"/>
          </w:tcPr>
          <w:p w14:paraId="0695956A" w14:textId="77777777" w:rsidR="007433CE" w:rsidRPr="00D90432" w:rsidRDefault="007433CE" w:rsidP="00FC5C8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391A59A" w14:textId="77777777" w:rsidR="007433CE" w:rsidRDefault="007433CE"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758AD138" w14:textId="77777777" w:rsidR="007433CE" w:rsidRPr="00D90432" w:rsidRDefault="007433CE"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9894E19" w14:textId="77777777" w:rsidR="007433CE" w:rsidRDefault="007433CE"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5385FF8E" w14:textId="77777777" w:rsidR="007433CE" w:rsidRPr="00D90432" w:rsidRDefault="007433CE"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56A9C8B2" w14:textId="77777777" w:rsidR="007433CE" w:rsidRPr="00D90432" w:rsidRDefault="007433CE" w:rsidP="00D77981">
            <w:pPr>
              <w:contextualSpacing/>
              <w:rPr>
                <w:rFonts w:ascii="Times New Roman" w:hAnsi="Times New Roman" w:cs="Times New Roman"/>
              </w:rPr>
            </w:pPr>
          </w:p>
          <w:p w14:paraId="4A8533E6" w14:textId="77777777" w:rsidR="007433CE" w:rsidRDefault="007433CE" w:rsidP="00D77981">
            <w:pPr>
              <w:rPr>
                <w:rFonts w:ascii="Times New Roman" w:hAnsi="Times New Roman" w:cs="Times New Roman"/>
                <w:b/>
                <w:bCs/>
              </w:rPr>
            </w:pPr>
            <w:r w:rsidRPr="00D90432">
              <w:rPr>
                <w:rFonts w:ascii="Times New Roman" w:hAnsi="Times New Roman" w:cs="Times New Roman"/>
                <w:b/>
                <w:bCs/>
              </w:rPr>
              <w:t xml:space="preserve">Answer: </w:t>
            </w:r>
          </w:p>
          <w:p w14:paraId="7324D339" w14:textId="77777777" w:rsidR="007433CE" w:rsidRPr="00D90432" w:rsidRDefault="007433CE"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3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0E1D" w14:textId="77777777" w:rsidR="00B8322C" w:rsidRDefault="00B8322C" w:rsidP="00441946">
      <w:pPr>
        <w:spacing w:after="0" w:line="240" w:lineRule="auto"/>
      </w:pPr>
      <w:r>
        <w:separator/>
      </w:r>
    </w:p>
  </w:endnote>
  <w:endnote w:type="continuationSeparator" w:id="0">
    <w:p w14:paraId="5FCE9BC5" w14:textId="77777777" w:rsidR="00B8322C" w:rsidRDefault="00B8322C" w:rsidP="00441946">
      <w:pPr>
        <w:spacing w:after="0" w:line="240" w:lineRule="auto"/>
      </w:pPr>
      <w:r>
        <w:continuationSeparator/>
      </w:r>
    </w:p>
  </w:endnote>
  <w:endnote w:type="continuationNotice" w:id="1">
    <w:p w14:paraId="2C3B86B1" w14:textId="77777777" w:rsidR="00B8322C" w:rsidRDefault="00B8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F451" w14:textId="77777777" w:rsidR="00B8322C" w:rsidRDefault="00B8322C" w:rsidP="00441946">
      <w:pPr>
        <w:spacing w:after="0" w:line="240" w:lineRule="auto"/>
      </w:pPr>
      <w:r>
        <w:separator/>
      </w:r>
    </w:p>
  </w:footnote>
  <w:footnote w:type="continuationSeparator" w:id="0">
    <w:p w14:paraId="5FCDCF27" w14:textId="77777777" w:rsidR="00B8322C" w:rsidRDefault="00B8322C" w:rsidP="00441946">
      <w:pPr>
        <w:spacing w:after="0" w:line="240" w:lineRule="auto"/>
      </w:pPr>
      <w:r>
        <w:continuationSeparator/>
      </w:r>
    </w:p>
  </w:footnote>
  <w:footnote w:type="continuationNotice" w:id="1">
    <w:p w14:paraId="53384931" w14:textId="77777777" w:rsidR="00B8322C" w:rsidRDefault="00B8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8322C" w:rsidRPr="00AA437D" w:rsidRDefault="00B8322C">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13"/>
  </w:num>
  <w:num w:numId="6">
    <w:abstractNumId w:val="28"/>
  </w:num>
  <w:num w:numId="7">
    <w:abstractNumId w:val="33"/>
  </w:num>
  <w:num w:numId="8">
    <w:abstractNumId w:val="9"/>
  </w:num>
  <w:num w:numId="9">
    <w:abstractNumId w:val="22"/>
  </w:num>
  <w:num w:numId="10">
    <w:abstractNumId w:val="24"/>
  </w:num>
  <w:num w:numId="11">
    <w:abstractNumId w:val="29"/>
  </w:num>
  <w:num w:numId="12">
    <w:abstractNumId w:val="23"/>
  </w:num>
  <w:num w:numId="13">
    <w:abstractNumId w:val="31"/>
  </w:num>
  <w:num w:numId="14">
    <w:abstractNumId w:val="15"/>
  </w:num>
  <w:num w:numId="15">
    <w:abstractNumId w:val="1"/>
  </w:num>
  <w:num w:numId="16">
    <w:abstractNumId w:val="4"/>
  </w:num>
  <w:num w:numId="17">
    <w:abstractNumId w:val="26"/>
  </w:num>
  <w:num w:numId="18">
    <w:abstractNumId w:val="21"/>
  </w:num>
  <w:num w:numId="19">
    <w:abstractNumId w:val="18"/>
  </w:num>
  <w:num w:numId="20">
    <w:abstractNumId w:val="32"/>
  </w:num>
  <w:num w:numId="21">
    <w:abstractNumId w:val="8"/>
  </w:num>
  <w:num w:numId="22">
    <w:abstractNumId w:val="14"/>
  </w:num>
  <w:num w:numId="23">
    <w:abstractNumId w:val="16"/>
  </w:num>
  <w:num w:numId="24">
    <w:abstractNumId w:val="11"/>
  </w:num>
  <w:num w:numId="25">
    <w:abstractNumId w:val="27"/>
  </w:num>
  <w:num w:numId="26">
    <w:abstractNumId w:val="12"/>
  </w:num>
  <w:num w:numId="27">
    <w:abstractNumId w:val="7"/>
  </w:num>
  <w:num w:numId="28">
    <w:abstractNumId w:val="34"/>
  </w:num>
  <w:num w:numId="29">
    <w:abstractNumId w:val="5"/>
  </w:num>
  <w:num w:numId="30">
    <w:abstractNumId w:val="0"/>
  </w:num>
  <w:num w:numId="31">
    <w:abstractNumId w:val="3"/>
  </w:num>
  <w:num w:numId="32">
    <w:abstractNumId w:val="20"/>
  </w:num>
  <w:num w:numId="33">
    <w:abstractNumId w:val="25"/>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62A"/>
    <w:rsid w:val="00017D55"/>
    <w:rsid w:val="0002085D"/>
    <w:rsid w:val="00021279"/>
    <w:rsid w:val="000214C6"/>
    <w:rsid w:val="000214D9"/>
    <w:rsid w:val="00021F3B"/>
    <w:rsid w:val="00024181"/>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4243"/>
    <w:rsid w:val="000648E0"/>
    <w:rsid w:val="000653EA"/>
    <w:rsid w:val="00065D0F"/>
    <w:rsid w:val="000661D9"/>
    <w:rsid w:val="00066A73"/>
    <w:rsid w:val="00067754"/>
    <w:rsid w:val="00070520"/>
    <w:rsid w:val="00071086"/>
    <w:rsid w:val="00071862"/>
    <w:rsid w:val="00071AC6"/>
    <w:rsid w:val="00072C0F"/>
    <w:rsid w:val="000732DF"/>
    <w:rsid w:val="00073CD2"/>
    <w:rsid w:val="000750E7"/>
    <w:rsid w:val="00075342"/>
    <w:rsid w:val="000756E6"/>
    <w:rsid w:val="0007714C"/>
    <w:rsid w:val="00077A0D"/>
    <w:rsid w:val="000806E9"/>
    <w:rsid w:val="00081692"/>
    <w:rsid w:val="00081752"/>
    <w:rsid w:val="00081775"/>
    <w:rsid w:val="00083C6E"/>
    <w:rsid w:val="000847D6"/>
    <w:rsid w:val="00085E5B"/>
    <w:rsid w:val="00085FFA"/>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584A"/>
    <w:rsid w:val="000A6236"/>
    <w:rsid w:val="000A671D"/>
    <w:rsid w:val="000A712B"/>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C6CF9"/>
    <w:rsid w:val="000D0178"/>
    <w:rsid w:val="000D0CA8"/>
    <w:rsid w:val="000D1193"/>
    <w:rsid w:val="000D1947"/>
    <w:rsid w:val="000D39DD"/>
    <w:rsid w:val="000D3AF5"/>
    <w:rsid w:val="000D4252"/>
    <w:rsid w:val="000D5894"/>
    <w:rsid w:val="000D677D"/>
    <w:rsid w:val="000D6A74"/>
    <w:rsid w:val="000D6A98"/>
    <w:rsid w:val="000D7639"/>
    <w:rsid w:val="000D792C"/>
    <w:rsid w:val="000D7B3F"/>
    <w:rsid w:val="000D7DA3"/>
    <w:rsid w:val="000E1759"/>
    <w:rsid w:val="000E17EA"/>
    <w:rsid w:val="000E24F2"/>
    <w:rsid w:val="000E2D5F"/>
    <w:rsid w:val="000E54C2"/>
    <w:rsid w:val="000E5C71"/>
    <w:rsid w:val="000E6A28"/>
    <w:rsid w:val="000E75B8"/>
    <w:rsid w:val="000E781D"/>
    <w:rsid w:val="000F0C14"/>
    <w:rsid w:val="000F162F"/>
    <w:rsid w:val="000F169D"/>
    <w:rsid w:val="000F1CA4"/>
    <w:rsid w:val="000F2181"/>
    <w:rsid w:val="000F3D52"/>
    <w:rsid w:val="000F4033"/>
    <w:rsid w:val="000F4067"/>
    <w:rsid w:val="000F48D5"/>
    <w:rsid w:val="000F5833"/>
    <w:rsid w:val="000F62ED"/>
    <w:rsid w:val="000F644A"/>
    <w:rsid w:val="000F645A"/>
    <w:rsid w:val="001001AE"/>
    <w:rsid w:val="00101498"/>
    <w:rsid w:val="00101F7F"/>
    <w:rsid w:val="0010239D"/>
    <w:rsid w:val="001023A2"/>
    <w:rsid w:val="00102950"/>
    <w:rsid w:val="001032C7"/>
    <w:rsid w:val="001047EA"/>
    <w:rsid w:val="001049B6"/>
    <w:rsid w:val="001069D1"/>
    <w:rsid w:val="00106B57"/>
    <w:rsid w:val="001073A3"/>
    <w:rsid w:val="00107ED0"/>
    <w:rsid w:val="001102CA"/>
    <w:rsid w:val="001106C1"/>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53A"/>
    <w:rsid w:val="001317FB"/>
    <w:rsid w:val="00131DCA"/>
    <w:rsid w:val="00132A42"/>
    <w:rsid w:val="00132C0D"/>
    <w:rsid w:val="001334CF"/>
    <w:rsid w:val="001340CF"/>
    <w:rsid w:val="00135C94"/>
    <w:rsid w:val="001372E4"/>
    <w:rsid w:val="00137410"/>
    <w:rsid w:val="00137597"/>
    <w:rsid w:val="00137C5D"/>
    <w:rsid w:val="00137F7A"/>
    <w:rsid w:val="001406C0"/>
    <w:rsid w:val="0014106F"/>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44E4"/>
    <w:rsid w:val="00175297"/>
    <w:rsid w:val="0017568B"/>
    <w:rsid w:val="0017615D"/>
    <w:rsid w:val="001762B3"/>
    <w:rsid w:val="00176327"/>
    <w:rsid w:val="001767C5"/>
    <w:rsid w:val="00176CCE"/>
    <w:rsid w:val="0017751A"/>
    <w:rsid w:val="00177727"/>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906A9"/>
    <w:rsid w:val="00190B8E"/>
    <w:rsid w:val="00193258"/>
    <w:rsid w:val="001932BA"/>
    <w:rsid w:val="001933FC"/>
    <w:rsid w:val="001934FF"/>
    <w:rsid w:val="001943CC"/>
    <w:rsid w:val="0019493A"/>
    <w:rsid w:val="00194D73"/>
    <w:rsid w:val="00195398"/>
    <w:rsid w:val="0019542F"/>
    <w:rsid w:val="00195B3F"/>
    <w:rsid w:val="00195FC4"/>
    <w:rsid w:val="001965C5"/>
    <w:rsid w:val="001968F0"/>
    <w:rsid w:val="001979FF"/>
    <w:rsid w:val="00197A23"/>
    <w:rsid w:val="001A075D"/>
    <w:rsid w:val="001A1CCE"/>
    <w:rsid w:val="001A21FA"/>
    <w:rsid w:val="001A245F"/>
    <w:rsid w:val="001A2970"/>
    <w:rsid w:val="001A2BA7"/>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47B3"/>
    <w:rsid w:val="001C48F2"/>
    <w:rsid w:val="001C50F0"/>
    <w:rsid w:val="001C6267"/>
    <w:rsid w:val="001C6691"/>
    <w:rsid w:val="001C672D"/>
    <w:rsid w:val="001C77FD"/>
    <w:rsid w:val="001D050B"/>
    <w:rsid w:val="001D1694"/>
    <w:rsid w:val="001D19F8"/>
    <w:rsid w:val="001D2032"/>
    <w:rsid w:val="001D2402"/>
    <w:rsid w:val="001D2497"/>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8FC"/>
    <w:rsid w:val="00201DCC"/>
    <w:rsid w:val="0020277F"/>
    <w:rsid w:val="002028B6"/>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5983"/>
    <w:rsid w:val="00235C79"/>
    <w:rsid w:val="002363E9"/>
    <w:rsid w:val="00236482"/>
    <w:rsid w:val="00236C9F"/>
    <w:rsid w:val="002371AF"/>
    <w:rsid w:val="00237898"/>
    <w:rsid w:val="00237F1C"/>
    <w:rsid w:val="00241864"/>
    <w:rsid w:val="00241A87"/>
    <w:rsid w:val="00242E88"/>
    <w:rsid w:val="00243901"/>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34C"/>
    <w:rsid w:val="00273625"/>
    <w:rsid w:val="0027363B"/>
    <w:rsid w:val="00273978"/>
    <w:rsid w:val="0027513D"/>
    <w:rsid w:val="002758D1"/>
    <w:rsid w:val="002766B3"/>
    <w:rsid w:val="00277840"/>
    <w:rsid w:val="00277BD6"/>
    <w:rsid w:val="00277E4A"/>
    <w:rsid w:val="00280565"/>
    <w:rsid w:val="00281571"/>
    <w:rsid w:val="00281CF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4D27"/>
    <w:rsid w:val="002956ED"/>
    <w:rsid w:val="00295A9C"/>
    <w:rsid w:val="00295CDB"/>
    <w:rsid w:val="00296058"/>
    <w:rsid w:val="00296865"/>
    <w:rsid w:val="00296BCB"/>
    <w:rsid w:val="0029726D"/>
    <w:rsid w:val="00297945"/>
    <w:rsid w:val="002A1320"/>
    <w:rsid w:val="002A133B"/>
    <w:rsid w:val="002A1F8C"/>
    <w:rsid w:val="002A286D"/>
    <w:rsid w:val="002A2EE2"/>
    <w:rsid w:val="002A338A"/>
    <w:rsid w:val="002A389A"/>
    <w:rsid w:val="002A4EB8"/>
    <w:rsid w:val="002A518B"/>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4D98"/>
    <w:rsid w:val="002F4FB4"/>
    <w:rsid w:val="002F577D"/>
    <w:rsid w:val="002F6194"/>
    <w:rsid w:val="002F6EC3"/>
    <w:rsid w:val="002F6FB3"/>
    <w:rsid w:val="002F73A4"/>
    <w:rsid w:val="00301D77"/>
    <w:rsid w:val="00302CDC"/>
    <w:rsid w:val="0030331B"/>
    <w:rsid w:val="003034D9"/>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62BA"/>
    <w:rsid w:val="00316BAB"/>
    <w:rsid w:val="00316EE2"/>
    <w:rsid w:val="00316F6A"/>
    <w:rsid w:val="0031713F"/>
    <w:rsid w:val="00317B4D"/>
    <w:rsid w:val="00317C27"/>
    <w:rsid w:val="00317F59"/>
    <w:rsid w:val="0032008F"/>
    <w:rsid w:val="00321263"/>
    <w:rsid w:val="0032135F"/>
    <w:rsid w:val="00322065"/>
    <w:rsid w:val="00322183"/>
    <w:rsid w:val="0032252B"/>
    <w:rsid w:val="00322980"/>
    <w:rsid w:val="00322A8E"/>
    <w:rsid w:val="00322D81"/>
    <w:rsid w:val="0032312E"/>
    <w:rsid w:val="00323262"/>
    <w:rsid w:val="00324FB1"/>
    <w:rsid w:val="003252E4"/>
    <w:rsid w:val="00325303"/>
    <w:rsid w:val="00325D8C"/>
    <w:rsid w:val="00330AB9"/>
    <w:rsid w:val="00331355"/>
    <w:rsid w:val="00331B56"/>
    <w:rsid w:val="00331D9E"/>
    <w:rsid w:val="00332684"/>
    <w:rsid w:val="003329FD"/>
    <w:rsid w:val="00332E38"/>
    <w:rsid w:val="00333389"/>
    <w:rsid w:val="003338E7"/>
    <w:rsid w:val="00333DE9"/>
    <w:rsid w:val="00333F50"/>
    <w:rsid w:val="0033439D"/>
    <w:rsid w:val="00335C43"/>
    <w:rsid w:val="00337327"/>
    <w:rsid w:val="00340198"/>
    <w:rsid w:val="0034099A"/>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4016"/>
    <w:rsid w:val="0035478B"/>
    <w:rsid w:val="003551C9"/>
    <w:rsid w:val="003558E1"/>
    <w:rsid w:val="00355B89"/>
    <w:rsid w:val="003566E5"/>
    <w:rsid w:val="0035694E"/>
    <w:rsid w:val="00356AE2"/>
    <w:rsid w:val="00356F9F"/>
    <w:rsid w:val="00357964"/>
    <w:rsid w:val="00361607"/>
    <w:rsid w:val="00361C54"/>
    <w:rsid w:val="00362896"/>
    <w:rsid w:val="00363764"/>
    <w:rsid w:val="00363A25"/>
    <w:rsid w:val="00363EDD"/>
    <w:rsid w:val="003658C9"/>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CA2"/>
    <w:rsid w:val="00395528"/>
    <w:rsid w:val="0039633D"/>
    <w:rsid w:val="0039661C"/>
    <w:rsid w:val="00397E5F"/>
    <w:rsid w:val="003A084C"/>
    <w:rsid w:val="003A11A6"/>
    <w:rsid w:val="003A1828"/>
    <w:rsid w:val="003A18B4"/>
    <w:rsid w:val="003A1E8D"/>
    <w:rsid w:val="003A3280"/>
    <w:rsid w:val="003A3B2F"/>
    <w:rsid w:val="003A3C2A"/>
    <w:rsid w:val="003A5805"/>
    <w:rsid w:val="003A59FC"/>
    <w:rsid w:val="003A68BA"/>
    <w:rsid w:val="003A7488"/>
    <w:rsid w:val="003B122F"/>
    <w:rsid w:val="003B1A1A"/>
    <w:rsid w:val="003B1D8C"/>
    <w:rsid w:val="003B32E5"/>
    <w:rsid w:val="003B34D4"/>
    <w:rsid w:val="003B38C5"/>
    <w:rsid w:val="003B3C6A"/>
    <w:rsid w:val="003B4136"/>
    <w:rsid w:val="003B44CA"/>
    <w:rsid w:val="003B4CB6"/>
    <w:rsid w:val="003B591C"/>
    <w:rsid w:val="003B631A"/>
    <w:rsid w:val="003B6E9C"/>
    <w:rsid w:val="003B7473"/>
    <w:rsid w:val="003C17DC"/>
    <w:rsid w:val="003C240C"/>
    <w:rsid w:val="003C288F"/>
    <w:rsid w:val="003C4581"/>
    <w:rsid w:val="003C56D7"/>
    <w:rsid w:val="003C5743"/>
    <w:rsid w:val="003D0045"/>
    <w:rsid w:val="003D02E5"/>
    <w:rsid w:val="003D058B"/>
    <w:rsid w:val="003D08B8"/>
    <w:rsid w:val="003D10E4"/>
    <w:rsid w:val="003D1E10"/>
    <w:rsid w:val="003D247E"/>
    <w:rsid w:val="003D2B5B"/>
    <w:rsid w:val="003D2C12"/>
    <w:rsid w:val="003D309B"/>
    <w:rsid w:val="003D3B08"/>
    <w:rsid w:val="003D40F0"/>
    <w:rsid w:val="003D4A55"/>
    <w:rsid w:val="003D58B4"/>
    <w:rsid w:val="003D7427"/>
    <w:rsid w:val="003D7BEE"/>
    <w:rsid w:val="003E1709"/>
    <w:rsid w:val="003E283F"/>
    <w:rsid w:val="003E2DCB"/>
    <w:rsid w:val="003E2E40"/>
    <w:rsid w:val="003E3233"/>
    <w:rsid w:val="003E3531"/>
    <w:rsid w:val="003E3AE5"/>
    <w:rsid w:val="003E4094"/>
    <w:rsid w:val="003E5584"/>
    <w:rsid w:val="003E5689"/>
    <w:rsid w:val="003E627D"/>
    <w:rsid w:val="003E62B5"/>
    <w:rsid w:val="003E63DC"/>
    <w:rsid w:val="003E77A2"/>
    <w:rsid w:val="003E78C2"/>
    <w:rsid w:val="003F053B"/>
    <w:rsid w:val="003F0B82"/>
    <w:rsid w:val="003F1CA0"/>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728"/>
    <w:rsid w:val="00404001"/>
    <w:rsid w:val="00404DC3"/>
    <w:rsid w:val="00404FCD"/>
    <w:rsid w:val="00405BF8"/>
    <w:rsid w:val="00407647"/>
    <w:rsid w:val="00407B6B"/>
    <w:rsid w:val="00411C13"/>
    <w:rsid w:val="00412044"/>
    <w:rsid w:val="00412815"/>
    <w:rsid w:val="00412A05"/>
    <w:rsid w:val="00413AEB"/>
    <w:rsid w:val="0041406F"/>
    <w:rsid w:val="004153B8"/>
    <w:rsid w:val="00415E40"/>
    <w:rsid w:val="00415F09"/>
    <w:rsid w:val="00415FFF"/>
    <w:rsid w:val="004169CA"/>
    <w:rsid w:val="004169E6"/>
    <w:rsid w:val="00416A34"/>
    <w:rsid w:val="00416E25"/>
    <w:rsid w:val="004202F8"/>
    <w:rsid w:val="00422324"/>
    <w:rsid w:val="00422DBB"/>
    <w:rsid w:val="0042334A"/>
    <w:rsid w:val="00424C31"/>
    <w:rsid w:val="004250F7"/>
    <w:rsid w:val="00425740"/>
    <w:rsid w:val="0042720A"/>
    <w:rsid w:val="0042768C"/>
    <w:rsid w:val="00427DDB"/>
    <w:rsid w:val="00430049"/>
    <w:rsid w:val="00432E56"/>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A25"/>
    <w:rsid w:val="004504F6"/>
    <w:rsid w:val="004509DD"/>
    <w:rsid w:val="00450D43"/>
    <w:rsid w:val="00453FBF"/>
    <w:rsid w:val="004546B6"/>
    <w:rsid w:val="00455B05"/>
    <w:rsid w:val="0045630D"/>
    <w:rsid w:val="00456ADB"/>
    <w:rsid w:val="00456EA5"/>
    <w:rsid w:val="00457CCD"/>
    <w:rsid w:val="00457D47"/>
    <w:rsid w:val="00460CBD"/>
    <w:rsid w:val="00460CBF"/>
    <w:rsid w:val="0046201C"/>
    <w:rsid w:val="00462218"/>
    <w:rsid w:val="00462295"/>
    <w:rsid w:val="0046253B"/>
    <w:rsid w:val="004629A5"/>
    <w:rsid w:val="004631A8"/>
    <w:rsid w:val="004650DB"/>
    <w:rsid w:val="004651A1"/>
    <w:rsid w:val="004653AF"/>
    <w:rsid w:val="00466A7A"/>
    <w:rsid w:val="00467757"/>
    <w:rsid w:val="00470EE9"/>
    <w:rsid w:val="00471552"/>
    <w:rsid w:val="00471A16"/>
    <w:rsid w:val="00471F3C"/>
    <w:rsid w:val="0047249C"/>
    <w:rsid w:val="00473F99"/>
    <w:rsid w:val="00475364"/>
    <w:rsid w:val="004753F7"/>
    <w:rsid w:val="00476715"/>
    <w:rsid w:val="00476A4C"/>
    <w:rsid w:val="004778A0"/>
    <w:rsid w:val="00481038"/>
    <w:rsid w:val="00481AB4"/>
    <w:rsid w:val="00483436"/>
    <w:rsid w:val="00484633"/>
    <w:rsid w:val="004854D7"/>
    <w:rsid w:val="0048623B"/>
    <w:rsid w:val="004868BA"/>
    <w:rsid w:val="004905E3"/>
    <w:rsid w:val="0049079F"/>
    <w:rsid w:val="00491168"/>
    <w:rsid w:val="00491224"/>
    <w:rsid w:val="00491B03"/>
    <w:rsid w:val="00493271"/>
    <w:rsid w:val="004936E3"/>
    <w:rsid w:val="00494313"/>
    <w:rsid w:val="004947FD"/>
    <w:rsid w:val="00494B3A"/>
    <w:rsid w:val="0049517D"/>
    <w:rsid w:val="00496D89"/>
    <w:rsid w:val="004A1B58"/>
    <w:rsid w:val="004A23DA"/>
    <w:rsid w:val="004A2556"/>
    <w:rsid w:val="004A275B"/>
    <w:rsid w:val="004A29D5"/>
    <w:rsid w:val="004A3150"/>
    <w:rsid w:val="004A3376"/>
    <w:rsid w:val="004A491C"/>
    <w:rsid w:val="004A4C11"/>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262D"/>
    <w:rsid w:val="004D46F0"/>
    <w:rsid w:val="004D6CDB"/>
    <w:rsid w:val="004D723B"/>
    <w:rsid w:val="004D7765"/>
    <w:rsid w:val="004D7806"/>
    <w:rsid w:val="004E2597"/>
    <w:rsid w:val="004E2F26"/>
    <w:rsid w:val="004E3B6D"/>
    <w:rsid w:val="004E3DAE"/>
    <w:rsid w:val="004E5C94"/>
    <w:rsid w:val="004E5E3E"/>
    <w:rsid w:val="004E5F53"/>
    <w:rsid w:val="004E771D"/>
    <w:rsid w:val="004E7B07"/>
    <w:rsid w:val="004E7E05"/>
    <w:rsid w:val="004F002C"/>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62E8"/>
    <w:rsid w:val="00526A21"/>
    <w:rsid w:val="00526E55"/>
    <w:rsid w:val="00526F42"/>
    <w:rsid w:val="00527BD0"/>
    <w:rsid w:val="00530667"/>
    <w:rsid w:val="005306AE"/>
    <w:rsid w:val="00530AD7"/>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80720"/>
    <w:rsid w:val="005808E1"/>
    <w:rsid w:val="00581122"/>
    <w:rsid w:val="00581D10"/>
    <w:rsid w:val="00582893"/>
    <w:rsid w:val="005828EE"/>
    <w:rsid w:val="00582B2F"/>
    <w:rsid w:val="00583919"/>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752F"/>
    <w:rsid w:val="00597D7E"/>
    <w:rsid w:val="005A2079"/>
    <w:rsid w:val="005A266F"/>
    <w:rsid w:val="005A2829"/>
    <w:rsid w:val="005A2E69"/>
    <w:rsid w:val="005A34F6"/>
    <w:rsid w:val="005A388A"/>
    <w:rsid w:val="005A42ED"/>
    <w:rsid w:val="005A4327"/>
    <w:rsid w:val="005A57CF"/>
    <w:rsid w:val="005A5ADD"/>
    <w:rsid w:val="005B07A0"/>
    <w:rsid w:val="005B1606"/>
    <w:rsid w:val="005B2371"/>
    <w:rsid w:val="005B23E3"/>
    <w:rsid w:val="005B4A99"/>
    <w:rsid w:val="005B4BDE"/>
    <w:rsid w:val="005B56FF"/>
    <w:rsid w:val="005B57AF"/>
    <w:rsid w:val="005B62F7"/>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1819"/>
    <w:rsid w:val="005E2596"/>
    <w:rsid w:val="005E268C"/>
    <w:rsid w:val="005E439D"/>
    <w:rsid w:val="005E459B"/>
    <w:rsid w:val="005E5551"/>
    <w:rsid w:val="005E587F"/>
    <w:rsid w:val="005E58E6"/>
    <w:rsid w:val="005E64C7"/>
    <w:rsid w:val="005E6532"/>
    <w:rsid w:val="005E6EED"/>
    <w:rsid w:val="005F05D1"/>
    <w:rsid w:val="005F0863"/>
    <w:rsid w:val="005F0A42"/>
    <w:rsid w:val="005F173F"/>
    <w:rsid w:val="005F343D"/>
    <w:rsid w:val="005F5FEE"/>
    <w:rsid w:val="005F682C"/>
    <w:rsid w:val="005F6FAE"/>
    <w:rsid w:val="005F6FFB"/>
    <w:rsid w:val="005F77F0"/>
    <w:rsid w:val="00602BF9"/>
    <w:rsid w:val="00602F8F"/>
    <w:rsid w:val="00603D07"/>
    <w:rsid w:val="006040D8"/>
    <w:rsid w:val="006042BC"/>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C5C"/>
    <w:rsid w:val="00632D2A"/>
    <w:rsid w:val="00633790"/>
    <w:rsid w:val="00633E30"/>
    <w:rsid w:val="0063473E"/>
    <w:rsid w:val="00634C99"/>
    <w:rsid w:val="006350BF"/>
    <w:rsid w:val="006354C4"/>
    <w:rsid w:val="00637E73"/>
    <w:rsid w:val="0064028A"/>
    <w:rsid w:val="00641BC0"/>
    <w:rsid w:val="00642B29"/>
    <w:rsid w:val="00644D73"/>
    <w:rsid w:val="00645C98"/>
    <w:rsid w:val="00646E22"/>
    <w:rsid w:val="0064714E"/>
    <w:rsid w:val="0064742B"/>
    <w:rsid w:val="006503E1"/>
    <w:rsid w:val="00653343"/>
    <w:rsid w:val="006540C8"/>
    <w:rsid w:val="0065411C"/>
    <w:rsid w:val="006553BE"/>
    <w:rsid w:val="006555A8"/>
    <w:rsid w:val="0065579B"/>
    <w:rsid w:val="00655DE4"/>
    <w:rsid w:val="00657881"/>
    <w:rsid w:val="00657AF9"/>
    <w:rsid w:val="00657D2F"/>
    <w:rsid w:val="00657F64"/>
    <w:rsid w:val="0066098F"/>
    <w:rsid w:val="00660B5A"/>
    <w:rsid w:val="006614F9"/>
    <w:rsid w:val="00662011"/>
    <w:rsid w:val="006628B8"/>
    <w:rsid w:val="00663B68"/>
    <w:rsid w:val="006657E3"/>
    <w:rsid w:val="00665C3A"/>
    <w:rsid w:val="00665F42"/>
    <w:rsid w:val="006662DD"/>
    <w:rsid w:val="00667FBE"/>
    <w:rsid w:val="00670350"/>
    <w:rsid w:val="006704F3"/>
    <w:rsid w:val="00670CC1"/>
    <w:rsid w:val="00671039"/>
    <w:rsid w:val="006719B7"/>
    <w:rsid w:val="00671AF9"/>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8E8"/>
    <w:rsid w:val="00696E4B"/>
    <w:rsid w:val="006A191A"/>
    <w:rsid w:val="006A1C98"/>
    <w:rsid w:val="006A23F9"/>
    <w:rsid w:val="006A2F66"/>
    <w:rsid w:val="006A4439"/>
    <w:rsid w:val="006A4B7F"/>
    <w:rsid w:val="006A7721"/>
    <w:rsid w:val="006A7B3F"/>
    <w:rsid w:val="006B013C"/>
    <w:rsid w:val="006B0EEB"/>
    <w:rsid w:val="006B1424"/>
    <w:rsid w:val="006B19C9"/>
    <w:rsid w:val="006B1EE4"/>
    <w:rsid w:val="006B4DFF"/>
    <w:rsid w:val="006B5525"/>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680"/>
    <w:rsid w:val="006C3E75"/>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ABA"/>
    <w:rsid w:val="006F2F62"/>
    <w:rsid w:val="006F5ED9"/>
    <w:rsid w:val="006F61B6"/>
    <w:rsid w:val="006F6C71"/>
    <w:rsid w:val="006F779C"/>
    <w:rsid w:val="006F7A45"/>
    <w:rsid w:val="006F7FB8"/>
    <w:rsid w:val="00700A00"/>
    <w:rsid w:val="00701CA3"/>
    <w:rsid w:val="0070224A"/>
    <w:rsid w:val="0070357E"/>
    <w:rsid w:val="00704166"/>
    <w:rsid w:val="007044D2"/>
    <w:rsid w:val="007045AB"/>
    <w:rsid w:val="00711B4A"/>
    <w:rsid w:val="00712790"/>
    <w:rsid w:val="007127D5"/>
    <w:rsid w:val="0071314B"/>
    <w:rsid w:val="0071402F"/>
    <w:rsid w:val="00714AAF"/>
    <w:rsid w:val="007157A0"/>
    <w:rsid w:val="0071681C"/>
    <w:rsid w:val="007203C7"/>
    <w:rsid w:val="007223F6"/>
    <w:rsid w:val="007230F0"/>
    <w:rsid w:val="00723FD3"/>
    <w:rsid w:val="0072467C"/>
    <w:rsid w:val="00724D1E"/>
    <w:rsid w:val="00725D14"/>
    <w:rsid w:val="00725ECC"/>
    <w:rsid w:val="00725F65"/>
    <w:rsid w:val="007265B4"/>
    <w:rsid w:val="00730F69"/>
    <w:rsid w:val="007325B1"/>
    <w:rsid w:val="00732B3B"/>
    <w:rsid w:val="00732EF2"/>
    <w:rsid w:val="00733B1D"/>
    <w:rsid w:val="00734156"/>
    <w:rsid w:val="00735AE4"/>
    <w:rsid w:val="00736260"/>
    <w:rsid w:val="00736305"/>
    <w:rsid w:val="007363EF"/>
    <w:rsid w:val="00736BD9"/>
    <w:rsid w:val="007406A4"/>
    <w:rsid w:val="00741C76"/>
    <w:rsid w:val="00742AFE"/>
    <w:rsid w:val="007433CE"/>
    <w:rsid w:val="0074369B"/>
    <w:rsid w:val="007439DC"/>
    <w:rsid w:val="00744517"/>
    <w:rsid w:val="00744B36"/>
    <w:rsid w:val="00745B3B"/>
    <w:rsid w:val="007463E6"/>
    <w:rsid w:val="007470AF"/>
    <w:rsid w:val="007475F3"/>
    <w:rsid w:val="00750142"/>
    <w:rsid w:val="00750169"/>
    <w:rsid w:val="0075155D"/>
    <w:rsid w:val="007546D0"/>
    <w:rsid w:val="00754A4F"/>
    <w:rsid w:val="0075526B"/>
    <w:rsid w:val="0075545B"/>
    <w:rsid w:val="007564D6"/>
    <w:rsid w:val="00756F02"/>
    <w:rsid w:val="00757C55"/>
    <w:rsid w:val="007608AA"/>
    <w:rsid w:val="007611B9"/>
    <w:rsid w:val="00761C8C"/>
    <w:rsid w:val="007620AE"/>
    <w:rsid w:val="00762D7A"/>
    <w:rsid w:val="00762F9F"/>
    <w:rsid w:val="00763BDD"/>
    <w:rsid w:val="00764B57"/>
    <w:rsid w:val="00766254"/>
    <w:rsid w:val="00766462"/>
    <w:rsid w:val="00766B9E"/>
    <w:rsid w:val="00767D9D"/>
    <w:rsid w:val="0077078F"/>
    <w:rsid w:val="007707DE"/>
    <w:rsid w:val="00770AED"/>
    <w:rsid w:val="007714BD"/>
    <w:rsid w:val="007715EA"/>
    <w:rsid w:val="0077437F"/>
    <w:rsid w:val="00774D8F"/>
    <w:rsid w:val="00776D0D"/>
    <w:rsid w:val="007808F7"/>
    <w:rsid w:val="00780D60"/>
    <w:rsid w:val="00781603"/>
    <w:rsid w:val="007833FD"/>
    <w:rsid w:val="00783E03"/>
    <w:rsid w:val="007859C1"/>
    <w:rsid w:val="00785F6D"/>
    <w:rsid w:val="007866A4"/>
    <w:rsid w:val="0078766C"/>
    <w:rsid w:val="00792685"/>
    <w:rsid w:val="00792AC2"/>
    <w:rsid w:val="00792AF6"/>
    <w:rsid w:val="00793212"/>
    <w:rsid w:val="0079385A"/>
    <w:rsid w:val="00794397"/>
    <w:rsid w:val="00794A5A"/>
    <w:rsid w:val="00795203"/>
    <w:rsid w:val="00795F4C"/>
    <w:rsid w:val="00796E93"/>
    <w:rsid w:val="007A04B3"/>
    <w:rsid w:val="007A1699"/>
    <w:rsid w:val="007A205F"/>
    <w:rsid w:val="007A3151"/>
    <w:rsid w:val="007A31F2"/>
    <w:rsid w:val="007A33C3"/>
    <w:rsid w:val="007A4CEE"/>
    <w:rsid w:val="007A5117"/>
    <w:rsid w:val="007A5135"/>
    <w:rsid w:val="007A63DB"/>
    <w:rsid w:val="007A69BF"/>
    <w:rsid w:val="007A7587"/>
    <w:rsid w:val="007A7F1B"/>
    <w:rsid w:val="007B11B4"/>
    <w:rsid w:val="007B1215"/>
    <w:rsid w:val="007B13B9"/>
    <w:rsid w:val="007B322E"/>
    <w:rsid w:val="007B5628"/>
    <w:rsid w:val="007B5FED"/>
    <w:rsid w:val="007B7763"/>
    <w:rsid w:val="007B79BA"/>
    <w:rsid w:val="007C0112"/>
    <w:rsid w:val="007C0246"/>
    <w:rsid w:val="007C234B"/>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283A"/>
    <w:rsid w:val="007E3529"/>
    <w:rsid w:val="007E3886"/>
    <w:rsid w:val="007E3A62"/>
    <w:rsid w:val="007E3C78"/>
    <w:rsid w:val="007E4628"/>
    <w:rsid w:val="007E52DB"/>
    <w:rsid w:val="007E59C3"/>
    <w:rsid w:val="007E6090"/>
    <w:rsid w:val="007E7E0E"/>
    <w:rsid w:val="007F118C"/>
    <w:rsid w:val="007F2AF0"/>
    <w:rsid w:val="007F332E"/>
    <w:rsid w:val="007F35D5"/>
    <w:rsid w:val="007F39A3"/>
    <w:rsid w:val="007F3F36"/>
    <w:rsid w:val="007F4C66"/>
    <w:rsid w:val="007F53AC"/>
    <w:rsid w:val="007F6552"/>
    <w:rsid w:val="007F74CF"/>
    <w:rsid w:val="007F75DB"/>
    <w:rsid w:val="007F7E0F"/>
    <w:rsid w:val="007F7F7C"/>
    <w:rsid w:val="008002BA"/>
    <w:rsid w:val="00802E94"/>
    <w:rsid w:val="00802FDC"/>
    <w:rsid w:val="008037DD"/>
    <w:rsid w:val="00803E98"/>
    <w:rsid w:val="00804F23"/>
    <w:rsid w:val="00805740"/>
    <w:rsid w:val="00805C40"/>
    <w:rsid w:val="00805EF4"/>
    <w:rsid w:val="00806FC6"/>
    <w:rsid w:val="00807694"/>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8CD"/>
    <w:rsid w:val="00821FD2"/>
    <w:rsid w:val="0082263A"/>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B34"/>
    <w:rsid w:val="00834C7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941"/>
    <w:rsid w:val="008729FD"/>
    <w:rsid w:val="0087361D"/>
    <w:rsid w:val="00874063"/>
    <w:rsid w:val="0087439E"/>
    <w:rsid w:val="00874C47"/>
    <w:rsid w:val="00874CB3"/>
    <w:rsid w:val="00876EBE"/>
    <w:rsid w:val="00877731"/>
    <w:rsid w:val="00880122"/>
    <w:rsid w:val="00880DC9"/>
    <w:rsid w:val="00883401"/>
    <w:rsid w:val="00883B7F"/>
    <w:rsid w:val="0088677A"/>
    <w:rsid w:val="008868B7"/>
    <w:rsid w:val="008870CB"/>
    <w:rsid w:val="008876FF"/>
    <w:rsid w:val="00887DCC"/>
    <w:rsid w:val="00887FB4"/>
    <w:rsid w:val="00892311"/>
    <w:rsid w:val="00893964"/>
    <w:rsid w:val="00894525"/>
    <w:rsid w:val="0089463A"/>
    <w:rsid w:val="00895C2B"/>
    <w:rsid w:val="00895D94"/>
    <w:rsid w:val="008964B4"/>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ADD"/>
    <w:rsid w:val="008B4C07"/>
    <w:rsid w:val="008B5A2F"/>
    <w:rsid w:val="008B5AE9"/>
    <w:rsid w:val="008B67F5"/>
    <w:rsid w:val="008B73E6"/>
    <w:rsid w:val="008C0345"/>
    <w:rsid w:val="008C0A96"/>
    <w:rsid w:val="008C16F9"/>
    <w:rsid w:val="008C30D5"/>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565A"/>
    <w:rsid w:val="008D5B2E"/>
    <w:rsid w:val="008D68BE"/>
    <w:rsid w:val="008D6926"/>
    <w:rsid w:val="008D6D6A"/>
    <w:rsid w:val="008D7AB1"/>
    <w:rsid w:val="008E00FA"/>
    <w:rsid w:val="008E1A21"/>
    <w:rsid w:val="008E2ED6"/>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20D88"/>
    <w:rsid w:val="00921E65"/>
    <w:rsid w:val="00922902"/>
    <w:rsid w:val="00922C1D"/>
    <w:rsid w:val="009234AC"/>
    <w:rsid w:val="0092369D"/>
    <w:rsid w:val="009247D0"/>
    <w:rsid w:val="00924949"/>
    <w:rsid w:val="00925DFD"/>
    <w:rsid w:val="009268BF"/>
    <w:rsid w:val="009268F5"/>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207F"/>
    <w:rsid w:val="00942393"/>
    <w:rsid w:val="009423DD"/>
    <w:rsid w:val="0094243A"/>
    <w:rsid w:val="0094366E"/>
    <w:rsid w:val="00943914"/>
    <w:rsid w:val="00943A93"/>
    <w:rsid w:val="0094425C"/>
    <w:rsid w:val="0094425E"/>
    <w:rsid w:val="00944EEA"/>
    <w:rsid w:val="0094577F"/>
    <w:rsid w:val="009457F1"/>
    <w:rsid w:val="0094634C"/>
    <w:rsid w:val="009466C6"/>
    <w:rsid w:val="0095013A"/>
    <w:rsid w:val="00952304"/>
    <w:rsid w:val="00953D80"/>
    <w:rsid w:val="009544F7"/>
    <w:rsid w:val="00954A12"/>
    <w:rsid w:val="00955FDE"/>
    <w:rsid w:val="00956DF7"/>
    <w:rsid w:val="00956FA1"/>
    <w:rsid w:val="009574FC"/>
    <w:rsid w:val="009579DD"/>
    <w:rsid w:val="00957B59"/>
    <w:rsid w:val="00960F9C"/>
    <w:rsid w:val="0096221A"/>
    <w:rsid w:val="009635E9"/>
    <w:rsid w:val="00964028"/>
    <w:rsid w:val="00964A16"/>
    <w:rsid w:val="00964A3B"/>
    <w:rsid w:val="00965520"/>
    <w:rsid w:val="0096771C"/>
    <w:rsid w:val="0097088C"/>
    <w:rsid w:val="00970E5C"/>
    <w:rsid w:val="00971074"/>
    <w:rsid w:val="00971634"/>
    <w:rsid w:val="00972792"/>
    <w:rsid w:val="00973F5A"/>
    <w:rsid w:val="009744EC"/>
    <w:rsid w:val="00974BF9"/>
    <w:rsid w:val="0097502E"/>
    <w:rsid w:val="009765EF"/>
    <w:rsid w:val="0097680E"/>
    <w:rsid w:val="00976965"/>
    <w:rsid w:val="00976A9F"/>
    <w:rsid w:val="00977317"/>
    <w:rsid w:val="0098003A"/>
    <w:rsid w:val="00981B53"/>
    <w:rsid w:val="00981C86"/>
    <w:rsid w:val="009825B0"/>
    <w:rsid w:val="009836B3"/>
    <w:rsid w:val="009844CC"/>
    <w:rsid w:val="00984AF6"/>
    <w:rsid w:val="009867FD"/>
    <w:rsid w:val="00986809"/>
    <w:rsid w:val="00986CDD"/>
    <w:rsid w:val="00986D93"/>
    <w:rsid w:val="0098750D"/>
    <w:rsid w:val="0098792A"/>
    <w:rsid w:val="00987DA0"/>
    <w:rsid w:val="009900B4"/>
    <w:rsid w:val="009901F0"/>
    <w:rsid w:val="009913BC"/>
    <w:rsid w:val="00991B9F"/>
    <w:rsid w:val="009927D8"/>
    <w:rsid w:val="00993C98"/>
    <w:rsid w:val="0099411C"/>
    <w:rsid w:val="00996795"/>
    <w:rsid w:val="009968CF"/>
    <w:rsid w:val="00996EB5"/>
    <w:rsid w:val="00997082"/>
    <w:rsid w:val="0099750D"/>
    <w:rsid w:val="009A020D"/>
    <w:rsid w:val="009A1765"/>
    <w:rsid w:val="009A2352"/>
    <w:rsid w:val="009A26E6"/>
    <w:rsid w:val="009A3438"/>
    <w:rsid w:val="009A4D4D"/>
    <w:rsid w:val="009A5685"/>
    <w:rsid w:val="009A5E33"/>
    <w:rsid w:val="009A62B4"/>
    <w:rsid w:val="009A6313"/>
    <w:rsid w:val="009A6316"/>
    <w:rsid w:val="009A6C54"/>
    <w:rsid w:val="009A6C61"/>
    <w:rsid w:val="009A7564"/>
    <w:rsid w:val="009B0278"/>
    <w:rsid w:val="009B12DF"/>
    <w:rsid w:val="009B1B20"/>
    <w:rsid w:val="009B505F"/>
    <w:rsid w:val="009B5B73"/>
    <w:rsid w:val="009B5FB1"/>
    <w:rsid w:val="009B6372"/>
    <w:rsid w:val="009B684A"/>
    <w:rsid w:val="009B6D11"/>
    <w:rsid w:val="009B77AE"/>
    <w:rsid w:val="009B7AC1"/>
    <w:rsid w:val="009C0E84"/>
    <w:rsid w:val="009C0EFA"/>
    <w:rsid w:val="009C1982"/>
    <w:rsid w:val="009C258C"/>
    <w:rsid w:val="009C2608"/>
    <w:rsid w:val="009C3D63"/>
    <w:rsid w:val="009C4103"/>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40"/>
    <w:rsid w:val="009E0EB1"/>
    <w:rsid w:val="009E1314"/>
    <w:rsid w:val="009E13F9"/>
    <w:rsid w:val="009E1C5B"/>
    <w:rsid w:val="009E2063"/>
    <w:rsid w:val="009E21DE"/>
    <w:rsid w:val="009E2890"/>
    <w:rsid w:val="009E30F2"/>
    <w:rsid w:val="009E3C29"/>
    <w:rsid w:val="009E4AE9"/>
    <w:rsid w:val="009E560B"/>
    <w:rsid w:val="009F0333"/>
    <w:rsid w:val="009F1640"/>
    <w:rsid w:val="009F2161"/>
    <w:rsid w:val="009F289E"/>
    <w:rsid w:val="009F30D3"/>
    <w:rsid w:val="009F365D"/>
    <w:rsid w:val="009F3C9E"/>
    <w:rsid w:val="009F40D0"/>
    <w:rsid w:val="009F414D"/>
    <w:rsid w:val="009F4266"/>
    <w:rsid w:val="009F4EC4"/>
    <w:rsid w:val="009F5AC7"/>
    <w:rsid w:val="009F5B0D"/>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753"/>
    <w:rsid w:val="00A17B04"/>
    <w:rsid w:val="00A17D30"/>
    <w:rsid w:val="00A20361"/>
    <w:rsid w:val="00A21D80"/>
    <w:rsid w:val="00A2225F"/>
    <w:rsid w:val="00A230B7"/>
    <w:rsid w:val="00A23782"/>
    <w:rsid w:val="00A24069"/>
    <w:rsid w:val="00A24EA0"/>
    <w:rsid w:val="00A25031"/>
    <w:rsid w:val="00A250D2"/>
    <w:rsid w:val="00A262D4"/>
    <w:rsid w:val="00A27054"/>
    <w:rsid w:val="00A3035E"/>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AFC"/>
    <w:rsid w:val="00A51441"/>
    <w:rsid w:val="00A52DC9"/>
    <w:rsid w:val="00A531EF"/>
    <w:rsid w:val="00A5398A"/>
    <w:rsid w:val="00A54076"/>
    <w:rsid w:val="00A54D53"/>
    <w:rsid w:val="00A54D71"/>
    <w:rsid w:val="00A55A95"/>
    <w:rsid w:val="00A55BC4"/>
    <w:rsid w:val="00A55D70"/>
    <w:rsid w:val="00A560BD"/>
    <w:rsid w:val="00A57E30"/>
    <w:rsid w:val="00A616D4"/>
    <w:rsid w:val="00A617E4"/>
    <w:rsid w:val="00A61D17"/>
    <w:rsid w:val="00A630D3"/>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13C8"/>
    <w:rsid w:val="00A92702"/>
    <w:rsid w:val="00A9383A"/>
    <w:rsid w:val="00A93E9E"/>
    <w:rsid w:val="00A94913"/>
    <w:rsid w:val="00AA11B3"/>
    <w:rsid w:val="00AA1D05"/>
    <w:rsid w:val="00AA3D7D"/>
    <w:rsid w:val="00AA4319"/>
    <w:rsid w:val="00AA437D"/>
    <w:rsid w:val="00AA44E1"/>
    <w:rsid w:val="00AA58A2"/>
    <w:rsid w:val="00AA5D17"/>
    <w:rsid w:val="00AA5DCE"/>
    <w:rsid w:val="00AB0D51"/>
    <w:rsid w:val="00AB103D"/>
    <w:rsid w:val="00AB1FE6"/>
    <w:rsid w:val="00AB2C9C"/>
    <w:rsid w:val="00AB3293"/>
    <w:rsid w:val="00AB3F0F"/>
    <w:rsid w:val="00AB40CC"/>
    <w:rsid w:val="00AB62A9"/>
    <w:rsid w:val="00AB6802"/>
    <w:rsid w:val="00AB75B5"/>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414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B0021A"/>
    <w:rsid w:val="00B01F17"/>
    <w:rsid w:val="00B028D8"/>
    <w:rsid w:val="00B02AC1"/>
    <w:rsid w:val="00B02E1C"/>
    <w:rsid w:val="00B04F23"/>
    <w:rsid w:val="00B056F1"/>
    <w:rsid w:val="00B06309"/>
    <w:rsid w:val="00B071E6"/>
    <w:rsid w:val="00B07469"/>
    <w:rsid w:val="00B07E7B"/>
    <w:rsid w:val="00B103A6"/>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4E2"/>
    <w:rsid w:val="00B32122"/>
    <w:rsid w:val="00B321FF"/>
    <w:rsid w:val="00B32549"/>
    <w:rsid w:val="00B32789"/>
    <w:rsid w:val="00B32BC5"/>
    <w:rsid w:val="00B32D44"/>
    <w:rsid w:val="00B32FD6"/>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546F"/>
    <w:rsid w:val="00B55B2D"/>
    <w:rsid w:val="00B55BD2"/>
    <w:rsid w:val="00B55CE6"/>
    <w:rsid w:val="00B56F18"/>
    <w:rsid w:val="00B57C5A"/>
    <w:rsid w:val="00B60A18"/>
    <w:rsid w:val="00B61549"/>
    <w:rsid w:val="00B61AE1"/>
    <w:rsid w:val="00B61B00"/>
    <w:rsid w:val="00B62478"/>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752"/>
    <w:rsid w:val="00B717E8"/>
    <w:rsid w:val="00B747B5"/>
    <w:rsid w:val="00B75985"/>
    <w:rsid w:val="00B761E9"/>
    <w:rsid w:val="00B76434"/>
    <w:rsid w:val="00B76938"/>
    <w:rsid w:val="00B76D8F"/>
    <w:rsid w:val="00B77021"/>
    <w:rsid w:val="00B77247"/>
    <w:rsid w:val="00B77EA5"/>
    <w:rsid w:val="00B805EC"/>
    <w:rsid w:val="00B80AFA"/>
    <w:rsid w:val="00B82A7F"/>
    <w:rsid w:val="00B82E5C"/>
    <w:rsid w:val="00B8322C"/>
    <w:rsid w:val="00B83B43"/>
    <w:rsid w:val="00B842E8"/>
    <w:rsid w:val="00B8467B"/>
    <w:rsid w:val="00B84B5A"/>
    <w:rsid w:val="00B85B44"/>
    <w:rsid w:val="00B869AA"/>
    <w:rsid w:val="00B87732"/>
    <w:rsid w:val="00B91097"/>
    <w:rsid w:val="00B92B14"/>
    <w:rsid w:val="00B92CD6"/>
    <w:rsid w:val="00B9475D"/>
    <w:rsid w:val="00B94F35"/>
    <w:rsid w:val="00B9540D"/>
    <w:rsid w:val="00B95C56"/>
    <w:rsid w:val="00BA04CF"/>
    <w:rsid w:val="00BA0698"/>
    <w:rsid w:val="00BA1800"/>
    <w:rsid w:val="00BA21FD"/>
    <w:rsid w:val="00BA390F"/>
    <w:rsid w:val="00BA3F34"/>
    <w:rsid w:val="00BA440C"/>
    <w:rsid w:val="00BA547F"/>
    <w:rsid w:val="00BA6706"/>
    <w:rsid w:val="00BA6DB4"/>
    <w:rsid w:val="00BA7622"/>
    <w:rsid w:val="00BB198C"/>
    <w:rsid w:val="00BB25F4"/>
    <w:rsid w:val="00BB2B78"/>
    <w:rsid w:val="00BB2DDE"/>
    <w:rsid w:val="00BB30E6"/>
    <w:rsid w:val="00BB4238"/>
    <w:rsid w:val="00BB4876"/>
    <w:rsid w:val="00BB76A5"/>
    <w:rsid w:val="00BB7EE1"/>
    <w:rsid w:val="00BC12EA"/>
    <w:rsid w:val="00BC240B"/>
    <w:rsid w:val="00BC26E1"/>
    <w:rsid w:val="00BC3338"/>
    <w:rsid w:val="00BC3EB9"/>
    <w:rsid w:val="00BC4DE3"/>
    <w:rsid w:val="00BC4E41"/>
    <w:rsid w:val="00BC62FE"/>
    <w:rsid w:val="00BC6305"/>
    <w:rsid w:val="00BC6A8E"/>
    <w:rsid w:val="00BC7865"/>
    <w:rsid w:val="00BC799F"/>
    <w:rsid w:val="00BC7DC5"/>
    <w:rsid w:val="00BD1513"/>
    <w:rsid w:val="00BD16B1"/>
    <w:rsid w:val="00BD18AB"/>
    <w:rsid w:val="00BD27B8"/>
    <w:rsid w:val="00BD40F5"/>
    <w:rsid w:val="00BD56F8"/>
    <w:rsid w:val="00BD5E53"/>
    <w:rsid w:val="00BD7945"/>
    <w:rsid w:val="00BE01F0"/>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799A"/>
    <w:rsid w:val="00C01052"/>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4147"/>
    <w:rsid w:val="00C44585"/>
    <w:rsid w:val="00C45047"/>
    <w:rsid w:val="00C45600"/>
    <w:rsid w:val="00C45BB1"/>
    <w:rsid w:val="00C46EA7"/>
    <w:rsid w:val="00C504BF"/>
    <w:rsid w:val="00C50743"/>
    <w:rsid w:val="00C5138B"/>
    <w:rsid w:val="00C5315B"/>
    <w:rsid w:val="00C53862"/>
    <w:rsid w:val="00C5518B"/>
    <w:rsid w:val="00C563EB"/>
    <w:rsid w:val="00C565BF"/>
    <w:rsid w:val="00C60558"/>
    <w:rsid w:val="00C6109C"/>
    <w:rsid w:val="00C6213F"/>
    <w:rsid w:val="00C639B6"/>
    <w:rsid w:val="00C646DE"/>
    <w:rsid w:val="00C67490"/>
    <w:rsid w:val="00C67543"/>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EDD"/>
    <w:rsid w:val="00C87152"/>
    <w:rsid w:val="00C87412"/>
    <w:rsid w:val="00C87CE2"/>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A26"/>
    <w:rsid w:val="00CA61A5"/>
    <w:rsid w:val="00CA6685"/>
    <w:rsid w:val="00CA6793"/>
    <w:rsid w:val="00CA6D68"/>
    <w:rsid w:val="00CA6DC3"/>
    <w:rsid w:val="00CA71D5"/>
    <w:rsid w:val="00CA78B4"/>
    <w:rsid w:val="00CA7A5E"/>
    <w:rsid w:val="00CB0507"/>
    <w:rsid w:val="00CB106A"/>
    <w:rsid w:val="00CB3537"/>
    <w:rsid w:val="00CB4670"/>
    <w:rsid w:val="00CB46F7"/>
    <w:rsid w:val="00CB4C9A"/>
    <w:rsid w:val="00CB56C7"/>
    <w:rsid w:val="00CB6ACC"/>
    <w:rsid w:val="00CB7F7F"/>
    <w:rsid w:val="00CC06F0"/>
    <w:rsid w:val="00CC1402"/>
    <w:rsid w:val="00CC1978"/>
    <w:rsid w:val="00CC2BB6"/>
    <w:rsid w:val="00CC2C52"/>
    <w:rsid w:val="00CC2D4C"/>
    <w:rsid w:val="00CC3397"/>
    <w:rsid w:val="00CC3849"/>
    <w:rsid w:val="00CC3D03"/>
    <w:rsid w:val="00CC5287"/>
    <w:rsid w:val="00CC54A1"/>
    <w:rsid w:val="00CC5812"/>
    <w:rsid w:val="00CC622F"/>
    <w:rsid w:val="00CC64FA"/>
    <w:rsid w:val="00CC7C65"/>
    <w:rsid w:val="00CC7EFB"/>
    <w:rsid w:val="00CD140E"/>
    <w:rsid w:val="00CD1568"/>
    <w:rsid w:val="00CD1C00"/>
    <w:rsid w:val="00CD25F9"/>
    <w:rsid w:val="00CD2EDF"/>
    <w:rsid w:val="00CD432F"/>
    <w:rsid w:val="00CD4CCF"/>
    <w:rsid w:val="00CD546C"/>
    <w:rsid w:val="00CD62A5"/>
    <w:rsid w:val="00CD655C"/>
    <w:rsid w:val="00CD760E"/>
    <w:rsid w:val="00CD7F44"/>
    <w:rsid w:val="00CE038A"/>
    <w:rsid w:val="00CE0647"/>
    <w:rsid w:val="00CE09CA"/>
    <w:rsid w:val="00CE14D8"/>
    <w:rsid w:val="00CE1BB7"/>
    <w:rsid w:val="00CE24AC"/>
    <w:rsid w:val="00CE251B"/>
    <w:rsid w:val="00CE3B9D"/>
    <w:rsid w:val="00CE417E"/>
    <w:rsid w:val="00CE6718"/>
    <w:rsid w:val="00CE6FAC"/>
    <w:rsid w:val="00CE722F"/>
    <w:rsid w:val="00CE7D27"/>
    <w:rsid w:val="00CF0051"/>
    <w:rsid w:val="00CF0A0E"/>
    <w:rsid w:val="00CF0D84"/>
    <w:rsid w:val="00CF0DDE"/>
    <w:rsid w:val="00CF114F"/>
    <w:rsid w:val="00CF235E"/>
    <w:rsid w:val="00CF2F44"/>
    <w:rsid w:val="00CF3D0A"/>
    <w:rsid w:val="00CF4E18"/>
    <w:rsid w:val="00CF6CA7"/>
    <w:rsid w:val="00D00949"/>
    <w:rsid w:val="00D015C7"/>
    <w:rsid w:val="00D01842"/>
    <w:rsid w:val="00D018C4"/>
    <w:rsid w:val="00D02CEB"/>
    <w:rsid w:val="00D041EB"/>
    <w:rsid w:val="00D043A0"/>
    <w:rsid w:val="00D04C53"/>
    <w:rsid w:val="00D04E01"/>
    <w:rsid w:val="00D07769"/>
    <w:rsid w:val="00D077C3"/>
    <w:rsid w:val="00D07F18"/>
    <w:rsid w:val="00D1049F"/>
    <w:rsid w:val="00D12F7E"/>
    <w:rsid w:val="00D142E1"/>
    <w:rsid w:val="00D145F3"/>
    <w:rsid w:val="00D152EE"/>
    <w:rsid w:val="00D15932"/>
    <w:rsid w:val="00D171BD"/>
    <w:rsid w:val="00D20459"/>
    <w:rsid w:val="00D20CA4"/>
    <w:rsid w:val="00D21D6D"/>
    <w:rsid w:val="00D2288C"/>
    <w:rsid w:val="00D242DD"/>
    <w:rsid w:val="00D245A9"/>
    <w:rsid w:val="00D249EE"/>
    <w:rsid w:val="00D24D48"/>
    <w:rsid w:val="00D26757"/>
    <w:rsid w:val="00D271FD"/>
    <w:rsid w:val="00D27B06"/>
    <w:rsid w:val="00D27B08"/>
    <w:rsid w:val="00D30596"/>
    <w:rsid w:val="00D308FC"/>
    <w:rsid w:val="00D3130A"/>
    <w:rsid w:val="00D31ED4"/>
    <w:rsid w:val="00D355D2"/>
    <w:rsid w:val="00D365DA"/>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28E3"/>
    <w:rsid w:val="00D54E2F"/>
    <w:rsid w:val="00D555A1"/>
    <w:rsid w:val="00D55C7E"/>
    <w:rsid w:val="00D55C8C"/>
    <w:rsid w:val="00D563E7"/>
    <w:rsid w:val="00D56426"/>
    <w:rsid w:val="00D573F7"/>
    <w:rsid w:val="00D57C66"/>
    <w:rsid w:val="00D606C5"/>
    <w:rsid w:val="00D60F1D"/>
    <w:rsid w:val="00D61512"/>
    <w:rsid w:val="00D6287F"/>
    <w:rsid w:val="00D628D7"/>
    <w:rsid w:val="00D63203"/>
    <w:rsid w:val="00D63620"/>
    <w:rsid w:val="00D65C80"/>
    <w:rsid w:val="00D65FF6"/>
    <w:rsid w:val="00D67333"/>
    <w:rsid w:val="00D677D0"/>
    <w:rsid w:val="00D70272"/>
    <w:rsid w:val="00D714F4"/>
    <w:rsid w:val="00D7153E"/>
    <w:rsid w:val="00D71D7D"/>
    <w:rsid w:val="00D72478"/>
    <w:rsid w:val="00D73A57"/>
    <w:rsid w:val="00D73F5D"/>
    <w:rsid w:val="00D748CE"/>
    <w:rsid w:val="00D7569A"/>
    <w:rsid w:val="00D756C0"/>
    <w:rsid w:val="00D77018"/>
    <w:rsid w:val="00D777FB"/>
    <w:rsid w:val="00D77981"/>
    <w:rsid w:val="00D77ADA"/>
    <w:rsid w:val="00D81CF9"/>
    <w:rsid w:val="00D81E43"/>
    <w:rsid w:val="00D825A4"/>
    <w:rsid w:val="00D8273A"/>
    <w:rsid w:val="00D84641"/>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2011"/>
    <w:rsid w:val="00DA2783"/>
    <w:rsid w:val="00DA294B"/>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6FFA"/>
    <w:rsid w:val="00DB79A1"/>
    <w:rsid w:val="00DB7D2C"/>
    <w:rsid w:val="00DC0433"/>
    <w:rsid w:val="00DC0B51"/>
    <w:rsid w:val="00DC0B8D"/>
    <w:rsid w:val="00DC2ABF"/>
    <w:rsid w:val="00DC2C91"/>
    <w:rsid w:val="00DC2EA8"/>
    <w:rsid w:val="00DC3503"/>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D76D6"/>
    <w:rsid w:val="00DE0E1F"/>
    <w:rsid w:val="00DE100A"/>
    <w:rsid w:val="00DE14A5"/>
    <w:rsid w:val="00DE3297"/>
    <w:rsid w:val="00DE42FA"/>
    <w:rsid w:val="00DE4A2D"/>
    <w:rsid w:val="00DE5733"/>
    <w:rsid w:val="00DE612B"/>
    <w:rsid w:val="00DE6954"/>
    <w:rsid w:val="00DF1766"/>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6744"/>
    <w:rsid w:val="00E079AA"/>
    <w:rsid w:val="00E07ACB"/>
    <w:rsid w:val="00E07CD0"/>
    <w:rsid w:val="00E112DA"/>
    <w:rsid w:val="00E11E01"/>
    <w:rsid w:val="00E11F18"/>
    <w:rsid w:val="00E12DCA"/>
    <w:rsid w:val="00E144CF"/>
    <w:rsid w:val="00E1466B"/>
    <w:rsid w:val="00E155B4"/>
    <w:rsid w:val="00E156DE"/>
    <w:rsid w:val="00E16A56"/>
    <w:rsid w:val="00E173FA"/>
    <w:rsid w:val="00E20219"/>
    <w:rsid w:val="00E20248"/>
    <w:rsid w:val="00E206C7"/>
    <w:rsid w:val="00E20F8E"/>
    <w:rsid w:val="00E21492"/>
    <w:rsid w:val="00E21DFA"/>
    <w:rsid w:val="00E23199"/>
    <w:rsid w:val="00E233E5"/>
    <w:rsid w:val="00E23CD7"/>
    <w:rsid w:val="00E24019"/>
    <w:rsid w:val="00E25751"/>
    <w:rsid w:val="00E257E5"/>
    <w:rsid w:val="00E266F0"/>
    <w:rsid w:val="00E3038C"/>
    <w:rsid w:val="00E30A8E"/>
    <w:rsid w:val="00E31CDA"/>
    <w:rsid w:val="00E31CF0"/>
    <w:rsid w:val="00E32B48"/>
    <w:rsid w:val="00E32E96"/>
    <w:rsid w:val="00E330F3"/>
    <w:rsid w:val="00E338B5"/>
    <w:rsid w:val="00E33AC7"/>
    <w:rsid w:val="00E35354"/>
    <w:rsid w:val="00E36565"/>
    <w:rsid w:val="00E36BC8"/>
    <w:rsid w:val="00E3710B"/>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6B6A"/>
    <w:rsid w:val="00E67460"/>
    <w:rsid w:val="00E67624"/>
    <w:rsid w:val="00E70359"/>
    <w:rsid w:val="00E714FF"/>
    <w:rsid w:val="00E72D95"/>
    <w:rsid w:val="00E74E8A"/>
    <w:rsid w:val="00E74F3F"/>
    <w:rsid w:val="00E755B3"/>
    <w:rsid w:val="00E757A4"/>
    <w:rsid w:val="00E75B5F"/>
    <w:rsid w:val="00E769E9"/>
    <w:rsid w:val="00E77519"/>
    <w:rsid w:val="00E77DA7"/>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2DF"/>
    <w:rsid w:val="00EC1620"/>
    <w:rsid w:val="00EC1C9C"/>
    <w:rsid w:val="00EC2B69"/>
    <w:rsid w:val="00EC2D4F"/>
    <w:rsid w:val="00EC40B0"/>
    <w:rsid w:val="00EC4410"/>
    <w:rsid w:val="00EC4A58"/>
    <w:rsid w:val="00EC6418"/>
    <w:rsid w:val="00EC7525"/>
    <w:rsid w:val="00EC7F97"/>
    <w:rsid w:val="00ED0CC1"/>
    <w:rsid w:val="00ED1493"/>
    <w:rsid w:val="00ED26AE"/>
    <w:rsid w:val="00ED275B"/>
    <w:rsid w:val="00ED4E2B"/>
    <w:rsid w:val="00ED5A86"/>
    <w:rsid w:val="00ED5EA7"/>
    <w:rsid w:val="00ED63AF"/>
    <w:rsid w:val="00ED6F8A"/>
    <w:rsid w:val="00EE15AA"/>
    <w:rsid w:val="00EE2859"/>
    <w:rsid w:val="00EE65E4"/>
    <w:rsid w:val="00EE7129"/>
    <w:rsid w:val="00EF10D1"/>
    <w:rsid w:val="00EF12D4"/>
    <w:rsid w:val="00EF2214"/>
    <w:rsid w:val="00EF290A"/>
    <w:rsid w:val="00EF2C71"/>
    <w:rsid w:val="00EF3FCC"/>
    <w:rsid w:val="00EF4055"/>
    <w:rsid w:val="00EF6881"/>
    <w:rsid w:val="00EF6A51"/>
    <w:rsid w:val="00EF789C"/>
    <w:rsid w:val="00EF7C65"/>
    <w:rsid w:val="00EF7D17"/>
    <w:rsid w:val="00F01542"/>
    <w:rsid w:val="00F02868"/>
    <w:rsid w:val="00F036A6"/>
    <w:rsid w:val="00F03DFF"/>
    <w:rsid w:val="00F042F0"/>
    <w:rsid w:val="00F0438A"/>
    <w:rsid w:val="00F058C8"/>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35A"/>
    <w:rsid w:val="00F3149B"/>
    <w:rsid w:val="00F32C6F"/>
    <w:rsid w:val="00F33E3E"/>
    <w:rsid w:val="00F34E67"/>
    <w:rsid w:val="00F352E5"/>
    <w:rsid w:val="00F3792B"/>
    <w:rsid w:val="00F40CD0"/>
    <w:rsid w:val="00F415E0"/>
    <w:rsid w:val="00F41C28"/>
    <w:rsid w:val="00F4227F"/>
    <w:rsid w:val="00F42789"/>
    <w:rsid w:val="00F43107"/>
    <w:rsid w:val="00F463AE"/>
    <w:rsid w:val="00F4688B"/>
    <w:rsid w:val="00F47B1F"/>
    <w:rsid w:val="00F47B70"/>
    <w:rsid w:val="00F536E9"/>
    <w:rsid w:val="00F537FE"/>
    <w:rsid w:val="00F53D98"/>
    <w:rsid w:val="00F541B8"/>
    <w:rsid w:val="00F6059A"/>
    <w:rsid w:val="00F609E3"/>
    <w:rsid w:val="00F60B3C"/>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1BE"/>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14A8"/>
    <w:rsid w:val="00FB1A40"/>
    <w:rsid w:val="00FB1A45"/>
    <w:rsid w:val="00FB1CF2"/>
    <w:rsid w:val="00FB389C"/>
    <w:rsid w:val="00FC023E"/>
    <w:rsid w:val="00FC02E9"/>
    <w:rsid w:val="00FC1ABD"/>
    <w:rsid w:val="00FC23CC"/>
    <w:rsid w:val="00FC29B6"/>
    <w:rsid w:val="00FC32DA"/>
    <w:rsid w:val="00FC332F"/>
    <w:rsid w:val="00FC451E"/>
    <w:rsid w:val="00FC5742"/>
    <w:rsid w:val="00FC5C86"/>
    <w:rsid w:val="00FC60C9"/>
    <w:rsid w:val="00FC75AA"/>
    <w:rsid w:val="00FC7C09"/>
    <w:rsid w:val="00FC7C70"/>
    <w:rsid w:val="00FD1590"/>
    <w:rsid w:val="00FD180C"/>
    <w:rsid w:val="00FD2589"/>
    <w:rsid w:val="00FD562C"/>
    <w:rsid w:val="00FD62E1"/>
    <w:rsid w:val="00FD711D"/>
    <w:rsid w:val="00FE0AE8"/>
    <w:rsid w:val="00FE190D"/>
    <w:rsid w:val="00FE2873"/>
    <w:rsid w:val="00FE30B8"/>
    <w:rsid w:val="00FE3DF2"/>
    <w:rsid w:val="00FE400D"/>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node/7252" TargetMode="External"/><Relationship Id="rId26"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9" Type="http://schemas.openxmlformats.org/officeDocument/2006/relationships/hyperlink" Target="https://www.dca.ga.gov/safe-affordable-housing/rental-housing-development/housing-tax-credit-program-lihtc/qualified-0/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sites/default/files/2017_chdo_certification_application_0.docx" TargetMode="External"/><Relationship Id="rId28" Type="http://schemas.openxmlformats.org/officeDocument/2006/relationships/hyperlink" Target="https://www.dca.ga.gov/sites/default/files/2021ccrpi_scores_table.pdf" TargetMode="External"/><Relationship Id="rId10" Type="http://schemas.openxmlformats.org/officeDocument/2006/relationships/endnotes" Target="endnotes.xml"/><Relationship Id="rId19" Type="http://schemas.openxmlformats.org/officeDocument/2006/relationships/hyperlink" Target="https://www.dca.ga.gov/node/647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hud.gov/sites/documents/19787_CH03.PDF" TargetMode="External"/><Relationship Id="rId27" Type="http://schemas.openxmlformats.org/officeDocument/2006/relationships/hyperlink" Target="https://www.dca.ga.gov/sites/default/files/ccrpi_scores_table.pdf" TargetMode="External"/><Relationship Id="rId30"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36CA9A69-CD3B-44FD-A2A0-AD4169BB2B1F}">
  <ds:schemaRefs>
    <ds:schemaRef ds:uri="http://schemas.microsoft.com/office/2006/documentManagement/types"/>
    <ds:schemaRef ds:uri="http://purl.org/dc/terms/"/>
    <ds:schemaRef ds:uri="http://schemas.microsoft.com/office/infopath/2007/PartnerControls"/>
    <ds:schemaRef ds:uri="431100d4-4470-42c1-96bc-46686c1829ae"/>
    <ds:schemaRef ds:uri="http://purl.org/dc/elements/1.1/"/>
    <ds:schemaRef ds:uri="http://schemas.openxmlformats.org/package/2006/metadata/core-properties"/>
    <ds:schemaRef ds:uri="4425f765-7ff5-4475-924d-a1e4ebf7f4e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6907</Words>
  <Characters>39372</Characters>
  <Application>Microsoft Office Word</Application>
  <DocSecurity>0</DocSecurity>
  <Lines>328</Lines>
  <Paragraphs>92</Paragraphs>
  <ScaleCrop>false</ScaleCrop>
  <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2021-03-04T20:09:00Z</dcterms:created>
  <dcterms:modified xsi:type="dcterms:W3CDTF">2021-03-04T20:09:00Z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