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955AC1" w:rsidRDefault="00AE3836" w:rsidP="000078D6">
      <w:pPr>
        <w:spacing w:after="0"/>
        <w:jc w:val="center"/>
        <w:rPr>
          <w:rFonts w:ascii="Times New Roman" w:hAnsi="Times New Roman" w:cs="Times New Roman"/>
        </w:rPr>
      </w:pPr>
      <w:r w:rsidRPr="00955AC1">
        <w:rPr>
          <w:rFonts w:ascii="Times New Roman" w:hAnsi="Times New Roman" w:cs="Times New Roman"/>
        </w:rPr>
        <w:softHyphen/>
      </w:r>
      <w:r w:rsidR="00441946" w:rsidRPr="00955AC1">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955AC1" w:rsidRDefault="00277840" w:rsidP="00F70795">
      <w:pPr>
        <w:spacing w:after="0"/>
        <w:jc w:val="center"/>
        <w:rPr>
          <w:rFonts w:ascii="Times New Roman" w:hAnsi="Times New Roman" w:cs="Times New Roman"/>
          <w:b/>
          <w:sz w:val="32"/>
          <w:szCs w:val="32"/>
        </w:rPr>
      </w:pPr>
      <w:r w:rsidRPr="00955AC1">
        <w:rPr>
          <w:rFonts w:ascii="Times New Roman" w:hAnsi="Times New Roman" w:cs="Times New Roman"/>
          <w:b/>
          <w:sz w:val="32"/>
          <w:szCs w:val="32"/>
        </w:rPr>
        <w:t>202</w:t>
      </w:r>
      <w:r w:rsidR="00741177" w:rsidRPr="00955AC1">
        <w:rPr>
          <w:rFonts w:ascii="Times New Roman" w:hAnsi="Times New Roman" w:cs="Times New Roman"/>
          <w:b/>
          <w:sz w:val="32"/>
          <w:szCs w:val="32"/>
        </w:rPr>
        <w:t>2</w:t>
      </w:r>
      <w:r w:rsidRPr="00955AC1">
        <w:rPr>
          <w:rFonts w:ascii="Times New Roman" w:hAnsi="Times New Roman" w:cs="Times New Roman"/>
          <w:b/>
          <w:sz w:val="32"/>
          <w:szCs w:val="32"/>
        </w:rPr>
        <w:t xml:space="preserve"> </w:t>
      </w:r>
      <w:r w:rsidR="008C0345" w:rsidRPr="00955AC1">
        <w:rPr>
          <w:rFonts w:ascii="Times New Roman" w:hAnsi="Times New Roman" w:cs="Times New Roman"/>
          <w:b/>
          <w:sz w:val="32"/>
          <w:szCs w:val="32"/>
        </w:rPr>
        <w:t xml:space="preserve">Housing Tax Credit </w:t>
      </w:r>
      <w:r w:rsidR="00F5717C" w:rsidRPr="00955AC1">
        <w:rPr>
          <w:rFonts w:ascii="Times New Roman" w:hAnsi="Times New Roman" w:cs="Times New Roman"/>
          <w:b/>
          <w:sz w:val="32"/>
          <w:szCs w:val="32"/>
        </w:rPr>
        <w:t xml:space="preserve">Program </w:t>
      </w:r>
    </w:p>
    <w:p w14:paraId="2BB5916B" w14:textId="42A8FD8D" w:rsidR="00226B34" w:rsidRPr="00955AC1" w:rsidRDefault="00226B34" w:rsidP="00616EA5">
      <w:pPr>
        <w:pBdr>
          <w:bottom w:val="single" w:sz="6" w:space="1" w:color="auto"/>
        </w:pBdr>
        <w:spacing w:after="0"/>
        <w:jc w:val="center"/>
        <w:rPr>
          <w:rFonts w:ascii="Times New Roman" w:hAnsi="Times New Roman" w:cs="Times New Roman"/>
          <w:b/>
          <w:sz w:val="32"/>
          <w:szCs w:val="32"/>
        </w:rPr>
      </w:pPr>
      <w:r w:rsidRPr="00955AC1">
        <w:rPr>
          <w:rFonts w:ascii="Times New Roman" w:hAnsi="Times New Roman" w:cs="Times New Roman"/>
          <w:b/>
          <w:sz w:val="32"/>
          <w:szCs w:val="32"/>
        </w:rPr>
        <w:t>Questions and Answers</w:t>
      </w:r>
      <w:r w:rsidR="00D93FAE" w:rsidRPr="00955AC1">
        <w:rPr>
          <w:rFonts w:ascii="Times New Roman" w:hAnsi="Times New Roman" w:cs="Times New Roman"/>
          <w:b/>
          <w:sz w:val="32"/>
          <w:szCs w:val="32"/>
        </w:rPr>
        <w:t xml:space="preserve"> </w:t>
      </w:r>
    </w:p>
    <w:p w14:paraId="0407AE8F" w14:textId="4D500D0E" w:rsidR="007C0246" w:rsidRPr="00955AC1" w:rsidRDefault="009A3438" w:rsidP="006D7569">
      <w:pPr>
        <w:spacing w:after="0"/>
        <w:rPr>
          <w:rFonts w:ascii="Times New Roman" w:hAnsi="Times New Roman" w:cs="Times New Roman"/>
          <w:noProof/>
        </w:rPr>
      </w:pPr>
      <w:r w:rsidRPr="00955AC1">
        <w:rPr>
          <w:rFonts w:ascii="Times New Roman" w:hAnsi="Times New Roman" w:cs="Times New Roman"/>
          <w:color w:val="A6A6A6" w:themeColor="background1" w:themeShade="A6"/>
        </w:rPr>
        <w:t>Published</w:t>
      </w:r>
      <w:r w:rsidR="00741177" w:rsidRPr="00955AC1">
        <w:rPr>
          <w:rFonts w:ascii="Times New Roman" w:hAnsi="Times New Roman" w:cs="Times New Roman"/>
          <w:color w:val="A6A6A6" w:themeColor="background1" w:themeShade="A6"/>
        </w:rPr>
        <w:t xml:space="preserve"> </w:t>
      </w:r>
      <w:r w:rsidR="0048024C" w:rsidRPr="00955AC1">
        <w:rPr>
          <w:rFonts w:ascii="Times New Roman" w:hAnsi="Times New Roman" w:cs="Times New Roman"/>
          <w:color w:val="A6A6A6" w:themeColor="background1" w:themeShade="A6"/>
        </w:rPr>
        <w:t>February 25</w:t>
      </w:r>
      <w:r w:rsidR="007C0246" w:rsidRPr="00955AC1">
        <w:rPr>
          <w:rFonts w:ascii="Times New Roman" w:hAnsi="Times New Roman" w:cs="Times New Roman"/>
          <w:color w:val="A6A6A6" w:themeColor="background1" w:themeShade="A6"/>
        </w:rPr>
        <w:t>, 202</w:t>
      </w:r>
      <w:r w:rsidR="00E91E6E" w:rsidRPr="00955AC1">
        <w:rPr>
          <w:rFonts w:ascii="Times New Roman" w:hAnsi="Times New Roman" w:cs="Times New Roman"/>
          <w:color w:val="A6A6A6" w:themeColor="background1" w:themeShade="A6"/>
        </w:rPr>
        <w:t>2</w:t>
      </w:r>
      <w:r w:rsidR="007C0246" w:rsidRPr="00955AC1">
        <w:rPr>
          <w:rFonts w:ascii="Times New Roman" w:hAnsi="Times New Roman" w:cs="Times New Roman"/>
          <w:noProof/>
        </w:rPr>
        <w:t xml:space="preserve"> </w:t>
      </w:r>
    </w:p>
    <w:p w14:paraId="30CF66E2" w14:textId="7B082715" w:rsidR="00CE5ADE" w:rsidRPr="00955AC1" w:rsidRDefault="009C799D" w:rsidP="006D7569">
      <w:pPr>
        <w:spacing w:after="0"/>
        <w:rPr>
          <w:rFonts w:ascii="Times New Roman" w:hAnsi="Times New Roman" w:cs="Times New Roman"/>
          <w:noProof/>
          <w:color w:val="A6A6A6" w:themeColor="background1" w:themeShade="A6"/>
        </w:rPr>
      </w:pPr>
      <w:r w:rsidRPr="00955AC1">
        <w:rPr>
          <w:rFonts w:ascii="Times New Roman" w:hAnsi="Times New Roman" w:cs="Times New Roman"/>
          <w:noProof/>
          <w:color w:val="A6A6A6" w:themeColor="background1" w:themeShade="A6"/>
        </w:rPr>
        <w:t xml:space="preserve">Updated </w:t>
      </w:r>
      <w:r w:rsidR="006562C9" w:rsidRPr="00955AC1">
        <w:rPr>
          <w:rFonts w:ascii="Times New Roman" w:hAnsi="Times New Roman" w:cs="Times New Roman"/>
          <w:noProof/>
          <w:color w:val="A6A6A6" w:themeColor="background1" w:themeShade="A6"/>
        </w:rPr>
        <w:t xml:space="preserve">September </w:t>
      </w:r>
      <w:r w:rsidR="4D16AA8A" w:rsidRPr="00955AC1">
        <w:rPr>
          <w:rFonts w:ascii="Times New Roman" w:hAnsi="Times New Roman" w:cs="Times New Roman"/>
          <w:noProof/>
          <w:color w:val="A6A6A6" w:themeColor="background1" w:themeShade="A6"/>
        </w:rPr>
        <w:t>2</w:t>
      </w:r>
      <w:r w:rsidR="00955AC1">
        <w:rPr>
          <w:rFonts w:ascii="Times New Roman" w:hAnsi="Times New Roman" w:cs="Times New Roman"/>
          <w:noProof/>
          <w:color w:val="A6A6A6" w:themeColor="background1" w:themeShade="A6"/>
        </w:rPr>
        <w:t>7</w:t>
      </w:r>
      <w:r w:rsidR="006562C9" w:rsidRPr="00955AC1">
        <w:rPr>
          <w:rFonts w:ascii="Times New Roman" w:hAnsi="Times New Roman" w:cs="Times New Roman"/>
          <w:noProof/>
          <w:color w:val="A6A6A6" w:themeColor="background1" w:themeShade="A6"/>
        </w:rPr>
        <w:t xml:space="preserve">, </w:t>
      </w:r>
      <w:r w:rsidR="00CF7A32" w:rsidRPr="00955AC1">
        <w:rPr>
          <w:rFonts w:ascii="Times New Roman" w:hAnsi="Times New Roman" w:cs="Times New Roman"/>
          <w:noProof/>
          <w:color w:val="A6A6A6" w:themeColor="background1" w:themeShade="A6"/>
        </w:rPr>
        <w:t>2022</w:t>
      </w:r>
      <w:r w:rsidR="0080150C" w:rsidRPr="00955AC1">
        <w:rPr>
          <w:rFonts w:ascii="Times New Roman" w:hAnsi="Times New Roman" w:cs="Times New Roman"/>
          <w:noProof/>
          <w:color w:val="A6A6A6" w:themeColor="background1" w:themeShade="A6"/>
        </w:rPr>
        <w:t xml:space="preserve"> </w:t>
      </w:r>
    </w:p>
    <w:p w14:paraId="3BAA02D4" w14:textId="7E6F77E5" w:rsidR="00E90677" w:rsidRPr="00955AC1" w:rsidRDefault="00EF4055" w:rsidP="00C80CAC">
      <w:pPr>
        <w:rPr>
          <w:rFonts w:ascii="Times New Roman" w:hAnsi="Times New Roman" w:cs="Times New Roman"/>
        </w:rPr>
      </w:pPr>
      <w:r w:rsidRPr="00955AC1">
        <w:rPr>
          <w:rFonts w:ascii="Times New Roman" w:hAnsi="Times New Roman" w:cs="Times New Roman"/>
        </w:rPr>
        <w:t xml:space="preserve"> </w:t>
      </w:r>
      <w:r w:rsidR="003E3AE5" w:rsidRPr="00955AC1">
        <w:rPr>
          <w:rFonts w:ascii="Times New Roman" w:hAnsi="Times New Roman" w:cs="Times New Roman"/>
        </w:rPr>
        <w:t xml:space="preserve"> </w:t>
      </w:r>
    </w:p>
    <w:p w14:paraId="0CFBFD79" w14:textId="27FE0838" w:rsidR="005A42ED" w:rsidRPr="00955AC1" w:rsidRDefault="000F162F" w:rsidP="00C80CAC">
      <w:pPr>
        <w:rPr>
          <w:rFonts w:ascii="Times New Roman" w:hAnsi="Times New Roman" w:cs="Times New Roman"/>
        </w:rPr>
      </w:pPr>
      <w:r w:rsidRPr="00955AC1">
        <w:rPr>
          <w:rFonts w:ascii="Times New Roman" w:hAnsi="Times New Roman" w:cs="Times New Roman"/>
        </w:rPr>
        <w:t xml:space="preserve">The pages that follow </w:t>
      </w:r>
      <w:r w:rsidR="00C80CAC" w:rsidRPr="00955AC1">
        <w:rPr>
          <w:rFonts w:ascii="Times New Roman" w:hAnsi="Times New Roman" w:cs="Times New Roman"/>
        </w:rPr>
        <w:t xml:space="preserve">are </w:t>
      </w:r>
      <w:r w:rsidR="009F2161" w:rsidRPr="00955AC1">
        <w:rPr>
          <w:rFonts w:ascii="Times New Roman" w:hAnsi="Times New Roman" w:cs="Times New Roman"/>
        </w:rPr>
        <w:t xml:space="preserve">DCA </w:t>
      </w:r>
      <w:r w:rsidR="00C80CAC" w:rsidRPr="00955AC1">
        <w:rPr>
          <w:rFonts w:ascii="Times New Roman" w:hAnsi="Times New Roman" w:cs="Times New Roman"/>
        </w:rPr>
        <w:t xml:space="preserve">responses to questions pertaining to </w:t>
      </w:r>
      <w:r w:rsidR="000657A6" w:rsidRPr="00955AC1">
        <w:rPr>
          <w:rFonts w:ascii="Times New Roman" w:hAnsi="Times New Roman" w:cs="Times New Roman"/>
        </w:rPr>
        <w:t xml:space="preserve">the </w:t>
      </w:r>
      <w:r w:rsidR="00F01542" w:rsidRPr="00955AC1">
        <w:rPr>
          <w:rFonts w:ascii="Times New Roman" w:hAnsi="Times New Roman" w:cs="Times New Roman"/>
        </w:rPr>
        <w:t>Housing Tax Credit</w:t>
      </w:r>
      <w:r w:rsidR="00E94F24" w:rsidRPr="00955AC1">
        <w:rPr>
          <w:rFonts w:ascii="Times New Roman" w:hAnsi="Times New Roman" w:cs="Times New Roman"/>
        </w:rPr>
        <w:t xml:space="preserve"> program</w:t>
      </w:r>
      <w:r w:rsidR="00F01542" w:rsidRPr="00955AC1">
        <w:rPr>
          <w:rFonts w:ascii="Times New Roman" w:hAnsi="Times New Roman" w:cs="Times New Roman"/>
        </w:rPr>
        <w:t>.</w:t>
      </w:r>
      <w:r w:rsidR="00402C8E" w:rsidRPr="00955AC1">
        <w:rPr>
          <w:rFonts w:ascii="Times New Roman" w:hAnsi="Times New Roman" w:cs="Times New Roman"/>
        </w:rPr>
        <w:t xml:space="preserve"> </w:t>
      </w:r>
    </w:p>
    <w:p w14:paraId="3FE01ED7" w14:textId="0885E8B7" w:rsidR="005A266F" w:rsidRPr="00955AC1" w:rsidRDefault="005A266F" w:rsidP="005A266F">
      <w:pPr>
        <w:pStyle w:val="Heading1"/>
        <w:rPr>
          <w:rFonts w:cs="Times New Roman"/>
        </w:rPr>
      </w:pPr>
      <w:r w:rsidRPr="00955AC1">
        <w:rPr>
          <w:rFonts w:cs="Times New Roman"/>
        </w:rPr>
        <w:t>Part I: Overview</w:t>
      </w:r>
    </w:p>
    <w:p w14:paraId="2F289F9B" w14:textId="386378C6" w:rsidR="006704F3" w:rsidRPr="00955AC1" w:rsidRDefault="006704F3" w:rsidP="006704F3">
      <w:pPr>
        <w:pStyle w:val="Heading2"/>
        <w:rPr>
          <w:rFonts w:cs="Times New Roman"/>
        </w:rPr>
      </w:pPr>
      <w:r w:rsidRPr="00955AC1">
        <w:rPr>
          <w:rFonts w:cs="Times New Roman"/>
        </w:rPr>
        <w:t>Submit</w:t>
      </w:r>
      <w:r w:rsidR="00CD1C00" w:rsidRPr="00955AC1">
        <w:rPr>
          <w:rFonts w:cs="Times New Roman"/>
        </w:rPr>
        <w:t>ting</w:t>
      </w:r>
      <w:r w:rsidRPr="00955AC1">
        <w:rPr>
          <w:rFonts w:cs="Times New Roman"/>
        </w:rPr>
        <w:t xml:space="preserve"> Questions</w:t>
      </w:r>
    </w:p>
    <w:p w14:paraId="5B270D2B" w14:textId="3A67213F" w:rsidR="004C6455" w:rsidRPr="00955AC1" w:rsidRDefault="00865369" w:rsidP="00C80CAC">
      <w:pPr>
        <w:rPr>
          <w:rFonts w:ascii="Times New Roman" w:hAnsi="Times New Roman" w:cs="Times New Roman"/>
        </w:rPr>
      </w:pPr>
      <w:r w:rsidRPr="00955AC1">
        <w:rPr>
          <w:rFonts w:ascii="Times New Roman" w:hAnsi="Times New Roman" w:cs="Times New Roman"/>
        </w:rPr>
        <w:t>Q</w:t>
      </w:r>
      <w:r w:rsidR="00C80CAC" w:rsidRPr="00955AC1">
        <w:rPr>
          <w:rFonts w:ascii="Times New Roman" w:hAnsi="Times New Roman" w:cs="Times New Roman"/>
        </w:rPr>
        <w:t xml:space="preserve">uestions must be submitted through the online </w:t>
      </w:r>
      <w:r w:rsidR="003F2D75" w:rsidRPr="00955AC1">
        <w:rPr>
          <w:rFonts w:ascii="Times New Roman" w:hAnsi="Times New Roman" w:cs="Times New Roman"/>
        </w:rPr>
        <w:t>2022</w:t>
      </w:r>
      <w:r w:rsidR="00C67543" w:rsidRPr="00955AC1">
        <w:rPr>
          <w:rFonts w:ascii="Times New Roman" w:hAnsi="Times New Roman" w:cs="Times New Roman"/>
        </w:rPr>
        <w:t xml:space="preserve"> </w:t>
      </w:r>
      <w:r w:rsidR="001344B0" w:rsidRPr="00955AC1">
        <w:rPr>
          <w:rFonts w:ascii="Times New Roman" w:hAnsi="Times New Roman" w:cs="Times New Roman"/>
        </w:rPr>
        <w:t>Housing Tax Credit</w:t>
      </w:r>
      <w:r w:rsidR="00A56DE6" w:rsidRPr="00955AC1">
        <w:rPr>
          <w:rFonts w:ascii="Times New Roman" w:hAnsi="Times New Roman" w:cs="Times New Roman"/>
        </w:rPr>
        <w:t xml:space="preserve"> </w:t>
      </w:r>
      <w:r w:rsidR="00A93549" w:rsidRPr="00955AC1">
        <w:rPr>
          <w:rFonts w:ascii="Times New Roman" w:hAnsi="Times New Roman" w:cs="Times New Roman"/>
        </w:rPr>
        <w:t xml:space="preserve">program </w:t>
      </w:r>
      <w:r w:rsidR="00C80CAC" w:rsidRPr="00955AC1">
        <w:rPr>
          <w:rFonts w:ascii="Times New Roman" w:hAnsi="Times New Roman" w:cs="Times New Roman"/>
        </w:rPr>
        <w:t xml:space="preserve">Q&amp;A </w:t>
      </w:r>
      <w:r w:rsidR="004B66C7" w:rsidRPr="00955AC1">
        <w:rPr>
          <w:rFonts w:ascii="Times New Roman" w:hAnsi="Times New Roman" w:cs="Times New Roman"/>
        </w:rPr>
        <w:t xml:space="preserve">survey </w:t>
      </w:r>
      <w:r w:rsidR="00C80CAC" w:rsidRPr="00955AC1">
        <w:rPr>
          <w:rFonts w:ascii="Times New Roman" w:hAnsi="Times New Roman" w:cs="Times New Roman"/>
        </w:rPr>
        <w:t xml:space="preserve">hosted on the </w:t>
      </w:r>
      <w:r w:rsidR="00140B5A" w:rsidRPr="00955AC1">
        <w:rPr>
          <w:rFonts w:ascii="Times New Roman" w:hAnsi="Times New Roman" w:cs="Times New Roman"/>
        </w:rPr>
        <w:t>“</w:t>
      </w:r>
      <w:r w:rsidR="00C80CAC" w:rsidRPr="00955AC1">
        <w:rPr>
          <w:rFonts w:ascii="Times New Roman" w:hAnsi="Times New Roman" w:cs="Times New Roman"/>
        </w:rPr>
        <w:t>202</w:t>
      </w:r>
      <w:r w:rsidR="0046638A" w:rsidRPr="00955AC1">
        <w:rPr>
          <w:rFonts w:ascii="Times New Roman" w:hAnsi="Times New Roman" w:cs="Times New Roman"/>
        </w:rPr>
        <w:t>2</w:t>
      </w:r>
      <w:r w:rsidR="00C80CAC" w:rsidRPr="00955AC1">
        <w:rPr>
          <w:rFonts w:ascii="Times New Roman" w:hAnsi="Times New Roman" w:cs="Times New Roman"/>
        </w:rPr>
        <w:t xml:space="preserve"> QAP and Related Documents</w:t>
      </w:r>
      <w:r w:rsidR="00140B5A" w:rsidRPr="00955AC1">
        <w:rPr>
          <w:rFonts w:ascii="Times New Roman" w:hAnsi="Times New Roman" w:cs="Times New Roman"/>
        </w:rPr>
        <w:t>”</w:t>
      </w:r>
      <w:r w:rsidR="00C80CAC" w:rsidRPr="00955AC1">
        <w:rPr>
          <w:rFonts w:ascii="Times New Roman" w:hAnsi="Times New Roman" w:cs="Times New Roman"/>
        </w:rPr>
        <w:t xml:space="preserve"> webpage </w:t>
      </w:r>
      <w:r w:rsidR="004D60EA" w:rsidRPr="00955AC1">
        <w:rPr>
          <w:rFonts w:ascii="Times New Roman" w:hAnsi="Times New Roman" w:cs="Times New Roman"/>
        </w:rPr>
        <w:t xml:space="preserve">of the DCA website </w:t>
      </w:r>
      <w:r w:rsidR="00C80CAC" w:rsidRPr="00955AC1">
        <w:rPr>
          <w:rFonts w:ascii="Times New Roman" w:hAnsi="Times New Roman" w:cs="Times New Roman"/>
        </w:rPr>
        <w:t>(</w:t>
      </w:r>
      <w:hyperlink r:id="rId12" w:history="1">
        <w:r w:rsidR="00134B56" w:rsidRPr="00955AC1">
          <w:rPr>
            <w:rStyle w:val="Hyperlink"/>
            <w:rFonts w:ascii="Times New Roman" w:hAnsi="Times New Roman" w:cs="Times New Roman"/>
          </w:rPr>
          <w:t>click here</w:t>
        </w:r>
      </w:hyperlink>
      <w:r w:rsidR="00134B56" w:rsidRPr="00955AC1">
        <w:rPr>
          <w:rStyle w:val="Hyperlink"/>
          <w:rFonts w:ascii="Times New Roman" w:hAnsi="Times New Roman" w:cs="Times New Roman"/>
          <w:color w:val="auto"/>
          <w:u w:val="none"/>
        </w:rPr>
        <w:t xml:space="preserve"> and select “Submit a Question”</w:t>
      </w:r>
      <w:r w:rsidR="00134B56" w:rsidRPr="00955AC1">
        <w:rPr>
          <w:rFonts w:ascii="Times New Roman" w:hAnsi="Times New Roman" w:cs="Times New Roman"/>
        </w:rPr>
        <w:t>)</w:t>
      </w:r>
      <w:r w:rsidR="00C80CAC" w:rsidRPr="00955AC1">
        <w:rPr>
          <w:rFonts w:ascii="Times New Roman" w:hAnsi="Times New Roman" w:cs="Times New Roman"/>
        </w:rPr>
        <w:t xml:space="preserve">. </w:t>
      </w:r>
    </w:p>
    <w:p w14:paraId="2E528202" w14:textId="298E8185" w:rsidR="004C6455" w:rsidRPr="00955AC1" w:rsidRDefault="003F1CA0" w:rsidP="006F437F">
      <w:pPr>
        <w:pStyle w:val="ListParagraph"/>
        <w:numPr>
          <w:ilvl w:val="0"/>
          <w:numId w:val="3"/>
        </w:numPr>
        <w:rPr>
          <w:rFonts w:ascii="Times New Roman" w:hAnsi="Times New Roman" w:cs="Times New Roman"/>
        </w:rPr>
      </w:pPr>
      <w:r w:rsidRPr="00955AC1">
        <w:rPr>
          <w:rFonts w:ascii="Times New Roman" w:hAnsi="Times New Roman" w:cs="Times New Roman"/>
          <w:b/>
          <w:bCs/>
        </w:rPr>
        <w:t xml:space="preserve">Having </w:t>
      </w:r>
      <w:r w:rsidR="004E7E05" w:rsidRPr="00955AC1">
        <w:rPr>
          <w:rFonts w:ascii="Times New Roman" w:hAnsi="Times New Roman" w:cs="Times New Roman"/>
          <w:b/>
          <w:bCs/>
        </w:rPr>
        <w:t xml:space="preserve">issues using the </w:t>
      </w:r>
      <w:r w:rsidRPr="00955AC1">
        <w:rPr>
          <w:rFonts w:ascii="Times New Roman" w:hAnsi="Times New Roman" w:cs="Times New Roman"/>
          <w:b/>
          <w:bCs/>
        </w:rPr>
        <w:t xml:space="preserve">online </w:t>
      </w:r>
      <w:r w:rsidR="004E7E05" w:rsidRPr="00955AC1">
        <w:rPr>
          <w:rFonts w:ascii="Times New Roman" w:hAnsi="Times New Roman" w:cs="Times New Roman"/>
          <w:b/>
          <w:bCs/>
        </w:rPr>
        <w:t>survey</w:t>
      </w:r>
      <w:r w:rsidR="004C2389" w:rsidRPr="00955AC1">
        <w:rPr>
          <w:rFonts w:ascii="Times New Roman" w:hAnsi="Times New Roman" w:cs="Times New Roman"/>
          <w:b/>
          <w:bCs/>
        </w:rPr>
        <w:t>?</w:t>
      </w:r>
      <w:r w:rsidR="004E7E05" w:rsidRPr="00955AC1">
        <w:rPr>
          <w:rFonts w:ascii="Times New Roman" w:hAnsi="Times New Roman" w:cs="Times New Roman"/>
        </w:rPr>
        <w:t xml:space="preserve"> P</w:t>
      </w:r>
      <w:r w:rsidR="00CD140E" w:rsidRPr="00955AC1">
        <w:rPr>
          <w:rFonts w:ascii="Times New Roman" w:hAnsi="Times New Roman" w:cs="Times New Roman"/>
        </w:rPr>
        <w:t xml:space="preserve">lease email </w:t>
      </w:r>
      <w:hyperlink r:id="rId13" w:history="1">
        <w:r w:rsidR="00CD140E" w:rsidRPr="00955AC1">
          <w:rPr>
            <w:rStyle w:val="Hyperlink"/>
            <w:rFonts w:ascii="Times New Roman" w:hAnsi="Times New Roman" w:cs="Times New Roman"/>
          </w:rPr>
          <w:t>hfdround@dca.ga.gov</w:t>
        </w:r>
      </w:hyperlink>
      <w:r w:rsidR="00CD140E" w:rsidRPr="00955AC1">
        <w:rPr>
          <w:rFonts w:ascii="Times New Roman" w:hAnsi="Times New Roman" w:cs="Times New Roman"/>
        </w:rPr>
        <w:t xml:space="preserve">. </w:t>
      </w:r>
    </w:p>
    <w:p w14:paraId="7AADDF75" w14:textId="77777777" w:rsidR="00980FCE" w:rsidRPr="00955AC1" w:rsidRDefault="009E0E40" w:rsidP="006F437F">
      <w:pPr>
        <w:pStyle w:val="ListParagraph"/>
        <w:numPr>
          <w:ilvl w:val="0"/>
          <w:numId w:val="3"/>
        </w:numPr>
        <w:rPr>
          <w:rFonts w:ascii="Times New Roman" w:hAnsi="Times New Roman" w:cs="Times New Roman"/>
        </w:rPr>
      </w:pPr>
      <w:r w:rsidRPr="00955AC1">
        <w:rPr>
          <w:rFonts w:ascii="Times New Roman" w:hAnsi="Times New Roman" w:cs="Times New Roman"/>
          <w:b/>
          <w:bCs/>
        </w:rPr>
        <w:t xml:space="preserve">Concerned </w:t>
      </w:r>
      <w:r w:rsidR="00935E6E" w:rsidRPr="00955AC1">
        <w:rPr>
          <w:rFonts w:ascii="Times New Roman" w:hAnsi="Times New Roman" w:cs="Times New Roman"/>
          <w:b/>
          <w:bCs/>
        </w:rPr>
        <w:t xml:space="preserve">about the timing of DCA’s response? </w:t>
      </w:r>
    </w:p>
    <w:p w14:paraId="28DE8BF9" w14:textId="5230886D" w:rsidR="00B75985" w:rsidRPr="00955AC1" w:rsidRDefault="00160EFE" w:rsidP="006F437F">
      <w:pPr>
        <w:pStyle w:val="ListParagraph"/>
        <w:numPr>
          <w:ilvl w:val="1"/>
          <w:numId w:val="3"/>
        </w:numPr>
        <w:rPr>
          <w:rFonts w:ascii="Times New Roman" w:hAnsi="Times New Roman" w:cs="Times New Roman"/>
        </w:rPr>
      </w:pPr>
      <w:r w:rsidRPr="00955AC1">
        <w:rPr>
          <w:rFonts w:ascii="Times New Roman" w:hAnsi="Times New Roman" w:cs="Times New Roman"/>
        </w:rPr>
        <w:t xml:space="preserve">If </w:t>
      </w:r>
      <w:r w:rsidR="00A50962" w:rsidRPr="00955AC1">
        <w:rPr>
          <w:rFonts w:ascii="Times New Roman" w:hAnsi="Times New Roman" w:cs="Times New Roman"/>
        </w:rPr>
        <w:t xml:space="preserve">you believe a question is </w:t>
      </w:r>
      <w:r w:rsidR="009F7F0B" w:rsidRPr="00955AC1">
        <w:rPr>
          <w:rFonts w:ascii="Times New Roman" w:hAnsi="Times New Roman" w:cs="Times New Roman"/>
        </w:rPr>
        <w:t>time sensitive and should be prioritized</w:t>
      </w:r>
      <w:r w:rsidR="00666D5B" w:rsidRPr="00955AC1">
        <w:rPr>
          <w:rFonts w:ascii="Times New Roman" w:hAnsi="Times New Roman" w:cs="Times New Roman"/>
        </w:rPr>
        <w:t xml:space="preserve"> for publication</w:t>
      </w:r>
      <w:r w:rsidR="009F7F0B" w:rsidRPr="00955AC1">
        <w:rPr>
          <w:rFonts w:ascii="Times New Roman" w:hAnsi="Times New Roman" w:cs="Times New Roman"/>
        </w:rPr>
        <w:t xml:space="preserve">, </w:t>
      </w:r>
      <w:r w:rsidR="00B36E85" w:rsidRPr="00955AC1">
        <w:rPr>
          <w:rFonts w:ascii="Times New Roman" w:hAnsi="Times New Roman" w:cs="Times New Roman"/>
        </w:rPr>
        <w:t xml:space="preserve">please indicate this in </w:t>
      </w:r>
      <w:r w:rsidR="003A242F" w:rsidRPr="00955AC1">
        <w:rPr>
          <w:rFonts w:ascii="Times New Roman" w:hAnsi="Times New Roman" w:cs="Times New Roman"/>
        </w:rPr>
        <w:t>your submission</w:t>
      </w:r>
      <w:r w:rsidR="00B36E85" w:rsidRPr="00955AC1">
        <w:rPr>
          <w:rFonts w:ascii="Times New Roman" w:hAnsi="Times New Roman" w:cs="Times New Roman"/>
        </w:rPr>
        <w:t xml:space="preserve">. </w:t>
      </w:r>
    </w:p>
    <w:p w14:paraId="0E30F057" w14:textId="30C0B8F9" w:rsidR="00ED26AE" w:rsidRPr="00955AC1" w:rsidRDefault="00666D5B" w:rsidP="006F437F">
      <w:pPr>
        <w:pStyle w:val="ListParagraph"/>
        <w:numPr>
          <w:ilvl w:val="1"/>
          <w:numId w:val="3"/>
        </w:numPr>
        <w:rPr>
          <w:rFonts w:ascii="Times New Roman" w:hAnsi="Times New Roman" w:cs="Times New Roman"/>
        </w:rPr>
      </w:pPr>
      <w:r w:rsidRPr="00955AC1">
        <w:rPr>
          <w:rFonts w:ascii="Times New Roman" w:hAnsi="Times New Roman" w:cs="Times New Roman"/>
        </w:rPr>
        <w:t xml:space="preserve">If you have already </w:t>
      </w:r>
      <w:r w:rsidR="00B34178" w:rsidRPr="00955AC1">
        <w:rPr>
          <w:rFonts w:ascii="Times New Roman" w:hAnsi="Times New Roman" w:cs="Times New Roman"/>
        </w:rPr>
        <w:t xml:space="preserve">submitted your question and are concerned about DCA’s response timing, please email </w:t>
      </w:r>
      <w:hyperlink r:id="rId14" w:history="1">
        <w:r w:rsidR="00305E3C" w:rsidRPr="00955AC1">
          <w:rPr>
            <w:rStyle w:val="Hyperlink"/>
            <w:rFonts w:ascii="Times New Roman" w:hAnsi="Times New Roman" w:cs="Times New Roman"/>
          </w:rPr>
          <w:t>hfdround@dca.ga.gov</w:t>
        </w:r>
      </w:hyperlink>
      <w:r w:rsidR="00557B16" w:rsidRPr="00955AC1">
        <w:rPr>
          <w:rFonts w:ascii="Times New Roman" w:hAnsi="Times New Roman" w:cs="Times New Roman"/>
        </w:rPr>
        <w:t xml:space="preserve">. </w:t>
      </w:r>
    </w:p>
    <w:p w14:paraId="483D250E" w14:textId="3A8FD1C2" w:rsidR="0026322C" w:rsidRPr="00955AC1" w:rsidRDefault="00ED26AE" w:rsidP="006F437F">
      <w:pPr>
        <w:pStyle w:val="ListParagraph"/>
        <w:numPr>
          <w:ilvl w:val="0"/>
          <w:numId w:val="3"/>
        </w:numPr>
        <w:rPr>
          <w:rFonts w:ascii="Times New Roman" w:hAnsi="Times New Roman" w:cs="Times New Roman"/>
        </w:rPr>
      </w:pPr>
      <w:r w:rsidRPr="00955AC1">
        <w:rPr>
          <w:rFonts w:ascii="Times New Roman" w:hAnsi="Times New Roman" w:cs="Times New Roman"/>
          <w:b/>
          <w:bCs/>
        </w:rPr>
        <w:t>Have a project-specific question?</w:t>
      </w:r>
      <w:r w:rsidRPr="00955AC1">
        <w:rPr>
          <w:rFonts w:ascii="Times New Roman" w:hAnsi="Times New Roman" w:cs="Times New Roman"/>
        </w:rPr>
        <w:t xml:space="preserve"> </w:t>
      </w:r>
      <w:r w:rsidR="00037557" w:rsidRPr="00955AC1">
        <w:rPr>
          <w:rFonts w:ascii="Times New Roman" w:hAnsi="Times New Roman" w:cs="Times New Roman"/>
        </w:rPr>
        <w:t xml:space="preserve">There is no separate option for “project-specific” questions. </w:t>
      </w:r>
      <w:r w:rsidR="00A01F3E" w:rsidRPr="00955AC1">
        <w:rPr>
          <w:rFonts w:ascii="Times New Roman" w:hAnsi="Times New Roman" w:cs="Times New Roman"/>
        </w:rPr>
        <w:t>A</w:t>
      </w:r>
      <w:r w:rsidR="003F73AF" w:rsidRPr="00955AC1">
        <w:rPr>
          <w:rFonts w:ascii="Times New Roman" w:hAnsi="Times New Roman" w:cs="Times New Roman"/>
        </w:rPr>
        <w:t xml:space="preserve">ll questions </w:t>
      </w:r>
      <w:r w:rsidR="00281571" w:rsidRPr="00955AC1">
        <w:rPr>
          <w:rFonts w:ascii="Times New Roman" w:hAnsi="Times New Roman" w:cs="Times New Roman"/>
        </w:rPr>
        <w:t>go through the same</w:t>
      </w:r>
      <w:r w:rsidR="00A879AB" w:rsidRPr="00955AC1">
        <w:rPr>
          <w:rFonts w:ascii="Times New Roman" w:hAnsi="Times New Roman" w:cs="Times New Roman"/>
        </w:rPr>
        <w:t xml:space="preserve"> publication process. </w:t>
      </w:r>
      <w:r w:rsidR="005B2371" w:rsidRPr="00955AC1">
        <w:rPr>
          <w:rFonts w:ascii="Times New Roman" w:hAnsi="Times New Roman" w:cs="Times New Roman"/>
        </w:rPr>
        <w:t xml:space="preserve"> </w:t>
      </w:r>
      <w:r w:rsidR="002E6451" w:rsidRPr="00955AC1">
        <w:rPr>
          <w:rFonts w:ascii="Times New Roman" w:hAnsi="Times New Roman" w:cs="Times New Roman"/>
        </w:rPr>
        <w:t xml:space="preserve"> </w:t>
      </w:r>
    </w:p>
    <w:p w14:paraId="429BCD4E" w14:textId="5994FD4E" w:rsidR="00320169" w:rsidRPr="00955AC1" w:rsidRDefault="00320169" w:rsidP="006F437F">
      <w:pPr>
        <w:pStyle w:val="ListParagraph"/>
        <w:numPr>
          <w:ilvl w:val="0"/>
          <w:numId w:val="3"/>
        </w:numPr>
        <w:rPr>
          <w:rFonts w:ascii="Times New Roman" w:hAnsi="Times New Roman" w:cs="Times New Roman"/>
        </w:rPr>
      </w:pPr>
      <w:r w:rsidRPr="00955AC1">
        <w:rPr>
          <w:rFonts w:ascii="Times New Roman" w:hAnsi="Times New Roman" w:cs="Times New Roman"/>
          <w:b/>
          <w:bCs/>
        </w:rPr>
        <w:t xml:space="preserve">Want to </w:t>
      </w:r>
      <w:r w:rsidR="00D80A78" w:rsidRPr="00955AC1">
        <w:rPr>
          <w:rFonts w:ascii="Times New Roman" w:hAnsi="Times New Roman" w:cs="Times New Roman"/>
          <w:b/>
          <w:bCs/>
        </w:rPr>
        <w:t xml:space="preserve">add context to </w:t>
      </w:r>
      <w:r w:rsidRPr="00955AC1">
        <w:rPr>
          <w:rFonts w:ascii="Times New Roman" w:hAnsi="Times New Roman" w:cs="Times New Roman"/>
          <w:b/>
          <w:bCs/>
        </w:rPr>
        <w:t>a previously</w:t>
      </w:r>
      <w:r w:rsidR="00243C0C" w:rsidRPr="00955AC1">
        <w:rPr>
          <w:rFonts w:ascii="Times New Roman" w:hAnsi="Times New Roman" w:cs="Times New Roman"/>
          <w:b/>
          <w:bCs/>
        </w:rPr>
        <w:t>-</w:t>
      </w:r>
      <w:r w:rsidRPr="00955AC1">
        <w:rPr>
          <w:rFonts w:ascii="Times New Roman" w:hAnsi="Times New Roman" w:cs="Times New Roman"/>
          <w:b/>
          <w:bCs/>
        </w:rPr>
        <w:t xml:space="preserve">submitted question? </w:t>
      </w:r>
      <w:r w:rsidR="00EA4A6E" w:rsidRPr="00955AC1">
        <w:rPr>
          <w:rFonts w:ascii="Times New Roman" w:hAnsi="Times New Roman" w:cs="Times New Roman"/>
        </w:rPr>
        <w:t xml:space="preserve">DCA updates </w:t>
      </w:r>
      <w:r w:rsidR="00526338" w:rsidRPr="00955AC1">
        <w:rPr>
          <w:rFonts w:ascii="Times New Roman" w:hAnsi="Times New Roman" w:cs="Times New Roman"/>
        </w:rPr>
        <w:t>the Q&amp;A postings based on what has been submitted through the online survey. To ensure your comment is considered, please</w:t>
      </w:r>
      <w:r w:rsidR="00EA4A6E" w:rsidRPr="00955AC1">
        <w:rPr>
          <w:rFonts w:ascii="Times New Roman" w:hAnsi="Times New Roman" w:cs="Times New Roman"/>
        </w:rPr>
        <w:t xml:space="preserve"> </w:t>
      </w:r>
      <w:r w:rsidR="00756E57" w:rsidRPr="00955AC1">
        <w:rPr>
          <w:rFonts w:ascii="Times New Roman" w:hAnsi="Times New Roman" w:cs="Times New Roman"/>
        </w:rPr>
        <w:t xml:space="preserve">do not email individual DCA staff. Instead, please submit your additional context through the online survey </w:t>
      </w:r>
      <w:r w:rsidR="00CC47B6" w:rsidRPr="00955AC1">
        <w:rPr>
          <w:rFonts w:ascii="Times New Roman" w:hAnsi="Times New Roman" w:cs="Times New Roman"/>
        </w:rPr>
        <w:t>and reference the previously-submitted question.</w:t>
      </w:r>
      <w:r w:rsidR="00447698" w:rsidRPr="00955AC1">
        <w:rPr>
          <w:rFonts w:ascii="Times New Roman" w:hAnsi="Times New Roman" w:cs="Times New Roman"/>
        </w:rPr>
        <w:t xml:space="preserve"> </w:t>
      </w:r>
      <w:r w:rsidRPr="00955AC1">
        <w:rPr>
          <w:rFonts w:ascii="Times New Roman" w:hAnsi="Times New Roman" w:cs="Times New Roman"/>
        </w:rPr>
        <w:t xml:space="preserve"> </w:t>
      </w:r>
    </w:p>
    <w:p w14:paraId="568508D4" w14:textId="16C441B5" w:rsidR="004C6455" w:rsidRPr="00955AC1" w:rsidRDefault="004C6455" w:rsidP="00ED26AE">
      <w:pPr>
        <w:rPr>
          <w:rFonts w:ascii="Times New Roman" w:hAnsi="Times New Roman" w:cs="Times New Roman"/>
        </w:rPr>
      </w:pPr>
    </w:p>
    <w:p w14:paraId="16987001" w14:textId="79948190" w:rsidR="003658C9" w:rsidRPr="00955AC1" w:rsidRDefault="0029286B" w:rsidP="0029286B">
      <w:pPr>
        <w:pStyle w:val="Heading2"/>
        <w:rPr>
          <w:rFonts w:cs="Times New Roman"/>
        </w:rPr>
      </w:pPr>
      <w:r w:rsidRPr="00955AC1">
        <w:rPr>
          <w:rFonts w:cs="Times New Roman"/>
        </w:rPr>
        <w:lastRenderedPageBreak/>
        <w:t>Deadline to Submit Questions</w:t>
      </w:r>
      <w:r w:rsidR="008E7E42" w:rsidRPr="00955AC1">
        <w:rPr>
          <w:rFonts w:cs="Times New Roman"/>
        </w:rPr>
        <w:t xml:space="preserve"> for 4%/Bonds Competitive Round </w:t>
      </w:r>
    </w:p>
    <w:p w14:paraId="3525455B" w14:textId="181469CF" w:rsidR="00131FA9" w:rsidRPr="00955AC1" w:rsidRDefault="00591E07" w:rsidP="006F437F">
      <w:pPr>
        <w:pStyle w:val="ListParagraph"/>
        <w:numPr>
          <w:ilvl w:val="0"/>
          <w:numId w:val="53"/>
        </w:numPr>
        <w:rPr>
          <w:rFonts w:ascii="Times New Roman" w:hAnsi="Times New Roman" w:cs="Times New Roman"/>
        </w:rPr>
      </w:pPr>
      <w:r w:rsidRPr="00955AC1">
        <w:rPr>
          <w:rFonts w:ascii="Times New Roman" w:hAnsi="Times New Roman" w:cs="Times New Roman"/>
        </w:rPr>
        <w:t xml:space="preserve">The deadline to submit questions </w:t>
      </w:r>
      <w:r w:rsidR="00F37773" w:rsidRPr="00955AC1">
        <w:rPr>
          <w:rFonts w:ascii="Times New Roman" w:hAnsi="Times New Roman" w:cs="Times New Roman"/>
        </w:rPr>
        <w:t xml:space="preserve">for purposes of the 4%/Bonds Competitive Round </w:t>
      </w:r>
      <w:r w:rsidRPr="00955AC1">
        <w:rPr>
          <w:rFonts w:ascii="Times New Roman" w:hAnsi="Times New Roman" w:cs="Times New Roman"/>
        </w:rPr>
        <w:t xml:space="preserve">is </w:t>
      </w:r>
      <w:r w:rsidR="009D3175" w:rsidRPr="00955AC1">
        <w:rPr>
          <w:rFonts w:ascii="Times New Roman" w:hAnsi="Times New Roman" w:cs="Times New Roman"/>
          <w:b/>
          <w:bCs/>
        </w:rPr>
        <w:t>Friday, September 30, 2022</w:t>
      </w:r>
      <w:r w:rsidR="00671BB9" w:rsidRPr="00955AC1">
        <w:rPr>
          <w:rFonts w:ascii="Times New Roman" w:hAnsi="Times New Roman" w:cs="Times New Roman"/>
        </w:rPr>
        <w:t>.</w:t>
      </w:r>
      <w:r w:rsidR="0094425C" w:rsidRPr="00955AC1">
        <w:rPr>
          <w:rFonts w:ascii="Times New Roman" w:hAnsi="Times New Roman" w:cs="Times New Roman"/>
        </w:rPr>
        <w:t xml:space="preserve"> </w:t>
      </w:r>
    </w:p>
    <w:p w14:paraId="372C529F" w14:textId="00B58336" w:rsidR="00F93A97" w:rsidRPr="00955AC1" w:rsidRDefault="004D7806" w:rsidP="006F437F">
      <w:pPr>
        <w:pStyle w:val="ListParagraph"/>
        <w:numPr>
          <w:ilvl w:val="0"/>
          <w:numId w:val="53"/>
        </w:numPr>
        <w:rPr>
          <w:rFonts w:ascii="Times New Roman" w:hAnsi="Times New Roman" w:cs="Times New Roman"/>
        </w:rPr>
      </w:pPr>
      <w:r w:rsidRPr="00955AC1">
        <w:rPr>
          <w:rFonts w:ascii="Times New Roman" w:hAnsi="Times New Roman" w:cs="Times New Roman"/>
        </w:rPr>
        <w:t>This deadline is to ensure that</w:t>
      </w:r>
      <w:r w:rsidR="000D7DA3" w:rsidRPr="00955AC1">
        <w:rPr>
          <w:rFonts w:ascii="Times New Roman" w:hAnsi="Times New Roman" w:cs="Times New Roman"/>
        </w:rPr>
        <w:t xml:space="preserve"> all applicants have sufficient time to</w:t>
      </w:r>
      <w:r w:rsidR="00081752" w:rsidRPr="00955AC1">
        <w:rPr>
          <w:rFonts w:ascii="Times New Roman" w:hAnsi="Times New Roman" w:cs="Times New Roman"/>
        </w:rPr>
        <w:t xml:space="preserve"> </w:t>
      </w:r>
      <w:r w:rsidR="003E2E40" w:rsidRPr="00955AC1">
        <w:rPr>
          <w:rFonts w:ascii="Times New Roman" w:hAnsi="Times New Roman" w:cs="Times New Roman"/>
        </w:rPr>
        <w:t xml:space="preserve">react </w:t>
      </w:r>
      <w:r w:rsidR="00081752" w:rsidRPr="00955AC1">
        <w:rPr>
          <w:rFonts w:ascii="Times New Roman" w:hAnsi="Times New Roman" w:cs="Times New Roman"/>
        </w:rPr>
        <w:t xml:space="preserve">to </w:t>
      </w:r>
      <w:r w:rsidR="00A029B5" w:rsidRPr="00955AC1">
        <w:rPr>
          <w:rFonts w:ascii="Times New Roman" w:hAnsi="Times New Roman" w:cs="Times New Roman"/>
        </w:rPr>
        <w:t xml:space="preserve">posted DCA responses </w:t>
      </w:r>
      <w:r w:rsidR="00322065" w:rsidRPr="00955AC1">
        <w:rPr>
          <w:rFonts w:ascii="Times New Roman" w:hAnsi="Times New Roman" w:cs="Times New Roman"/>
        </w:rPr>
        <w:t>before the application submission deadline</w:t>
      </w:r>
      <w:r w:rsidR="00CB5B83" w:rsidRPr="00955AC1">
        <w:rPr>
          <w:rFonts w:ascii="Times New Roman" w:hAnsi="Times New Roman" w:cs="Times New Roman"/>
        </w:rPr>
        <w:t xml:space="preserve">. </w:t>
      </w:r>
    </w:p>
    <w:p w14:paraId="70C79854" w14:textId="54209A7B" w:rsidR="00321263" w:rsidRPr="00955AC1" w:rsidRDefault="00321263" w:rsidP="006F437F">
      <w:pPr>
        <w:pStyle w:val="ListParagraph"/>
        <w:numPr>
          <w:ilvl w:val="0"/>
          <w:numId w:val="53"/>
        </w:numPr>
        <w:rPr>
          <w:rFonts w:ascii="Times New Roman" w:hAnsi="Times New Roman" w:cs="Times New Roman"/>
        </w:rPr>
      </w:pPr>
      <w:r w:rsidRPr="00955AC1">
        <w:rPr>
          <w:rFonts w:ascii="Times New Roman" w:hAnsi="Times New Roman" w:cs="Times New Roman"/>
        </w:rPr>
        <w:t xml:space="preserve">After this deadline, DCA will only respond to questions pertaining to the mechanics of application submission (e.g., </w:t>
      </w:r>
      <w:r w:rsidR="00A77D26" w:rsidRPr="00955AC1">
        <w:rPr>
          <w:rFonts w:ascii="Times New Roman" w:hAnsi="Times New Roman" w:cs="Times New Roman"/>
        </w:rPr>
        <w:t xml:space="preserve">issues </w:t>
      </w:r>
      <w:r w:rsidR="002D6F1A" w:rsidRPr="00955AC1">
        <w:rPr>
          <w:rFonts w:ascii="Times New Roman" w:hAnsi="Times New Roman" w:cs="Times New Roman"/>
        </w:rPr>
        <w:t>accessing the online application portal</w:t>
      </w:r>
      <w:r w:rsidR="008C2106" w:rsidRPr="00955AC1">
        <w:rPr>
          <w:rFonts w:ascii="Times New Roman" w:hAnsi="Times New Roman" w:cs="Times New Roman"/>
        </w:rPr>
        <w:t>, Emphasys</w:t>
      </w:r>
      <w:r w:rsidR="002D6F1A" w:rsidRPr="00955AC1">
        <w:rPr>
          <w:rFonts w:ascii="Times New Roman" w:hAnsi="Times New Roman" w:cs="Times New Roman"/>
        </w:rPr>
        <w:t xml:space="preserve">). </w:t>
      </w:r>
      <w:r w:rsidR="00F239E2" w:rsidRPr="00955AC1">
        <w:rPr>
          <w:rFonts w:ascii="Times New Roman" w:hAnsi="Times New Roman" w:cs="Times New Roman"/>
        </w:rPr>
        <w:br/>
      </w:r>
    </w:p>
    <w:p w14:paraId="0343A782" w14:textId="05D2FF4D" w:rsidR="003E4094" w:rsidRPr="00955AC1" w:rsidRDefault="004007BE" w:rsidP="004007BE">
      <w:pPr>
        <w:pStyle w:val="Heading2"/>
        <w:rPr>
          <w:rFonts w:cs="Times New Roman"/>
        </w:rPr>
      </w:pPr>
      <w:r w:rsidRPr="00955AC1">
        <w:rPr>
          <w:rFonts w:cs="Times New Roman"/>
        </w:rPr>
        <w:t xml:space="preserve">Q&amp;A Document Update Process  </w:t>
      </w:r>
    </w:p>
    <w:p w14:paraId="1220E74B" w14:textId="77777777" w:rsidR="006508C5" w:rsidRPr="00955AC1" w:rsidRDefault="00C80CAC" w:rsidP="006F437F">
      <w:pPr>
        <w:pStyle w:val="ListParagraph"/>
        <w:numPr>
          <w:ilvl w:val="0"/>
          <w:numId w:val="54"/>
        </w:numPr>
        <w:rPr>
          <w:rFonts w:ascii="Times New Roman" w:hAnsi="Times New Roman" w:cs="Times New Roman"/>
        </w:rPr>
      </w:pPr>
      <w:r w:rsidRPr="00955AC1">
        <w:rPr>
          <w:rFonts w:ascii="Times New Roman" w:hAnsi="Times New Roman" w:cs="Times New Roman"/>
        </w:rPr>
        <w:t xml:space="preserve">DCA will update the Q&amp;A document </w:t>
      </w:r>
      <w:r w:rsidR="00DD5513" w:rsidRPr="00955AC1">
        <w:rPr>
          <w:rFonts w:ascii="Times New Roman" w:hAnsi="Times New Roman" w:cs="Times New Roman"/>
        </w:rPr>
        <w:t xml:space="preserve">in small, incremental </w:t>
      </w:r>
      <w:r w:rsidR="006C26C3" w:rsidRPr="00955AC1">
        <w:rPr>
          <w:rFonts w:ascii="Times New Roman" w:hAnsi="Times New Roman" w:cs="Times New Roman"/>
        </w:rPr>
        <w:t xml:space="preserve">response </w:t>
      </w:r>
      <w:r w:rsidR="008C4E1D" w:rsidRPr="00955AC1">
        <w:rPr>
          <w:rFonts w:ascii="Times New Roman" w:hAnsi="Times New Roman" w:cs="Times New Roman"/>
        </w:rPr>
        <w:t>sets</w:t>
      </w:r>
      <w:r w:rsidR="008D68BE" w:rsidRPr="00955AC1">
        <w:rPr>
          <w:rFonts w:ascii="Times New Roman" w:hAnsi="Times New Roman" w:cs="Times New Roman"/>
        </w:rPr>
        <w:t xml:space="preserve">. </w:t>
      </w:r>
    </w:p>
    <w:p w14:paraId="01F7CC9B" w14:textId="3280CC0D" w:rsidR="00F6468A" w:rsidRPr="00955AC1" w:rsidRDefault="00C80CAC" w:rsidP="006F437F">
      <w:pPr>
        <w:pStyle w:val="ListParagraph"/>
        <w:numPr>
          <w:ilvl w:val="0"/>
          <w:numId w:val="54"/>
        </w:numPr>
        <w:rPr>
          <w:rFonts w:ascii="Times New Roman" w:hAnsi="Times New Roman" w:cs="Times New Roman"/>
        </w:rPr>
      </w:pPr>
      <w:r w:rsidRPr="00955AC1">
        <w:rPr>
          <w:rFonts w:ascii="Times New Roman" w:hAnsi="Times New Roman" w:cs="Times New Roman"/>
        </w:rPr>
        <w:t xml:space="preserve">DCA will not send an email notification each time the Q&amp;A document is updated. </w:t>
      </w:r>
    </w:p>
    <w:p w14:paraId="578FB17C" w14:textId="4A292F11" w:rsidR="00E92415" w:rsidRPr="00955AC1" w:rsidRDefault="004E0FC2" w:rsidP="006F437F">
      <w:pPr>
        <w:pStyle w:val="ListParagraph"/>
        <w:numPr>
          <w:ilvl w:val="0"/>
          <w:numId w:val="54"/>
        </w:numPr>
        <w:rPr>
          <w:rFonts w:ascii="Times New Roman" w:hAnsi="Times New Roman" w:cs="Times New Roman"/>
        </w:rPr>
      </w:pPr>
      <w:r w:rsidRPr="00955AC1">
        <w:rPr>
          <w:rFonts w:ascii="Times New Roman" w:hAnsi="Times New Roman" w:cs="Times New Roman"/>
        </w:rPr>
        <w:t>P</w:t>
      </w:r>
      <w:r w:rsidR="00C80CAC" w:rsidRPr="00955AC1">
        <w:rPr>
          <w:rFonts w:ascii="Times New Roman" w:hAnsi="Times New Roman" w:cs="Times New Roman"/>
        </w:rPr>
        <w:t xml:space="preserve">lease monitor the “Updated” date by the Q&amp;A document on the DCA website to track when DCA has released additional responses. </w:t>
      </w:r>
      <w:r w:rsidR="00C02D9E" w:rsidRPr="00955AC1">
        <w:rPr>
          <w:rFonts w:ascii="Times New Roman" w:hAnsi="Times New Roman" w:cs="Times New Roman"/>
        </w:rPr>
        <w:t xml:space="preserve">By default, the table below will be sorted such that the most recent responses are at the top. </w:t>
      </w:r>
      <w:r w:rsidR="00A903A7" w:rsidRPr="00955AC1">
        <w:rPr>
          <w:rFonts w:ascii="Times New Roman" w:hAnsi="Times New Roman" w:cs="Times New Roman"/>
        </w:rPr>
        <w:br/>
      </w:r>
    </w:p>
    <w:p w14:paraId="423C9AD6" w14:textId="1D6A3B26" w:rsidR="00FA1839" w:rsidRPr="00955AC1" w:rsidRDefault="00FA1839" w:rsidP="007C2E65">
      <w:pPr>
        <w:pStyle w:val="Heading2"/>
      </w:pPr>
      <w:r w:rsidRPr="00955AC1">
        <w:t>Note</w:t>
      </w:r>
      <w:r w:rsidR="00AF6E86" w:rsidRPr="00955AC1">
        <w:t xml:space="preserve"> on </w:t>
      </w:r>
      <w:r w:rsidRPr="00955AC1">
        <w:t xml:space="preserve">Q&amp;A </w:t>
      </w:r>
      <w:r w:rsidR="007160B4" w:rsidRPr="00955AC1">
        <w:t xml:space="preserve">Posted </w:t>
      </w:r>
      <w:r w:rsidR="00C131A2" w:rsidRPr="00955AC1">
        <w:t xml:space="preserve">for </w:t>
      </w:r>
      <w:r w:rsidR="004D099B" w:rsidRPr="00955AC1">
        <w:t xml:space="preserve">Purposes of </w:t>
      </w:r>
      <w:r w:rsidR="00C131A2" w:rsidRPr="00955AC1">
        <w:t xml:space="preserve">2022 9% Round </w:t>
      </w:r>
    </w:p>
    <w:p w14:paraId="7985FC31" w14:textId="2A25B681" w:rsidR="00FB6CCA" w:rsidRPr="00955AC1" w:rsidRDefault="009C216C" w:rsidP="007C2E65">
      <w:pPr>
        <w:rPr>
          <w:rFonts w:ascii="Times New Roman" w:hAnsi="Times New Roman" w:cs="Times New Roman"/>
        </w:rPr>
      </w:pPr>
      <w:r w:rsidRPr="00955AC1">
        <w:rPr>
          <w:rFonts w:ascii="Times New Roman" w:hAnsi="Times New Roman" w:cs="Times New Roman"/>
        </w:rPr>
        <w:t xml:space="preserve">This document includes only Q&amp;A relevant to </w:t>
      </w:r>
      <w:r w:rsidR="0018677C" w:rsidRPr="00955AC1">
        <w:rPr>
          <w:rFonts w:ascii="Times New Roman" w:hAnsi="Times New Roman" w:cs="Times New Roman"/>
        </w:rPr>
        <w:t>the 2022 4%/Bonds</w:t>
      </w:r>
      <w:r w:rsidRPr="00955AC1" w:rsidDel="00E92415">
        <w:rPr>
          <w:rFonts w:ascii="Times New Roman" w:hAnsi="Times New Roman" w:cs="Times New Roman"/>
        </w:rPr>
        <w:t xml:space="preserve"> </w:t>
      </w:r>
      <w:r w:rsidR="0018677C" w:rsidRPr="00955AC1">
        <w:rPr>
          <w:rFonts w:ascii="Times New Roman" w:hAnsi="Times New Roman" w:cs="Times New Roman"/>
        </w:rPr>
        <w:t xml:space="preserve">Round. </w:t>
      </w:r>
      <w:r w:rsidR="00FF4E8A" w:rsidRPr="00955AC1">
        <w:rPr>
          <w:rFonts w:ascii="Times New Roman" w:hAnsi="Times New Roman" w:cs="Times New Roman"/>
        </w:rPr>
        <w:t xml:space="preserve">This includes certain Q&amp;A postings that specifically reference the 9% Round, but for which DCA staff determined </w:t>
      </w:r>
      <w:r w:rsidR="00005564" w:rsidRPr="00955AC1">
        <w:rPr>
          <w:rFonts w:ascii="Times New Roman" w:hAnsi="Times New Roman" w:cs="Times New Roman"/>
        </w:rPr>
        <w:t xml:space="preserve">that </w:t>
      </w:r>
      <w:r w:rsidR="00FF4E8A" w:rsidRPr="00955AC1">
        <w:rPr>
          <w:rFonts w:ascii="Times New Roman" w:hAnsi="Times New Roman" w:cs="Times New Roman"/>
        </w:rPr>
        <w:t xml:space="preserve">the response </w:t>
      </w:r>
      <w:r w:rsidR="00AD71C2" w:rsidRPr="00955AC1">
        <w:rPr>
          <w:rFonts w:ascii="Times New Roman" w:hAnsi="Times New Roman" w:cs="Times New Roman"/>
        </w:rPr>
        <w:t xml:space="preserve">has the potential to impact </w:t>
      </w:r>
      <w:r w:rsidR="008E7BB0" w:rsidRPr="00955AC1">
        <w:rPr>
          <w:rFonts w:ascii="Times New Roman" w:hAnsi="Times New Roman" w:cs="Times New Roman"/>
        </w:rPr>
        <w:t xml:space="preserve">certain </w:t>
      </w:r>
      <w:r w:rsidR="00FF4E8A" w:rsidRPr="00955AC1">
        <w:rPr>
          <w:rFonts w:ascii="Times New Roman" w:hAnsi="Times New Roman" w:cs="Times New Roman"/>
        </w:rPr>
        <w:t xml:space="preserve">4%/Bonds applications. </w:t>
      </w:r>
      <w:r w:rsidR="00A903A7" w:rsidRPr="00955AC1">
        <w:rPr>
          <w:rFonts w:ascii="Times New Roman" w:hAnsi="Times New Roman" w:cs="Times New Roman"/>
        </w:rPr>
        <w:br/>
      </w:r>
    </w:p>
    <w:p w14:paraId="3B8D43A9" w14:textId="2347BC2B" w:rsidR="00C80CAC" w:rsidRPr="00955AC1" w:rsidRDefault="00C80CAC" w:rsidP="00035F89">
      <w:pPr>
        <w:pStyle w:val="Heading2"/>
        <w:rPr>
          <w:rFonts w:cs="Times New Roman"/>
        </w:rPr>
      </w:pPr>
      <w:r w:rsidRPr="00955AC1">
        <w:rPr>
          <w:rFonts w:cs="Times New Roman"/>
        </w:rPr>
        <w:t>Navigating</w:t>
      </w:r>
      <w:r w:rsidR="0095013A" w:rsidRPr="00955AC1">
        <w:rPr>
          <w:rFonts w:cs="Times New Roman"/>
        </w:rPr>
        <w:t xml:space="preserve"> the Q&amp;A Table</w:t>
      </w:r>
      <w:r w:rsidRPr="00955AC1">
        <w:rPr>
          <w:rFonts w:cs="Times New Roman"/>
        </w:rPr>
        <w:t xml:space="preserve"> </w:t>
      </w:r>
    </w:p>
    <w:p w14:paraId="0B956C17" w14:textId="1E3CC9A3" w:rsidR="00804F23" w:rsidRPr="00955AC1" w:rsidRDefault="00C80CAC" w:rsidP="00785F6D">
      <w:pPr>
        <w:rPr>
          <w:rFonts w:ascii="Times New Roman" w:hAnsi="Times New Roman" w:cs="Times New Roman"/>
        </w:rPr>
      </w:pPr>
      <w:r w:rsidRPr="00955AC1">
        <w:rPr>
          <w:rFonts w:ascii="Times New Roman" w:hAnsi="Times New Roman" w:cs="Times New Roman"/>
        </w:rPr>
        <w:t xml:space="preserve">The below table, as posted to the DCA website, is sorted in descending order by date posted. </w:t>
      </w:r>
      <w:r w:rsidR="002235D3" w:rsidRPr="00955AC1">
        <w:rPr>
          <w:rFonts w:ascii="Times New Roman" w:hAnsi="Times New Roman" w:cs="Times New Roman"/>
        </w:rPr>
        <w:t xml:space="preserve">If preferred, the </w:t>
      </w:r>
      <w:r w:rsidR="00382A45" w:rsidRPr="00955AC1">
        <w:rPr>
          <w:rFonts w:ascii="Times New Roman" w:hAnsi="Times New Roman" w:cs="Times New Roman"/>
        </w:rPr>
        <w:t xml:space="preserve">document </w:t>
      </w:r>
      <w:r w:rsidRPr="00955AC1">
        <w:rPr>
          <w:rFonts w:ascii="Times New Roman" w:hAnsi="Times New Roman" w:cs="Times New Roman"/>
        </w:rPr>
        <w:t xml:space="preserve">can </w:t>
      </w:r>
      <w:r w:rsidR="00DD4B22" w:rsidRPr="00955AC1">
        <w:rPr>
          <w:rFonts w:ascii="Times New Roman" w:hAnsi="Times New Roman" w:cs="Times New Roman"/>
        </w:rPr>
        <w:t xml:space="preserve">also </w:t>
      </w:r>
      <w:r w:rsidRPr="00955AC1">
        <w:rPr>
          <w:rFonts w:ascii="Times New Roman" w:hAnsi="Times New Roman" w:cs="Times New Roman"/>
        </w:rPr>
        <w:t>be sorted by category</w:t>
      </w:r>
      <w:r w:rsidR="00A32665" w:rsidRPr="00955AC1">
        <w:rPr>
          <w:rFonts w:ascii="Times New Roman" w:hAnsi="Times New Roman" w:cs="Times New Roman"/>
        </w:rPr>
        <w:t xml:space="preserve"> (in Microsoft Word, </w:t>
      </w:r>
      <w:r w:rsidR="00E85598" w:rsidRPr="00955AC1">
        <w:rPr>
          <w:rFonts w:ascii="Times New Roman" w:hAnsi="Times New Roman" w:cs="Times New Roman"/>
        </w:rPr>
        <w:t xml:space="preserve">select the full table, </w:t>
      </w:r>
      <w:r w:rsidR="00A32665" w:rsidRPr="00955AC1">
        <w:rPr>
          <w:rFonts w:ascii="Times New Roman" w:hAnsi="Times New Roman" w:cs="Times New Roman"/>
        </w:rPr>
        <w:t xml:space="preserve">select “Home” </w:t>
      </w:r>
      <w:r w:rsidR="0070417D" w:rsidRPr="00955AC1">
        <w:rPr>
          <w:rFonts w:ascii="Wingdings" w:eastAsia="Wingdings" w:hAnsi="Wingdings" w:cs="Wingdings"/>
        </w:rPr>
        <w:t>à</w:t>
      </w:r>
      <w:r w:rsidR="00A32665" w:rsidRPr="00955AC1">
        <w:rPr>
          <w:rFonts w:ascii="Times New Roman" w:hAnsi="Times New Roman" w:cs="Times New Roman"/>
        </w:rPr>
        <w:t xml:space="preserve"> </w:t>
      </w:r>
      <w:r w:rsidR="001C1B3F" w:rsidRPr="00955AC1">
        <w:rPr>
          <w:rFonts w:ascii="Times New Roman" w:hAnsi="Times New Roman" w:cs="Times New Roman"/>
        </w:rPr>
        <w:t>“Sort”</w:t>
      </w:r>
      <w:r w:rsidR="00B82A7F" w:rsidRPr="00955AC1">
        <w:rPr>
          <w:rFonts w:ascii="Times New Roman" w:hAnsi="Times New Roman" w:cs="Times New Roman"/>
        </w:rPr>
        <w:t xml:space="preserve">, </w:t>
      </w:r>
      <w:r w:rsidR="001C1B3F" w:rsidRPr="00955AC1">
        <w:rPr>
          <w:rFonts w:ascii="Times New Roman" w:hAnsi="Times New Roman" w:cs="Times New Roman"/>
        </w:rPr>
        <w:t xml:space="preserve">under </w:t>
      </w:r>
      <w:r w:rsidR="008B470F" w:rsidRPr="00955AC1">
        <w:rPr>
          <w:rFonts w:ascii="Times New Roman" w:hAnsi="Times New Roman" w:cs="Times New Roman"/>
        </w:rPr>
        <w:t xml:space="preserve">the </w:t>
      </w:r>
      <w:r w:rsidR="001C1B3F" w:rsidRPr="00955AC1">
        <w:rPr>
          <w:rFonts w:ascii="Times New Roman" w:hAnsi="Times New Roman" w:cs="Times New Roman"/>
        </w:rPr>
        <w:t>Paragraph section</w:t>
      </w:r>
      <w:r w:rsidR="00B82A7F" w:rsidRPr="00955AC1">
        <w:rPr>
          <w:rFonts w:ascii="Times New Roman" w:hAnsi="Times New Roman" w:cs="Times New Roman"/>
        </w:rPr>
        <w:t>)</w:t>
      </w:r>
      <w:r w:rsidRPr="00955AC1">
        <w:rPr>
          <w:rFonts w:ascii="Times New Roman" w:hAnsi="Times New Roman" w:cs="Times New Roman"/>
        </w:rPr>
        <w:t xml:space="preserve">. </w:t>
      </w:r>
    </w:p>
    <w:p w14:paraId="578628CE" w14:textId="00FB6021" w:rsidR="00A4436B" w:rsidRPr="00955AC1" w:rsidRDefault="00A4436B" w:rsidP="00785F6D">
      <w:pPr>
        <w:rPr>
          <w:rFonts w:ascii="Times New Roman" w:hAnsi="Times New Roman" w:cs="Times New Roman"/>
        </w:rPr>
      </w:pPr>
      <w:r w:rsidRPr="00955AC1">
        <w:rPr>
          <w:rFonts w:ascii="Times New Roman" w:hAnsi="Times New Roman" w:cs="Times New Roman"/>
        </w:rPr>
        <w:t>In the window that pops up, select the following:</w:t>
      </w:r>
    </w:p>
    <w:p w14:paraId="6F90EB88" w14:textId="61707B93" w:rsidR="00CC5812" w:rsidRPr="00955AC1" w:rsidRDefault="0015268E" w:rsidP="006F437F">
      <w:pPr>
        <w:pStyle w:val="ListParagraph"/>
        <w:numPr>
          <w:ilvl w:val="0"/>
          <w:numId w:val="5"/>
        </w:numPr>
        <w:rPr>
          <w:rFonts w:ascii="Times New Roman" w:hAnsi="Times New Roman" w:cs="Times New Roman"/>
        </w:rPr>
      </w:pPr>
      <w:r w:rsidRPr="00955AC1">
        <w:rPr>
          <w:rFonts w:ascii="Times New Roman" w:hAnsi="Times New Roman" w:cs="Times New Roman"/>
        </w:rPr>
        <w:t xml:space="preserve">The </w:t>
      </w:r>
      <w:r w:rsidRPr="00955AC1">
        <w:rPr>
          <w:rFonts w:ascii="Times New Roman" w:hAnsi="Times New Roman" w:cs="Times New Roman"/>
          <w:b/>
          <w:bCs/>
        </w:rPr>
        <w:t>Date</w:t>
      </w:r>
      <w:r w:rsidRPr="00955AC1">
        <w:rPr>
          <w:rFonts w:ascii="Times New Roman" w:hAnsi="Times New Roman" w:cs="Times New Roman"/>
        </w:rPr>
        <w:t xml:space="preserve"> </w:t>
      </w:r>
      <w:r w:rsidR="00F13F1A" w:rsidRPr="00955AC1">
        <w:rPr>
          <w:rFonts w:ascii="Times New Roman" w:hAnsi="Times New Roman" w:cs="Times New Roman"/>
          <w:b/>
          <w:bCs/>
        </w:rPr>
        <w:t>Posted</w:t>
      </w:r>
      <w:r w:rsidR="00F13F1A" w:rsidRPr="00955AC1">
        <w:rPr>
          <w:rFonts w:ascii="Times New Roman" w:hAnsi="Times New Roman" w:cs="Times New Roman"/>
        </w:rPr>
        <w:t xml:space="preserve"> column </w:t>
      </w:r>
      <w:r w:rsidRPr="00955AC1">
        <w:rPr>
          <w:rFonts w:ascii="Times New Roman" w:hAnsi="Times New Roman" w:cs="Times New Roman"/>
        </w:rPr>
        <w:t>should be sorted by “Type: Date”</w:t>
      </w:r>
    </w:p>
    <w:p w14:paraId="20EC5B97" w14:textId="43A84189" w:rsidR="0015268E" w:rsidRPr="00955AC1" w:rsidRDefault="0015268E" w:rsidP="006F437F">
      <w:pPr>
        <w:pStyle w:val="ListParagraph"/>
        <w:numPr>
          <w:ilvl w:val="0"/>
          <w:numId w:val="5"/>
        </w:numPr>
        <w:rPr>
          <w:rFonts w:ascii="Times New Roman" w:hAnsi="Times New Roman" w:cs="Times New Roman"/>
        </w:rPr>
      </w:pPr>
      <w:r w:rsidRPr="00955AC1">
        <w:rPr>
          <w:rFonts w:ascii="Times New Roman" w:hAnsi="Times New Roman" w:cs="Times New Roman"/>
        </w:rPr>
        <w:t xml:space="preserve">The </w:t>
      </w:r>
      <w:r w:rsidR="00F13F1A" w:rsidRPr="00955AC1">
        <w:rPr>
          <w:rFonts w:ascii="Times New Roman" w:hAnsi="Times New Roman" w:cs="Times New Roman"/>
          <w:b/>
          <w:bCs/>
        </w:rPr>
        <w:t>Category</w:t>
      </w:r>
      <w:r w:rsidR="00F13F1A" w:rsidRPr="00955AC1">
        <w:rPr>
          <w:rFonts w:ascii="Times New Roman" w:hAnsi="Times New Roman" w:cs="Times New Roman"/>
        </w:rPr>
        <w:t xml:space="preserve"> </w:t>
      </w:r>
      <w:r w:rsidR="00E45BA3" w:rsidRPr="00955AC1">
        <w:rPr>
          <w:rFonts w:ascii="Times New Roman" w:hAnsi="Times New Roman" w:cs="Times New Roman"/>
        </w:rPr>
        <w:t>column should be sorted by “Type: Number”</w:t>
      </w:r>
    </w:p>
    <w:p w14:paraId="29F1DB44" w14:textId="078E0062" w:rsidR="00C80CAC" w:rsidRPr="00955AC1" w:rsidRDefault="00BC6305" w:rsidP="00785F6D">
      <w:pPr>
        <w:rPr>
          <w:rFonts w:ascii="Times New Roman" w:hAnsi="Times New Roman" w:cs="Times New Roman"/>
        </w:rPr>
      </w:pPr>
      <w:r w:rsidRPr="00955AC1">
        <w:rPr>
          <w:rFonts w:ascii="Times New Roman" w:hAnsi="Times New Roman" w:cs="Times New Roman"/>
        </w:rPr>
        <w:t xml:space="preserve">Question categories are assigned a number </w:t>
      </w:r>
      <w:r w:rsidR="00C07BB7" w:rsidRPr="00955AC1">
        <w:rPr>
          <w:rFonts w:ascii="Times New Roman" w:hAnsi="Times New Roman" w:cs="Times New Roman"/>
        </w:rPr>
        <w:t xml:space="preserve">for purposes of </w:t>
      </w:r>
      <w:r w:rsidR="005B23E3" w:rsidRPr="00955AC1">
        <w:rPr>
          <w:rFonts w:ascii="Times New Roman" w:hAnsi="Times New Roman" w:cs="Times New Roman"/>
        </w:rPr>
        <w:t xml:space="preserve">table sorting. </w:t>
      </w:r>
      <w:r w:rsidR="005F0863" w:rsidRPr="00955AC1">
        <w:rPr>
          <w:rFonts w:ascii="Times New Roman" w:hAnsi="Times New Roman" w:cs="Times New Roman"/>
        </w:rPr>
        <w:t xml:space="preserve">Below are the category </w:t>
      </w:r>
      <w:r w:rsidR="00C563EB" w:rsidRPr="00955AC1">
        <w:rPr>
          <w:rFonts w:ascii="Times New Roman" w:hAnsi="Times New Roman" w:cs="Times New Roman"/>
        </w:rPr>
        <w:t xml:space="preserve">breakdowns in the Q&amp;A table: </w:t>
      </w:r>
    </w:p>
    <w:p w14:paraId="3E75901A" w14:textId="146C4CD6" w:rsidR="00C80CAC" w:rsidRPr="00955AC1" w:rsidRDefault="00C80CAC" w:rsidP="006F437F">
      <w:pPr>
        <w:pStyle w:val="ListParagraph"/>
        <w:numPr>
          <w:ilvl w:val="0"/>
          <w:numId w:val="2"/>
        </w:numPr>
        <w:rPr>
          <w:rFonts w:ascii="Times New Roman" w:hAnsi="Times New Roman" w:cs="Times New Roman"/>
        </w:rPr>
      </w:pPr>
      <w:r w:rsidRPr="00955AC1">
        <w:rPr>
          <w:rFonts w:ascii="Times New Roman" w:hAnsi="Times New Roman" w:cs="Times New Roman"/>
        </w:rPr>
        <w:t>1</w:t>
      </w:r>
      <w:r w:rsidR="00223423" w:rsidRPr="00955AC1">
        <w:rPr>
          <w:rFonts w:ascii="Times New Roman" w:hAnsi="Times New Roman" w:cs="Times New Roman"/>
        </w:rPr>
        <w:t xml:space="preserve"> </w:t>
      </w:r>
      <w:r w:rsidRPr="00955AC1">
        <w:rPr>
          <w:rFonts w:ascii="Times New Roman" w:hAnsi="Times New Roman" w:cs="Times New Roman"/>
        </w:rPr>
        <w:t>-</w:t>
      </w:r>
      <w:r w:rsidR="00223423" w:rsidRPr="00955AC1">
        <w:rPr>
          <w:rFonts w:ascii="Times New Roman" w:hAnsi="Times New Roman" w:cs="Times New Roman"/>
        </w:rPr>
        <w:t xml:space="preserve"> </w:t>
      </w:r>
      <w:r w:rsidRPr="00955AC1">
        <w:rPr>
          <w:rFonts w:ascii="Times New Roman" w:hAnsi="Times New Roman" w:cs="Times New Roman"/>
        </w:rPr>
        <w:t>Core Plan</w:t>
      </w:r>
    </w:p>
    <w:p w14:paraId="3F260B77" w14:textId="5241616D" w:rsidR="00C80CAC" w:rsidRPr="00955AC1" w:rsidRDefault="00C80CAC" w:rsidP="006F437F">
      <w:pPr>
        <w:pStyle w:val="ListParagraph"/>
        <w:numPr>
          <w:ilvl w:val="0"/>
          <w:numId w:val="2"/>
        </w:numPr>
        <w:rPr>
          <w:rFonts w:ascii="Times New Roman" w:hAnsi="Times New Roman" w:cs="Times New Roman"/>
        </w:rPr>
      </w:pPr>
      <w:r w:rsidRPr="00955AC1">
        <w:rPr>
          <w:rFonts w:ascii="Times New Roman" w:hAnsi="Times New Roman" w:cs="Times New Roman"/>
        </w:rPr>
        <w:t>2</w:t>
      </w:r>
      <w:r w:rsidR="00223423" w:rsidRPr="00955AC1">
        <w:rPr>
          <w:rFonts w:ascii="Times New Roman" w:hAnsi="Times New Roman" w:cs="Times New Roman"/>
        </w:rPr>
        <w:t xml:space="preserve"> </w:t>
      </w:r>
      <w:r w:rsidRPr="00955AC1">
        <w:rPr>
          <w:rFonts w:ascii="Times New Roman" w:hAnsi="Times New Roman" w:cs="Times New Roman"/>
        </w:rPr>
        <w:t>-</w:t>
      </w:r>
      <w:r w:rsidR="00223423" w:rsidRPr="00955AC1">
        <w:rPr>
          <w:rFonts w:ascii="Times New Roman" w:hAnsi="Times New Roman" w:cs="Times New Roman"/>
        </w:rPr>
        <w:t xml:space="preserve"> </w:t>
      </w:r>
      <w:r w:rsidRPr="00955AC1">
        <w:rPr>
          <w:rFonts w:ascii="Times New Roman" w:hAnsi="Times New Roman" w:cs="Times New Roman"/>
        </w:rPr>
        <w:t>Threshold</w:t>
      </w:r>
    </w:p>
    <w:p w14:paraId="31929BCA" w14:textId="04D17D46" w:rsidR="00C80CAC" w:rsidRPr="00955AC1" w:rsidRDefault="00C80CAC" w:rsidP="006F437F">
      <w:pPr>
        <w:pStyle w:val="ListParagraph"/>
        <w:numPr>
          <w:ilvl w:val="0"/>
          <w:numId w:val="2"/>
        </w:numPr>
        <w:rPr>
          <w:rFonts w:ascii="Times New Roman" w:hAnsi="Times New Roman" w:cs="Times New Roman"/>
        </w:rPr>
      </w:pPr>
      <w:r w:rsidRPr="00955AC1">
        <w:rPr>
          <w:rFonts w:ascii="Times New Roman" w:hAnsi="Times New Roman" w:cs="Times New Roman"/>
        </w:rPr>
        <w:t>3</w:t>
      </w:r>
      <w:r w:rsidR="00223423" w:rsidRPr="00955AC1">
        <w:rPr>
          <w:rFonts w:ascii="Times New Roman" w:hAnsi="Times New Roman" w:cs="Times New Roman"/>
        </w:rPr>
        <w:t xml:space="preserve"> </w:t>
      </w:r>
      <w:r w:rsidRPr="00955AC1">
        <w:rPr>
          <w:rFonts w:ascii="Times New Roman" w:hAnsi="Times New Roman" w:cs="Times New Roman"/>
        </w:rPr>
        <w:t>-</w:t>
      </w:r>
      <w:r w:rsidR="00223423" w:rsidRPr="00955AC1">
        <w:rPr>
          <w:rFonts w:ascii="Times New Roman" w:hAnsi="Times New Roman" w:cs="Times New Roman"/>
        </w:rPr>
        <w:t xml:space="preserve"> </w:t>
      </w:r>
      <w:r w:rsidRPr="00955AC1">
        <w:rPr>
          <w:rFonts w:ascii="Times New Roman" w:hAnsi="Times New Roman" w:cs="Times New Roman"/>
        </w:rPr>
        <w:t>Scoring</w:t>
      </w:r>
    </w:p>
    <w:p w14:paraId="2AD395B0" w14:textId="6A3B6B35" w:rsidR="00C80CAC" w:rsidRPr="00955AC1" w:rsidRDefault="00C80CAC" w:rsidP="006F437F">
      <w:pPr>
        <w:pStyle w:val="ListParagraph"/>
        <w:numPr>
          <w:ilvl w:val="0"/>
          <w:numId w:val="2"/>
        </w:numPr>
        <w:rPr>
          <w:rFonts w:ascii="Times New Roman" w:hAnsi="Times New Roman" w:cs="Times New Roman"/>
        </w:rPr>
      </w:pPr>
      <w:r w:rsidRPr="00955AC1">
        <w:rPr>
          <w:rFonts w:ascii="Times New Roman" w:hAnsi="Times New Roman" w:cs="Times New Roman"/>
        </w:rPr>
        <w:t>4</w:t>
      </w:r>
      <w:r w:rsidR="00223423" w:rsidRPr="00955AC1">
        <w:rPr>
          <w:rFonts w:ascii="Times New Roman" w:hAnsi="Times New Roman" w:cs="Times New Roman"/>
        </w:rPr>
        <w:t xml:space="preserve"> </w:t>
      </w:r>
      <w:r w:rsidRPr="00955AC1">
        <w:rPr>
          <w:rFonts w:ascii="Times New Roman" w:hAnsi="Times New Roman" w:cs="Times New Roman"/>
        </w:rPr>
        <w:t>-</w:t>
      </w:r>
      <w:r w:rsidR="00223423" w:rsidRPr="00955AC1">
        <w:rPr>
          <w:rFonts w:ascii="Times New Roman" w:hAnsi="Times New Roman" w:cs="Times New Roman"/>
        </w:rPr>
        <w:t xml:space="preserve"> </w:t>
      </w:r>
      <w:r w:rsidRPr="00955AC1">
        <w:rPr>
          <w:rFonts w:ascii="Times New Roman" w:hAnsi="Times New Roman" w:cs="Times New Roman"/>
        </w:rPr>
        <w:t>Compliance Appendix</w:t>
      </w:r>
    </w:p>
    <w:p w14:paraId="146DFBAF" w14:textId="26C78983" w:rsidR="00201415" w:rsidRPr="00955AC1" w:rsidRDefault="00E0233D" w:rsidP="006F437F">
      <w:pPr>
        <w:pStyle w:val="ListParagraph"/>
        <w:numPr>
          <w:ilvl w:val="0"/>
          <w:numId w:val="2"/>
        </w:numPr>
        <w:rPr>
          <w:rFonts w:ascii="Times New Roman" w:hAnsi="Times New Roman" w:cs="Times New Roman"/>
        </w:rPr>
      </w:pPr>
      <w:r w:rsidRPr="00955AC1">
        <w:rPr>
          <w:rFonts w:ascii="Times New Roman" w:hAnsi="Times New Roman" w:cs="Times New Roman"/>
        </w:rPr>
        <w:lastRenderedPageBreak/>
        <w:t>5</w:t>
      </w:r>
      <w:r w:rsidR="00223423" w:rsidRPr="00955AC1">
        <w:rPr>
          <w:rFonts w:ascii="Times New Roman" w:hAnsi="Times New Roman" w:cs="Times New Roman"/>
        </w:rPr>
        <w:t xml:space="preserve"> </w:t>
      </w:r>
      <w:r w:rsidR="00110808" w:rsidRPr="00955AC1">
        <w:rPr>
          <w:rFonts w:ascii="Times New Roman" w:hAnsi="Times New Roman" w:cs="Times New Roman"/>
        </w:rPr>
        <w:t>-</w:t>
      </w:r>
      <w:r w:rsidR="00223423" w:rsidRPr="00955AC1">
        <w:rPr>
          <w:rFonts w:ascii="Times New Roman" w:hAnsi="Times New Roman" w:cs="Times New Roman"/>
        </w:rPr>
        <w:t xml:space="preserve"> </w:t>
      </w:r>
      <w:r w:rsidR="00C72428" w:rsidRPr="00955AC1">
        <w:rPr>
          <w:rFonts w:ascii="Times New Roman" w:hAnsi="Times New Roman" w:cs="Times New Roman"/>
        </w:rPr>
        <w:t xml:space="preserve">Emphasys </w:t>
      </w:r>
      <w:r w:rsidR="00A056E8" w:rsidRPr="00955AC1">
        <w:rPr>
          <w:rFonts w:ascii="Times New Roman" w:hAnsi="Times New Roman" w:cs="Times New Roman"/>
        </w:rPr>
        <w:t xml:space="preserve">Application Portal </w:t>
      </w:r>
    </w:p>
    <w:p w14:paraId="1F1797E7" w14:textId="0E7B2762" w:rsidR="00CA06E8" w:rsidRPr="00955AC1" w:rsidRDefault="00E0233D" w:rsidP="006F437F">
      <w:pPr>
        <w:pStyle w:val="ListParagraph"/>
        <w:numPr>
          <w:ilvl w:val="0"/>
          <w:numId w:val="2"/>
        </w:numPr>
        <w:rPr>
          <w:rFonts w:ascii="Times New Roman" w:hAnsi="Times New Roman" w:cs="Times New Roman"/>
        </w:rPr>
      </w:pPr>
      <w:r w:rsidRPr="00955AC1">
        <w:rPr>
          <w:rFonts w:ascii="Times New Roman" w:hAnsi="Times New Roman" w:cs="Times New Roman"/>
        </w:rPr>
        <w:t>6</w:t>
      </w:r>
      <w:r w:rsidR="00223423" w:rsidRPr="00955AC1">
        <w:rPr>
          <w:rFonts w:ascii="Times New Roman" w:hAnsi="Times New Roman" w:cs="Times New Roman"/>
        </w:rPr>
        <w:t xml:space="preserve"> </w:t>
      </w:r>
      <w:r w:rsidR="00A44A2A" w:rsidRPr="00955AC1">
        <w:rPr>
          <w:rFonts w:ascii="Times New Roman" w:hAnsi="Times New Roman" w:cs="Times New Roman"/>
        </w:rPr>
        <w:t>-</w:t>
      </w:r>
      <w:r w:rsidR="00223423" w:rsidRPr="00955AC1">
        <w:rPr>
          <w:rFonts w:ascii="Times New Roman" w:hAnsi="Times New Roman" w:cs="Times New Roman"/>
        </w:rPr>
        <w:t xml:space="preserve"> </w:t>
      </w:r>
      <w:r w:rsidR="00EE19FE" w:rsidRPr="00955AC1">
        <w:rPr>
          <w:rFonts w:ascii="Times New Roman" w:hAnsi="Times New Roman" w:cs="Times New Roman"/>
        </w:rPr>
        <w:t xml:space="preserve">4%/Bonds Round </w:t>
      </w:r>
      <w:r w:rsidR="00395C5D" w:rsidRPr="00955AC1">
        <w:rPr>
          <w:rFonts w:ascii="Times New Roman" w:hAnsi="Times New Roman" w:cs="Times New Roman"/>
        </w:rPr>
        <w:t xml:space="preserve">Application </w:t>
      </w:r>
      <w:r w:rsidR="003E467A" w:rsidRPr="00955AC1">
        <w:rPr>
          <w:rFonts w:ascii="Times New Roman" w:hAnsi="Times New Roman" w:cs="Times New Roman"/>
        </w:rPr>
        <w:t xml:space="preserve">Requirements and Procedures </w:t>
      </w:r>
      <w:r w:rsidR="003124AD" w:rsidRPr="00955AC1">
        <w:rPr>
          <w:rFonts w:ascii="Times New Roman" w:hAnsi="Times New Roman" w:cs="Times New Roman"/>
        </w:rPr>
        <w:t xml:space="preserve"> </w:t>
      </w:r>
    </w:p>
    <w:p w14:paraId="4D63FE65" w14:textId="09B9A7F0" w:rsidR="00E023E6" w:rsidRPr="00955AC1" w:rsidRDefault="006D4EE6" w:rsidP="006F437F">
      <w:pPr>
        <w:pStyle w:val="ListParagraph"/>
        <w:numPr>
          <w:ilvl w:val="0"/>
          <w:numId w:val="2"/>
        </w:numPr>
        <w:rPr>
          <w:rFonts w:ascii="Times New Roman" w:hAnsi="Times New Roman" w:cs="Times New Roman"/>
        </w:rPr>
      </w:pPr>
      <w:r w:rsidRPr="00955AC1">
        <w:rPr>
          <w:rFonts w:ascii="Times New Roman" w:hAnsi="Times New Roman" w:cs="Times New Roman"/>
        </w:rPr>
        <w:t>7</w:t>
      </w:r>
      <w:r w:rsidR="00EE6685" w:rsidRPr="00955AC1">
        <w:rPr>
          <w:rFonts w:ascii="Times New Roman" w:hAnsi="Times New Roman" w:cs="Times New Roman"/>
        </w:rPr>
        <w:t xml:space="preserve"> </w:t>
      </w:r>
      <w:r w:rsidR="00C80CAC" w:rsidRPr="00955AC1">
        <w:rPr>
          <w:rFonts w:ascii="Times New Roman" w:hAnsi="Times New Roman" w:cs="Times New Roman"/>
        </w:rPr>
        <w:t>-</w:t>
      </w:r>
      <w:r w:rsidR="00EE6685" w:rsidRPr="00955AC1">
        <w:rPr>
          <w:rFonts w:ascii="Times New Roman" w:hAnsi="Times New Roman" w:cs="Times New Roman"/>
        </w:rPr>
        <w:t xml:space="preserve"> </w:t>
      </w:r>
      <w:r w:rsidR="00C80CAC" w:rsidRPr="00955AC1">
        <w:rPr>
          <w:rFonts w:ascii="Times New Roman" w:hAnsi="Times New Roman" w:cs="Times New Roman"/>
        </w:rPr>
        <w:t xml:space="preserve">Other </w:t>
      </w:r>
    </w:p>
    <w:p w14:paraId="036C49B6" w14:textId="77777777" w:rsidR="00B6442F" w:rsidRPr="00955AC1" w:rsidRDefault="005D7CF0" w:rsidP="00C965C9">
      <w:pPr>
        <w:rPr>
          <w:rFonts w:ascii="Times New Roman" w:hAnsi="Times New Roman" w:cs="Times New Roman"/>
        </w:rPr>
      </w:pPr>
      <w:r w:rsidRPr="00955AC1">
        <w:rPr>
          <w:rFonts w:ascii="Times New Roman" w:hAnsi="Times New Roman" w:cs="Times New Roman"/>
        </w:rPr>
        <w:t xml:space="preserve">Category numbers take the </w:t>
      </w:r>
      <w:r w:rsidR="00B6442F" w:rsidRPr="00955AC1">
        <w:rPr>
          <w:rFonts w:ascii="Times New Roman" w:hAnsi="Times New Roman" w:cs="Times New Roman"/>
        </w:rPr>
        <w:t xml:space="preserve">following </w:t>
      </w:r>
      <w:r w:rsidRPr="00955AC1">
        <w:rPr>
          <w:rFonts w:ascii="Times New Roman" w:hAnsi="Times New Roman" w:cs="Times New Roman"/>
        </w:rPr>
        <w:t>form</w:t>
      </w:r>
      <w:r w:rsidR="00B6442F" w:rsidRPr="00955AC1">
        <w:rPr>
          <w:rFonts w:ascii="Times New Roman" w:hAnsi="Times New Roman" w:cs="Times New Roman"/>
        </w:rPr>
        <w:t>:</w:t>
      </w:r>
      <w:r w:rsidRPr="00955AC1">
        <w:rPr>
          <w:rFonts w:ascii="Times New Roman" w:hAnsi="Times New Roman" w:cs="Times New Roman"/>
        </w:rPr>
        <w:t xml:space="preserve"> </w:t>
      </w:r>
    </w:p>
    <w:p w14:paraId="7A53DB4B" w14:textId="698B7CC6" w:rsidR="00B6442F" w:rsidRPr="00955AC1" w:rsidRDefault="005D7CF0" w:rsidP="00F95A96">
      <w:pPr>
        <w:jc w:val="center"/>
        <w:rPr>
          <w:rFonts w:ascii="Times New Roman" w:hAnsi="Times New Roman" w:cs="Times New Roman"/>
        </w:rPr>
      </w:pPr>
      <w:r w:rsidRPr="00955AC1">
        <w:rPr>
          <w:rFonts w:ascii="Times New Roman" w:hAnsi="Times New Roman" w:cs="Times New Roman"/>
          <w:i/>
          <w:iCs/>
        </w:rPr>
        <w:t xml:space="preserve">[Category number] </w:t>
      </w:r>
      <w:r w:rsidRPr="00955AC1">
        <w:rPr>
          <w:rFonts w:ascii="Times New Roman" w:hAnsi="Times New Roman" w:cs="Times New Roman"/>
          <w:b/>
          <w:bCs/>
          <w:i/>
          <w:iCs/>
        </w:rPr>
        <w:t>.</w:t>
      </w:r>
      <w:r w:rsidRPr="00955AC1">
        <w:rPr>
          <w:rFonts w:ascii="Times New Roman" w:hAnsi="Times New Roman" w:cs="Times New Roman"/>
          <w:i/>
          <w:iCs/>
        </w:rPr>
        <w:t xml:space="preserve"> [subsection #]</w:t>
      </w:r>
    </w:p>
    <w:p w14:paraId="5E0DCD06" w14:textId="0C9F9CDF" w:rsidR="00C965C9" w:rsidRPr="00955AC1" w:rsidRDefault="001B2E62" w:rsidP="00C965C9">
      <w:pPr>
        <w:rPr>
          <w:rFonts w:ascii="Times New Roman" w:hAnsi="Times New Roman" w:cs="Times New Roman"/>
        </w:rPr>
      </w:pPr>
      <w:r w:rsidRPr="00955AC1">
        <w:rPr>
          <w:rFonts w:ascii="Times New Roman" w:hAnsi="Times New Roman" w:cs="Times New Roman"/>
        </w:rPr>
        <w:t>For example,</w:t>
      </w:r>
      <w:r w:rsidR="00860482" w:rsidRPr="00955AC1">
        <w:rPr>
          <w:rFonts w:ascii="Times New Roman" w:hAnsi="Times New Roman" w:cs="Times New Roman"/>
        </w:rPr>
        <w:t xml:space="preserve"> the 6</w:t>
      </w:r>
      <w:r w:rsidR="00860482" w:rsidRPr="00955AC1">
        <w:rPr>
          <w:rFonts w:ascii="Times New Roman" w:hAnsi="Times New Roman" w:cs="Times New Roman"/>
          <w:vertAlign w:val="superscript"/>
        </w:rPr>
        <w:t>th</w:t>
      </w:r>
      <w:r w:rsidR="00860482" w:rsidRPr="00955AC1">
        <w:rPr>
          <w:rFonts w:ascii="Times New Roman" w:hAnsi="Times New Roman" w:cs="Times New Roman"/>
        </w:rPr>
        <w:t xml:space="preserve"> section of</w:t>
      </w:r>
      <w:r w:rsidRPr="00955AC1">
        <w:rPr>
          <w:rFonts w:ascii="Times New Roman" w:hAnsi="Times New Roman" w:cs="Times New Roman"/>
        </w:rPr>
        <w:t xml:space="preserve"> </w:t>
      </w:r>
      <w:r w:rsidR="005A388A" w:rsidRPr="00955AC1">
        <w:rPr>
          <w:rFonts w:ascii="Times New Roman" w:hAnsi="Times New Roman" w:cs="Times New Roman"/>
          <w:i/>
          <w:iCs/>
        </w:rPr>
        <w:t>Core Plan</w:t>
      </w:r>
      <w:r w:rsidR="002B1FA3" w:rsidRPr="00955AC1">
        <w:rPr>
          <w:rFonts w:ascii="Times New Roman" w:hAnsi="Times New Roman" w:cs="Times New Roman"/>
          <w:i/>
          <w:iCs/>
        </w:rPr>
        <w:t xml:space="preserve"> </w:t>
      </w:r>
      <w:r w:rsidR="002B1FA3" w:rsidRPr="00955AC1">
        <w:rPr>
          <w:rFonts w:ascii="Times New Roman" w:hAnsi="Times New Roman" w:cs="Times New Roman"/>
        </w:rPr>
        <w:t>is</w:t>
      </w:r>
      <w:r w:rsidR="005A388A" w:rsidRPr="00955AC1">
        <w:rPr>
          <w:rFonts w:ascii="Times New Roman" w:hAnsi="Times New Roman" w:cs="Times New Roman"/>
          <w:i/>
          <w:iCs/>
        </w:rPr>
        <w:t xml:space="preserve"> </w:t>
      </w:r>
      <w:r w:rsidR="006E06E2" w:rsidRPr="00955AC1">
        <w:rPr>
          <w:rFonts w:ascii="Times New Roman" w:hAnsi="Times New Roman" w:cs="Times New Roman"/>
          <w:i/>
          <w:iCs/>
        </w:rPr>
        <w:t>9% Round Set Asides</w:t>
      </w:r>
      <w:r w:rsidR="002B1FA3" w:rsidRPr="00955AC1">
        <w:rPr>
          <w:rFonts w:ascii="Times New Roman" w:hAnsi="Times New Roman" w:cs="Times New Roman"/>
        </w:rPr>
        <w:t xml:space="preserve">. This section </w:t>
      </w:r>
      <w:r w:rsidR="006E06E2" w:rsidRPr="00955AC1">
        <w:rPr>
          <w:rFonts w:ascii="Times New Roman" w:hAnsi="Times New Roman" w:cs="Times New Roman"/>
        </w:rPr>
        <w:t xml:space="preserve">is </w:t>
      </w:r>
      <w:r w:rsidR="0085392D" w:rsidRPr="00955AC1">
        <w:rPr>
          <w:rFonts w:ascii="Times New Roman" w:hAnsi="Times New Roman" w:cs="Times New Roman"/>
        </w:rPr>
        <w:t xml:space="preserve">numbered as </w:t>
      </w:r>
      <w:r w:rsidR="005B4BDE" w:rsidRPr="00955AC1">
        <w:rPr>
          <w:rFonts w:ascii="Times New Roman" w:hAnsi="Times New Roman" w:cs="Times New Roman"/>
        </w:rPr>
        <w:t>“</w:t>
      </w:r>
      <w:r w:rsidR="0085392D" w:rsidRPr="00955AC1">
        <w:rPr>
          <w:rFonts w:ascii="Times New Roman" w:hAnsi="Times New Roman" w:cs="Times New Roman"/>
        </w:rPr>
        <w:t>1.</w:t>
      </w:r>
      <w:r w:rsidR="00C15AF0" w:rsidRPr="00955AC1">
        <w:rPr>
          <w:rFonts w:ascii="Times New Roman" w:hAnsi="Times New Roman" w:cs="Times New Roman"/>
        </w:rPr>
        <w:t>0</w:t>
      </w:r>
      <w:r w:rsidR="00001721" w:rsidRPr="00955AC1">
        <w:rPr>
          <w:rFonts w:ascii="Times New Roman" w:hAnsi="Times New Roman" w:cs="Times New Roman"/>
        </w:rPr>
        <w:t>6</w:t>
      </w:r>
      <w:r w:rsidR="005B4BDE" w:rsidRPr="00955AC1">
        <w:rPr>
          <w:rFonts w:ascii="Times New Roman" w:hAnsi="Times New Roman" w:cs="Times New Roman"/>
        </w:rPr>
        <w:t>”</w:t>
      </w:r>
      <w:r w:rsidR="00CF519E" w:rsidRPr="00955AC1">
        <w:rPr>
          <w:rFonts w:ascii="Times New Roman" w:hAnsi="Times New Roman" w:cs="Times New Roman"/>
        </w:rPr>
        <w:t xml:space="preserve"> </w:t>
      </w:r>
      <w:r w:rsidR="001E676A" w:rsidRPr="00955AC1">
        <w:rPr>
          <w:rFonts w:ascii="Times New Roman" w:hAnsi="Times New Roman" w:cs="Times New Roman"/>
        </w:rPr>
        <w:t xml:space="preserve">in the Q&amp;A table. </w:t>
      </w:r>
      <w:r w:rsidR="004A15F2" w:rsidRPr="00955AC1">
        <w:rPr>
          <w:rFonts w:ascii="Times New Roman" w:hAnsi="Times New Roman" w:cs="Times New Roman"/>
        </w:rPr>
        <w:br/>
      </w:r>
    </w:p>
    <w:p w14:paraId="74E0315E" w14:textId="6C93D75F" w:rsidR="00176327" w:rsidRPr="00955AC1" w:rsidRDefault="00CF0051" w:rsidP="00CC2BB6">
      <w:pPr>
        <w:pStyle w:val="Heading2"/>
        <w:rPr>
          <w:rFonts w:cs="Times New Roman"/>
        </w:rPr>
      </w:pPr>
      <w:r w:rsidRPr="00955AC1">
        <w:rPr>
          <w:rFonts w:cs="Times New Roman"/>
        </w:rPr>
        <w:t xml:space="preserve">Log of </w:t>
      </w:r>
      <w:r w:rsidR="001E0ADE" w:rsidRPr="00955AC1">
        <w:rPr>
          <w:rFonts w:cs="Times New Roman"/>
        </w:rPr>
        <w:t>Updates</w:t>
      </w:r>
      <w:r w:rsidR="00845192" w:rsidRPr="00955AC1">
        <w:rPr>
          <w:rFonts w:cs="Times New Roman"/>
        </w:rPr>
        <w:t xml:space="preserve"> to this Q&amp;A Document</w:t>
      </w:r>
    </w:p>
    <w:p w14:paraId="3E3AEE31" w14:textId="263ABEE5" w:rsidR="00292828" w:rsidRPr="00955AC1" w:rsidRDefault="00D77ADA" w:rsidP="00176327">
      <w:pPr>
        <w:rPr>
          <w:rFonts w:ascii="Times New Roman" w:hAnsi="Times New Roman" w:cs="Times New Roman"/>
        </w:rPr>
      </w:pPr>
      <w:r w:rsidRPr="00955AC1">
        <w:rPr>
          <w:rFonts w:ascii="Times New Roman" w:hAnsi="Times New Roman" w:cs="Times New Roman"/>
        </w:rPr>
        <w:t xml:space="preserve">This section </w:t>
      </w:r>
      <w:r w:rsidR="00D84E39" w:rsidRPr="00955AC1">
        <w:rPr>
          <w:rFonts w:ascii="Times New Roman" w:hAnsi="Times New Roman" w:cs="Times New Roman"/>
        </w:rPr>
        <w:t xml:space="preserve">provides a high-level description of </w:t>
      </w:r>
      <w:r w:rsidR="005306AE" w:rsidRPr="00955AC1">
        <w:rPr>
          <w:rFonts w:ascii="Times New Roman" w:hAnsi="Times New Roman" w:cs="Times New Roman"/>
        </w:rPr>
        <w:t>changes</w:t>
      </w:r>
      <w:r w:rsidR="004A29D5" w:rsidRPr="00955AC1">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735BD9" w:rsidRPr="00955AC1" w14:paraId="291196A8" w14:textId="77777777" w:rsidTr="69621A9A">
        <w:trPr>
          <w:jc w:val="center"/>
        </w:trPr>
        <w:tc>
          <w:tcPr>
            <w:tcW w:w="1165" w:type="dxa"/>
            <w:shd w:val="clear" w:color="auto" w:fill="D9D9D9" w:themeFill="background1" w:themeFillShade="D9"/>
            <w:tcMar>
              <w:top w:w="72" w:type="dxa"/>
              <w:left w:w="115" w:type="dxa"/>
              <w:bottom w:w="72" w:type="dxa"/>
              <w:right w:w="115" w:type="dxa"/>
            </w:tcMar>
            <w:vAlign w:val="center"/>
          </w:tcPr>
          <w:p w14:paraId="2C115D17" w14:textId="77777777" w:rsidR="00735BD9" w:rsidRPr="00955AC1" w:rsidRDefault="00735BD9" w:rsidP="00820378">
            <w:pPr>
              <w:keepNext/>
              <w:jc w:val="center"/>
              <w:rPr>
                <w:rFonts w:ascii="Times New Roman" w:hAnsi="Times New Roman" w:cs="Times New Roman"/>
                <w:b/>
                <w:bCs/>
              </w:rPr>
            </w:pPr>
            <w:r w:rsidRPr="00955AC1">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312D11D3" w14:textId="77777777" w:rsidR="00735BD9" w:rsidRPr="00955AC1" w:rsidRDefault="00735BD9" w:rsidP="00820378">
            <w:pPr>
              <w:keepNext/>
              <w:jc w:val="center"/>
              <w:rPr>
                <w:rFonts w:ascii="Times New Roman" w:hAnsi="Times New Roman" w:cs="Times New Roman"/>
                <w:b/>
                <w:bCs/>
              </w:rPr>
            </w:pPr>
            <w:r w:rsidRPr="00955AC1">
              <w:rPr>
                <w:rFonts w:ascii="Times New Roman" w:hAnsi="Times New Roman" w:cs="Times New Roman"/>
                <w:b/>
                <w:bCs/>
              </w:rPr>
              <w:t>Changes</w:t>
            </w:r>
          </w:p>
        </w:tc>
      </w:tr>
      <w:tr w:rsidR="00955AC1" w:rsidRPr="00955AC1" w14:paraId="67589B53" w14:textId="77777777" w:rsidTr="64301FE8">
        <w:trPr>
          <w:jc w:val="center"/>
        </w:trPr>
        <w:tc>
          <w:tcPr>
            <w:tcW w:w="1165" w:type="dxa"/>
            <w:tcMar>
              <w:top w:w="72" w:type="dxa"/>
              <w:left w:w="115" w:type="dxa"/>
              <w:bottom w:w="72" w:type="dxa"/>
              <w:right w:w="115" w:type="dxa"/>
            </w:tcMar>
            <w:vAlign w:val="center"/>
          </w:tcPr>
          <w:p w14:paraId="6CF986BF" w14:textId="17FBB4B3" w:rsidR="00955AC1" w:rsidRPr="00955AC1" w:rsidRDefault="00955AC1" w:rsidP="64301FE8">
            <w:pPr>
              <w:rPr>
                <w:rFonts w:ascii="Times New Roman" w:hAnsi="Times New Roman" w:cs="Times New Roman"/>
              </w:rPr>
            </w:pPr>
            <w:r>
              <w:rPr>
                <w:rFonts w:ascii="Times New Roman" w:hAnsi="Times New Roman" w:cs="Times New Roman"/>
              </w:rPr>
              <w:t>9/27/22</w:t>
            </w:r>
          </w:p>
        </w:tc>
        <w:tc>
          <w:tcPr>
            <w:tcW w:w="8010" w:type="dxa"/>
            <w:tcMar>
              <w:top w:w="72" w:type="dxa"/>
              <w:left w:w="115" w:type="dxa"/>
              <w:bottom w:w="72" w:type="dxa"/>
              <w:right w:w="115" w:type="dxa"/>
            </w:tcMar>
            <w:vAlign w:val="center"/>
          </w:tcPr>
          <w:p w14:paraId="3BB34486" w14:textId="31514878" w:rsidR="00955AC1" w:rsidRPr="00955AC1" w:rsidRDefault="00955AC1" w:rsidP="64301FE8">
            <w:pPr>
              <w:pStyle w:val="ListParagraph"/>
              <w:numPr>
                <w:ilvl w:val="0"/>
                <w:numId w:val="65"/>
              </w:numPr>
              <w:rPr>
                <w:rFonts w:ascii="Times New Roman" w:hAnsi="Times New Roman" w:cs="Times New Roman"/>
              </w:rPr>
            </w:pPr>
            <w:r>
              <w:rPr>
                <w:rFonts w:ascii="Times New Roman" w:hAnsi="Times New Roman" w:cs="Times New Roman"/>
              </w:rPr>
              <w:t>New Q&amp;A set posted</w:t>
            </w:r>
          </w:p>
        </w:tc>
      </w:tr>
      <w:tr w:rsidR="64301FE8" w:rsidRPr="00955AC1" w14:paraId="30C72478" w14:textId="77777777" w:rsidTr="64301FE8">
        <w:trPr>
          <w:jc w:val="center"/>
        </w:trPr>
        <w:tc>
          <w:tcPr>
            <w:tcW w:w="1165" w:type="dxa"/>
            <w:tcMar>
              <w:top w:w="72" w:type="dxa"/>
              <w:left w:w="115" w:type="dxa"/>
              <w:bottom w:w="72" w:type="dxa"/>
              <w:right w:w="115" w:type="dxa"/>
            </w:tcMar>
            <w:vAlign w:val="center"/>
          </w:tcPr>
          <w:p w14:paraId="02F24BB7" w14:textId="7D763E5B" w:rsidR="16F503ED" w:rsidRPr="00955AC1" w:rsidRDefault="16F503ED" w:rsidP="64301FE8">
            <w:pPr>
              <w:rPr>
                <w:rFonts w:ascii="Times New Roman" w:hAnsi="Times New Roman" w:cs="Times New Roman"/>
              </w:rPr>
            </w:pPr>
            <w:r w:rsidRPr="00955AC1">
              <w:rPr>
                <w:rFonts w:ascii="Times New Roman" w:hAnsi="Times New Roman" w:cs="Times New Roman"/>
              </w:rPr>
              <w:t>9/22/22</w:t>
            </w:r>
          </w:p>
        </w:tc>
        <w:tc>
          <w:tcPr>
            <w:tcW w:w="8010" w:type="dxa"/>
            <w:tcMar>
              <w:top w:w="72" w:type="dxa"/>
              <w:left w:w="115" w:type="dxa"/>
              <w:bottom w:w="72" w:type="dxa"/>
              <w:right w:w="115" w:type="dxa"/>
            </w:tcMar>
            <w:vAlign w:val="center"/>
          </w:tcPr>
          <w:p w14:paraId="40966945" w14:textId="5C85BA73" w:rsidR="16F503ED" w:rsidRPr="00955AC1" w:rsidRDefault="16F503ED" w:rsidP="64301FE8">
            <w:pPr>
              <w:pStyle w:val="ListParagraph"/>
              <w:numPr>
                <w:ilvl w:val="0"/>
                <w:numId w:val="65"/>
              </w:numPr>
              <w:rPr>
                <w:rFonts w:eastAsiaTheme="minorEastAsia"/>
              </w:rPr>
            </w:pPr>
            <w:r w:rsidRPr="00955AC1">
              <w:rPr>
                <w:rFonts w:ascii="Times New Roman" w:hAnsi="Times New Roman" w:cs="Times New Roman"/>
              </w:rPr>
              <w:t>New Q&amp;A set posted</w:t>
            </w:r>
          </w:p>
        </w:tc>
      </w:tr>
      <w:tr w:rsidR="00BB1933" w:rsidRPr="00955AC1" w14:paraId="554E93C2" w14:textId="77777777" w:rsidTr="69621A9A">
        <w:trPr>
          <w:jc w:val="center"/>
        </w:trPr>
        <w:tc>
          <w:tcPr>
            <w:tcW w:w="1165" w:type="dxa"/>
            <w:tcMar>
              <w:top w:w="72" w:type="dxa"/>
              <w:left w:w="115" w:type="dxa"/>
              <w:bottom w:w="72" w:type="dxa"/>
              <w:right w:w="115" w:type="dxa"/>
            </w:tcMar>
            <w:vAlign w:val="center"/>
          </w:tcPr>
          <w:p w14:paraId="7F4FF8B0" w14:textId="47703888" w:rsidR="00BB1933" w:rsidRPr="00955AC1" w:rsidRDefault="00BB1933" w:rsidP="69621A9A">
            <w:pPr>
              <w:rPr>
                <w:rFonts w:ascii="Times New Roman" w:hAnsi="Times New Roman" w:cs="Times New Roman"/>
              </w:rPr>
            </w:pPr>
            <w:r w:rsidRPr="00955AC1">
              <w:rPr>
                <w:rFonts w:ascii="Times New Roman" w:hAnsi="Times New Roman" w:cs="Times New Roman"/>
              </w:rPr>
              <w:t>9/15/22</w:t>
            </w:r>
          </w:p>
        </w:tc>
        <w:tc>
          <w:tcPr>
            <w:tcW w:w="8010" w:type="dxa"/>
            <w:tcMar>
              <w:top w:w="72" w:type="dxa"/>
              <w:left w:w="115" w:type="dxa"/>
              <w:bottom w:w="72" w:type="dxa"/>
              <w:right w:w="115" w:type="dxa"/>
            </w:tcMar>
            <w:vAlign w:val="center"/>
          </w:tcPr>
          <w:p w14:paraId="3A0462C9" w14:textId="0590EA8F" w:rsidR="00BB1933" w:rsidRPr="00955AC1" w:rsidRDefault="00BB1933" w:rsidP="001C6EBF">
            <w:pPr>
              <w:pStyle w:val="ListParagraph"/>
              <w:numPr>
                <w:ilvl w:val="0"/>
                <w:numId w:val="1"/>
              </w:numPr>
              <w:rPr>
                <w:rFonts w:ascii="Times New Roman" w:hAnsi="Times New Roman" w:cs="Times New Roman"/>
              </w:rPr>
            </w:pPr>
            <w:r w:rsidRPr="00955AC1">
              <w:rPr>
                <w:rFonts w:ascii="Times New Roman" w:hAnsi="Times New Roman" w:cs="Times New Roman"/>
              </w:rPr>
              <w:t xml:space="preserve">New Q&amp;A set posted </w:t>
            </w:r>
          </w:p>
        </w:tc>
      </w:tr>
      <w:tr w:rsidR="0021779A" w:rsidRPr="00955AC1" w14:paraId="462F135A" w14:textId="77777777" w:rsidTr="69621A9A">
        <w:trPr>
          <w:jc w:val="center"/>
        </w:trPr>
        <w:tc>
          <w:tcPr>
            <w:tcW w:w="1165" w:type="dxa"/>
            <w:tcMar>
              <w:top w:w="72" w:type="dxa"/>
              <w:left w:w="115" w:type="dxa"/>
              <w:bottom w:w="72" w:type="dxa"/>
              <w:right w:w="115" w:type="dxa"/>
            </w:tcMar>
            <w:vAlign w:val="center"/>
          </w:tcPr>
          <w:p w14:paraId="0FA51827" w14:textId="0E937357" w:rsidR="0021779A" w:rsidRPr="00955AC1" w:rsidRDefault="0021779A" w:rsidP="69621A9A">
            <w:pPr>
              <w:rPr>
                <w:rFonts w:ascii="Times New Roman" w:hAnsi="Times New Roman" w:cs="Times New Roman"/>
              </w:rPr>
            </w:pPr>
            <w:r w:rsidRPr="00955AC1">
              <w:rPr>
                <w:rFonts w:ascii="Times New Roman" w:hAnsi="Times New Roman" w:cs="Times New Roman"/>
              </w:rPr>
              <w:t>9/13/22</w:t>
            </w:r>
          </w:p>
        </w:tc>
        <w:tc>
          <w:tcPr>
            <w:tcW w:w="8010" w:type="dxa"/>
            <w:tcMar>
              <w:top w:w="72" w:type="dxa"/>
              <w:left w:w="115" w:type="dxa"/>
              <w:bottom w:w="72" w:type="dxa"/>
              <w:right w:w="115" w:type="dxa"/>
            </w:tcMar>
            <w:vAlign w:val="center"/>
          </w:tcPr>
          <w:p w14:paraId="4B9C4C7C" w14:textId="7E3B551A" w:rsidR="0021779A" w:rsidRPr="00955AC1" w:rsidRDefault="0021779A" w:rsidP="001C6EBF">
            <w:pPr>
              <w:pStyle w:val="ListParagraph"/>
              <w:numPr>
                <w:ilvl w:val="0"/>
                <w:numId w:val="1"/>
              </w:numPr>
              <w:rPr>
                <w:rFonts w:ascii="Times New Roman" w:hAnsi="Times New Roman" w:cs="Times New Roman"/>
              </w:rPr>
            </w:pPr>
            <w:r w:rsidRPr="00955AC1">
              <w:rPr>
                <w:rFonts w:ascii="Times New Roman" w:hAnsi="Times New Roman" w:cs="Times New Roman"/>
              </w:rPr>
              <w:t>New Q&amp;A set posted</w:t>
            </w:r>
          </w:p>
        </w:tc>
      </w:tr>
      <w:tr w:rsidR="00766CD3" w:rsidRPr="00955AC1" w14:paraId="24B7FEB1" w14:textId="77777777" w:rsidTr="69621A9A">
        <w:trPr>
          <w:jc w:val="center"/>
        </w:trPr>
        <w:tc>
          <w:tcPr>
            <w:tcW w:w="1165" w:type="dxa"/>
            <w:tcMar>
              <w:top w:w="72" w:type="dxa"/>
              <w:left w:w="115" w:type="dxa"/>
              <w:bottom w:w="72" w:type="dxa"/>
              <w:right w:w="115" w:type="dxa"/>
            </w:tcMar>
            <w:vAlign w:val="center"/>
          </w:tcPr>
          <w:p w14:paraId="43D2DFC8" w14:textId="6735FA77" w:rsidR="00766CD3" w:rsidRPr="00955AC1" w:rsidRDefault="00766CD3" w:rsidP="69621A9A">
            <w:pPr>
              <w:rPr>
                <w:rFonts w:ascii="Times New Roman" w:hAnsi="Times New Roman" w:cs="Times New Roman"/>
              </w:rPr>
            </w:pPr>
            <w:r w:rsidRPr="00955AC1">
              <w:rPr>
                <w:rFonts w:ascii="Times New Roman" w:hAnsi="Times New Roman" w:cs="Times New Roman"/>
              </w:rPr>
              <w:t>9/7/22</w:t>
            </w:r>
          </w:p>
        </w:tc>
        <w:tc>
          <w:tcPr>
            <w:tcW w:w="8010" w:type="dxa"/>
            <w:tcMar>
              <w:top w:w="72" w:type="dxa"/>
              <w:left w:w="115" w:type="dxa"/>
              <w:bottom w:w="72" w:type="dxa"/>
              <w:right w:w="115" w:type="dxa"/>
            </w:tcMar>
            <w:vAlign w:val="center"/>
          </w:tcPr>
          <w:p w14:paraId="5AB9EE65" w14:textId="53042A9A" w:rsidR="00974330" w:rsidRPr="00955AC1" w:rsidRDefault="00974330" w:rsidP="001C6EBF">
            <w:pPr>
              <w:pStyle w:val="ListParagraph"/>
              <w:numPr>
                <w:ilvl w:val="0"/>
                <w:numId w:val="1"/>
              </w:numPr>
              <w:rPr>
                <w:rFonts w:ascii="Times New Roman" w:hAnsi="Times New Roman" w:cs="Times New Roman"/>
              </w:rPr>
            </w:pPr>
            <w:r w:rsidRPr="00955AC1">
              <w:rPr>
                <w:rFonts w:ascii="Times New Roman" w:hAnsi="Times New Roman" w:cs="Times New Roman"/>
              </w:rPr>
              <w:t xml:space="preserve">Changes to </w:t>
            </w:r>
            <w:r w:rsidR="00816BEC" w:rsidRPr="00955AC1">
              <w:rPr>
                <w:rFonts w:ascii="Times New Roman" w:hAnsi="Times New Roman" w:cs="Times New Roman"/>
                <w:b/>
                <w:bCs/>
              </w:rPr>
              <w:t>Part I. Overview</w:t>
            </w:r>
            <w:r w:rsidR="00816BEC" w:rsidRPr="00955AC1">
              <w:rPr>
                <w:rFonts w:ascii="Times New Roman" w:hAnsi="Times New Roman" w:cs="Times New Roman"/>
              </w:rPr>
              <w:t xml:space="preserve"> above</w:t>
            </w:r>
            <w:r w:rsidRPr="00955AC1">
              <w:rPr>
                <w:rFonts w:ascii="Times New Roman" w:hAnsi="Times New Roman" w:cs="Times New Roman"/>
              </w:rPr>
              <w:t>:</w:t>
            </w:r>
            <w:r w:rsidR="00816BEC" w:rsidRPr="00955AC1">
              <w:rPr>
                <w:rFonts w:ascii="Times New Roman" w:hAnsi="Times New Roman" w:cs="Times New Roman"/>
              </w:rPr>
              <w:t xml:space="preserve"> </w:t>
            </w:r>
          </w:p>
          <w:p w14:paraId="38B34607" w14:textId="1A8995A0" w:rsidR="003004B1" w:rsidRPr="00955AC1" w:rsidRDefault="00120595" w:rsidP="00F75B8F">
            <w:pPr>
              <w:pStyle w:val="ListParagraph"/>
              <w:numPr>
                <w:ilvl w:val="1"/>
                <w:numId w:val="1"/>
              </w:numPr>
              <w:rPr>
                <w:rFonts w:ascii="Times New Roman" w:hAnsi="Times New Roman" w:cs="Times New Roman"/>
              </w:rPr>
            </w:pPr>
            <w:r w:rsidRPr="00955AC1">
              <w:rPr>
                <w:rFonts w:ascii="Times New Roman" w:hAnsi="Times New Roman" w:cs="Times New Roman"/>
              </w:rPr>
              <w:t xml:space="preserve">Added </w:t>
            </w:r>
            <w:r w:rsidR="00E216A4" w:rsidRPr="00955AC1">
              <w:rPr>
                <w:rFonts w:ascii="Times New Roman" w:hAnsi="Times New Roman" w:cs="Times New Roman"/>
              </w:rPr>
              <w:t xml:space="preserve">subsection </w:t>
            </w:r>
            <w:r w:rsidR="00171549" w:rsidRPr="00955AC1">
              <w:rPr>
                <w:rFonts w:ascii="Times New Roman" w:hAnsi="Times New Roman" w:cs="Times New Roman"/>
                <w:b/>
                <w:bCs/>
              </w:rPr>
              <w:t>Note</w:t>
            </w:r>
            <w:r w:rsidR="004977A9" w:rsidRPr="00955AC1">
              <w:rPr>
                <w:rFonts w:ascii="Times New Roman" w:hAnsi="Times New Roman" w:cs="Times New Roman"/>
                <w:b/>
                <w:bCs/>
              </w:rPr>
              <w:t xml:space="preserve"> on</w:t>
            </w:r>
            <w:r w:rsidR="00171549" w:rsidRPr="00955AC1">
              <w:rPr>
                <w:rFonts w:ascii="Times New Roman" w:hAnsi="Times New Roman" w:cs="Times New Roman"/>
                <w:b/>
                <w:bCs/>
              </w:rPr>
              <w:t xml:space="preserve"> Q&amp;A Posted for 2022 9% Round</w:t>
            </w:r>
            <w:r w:rsidR="00171549" w:rsidRPr="00955AC1">
              <w:rPr>
                <w:rFonts w:ascii="Times New Roman" w:hAnsi="Times New Roman" w:cs="Times New Roman"/>
              </w:rPr>
              <w:t xml:space="preserve"> </w:t>
            </w:r>
          </w:p>
          <w:p w14:paraId="4A1E6E75" w14:textId="408D9FDB" w:rsidR="00D143D0" w:rsidRPr="00955AC1" w:rsidRDefault="00A74470" w:rsidP="00F75B8F">
            <w:pPr>
              <w:pStyle w:val="ListParagraph"/>
              <w:numPr>
                <w:ilvl w:val="1"/>
                <w:numId w:val="1"/>
              </w:numPr>
              <w:rPr>
                <w:rFonts w:ascii="Times New Roman" w:hAnsi="Times New Roman" w:cs="Times New Roman"/>
              </w:rPr>
            </w:pPr>
            <w:r w:rsidRPr="00955AC1">
              <w:rPr>
                <w:rFonts w:ascii="Times New Roman" w:hAnsi="Times New Roman" w:cs="Times New Roman"/>
              </w:rPr>
              <w:t xml:space="preserve">Category changes under </w:t>
            </w:r>
            <w:r w:rsidR="00D143D0" w:rsidRPr="00955AC1">
              <w:rPr>
                <w:rFonts w:ascii="Times New Roman" w:hAnsi="Times New Roman" w:cs="Times New Roman"/>
              </w:rPr>
              <w:t xml:space="preserve">subsection </w:t>
            </w:r>
            <w:r w:rsidR="00D143D0" w:rsidRPr="00955AC1">
              <w:rPr>
                <w:rFonts w:ascii="Times New Roman" w:hAnsi="Times New Roman" w:cs="Times New Roman"/>
                <w:b/>
                <w:bCs/>
              </w:rPr>
              <w:t>Navigating the Q&amp;A Table</w:t>
            </w:r>
            <w:r w:rsidRPr="00955AC1">
              <w:rPr>
                <w:rFonts w:ascii="Times New Roman" w:hAnsi="Times New Roman" w:cs="Times New Roman"/>
              </w:rPr>
              <w:t>:</w:t>
            </w:r>
            <w:r w:rsidR="000D57AA" w:rsidRPr="00955AC1">
              <w:rPr>
                <w:rFonts w:ascii="Times New Roman" w:hAnsi="Times New Roman" w:cs="Times New Roman"/>
              </w:rPr>
              <w:t xml:space="preserve"> </w:t>
            </w:r>
          </w:p>
          <w:p w14:paraId="6911271E" w14:textId="79297D4A" w:rsidR="00154B02" w:rsidRPr="00955AC1" w:rsidRDefault="00154B02" w:rsidP="00F75B8F">
            <w:pPr>
              <w:pStyle w:val="ListParagraph"/>
              <w:numPr>
                <w:ilvl w:val="2"/>
                <w:numId w:val="1"/>
              </w:numPr>
              <w:rPr>
                <w:rFonts w:ascii="Times New Roman" w:hAnsi="Times New Roman" w:cs="Times New Roman"/>
              </w:rPr>
            </w:pPr>
            <w:r w:rsidRPr="00955AC1">
              <w:rPr>
                <w:rFonts w:ascii="Times New Roman" w:hAnsi="Times New Roman" w:cs="Times New Roman"/>
              </w:rPr>
              <w:t>Added</w:t>
            </w:r>
            <w:r w:rsidR="00D27378" w:rsidRPr="00955AC1">
              <w:rPr>
                <w:rFonts w:ascii="Times New Roman" w:hAnsi="Times New Roman" w:cs="Times New Roman"/>
              </w:rPr>
              <w:t>: “</w:t>
            </w:r>
            <w:r w:rsidR="00315349" w:rsidRPr="00955AC1">
              <w:rPr>
                <w:rFonts w:ascii="Times New Roman" w:hAnsi="Times New Roman" w:cs="Times New Roman"/>
              </w:rPr>
              <w:t>4%/Bonds Round Application Requirements and Procedures</w:t>
            </w:r>
            <w:r w:rsidR="00DE1BF1" w:rsidRPr="00955AC1">
              <w:rPr>
                <w:rFonts w:ascii="Times New Roman" w:hAnsi="Times New Roman" w:cs="Times New Roman"/>
              </w:rPr>
              <w:t>”</w:t>
            </w:r>
          </w:p>
          <w:p w14:paraId="140E6AED" w14:textId="6D390D3F" w:rsidR="00DE1BF1" w:rsidRPr="00955AC1" w:rsidRDefault="004B4380" w:rsidP="009A5E6C">
            <w:pPr>
              <w:pStyle w:val="ListParagraph"/>
              <w:numPr>
                <w:ilvl w:val="2"/>
                <w:numId w:val="1"/>
              </w:numPr>
              <w:rPr>
                <w:rFonts w:ascii="Times New Roman" w:hAnsi="Times New Roman" w:cs="Times New Roman"/>
              </w:rPr>
            </w:pPr>
            <w:r w:rsidRPr="00955AC1">
              <w:rPr>
                <w:rFonts w:ascii="Times New Roman" w:hAnsi="Times New Roman" w:cs="Times New Roman"/>
              </w:rPr>
              <w:t>Deleted</w:t>
            </w:r>
            <w:r w:rsidR="00DE1BF1" w:rsidRPr="00955AC1">
              <w:rPr>
                <w:rFonts w:ascii="Times New Roman" w:hAnsi="Times New Roman" w:cs="Times New Roman"/>
              </w:rPr>
              <w:t>:</w:t>
            </w:r>
            <w:r w:rsidRPr="00955AC1">
              <w:rPr>
                <w:rFonts w:ascii="Times New Roman" w:hAnsi="Times New Roman" w:cs="Times New Roman"/>
              </w:rPr>
              <w:t xml:space="preserve"> “Manuals” </w:t>
            </w:r>
          </w:p>
          <w:p w14:paraId="68531747" w14:textId="206A7853" w:rsidR="00F74AB6" w:rsidRPr="00955AC1" w:rsidRDefault="004C5E35" w:rsidP="00EE089E">
            <w:pPr>
              <w:pStyle w:val="ListParagraph"/>
              <w:numPr>
                <w:ilvl w:val="3"/>
                <w:numId w:val="1"/>
              </w:numPr>
              <w:rPr>
                <w:rFonts w:ascii="Times New Roman" w:hAnsi="Times New Roman" w:cs="Times New Roman"/>
              </w:rPr>
            </w:pPr>
            <w:r w:rsidRPr="00955AC1">
              <w:rPr>
                <w:rFonts w:ascii="Times New Roman" w:hAnsi="Times New Roman" w:cs="Times New Roman"/>
              </w:rPr>
              <w:t xml:space="preserve">This impacted only Q&amp;A: </w:t>
            </w:r>
            <w:r w:rsidRPr="00955AC1">
              <w:rPr>
                <w:rFonts w:ascii="Times New Roman" w:hAnsi="Times New Roman" w:cs="Times New Roman"/>
                <w:b/>
                <w:bCs/>
              </w:rPr>
              <w:t>0725_HFDR-1</w:t>
            </w:r>
          </w:p>
          <w:p w14:paraId="51C1CE91" w14:textId="78582420" w:rsidR="00506960" w:rsidRPr="00955AC1" w:rsidRDefault="00DE1BF1" w:rsidP="00F75B8F">
            <w:pPr>
              <w:pStyle w:val="ListParagraph"/>
              <w:numPr>
                <w:ilvl w:val="3"/>
                <w:numId w:val="1"/>
              </w:numPr>
              <w:rPr>
                <w:rFonts w:ascii="Times New Roman" w:hAnsi="Times New Roman" w:cs="Times New Roman"/>
              </w:rPr>
            </w:pPr>
            <w:r w:rsidRPr="00955AC1">
              <w:rPr>
                <w:rFonts w:ascii="Times New Roman" w:hAnsi="Times New Roman" w:cs="Times New Roman"/>
              </w:rPr>
              <w:t>A</w:t>
            </w:r>
            <w:r w:rsidR="00FC2233" w:rsidRPr="00955AC1">
              <w:rPr>
                <w:rFonts w:ascii="Times New Roman" w:hAnsi="Times New Roman" w:cs="Times New Roman"/>
              </w:rPr>
              <w:t xml:space="preserve">ll </w:t>
            </w:r>
            <w:r w:rsidR="00EF3879" w:rsidRPr="00955AC1">
              <w:rPr>
                <w:rFonts w:ascii="Times New Roman" w:hAnsi="Times New Roman" w:cs="Times New Roman"/>
              </w:rPr>
              <w:t xml:space="preserve">other </w:t>
            </w:r>
            <w:r w:rsidR="0096557B" w:rsidRPr="00955AC1">
              <w:rPr>
                <w:rFonts w:ascii="Times New Roman" w:hAnsi="Times New Roman" w:cs="Times New Roman"/>
              </w:rPr>
              <w:t xml:space="preserve">questions pertaining to manuals </w:t>
            </w:r>
            <w:r w:rsidR="003C339F" w:rsidRPr="00955AC1">
              <w:rPr>
                <w:rFonts w:ascii="Times New Roman" w:hAnsi="Times New Roman" w:cs="Times New Roman"/>
              </w:rPr>
              <w:t xml:space="preserve">have </w:t>
            </w:r>
            <w:r w:rsidR="00355EF4" w:rsidRPr="00955AC1">
              <w:rPr>
                <w:rFonts w:ascii="Times New Roman" w:hAnsi="Times New Roman" w:cs="Times New Roman"/>
              </w:rPr>
              <w:t xml:space="preserve">up to this point </w:t>
            </w:r>
            <w:r w:rsidR="003C339F" w:rsidRPr="00955AC1">
              <w:rPr>
                <w:rFonts w:ascii="Times New Roman" w:hAnsi="Times New Roman" w:cs="Times New Roman"/>
              </w:rPr>
              <w:t xml:space="preserve">been posted </w:t>
            </w:r>
            <w:r w:rsidR="00FC2233" w:rsidRPr="00955AC1">
              <w:rPr>
                <w:rFonts w:ascii="Times New Roman" w:hAnsi="Times New Roman" w:cs="Times New Roman"/>
              </w:rPr>
              <w:t xml:space="preserve">under </w:t>
            </w:r>
            <w:r w:rsidR="00455045" w:rsidRPr="00955AC1">
              <w:rPr>
                <w:rFonts w:ascii="Times New Roman" w:hAnsi="Times New Roman" w:cs="Times New Roman"/>
              </w:rPr>
              <w:t xml:space="preserve">the </w:t>
            </w:r>
            <w:r w:rsidR="003E4150" w:rsidRPr="00955AC1">
              <w:rPr>
                <w:rFonts w:ascii="Times New Roman" w:hAnsi="Times New Roman" w:cs="Times New Roman"/>
              </w:rPr>
              <w:t xml:space="preserve">associated </w:t>
            </w:r>
            <w:r w:rsidR="00FC2233" w:rsidRPr="00955AC1">
              <w:rPr>
                <w:rFonts w:ascii="Times New Roman" w:hAnsi="Times New Roman" w:cs="Times New Roman"/>
              </w:rPr>
              <w:t>QAP section</w:t>
            </w:r>
            <w:r w:rsidR="00B67F3E" w:rsidRPr="00955AC1">
              <w:rPr>
                <w:rFonts w:ascii="Times New Roman" w:hAnsi="Times New Roman" w:cs="Times New Roman"/>
              </w:rPr>
              <w:t xml:space="preserve"> category</w:t>
            </w:r>
            <w:r w:rsidR="00976447" w:rsidRPr="00955AC1">
              <w:rPr>
                <w:rFonts w:ascii="Times New Roman" w:hAnsi="Times New Roman" w:cs="Times New Roman"/>
              </w:rPr>
              <w:t>.</w:t>
            </w:r>
            <w:r w:rsidR="001C719C" w:rsidRPr="00955AC1">
              <w:rPr>
                <w:rFonts w:ascii="Times New Roman" w:hAnsi="Times New Roman" w:cs="Times New Roman"/>
              </w:rPr>
              <w:br/>
            </w:r>
          </w:p>
          <w:p w14:paraId="1F24D845" w14:textId="1785C384" w:rsidR="008D5755" w:rsidRPr="00955AC1" w:rsidRDefault="00EE089E" w:rsidP="69621A9A">
            <w:pPr>
              <w:pStyle w:val="ListParagraph"/>
              <w:numPr>
                <w:ilvl w:val="0"/>
                <w:numId w:val="1"/>
              </w:numPr>
              <w:rPr>
                <w:rFonts w:ascii="Times New Roman" w:hAnsi="Times New Roman" w:cs="Times New Roman"/>
              </w:rPr>
            </w:pPr>
            <w:r w:rsidRPr="00955AC1">
              <w:rPr>
                <w:rFonts w:ascii="Times New Roman" w:hAnsi="Times New Roman" w:cs="Times New Roman"/>
              </w:rPr>
              <w:t xml:space="preserve">Changes to </w:t>
            </w:r>
            <w:r w:rsidR="008D5755" w:rsidRPr="00955AC1">
              <w:rPr>
                <w:rFonts w:ascii="Times New Roman" w:hAnsi="Times New Roman" w:cs="Times New Roman"/>
                <w:b/>
                <w:bCs/>
              </w:rPr>
              <w:t>Part II: Question and Answer Table</w:t>
            </w:r>
            <w:r w:rsidR="00CB63D6" w:rsidRPr="00955AC1">
              <w:rPr>
                <w:rFonts w:ascii="Times New Roman" w:hAnsi="Times New Roman" w:cs="Times New Roman"/>
                <w:b/>
                <w:bCs/>
              </w:rPr>
              <w:t xml:space="preserve"> </w:t>
            </w:r>
            <w:r w:rsidR="00CB63D6" w:rsidRPr="00955AC1">
              <w:rPr>
                <w:rFonts w:ascii="Times New Roman" w:hAnsi="Times New Roman" w:cs="Times New Roman"/>
              </w:rPr>
              <w:t>below:</w:t>
            </w:r>
            <w:r w:rsidR="008D5755" w:rsidRPr="00955AC1">
              <w:rPr>
                <w:rFonts w:ascii="Times New Roman" w:hAnsi="Times New Roman" w:cs="Times New Roman"/>
              </w:rPr>
              <w:t xml:space="preserve"> </w:t>
            </w:r>
          </w:p>
          <w:p w14:paraId="4C0D7CD4" w14:textId="3F66B7D4" w:rsidR="00CB63D6" w:rsidRPr="00955AC1" w:rsidRDefault="005177AC" w:rsidP="00EE6235">
            <w:pPr>
              <w:pStyle w:val="ListParagraph"/>
              <w:numPr>
                <w:ilvl w:val="1"/>
                <w:numId w:val="1"/>
              </w:numPr>
              <w:rPr>
                <w:rFonts w:ascii="Times New Roman" w:hAnsi="Times New Roman" w:cs="Times New Roman"/>
              </w:rPr>
            </w:pPr>
            <w:r w:rsidRPr="00955AC1">
              <w:rPr>
                <w:rFonts w:ascii="Times New Roman" w:hAnsi="Times New Roman" w:cs="Times New Roman"/>
              </w:rPr>
              <w:t>New Q&amp;A set posted</w:t>
            </w:r>
          </w:p>
          <w:p w14:paraId="44027487" w14:textId="77777777" w:rsidR="00487624" w:rsidRPr="00955AC1" w:rsidRDefault="00627E36" w:rsidP="00EE6235">
            <w:pPr>
              <w:pStyle w:val="ListParagraph"/>
              <w:numPr>
                <w:ilvl w:val="1"/>
                <w:numId w:val="1"/>
              </w:numPr>
              <w:rPr>
                <w:rFonts w:ascii="Times New Roman" w:hAnsi="Times New Roman" w:cs="Times New Roman"/>
              </w:rPr>
            </w:pPr>
            <w:r w:rsidRPr="00955AC1">
              <w:rPr>
                <w:rFonts w:ascii="Times New Roman" w:hAnsi="Times New Roman" w:cs="Times New Roman"/>
              </w:rPr>
              <w:t xml:space="preserve">Removed </w:t>
            </w:r>
            <w:r w:rsidR="00487624" w:rsidRPr="00955AC1">
              <w:rPr>
                <w:rFonts w:ascii="Times New Roman" w:hAnsi="Times New Roman" w:cs="Times New Roman"/>
              </w:rPr>
              <w:t>the following Q&amp;A postings:</w:t>
            </w:r>
          </w:p>
          <w:p w14:paraId="51B235D5" w14:textId="2326A1E0" w:rsidR="00627E36" w:rsidRPr="00955AC1" w:rsidRDefault="00627E36" w:rsidP="00487624">
            <w:pPr>
              <w:pStyle w:val="ListParagraph"/>
              <w:numPr>
                <w:ilvl w:val="2"/>
                <w:numId w:val="1"/>
              </w:numPr>
              <w:rPr>
                <w:rFonts w:ascii="Times New Roman" w:hAnsi="Times New Roman" w:cs="Times New Roman"/>
              </w:rPr>
            </w:pPr>
            <w:r w:rsidRPr="00955AC1">
              <w:rPr>
                <w:rFonts w:ascii="Times New Roman" w:hAnsi="Times New Roman" w:cs="Times New Roman"/>
              </w:rPr>
              <w:lastRenderedPageBreak/>
              <w:t xml:space="preserve">Q&amp;As </w:t>
            </w:r>
            <w:r w:rsidR="00BB36FB" w:rsidRPr="00955AC1">
              <w:rPr>
                <w:rFonts w:ascii="Times New Roman" w:hAnsi="Times New Roman" w:cs="Times New Roman"/>
              </w:rPr>
              <w:t xml:space="preserve">only </w:t>
            </w:r>
            <w:r w:rsidRPr="00955AC1">
              <w:rPr>
                <w:rFonts w:ascii="Times New Roman" w:hAnsi="Times New Roman" w:cs="Times New Roman"/>
              </w:rPr>
              <w:t>applicable to the 2022 9% Round</w:t>
            </w:r>
          </w:p>
          <w:p w14:paraId="39E939D0" w14:textId="74437C2E" w:rsidR="00487624" w:rsidRPr="00955AC1" w:rsidRDefault="00487624" w:rsidP="00F75B8F">
            <w:pPr>
              <w:pStyle w:val="ListParagraph"/>
              <w:numPr>
                <w:ilvl w:val="2"/>
                <w:numId w:val="1"/>
              </w:numPr>
              <w:rPr>
                <w:rFonts w:ascii="Times New Roman" w:hAnsi="Times New Roman" w:cs="Times New Roman"/>
              </w:rPr>
            </w:pPr>
            <w:r w:rsidRPr="00955AC1">
              <w:rPr>
                <w:rFonts w:ascii="Times New Roman" w:hAnsi="Times New Roman" w:cs="Times New Roman"/>
              </w:rPr>
              <w:t>Q&amp;As clarifying “Flexible Share” requirements</w:t>
            </w:r>
            <w:r w:rsidR="00957D8E" w:rsidRPr="00955AC1">
              <w:rPr>
                <w:rFonts w:ascii="Times New Roman" w:hAnsi="Times New Roman" w:cs="Times New Roman"/>
              </w:rPr>
              <w:t xml:space="preserve"> </w:t>
            </w:r>
          </w:p>
          <w:p w14:paraId="0BDFD340" w14:textId="1950F420" w:rsidR="00ED0D33" w:rsidRPr="00955AC1" w:rsidRDefault="00F568F7" w:rsidP="00F75B8F">
            <w:pPr>
              <w:pStyle w:val="ListParagraph"/>
              <w:numPr>
                <w:ilvl w:val="1"/>
                <w:numId w:val="1"/>
              </w:numPr>
              <w:rPr>
                <w:rFonts w:ascii="Times New Roman" w:hAnsi="Times New Roman" w:cs="Times New Roman"/>
              </w:rPr>
            </w:pPr>
            <w:r w:rsidRPr="00955AC1">
              <w:rPr>
                <w:rFonts w:ascii="Times New Roman" w:hAnsi="Times New Roman" w:cs="Times New Roman"/>
              </w:rPr>
              <w:t xml:space="preserve">Flagged Q&amp;As that reference the 9% Round </w:t>
            </w:r>
            <w:r w:rsidR="00506DFC" w:rsidRPr="00955AC1">
              <w:rPr>
                <w:rFonts w:ascii="Times New Roman" w:hAnsi="Times New Roman" w:cs="Times New Roman"/>
              </w:rPr>
              <w:t xml:space="preserve">but </w:t>
            </w:r>
            <w:r w:rsidRPr="00955AC1">
              <w:rPr>
                <w:rFonts w:ascii="Times New Roman" w:hAnsi="Times New Roman" w:cs="Times New Roman"/>
              </w:rPr>
              <w:t xml:space="preserve">contain information relevant to 4%/Bonds applications. </w:t>
            </w:r>
          </w:p>
        </w:tc>
      </w:tr>
      <w:tr w:rsidR="69621A9A" w:rsidRPr="00955AC1" w14:paraId="2C4B8E35" w14:textId="77777777" w:rsidTr="69621A9A">
        <w:trPr>
          <w:jc w:val="center"/>
        </w:trPr>
        <w:tc>
          <w:tcPr>
            <w:tcW w:w="1165" w:type="dxa"/>
            <w:tcMar>
              <w:top w:w="72" w:type="dxa"/>
              <w:left w:w="115" w:type="dxa"/>
              <w:bottom w:w="72" w:type="dxa"/>
              <w:right w:w="115" w:type="dxa"/>
            </w:tcMar>
            <w:vAlign w:val="center"/>
          </w:tcPr>
          <w:p w14:paraId="7AF76D1A" w14:textId="69E2066E" w:rsidR="7EC83113" w:rsidRPr="00955AC1" w:rsidRDefault="7EC83113" w:rsidP="69621A9A">
            <w:pPr>
              <w:rPr>
                <w:rFonts w:ascii="Times New Roman" w:hAnsi="Times New Roman" w:cs="Times New Roman"/>
              </w:rPr>
            </w:pPr>
            <w:r w:rsidRPr="00955AC1">
              <w:rPr>
                <w:rFonts w:ascii="Times New Roman" w:hAnsi="Times New Roman" w:cs="Times New Roman"/>
              </w:rPr>
              <w:lastRenderedPageBreak/>
              <w:t>8/31/22</w:t>
            </w:r>
          </w:p>
        </w:tc>
        <w:tc>
          <w:tcPr>
            <w:tcW w:w="8010" w:type="dxa"/>
            <w:tcMar>
              <w:top w:w="72" w:type="dxa"/>
              <w:left w:w="115" w:type="dxa"/>
              <w:bottom w:w="72" w:type="dxa"/>
              <w:right w:w="115" w:type="dxa"/>
            </w:tcMar>
            <w:vAlign w:val="center"/>
          </w:tcPr>
          <w:p w14:paraId="24932564" w14:textId="55D2E7A4" w:rsidR="7EC83113" w:rsidRPr="00955AC1" w:rsidRDefault="7EC83113" w:rsidP="69621A9A">
            <w:pPr>
              <w:pStyle w:val="ListParagraph"/>
              <w:numPr>
                <w:ilvl w:val="0"/>
                <w:numId w:val="1"/>
              </w:numPr>
              <w:rPr>
                <w:rFonts w:eastAsiaTheme="minorEastAsia"/>
              </w:rPr>
            </w:pPr>
            <w:r w:rsidRPr="00955AC1">
              <w:rPr>
                <w:rFonts w:ascii="Times New Roman" w:hAnsi="Times New Roman" w:cs="Times New Roman"/>
              </w:rPr>
              <w:t>New Q&amp;A set posted</w:t>
            </w:r>
          </w:p>
        </w:tc>
      </w:tr>
      <w:tr w:rsidR="028CE5D1" w:rsidRPr="00955AC1" w14:paraId="3394DB53" w14:textId="77777777" w:rsidTr="69621A9A">
        <w:trPr>
          <w:jc w:val="center"/>
        </w:trPr>
        <w:tc>
          <w:tcPr>
            <w:tcW w:w="1165" w:type="dxa"/>
            <w:tcMar>
              <w:top w:w="72" w:type="dxa"/>
              <w:left w:w="115" w:type="dxa"/>
              <w:bottom w:w="72" w:type="dxa"/>
              <w:right w:w="115" w:type="dxa"/>
            </w:tcMar>
            <w:vAlign w:val="center"/>
          </w:tcPr>
          <w:p w14:paraId="031DC86F" w14:textId="448F95DE" w:rsidR="028CE5D1" w:rsidRPr="00955AC1" w:rsidRDefault="028CE5D1" w:rsidP="028CE5D1">
            <w:pPr>
              <w:rPr>
                <w:rFonts w:ascii="Times New Roman" w:hAnsi="Times New Roman" w:cs="Times New Roman"/>
              </w:rPr>
            </w:pPr>
            <w:r w:rsidRPr="00955AC1">
              <w:rPr>
                <w:rFonts w:ascii="Times New Roman" w:hAnsi="Times New Roman" w:cs="Times New Roman"/>
              </w:rPr>
              <w:t>8/5/22</w:t>
            </w:r>
          </w:p>
        </w:tc>
        <w:tc>
          <w:tcPr>
            <w:tcW w:w="8010" w:type="dxa"/>
            <w:tcMar>
              <w:top w:w="72" w:type="dxa"/>
              <w:left w:w="115" w:type="dxa"/>
              <w:bottom w:w="72" w:type="dxa"/>
              <w:right w:w="115" w:type="dxa"/>
            </w:tcMar>
            <w:vAlign w:val="center"/>
          </w:tcPr>
          <w:p w14:paraId="38B2AAB5" w14:textId="622FF6CF" w:rsidR="028CE5D1" w:rsidRPr="00955AC1" w:rsidRDefault="028CE5D1" w:rsidP="006F437F">
            <w:pPr>
              <w:pStyle w:val="ListParagraph"/>
              <w:numPr>
                <w:ilvl w:val="0"/>
                <w:numId w:val="57"/>
              </w:numPr>
              <w:rPr>
                <w:rFonts w:eastAsiaTheme="minorEastAsia"/>
              </w:rPr>
            </w:pPr>
            <w:r w:rsidRPr="00955AC1">
              <w:rPr>
                <w:rFonts w:ascii="Times New Roman" w:hAnsi="Times New Roman" w:cs="Times New Roman"/>
              </w:rPr>
              <w:t xml:space="preserve">New Q&amp;A set posted </w:t>
            </w:r>
          </w:p>
        </w:tc>
      </w:tr>
      <w:tr w:rsidR="00735BD9" w:rsidRPr="00955AC1" w14:paraId="5FAB8981" w14:textId="77777777" w:rsidTr="69621A9A">
        <w:trPr>
          <w:jc w:val="center"/>
        </w:trPr>
        <w:tc>
          <w:tcPr>
            <w:tcW w:w="1165" w:type="dxa"/>
            <w:tcMar>
              <w:top w:w="72" w:type="dxa"/>
              <w:left w:w="115" w:type="dxa"/>
              <w:bottom w:w="72" w:type="dxa"/>
              <w:right w:w="115" w:type="dxa"/>
            </w:tcMar>
            <w:vAlign w:val="center"/>
          </w:tcPr>
          <w:p w14:paraId="22CD7E0E" w14:textId="77777777" w:rsidR="00735BD9" w:rsidRPr="00955AC1" w:rsidRDefault="00735BD9" w:rsidP="1995616E">
            <w:pPr>
              <w:rPr>
                <w:rFonts w:ascii="Times New Roman" w:hAnsi="Times New Roman" w:cs="Times New Roman"/>
              </w:rPr>
            </w:pPr>
            <w:r w:rsidRPr="00955AC1">
              <w:rPr>
                <w:rFonts w:ascii="Times New Roman" w:hAnsi="Times New Roman" w:cs="Times New Roman"/>
              </w:rPr>
              <w:t>7/27/22</w:t>
            </w:r>
          </w:p>
        </w:tc>
        <w:tc>
          <w:tcPr>
            <w:tcW w:w="8010" w:type="dxa"/>
            <w:tcMar>
              <w:top w:w="72" w:type="dxa"/>
              <w:left w:w="115" w:type="dxa"/>
              <w:bottom w:w="72" w:type="dxa"/>
              <w:right w:w="115" w:type="dxa"/>
            </w:tcMar>
            <w:vAlign w:val="center"/>
          </w:tcPr>
          <w:p w14:paraId="2BF2B29F" w14:textId="41893189" w:rsidR="00754644" w:rsidRPr="00955AC1" w:rsidRDefault="00682D4F" w:rsidP="006F437F">
            <w:pPr>
              <w:pStyle w:val="ListParagraph"/>
              <w:numPr>
                <w:ilvl w:val="0"/>
                <w:numId w:val="4"/>
              </w:numPr>
              <w:rPr>
                <w:rFonts w:ascii="Times New Roman" w:hAnsi="Times New Roman" w:cs="Times New Roman"/>
              </w:rPr>
            </w:pPr>
            <w:r w:rsidRPr="00955AC1">
              <w:rPr>
                <w:rFonts w:ascii="Times New Roman" w:hAnsi="Times New Roman" w:cs="Times New Roman"/>
              </w:rPr>
              <w:t>Updated</w:t>
            </w:r>
            <w:r w:rsidRPr="00955AC1">
              <w:rPr>
                <w:rFonts w:ascii="Times New Roman" w:hAnsi="Times New Roman" w:cs="Times New Roman"/>
                <w:b/>
                <w:bCs/>
              </w:rPr>
              <w:t xml:space="preserve"> </w:t>
            </w:r>
            <w:r w:rsidR="00754644" w:rsidRPr="00955AC1">
              <w:rPr>
                <w:rFonts w:ascii="Times New Roman" w:hAnsi="Times New Roman" w:cs="Times New Roman"/>
                <w:b/>
                <w:bCs/>
              </w:rPr>
              <w:t>Part I. Overview</w:t>
            </w:r>
            <w:r w:rsidRPr="00955AC1">
              <w:rPr>
                <w:rFonts w:ascii="Times New Roman" w:hAnsi="Times New Roman" w:cs="Times New Roman"/>
                <w:b/>
                <w:bCs/>
              </w:rPr>
              <w:t xml:space="preserve">, </w:t>
            </w:r>
            <w:r w:rsidRPr="00955AC1">
              <w:rPr>
                <w:rFonts w:ascii="Times New Roman" w:hAnsi="Times New Roman" w:cs="Times New Roman"/>
              </w:rPr>
              <w:t>subsection</w:t>
            </w:r>
            <w:r w:rsidRPr="00955AC1">
              <w:rPr>
                <w:rFonts w:ascii="Times New Roman" w:hAnsi="Times New Roman" w:cs="Times New Roman"/>
                <w:b/>
                <w:bCs/>
              </w:rPr>
              <w:t xml:space="preserve"> Deadline to Submit Questions for 4%/Bonds Competitive Round</w:t>
            </w:r>
            <w:r w:rsidR="00754644" w:rsidRPr="00955AC1">
              <w:rPr>
                <w:rFonts w:ascii="Times New Roman" w:hAnsi="Times New Roman" w:cs="Times New Roman"/>
              </w:rPr>
              <w:t>:</w:t>
            </w:r>
          </w:p>
          <w:p w14:paraId="14FD9C45" w14:textId="05D87C2E" w:rsidR="00754644" w:rsidRPr="00955AC1" w:rsidRDefault="005D7E95" w:rsidP="006F437F">
            <w:pPr>
              <w:pStyle w:val="ListParagraph"/>
              <w:numPr>
                <w:ilvl w:val="1"/>
                <w:numId w:val="4"/>
              </w:numPr>
              <w:rPr>
                <w:rFonts w:ascii="Times New Roman" w:hAnsi="Times New Roman" w:cs="Times New Roman"/>
              </w:rPr>
            </w:pPr>
            <w:r w:rsidRPr="00955AC1">
              <w:rPr>
                <w:rFonts w:ascii="Times New Roman" w:hAnsi="Times New Roman" w:cs="Times New Roman"/>
              </w:rPr>
              <w:t xml:space="preserve">Posted 4%/Bonds Competitive Round Q&amp;A </w:t>
            </w:r>
            <w:r w:rsidR="00157F34" w:rsidRPr="00955AC1">
              <w:rPr>
                <w:rFonts w:ascii="Times New Roman" w:hAnsi="Times New Roman" w:cs="Times New Roman"/>
              </w:rPr>
              <w:t xml:space="preserve">submission </w:t>
            </w:r>
            <w:r w:rsidRPr="00955AC1">
              <w:rPr>
                <w:rFonts w:ascii="Times New Roman" w:hAnsi="Times New Roman" w:cs="Times New Roman"/>
              </w:rPr>
              <w:t>deadline</w:t>
            </w:r>
            <w:r w:rsidR="009D2635" w:rsidRPr="00955AC1">
              <w:rPr>
                <w:rFonts w:ascii="Times New Roman" w:hAnsi="Times New Roman" w:cs="Times New Roman"/>
              </w:rPr>
              <w:br/>
            </w:r>
            <w:r w:rsidRPr="00955AC1">
              <w:rPr>
                <w:rFonts w:ascii="Times New Roman" w:hAnsi="Times New Roman" w:cs="Times New Roman"/>
              </w:rPr>
              <w:t xml:space="preserve"> </w:t>
            </w:r>
          </w:p>
          <w:p w14:paraId="24B4BB60" w14:textId="77777777" w:rsidR="00682D4F" w:rsidRPr="00955AC1" w:rsidRDefault="00682D4F" w:rsidP="006F437F">
            <w:pPr>
              <w:pStyle w:val="ListParagraph"/>
              <w:numPr>
                <w:ilvl w:val="0"/>
                <w:numId w:val="4"/>
              </w:numPr>
              <w:rPr>
                <w:rFonts w:ascii="Times New Roman" w:hAnsi="Times New Roman" w:cs="Times New Roman"/>
              </w:rPr>
            </w:pPr>
            <w:r w:rsidRPr="00955AC1">
              <w:rPr>
                <w:rFonts w:ascii="Times New Roman" w:hAnsi="Times New Roman" w:cs="Times New Roman"/>
              </w:rPr>
              <w:t xml:space="preserve">Updated </w:t>
            </w:r>
            <w:r w:rsidRPr="00955AC1">
              <w:rPr>
                <w:rFonts w:ascii="Times New Roman" w:hAnsi="Times New Roman" w:cs="Times New Roman"/>
                <w:b/>
                <w:bCs/>
              </w:rPr>
              <w:t>Part I. Overview</w:t>
            </w:r>
            <w:r w:rsidRPr="00955AC1">
              <w:rPr>
                <w:rFonts w:ascii="Times New Roman" w:hAnsi="Times New Roman" w:cs="Times New Roman"/>
              </w:rPr>
              <w:t xml:space="preserve">, subsection </w:t>
            </w:r>
            <w:r w:rsidRPr="00955AC1">
              <w:rPr>
                <w:rFonts w:ascii="Times New Roman" w:hAnsi="Times New Roman" w:cs="Times New Roman"/>
                <w:b/>
                <w:bCs/>
              </w:rPr>
              <w:t>Navigating the Q&amp;A Table</w:t>
            </w:r>
            <w:r w:rsidRPr="00955AC1">
              <w:rPr>
                <w:rFonts w:ascii="Times New Roman" w:hAnsi="Times New Roman" w:cs="Times New Roman"/>
              </w:rPr>
              <w:t xml:space="preserve">: </w:t>
            </w:r>
          </w:p>
          <w:p w14:paraId="4788ED88" w14:textId="5D2094FA" w:rsidR="00190F1D" w:rsidRPr="00955AC1" w:rsidRDefault="00735BD9" w:rsidP="006F437F">
            <w:pPr>
              <w:pStyle w:val="ListParagraph"/>
              <w:numPr>
                <w:ilvl w:val="1"/>
                <w:numId w:val="4"/>
              </w:numPr>
              <w:rPr>
                <w:rFonts w:ascii="Times New Roman" w:hAnsi="Times New Roman" w:cs="Times New Roman"/>
              </w:rPr>
            </w:pPr>
            <w:r w:rsidRPr="00955AC1">
              <w:rPr>
                <w:rFonts w:ascii="Times New Roman" w:hAnsi="Times New Roman" w:cs="Times New Roman"/>
              </w:rPr>
              <w:t>Added</w:t>
            </w:r>
            <w:r w:rsidR="007A5DCC" w:rsidRPr="00955AC1">
              <w:rPr>
                <w:rFonts w:ascii="Times New Roman" w:hAnsi="Times New Roman" w:cs="Times New Roman"/>
              </w:rPr>
              <w:t xml:space="preserve"> category “8</w:t>
            </w:r>
            <w:r w:rsidR="004D5F7A" w:rsidRPr="00955AC1">
              <w:rPr>
                <w:rFonts w:ascii="Times New Roman" w:hAnsi="Times New Roman" w:cs="Times New Roman"/>
              </w:rPr>
              <w:t xml:space="preserve">” </w:t>
            </w:r>
            <w:r w:rsidR="004B6463" w:rsidRPr="00955AC1">
              <w:rPr>
                <w:rFonts w:ascii="Times New Roman" w:hAnsi="Times New Roman" w:cs="Times New Roman"/>
              </w:rPr>
              <w:t xml:space="preserve">for questions about </w:t>
            </w:r>
            <w:r w:rsidR="007A5DCC" w:rsidRPr="00955AC1">
              <w:rPr>
                <w:rFonts w:ascii="Times New Roman" w:hAnsi="Times New Roman" w:cs="Times New Roman"/>
              </w:rPr>
              <w:t xml:space="preserve">4%/Bonds Competitive Round Administration </w:t>
            </w:r>
            <w:r w:rsidR="009D2635" w:rsidRPr="00955AC1">
              <w:rPr>
                <w:rFonts w:ascii="Times New Roman" w:hAnsi="Times New Roman" w:cs="Times New Roman"/>
              </w:rPr>
              <w:br/>
            </w:r>
          </w:p>
          <w:p w14:paraId="69F52E98" w14:textId="77777777" w:rsidR="00110520" w:rsidRPr="00955AC1" w:rsidRDefault="00110520" w:rsidP="006F437F">
            <w:pPr>
              <w:pStyle w:val="ListParagraph"/>
              <w:numPr>
                <w:ilvl w:val="0"/>
                <w:numId w:val="4"/>
              </w:numPr>
              <w:rPr>
                <w:rFonts w:ascii="Times New Roman" w:hAnsi="Times New Roman" w:cs="Times New Roman"/>
              </w:rPr>
            </w:pPr>
            <w:r w:rsidRPr="00955AC1">
              <w:rPr>
                <w:rFonts w:ascii="Times New Roman" w:hAnsi="Times New Roman" w:cs="Times New Roman"/>
              </w:rPr>
              <w:t xml:space="preserve">Updated </w:t>
            </w:r>
            <w:r w:rsidRPr="00955AC1">
              <w:rPr>
                <w:rFonts w:ascii="Times New Roman" w:hAnsi="Times New Roman" w:cs="Times New Roman"/>
                <w:b/>
                <w:bCs/>
              </w:rPr>
              <w:t>Part II: Question and Answer Table</w:t>
            </w:r>
            <w:r w:rsidRPr="00955AC1">
              <w:rPr>
                <w:rFonts w:ascii="Times New Roman" w:hAnsi="Times New Roman" w:cs="Times New Roman"/>
              </w:rPr>
              <w:t>:</w:t>
            </w:r>
          </w:p>
          <w:p w14:paraId="2EA3DEEA" w14:textId="35926876" w:rsidR="003239CC" w:rsidRPr="00955AC1" w:rsidRDefault="00872FD0" w:rsidP="006F437F">
            <w:pPr>
              <w:pStyle w:val="ListParagraph"/>
              <w:numPr>
                <w:ilvl w:val="1"/>
                <w:numId w:val="4"/>
              </w:numPr>
              <w:rPr>
                <w:rFonts w:ascii="Times New Roman" w:hAnsi="Times New Roman" w:cs="Times New Roman"/>
              </w:rPr>
            </w:pPr>
            <w:r w:rsidRPr="00955AC1">
              <w:rPr>
                <w:rFonts w:ascii="Times New Roman" w:hAnsi="Times New Roman" w:cs="Times New Roman"/>
              </w:rPr>
              <w:t>F</w:t>
            </w:r>
            <w:r w:rsidR="003239CC" w:rsidRPr="00955AC1">
              <w:rPr>
                <w:rFonts w:ascii="Times New Roman" w:hAnsi="Times New Roman" w:cs="Times New Roman"/>
              </w:rPr>
              <w:t xml:space="preserve">irst Q&amp;A </w:t>
            </w:r>
            <w:r w:rsidR="00110520" w:rsidRPr="00955AC1">
              <w:rPr>
                <w:rFonts w:ascii="Times New Roman" w:hAnsi="Times New Roman" w:cs="Times New Roman"/>
              </w:rPr>
              <w:t xml:space="preserve">set </w:t>
            </w:r>
            <w:r w:rsidR="003239CC" w:rsidRPr="00955AC1">
              <w:rPr>
                <w:rFonts w:ascii="Times New Roman" w:hAnsi="Times New Roman" w:cs="Times New Roman"/>
              </w:rPr>
              <w:t>posted for purposes of the 4%/Bonds Competitive Round</w:t>
            </w:r>
            <w:r w:rsidR="0022267E" w:rsidRPr="00955AC1">
              <w:rPr>
                <w:rFonts w:ascii="Times New Roman" w:hAnsi="Times New Roman" w:cs="Times New Roman"/>
              </w:rPr>
              <w:t xml:space="preserve">. </w:t>
            </w:r>
          </w:p>
        </w:tc>
      </w:tr>
    </w:tbl>
    <w:p w14:paraId="09C9DF0C" w14:textId="028B2F61" w:rsidR="005873CE" w:rsidRPr="00955AC1" w:rsidRDefault="005873CE">
      <w:pPr>
        <w:rPr>
          <w:rFonts w:ascii="Times New Roman" w:hAnsi="Times New Roman" w:cs="Times New Roman"/>
        </w:rPr>
      </w:pPr>
    </w:p>
    <w:p w14:paraId="576F9EA1" w14:textId="77777777" w:rsidR="00246189" w:rsidRPr="00955AC1" w:rsidRDefault="00246189">
      <w:pPr>
        <w:rPr>
          <w:rFonts w:ascii="Times New Roman" w:eastAsiaTheme="majorEastAsia" w:hAnsi="Times New Roman" w:cs="Times New Roman"/>
          <w:color w:val="2F5496" w:themeColor="accent1" w:themeShade="BF"/>
          <w:sz w:val="32"/>
          <w:szCs w:val="32"/>
        </w:rPr>
      </w:pPr>
      <w:r w:rsidRPr="00955AC1">
        <w:rPr>
          <w:rFonts w:cs="Times New Roman"/>
        </w:rPr>
        <w:br w:type="page"/>
      </w:r>
    </w:p>
    <w:p w14:paraId="6863E81D" w14:textId="08E86B78" w:rsidR="00A75466" w:rsidRPr="00955AC1" w:rsidRDefault="00E54915" w:rsidP="00D477ED">
      <w:pPr>
        <w:pStyle w:val="Heading1"/>
        <w:rPr>
          <w:rFonts w:cs="Times New Roman"/>
        </w:rPr>
      </w:pPr>
      <w:r w:rsidRPr="00955AC1">
        <w:rPr>
          <w:rFonts w:cs="Times New Roman"/>
        </w:rPr>
        <w:lastRenderedPageBreak/>
        <w:t xml:space="preserve">Part II: </w:t>
      </w:r>
      <w:r w:rsidR="00137597" w:rsidRPr="00955AC1">
        <w:rPr>
          <w:rFonts w:cs="Times New Roman"/>
        </w:rPr>
        <w:t>Question and Answer Table</w:t>
      </w:r>
      <w:r w:rsidR="00D477ED" w:rsidRPr="00955AC1">
        <w:rPr>
          <w:rFonts w:cs="Times New Roman"/>
        </w:rPr>
        <w:br/>
      </w:r>
    </w:p>
    <w:tbl>
      <w:tblPr>
        <w:tblStyle w:val="TableGrid"/>
        <w:tblW w:w="13945" w:type="dxa"/>
        <w:jc w:val="center"/>
        <w:tblLook w:val="04A0" w:firstRow="1" w:lastRow="0" w:firstColumn="1" w:lastColumn="0" w:noHBand="0" w:noVBand="1"/>
      </w:tblPr>
      <w:tblGrid>
        <w:gridCol w:w="1697"/>
        <w:gridCol w:w="2663"/>
        <w:gridCol w:w="9585"/>
      </w:tblGrid>
      <w:tr w:rsidR="00390F34" w:rsidRPr="00955AC1" w14:paraId="73AE872E" w14:textId="77777777" w:rsidTr="64301FE8">
        <w:trPr>
          <w:tblHeader/>
          <w:jc w:val="center"/>
        </w:trPr>
        <w:tc>
          <w:tcPr>
            <w:tcW w:w="1697" w:type="dxa"/>
            <w:shd w:val="clear" w:color="auto" w:fill="D9D9D9" w:themeFill="background1" w:themeFillShade="D9"/>
            <w:tcMar>
              <w:top w:w="72" w:type="dxa"/>
              <w:left w:w="115" w:type="dxa"/>
              <w:bottom w:w="72" w:type="dxa"/>
              <w:right w:w="115" w:type="dxa"/>
            </w:tcMar>
            <w:vAlign w:val="center"/>
          </w:tcPr>
          <w:p w14:paraId="631EC4EA" w14:textId="77777777" w:rsidR="00390F34" w:rsidRPr="00955AC1" w:rsidRDefault="00390F34" w:rsidP="00163089">
            <w:pPr>
              <w:jc w:val="center"/>
              <w:rPr>
                <w:rFonts w:ascii="Times New Roman" w:hAnsi="Times New Roman" w:cs="Times New Roman"/>
                <w:b/>
                <w:bCs/>
                <w:noProof/>
              </w:rPr>
            </w:pPr>
            <w:r w:rsidRPr="00955AC1">
              <w:rPr>
                <w:rFonts w:ascii="Times New Roman" w:hAnsi="Times New Roman" w:cs="Times New Roman"/>
                <w:b/>
                <w:bCs/>
                <w:noProof/>
              </w:rPr>
              <w:t>Date</w:t>
            </w:r>
          </w:p>
          <w:p w14:paraId="2E752837" w14:textId="77777777" w:rsidR="00390F34" w:rsidRPr="00955AC1" w:rsidRDefault="00390F34" w:rsidP="00163089">
            <w:pPr>
              <w:jc w:val="center"/>
              <w:rPr>
                <w:rFonts w:ascii="Times New Roman" w:hAnsi="Times New Roman" w:cs="Times New Roman"/>
                <w:b/>
                <w:bCs/>
                <w:noProof/>
              </w:rPr>
            </w:pPr>
            <w:r w:rsidRPr="00955AC1">
              <w:rPr>
                <w:rFonts w:ascii="Times New Roman" w:hAnsi="Times New Roman" w:cs="Times New Roman"/>
                <w:b/>
                <w:bCs/>
                <w:noProof/>
              </w:rPr>
              <w:t>Posted</w:t>
            </w:r>
          </w:p>
        </w:tc>
        <w:tc>
          <w:tcPr>
            <w:tcW w:w="2663" w:type="dxa"/>
            <w:shd w:val="clear" w:color="auto" w:fill="D9D9D9" w:themeFill="background1" w:themeFillShade="D9"/>
            <w:tcMar>
              <w:top w:w="72" w:type="dxa"/>
              <w:left w:w="115" w:type="dxa"/>
              <w:bottom w:w="72" w:type="dxa"/>
              <w:right w:w="115" w:type="dxa"/>
            </w:tcMar>
            <w:vAlign w:val="center"/>
          </w:tcPr>
          <w:p w14:paraId="5F948C56" w14:textId="77777777" w:rsidR="00390F34" w:rsidRPr="00955AC1" w:rsidRDefault="00390F34" w:rsidP="00163089">
            <w:pPr>
              <w:jc w:val="center"/>
              <w:rPr>
                <w:rFonts w:ascii="Times New Roman" w:hAnsi="Times New Roman" w:cs="Times New Roman"/>
                <w:b/>
                <w:bCs/>
                <w:noProof/>
              </w:rPr>
            </w:pPr>
            <w:r w:rsidRPr="00955AC1">
              <w:rPr>
                <w:rFonts w:ascii="Times New Roman" w:hAnsi="Times New Roman" w:cs="Times New Roman"/>
                <w:b/>
                <w:bCs/>
                <w:noProof/>
              </w:rPr>
              <w:t>Category</w:t>
            </w:r>
          </w:p>
        </w:tc>
        <w:tc>
          <w:tcPr>
            <w:tcW w:w="9585" w:type="dxa"/>
            <w:shd w:val="clear" w:color="auto" w:fill="D9D9D9" w:themeFill="background1" w:themeFillShade="D9"/>
            <w:tcMar>
              <w:top w:w="72" w:type="dxa"/>
              <w:left w:w="115" w:type="dxa"/>
              <w:bottom w:w="72" w:type="dxa"/>
              <w:right w:w="115" w:type="dxa"/>
            </w:tcMar>
            <w:vAlign w:val="center"/>
          </w:tcPr>
          <w:p w14:paraId="60D8AE95" w14:textId="77777777" w:rsidR="00390F34" w:rsidRPr="00955AC1" w:rsidRDefault="00390F34" w:rsidP="00163089">
            <w:pPr>
              <w:jc w:val="center"/>
              <w:rPr>
                <w:rFonts w:ascii="Times New Roman" w:hAnsi="Times New Roman" w:cs="Times New Roman"/>
                <w:b/>
                <w:bCs/>
                <w:noProof/>
              </w:rPr>
            </w:pPr>
            <w:r w:rsidRPr="00955AC1">
              <w:rPr>
                <w:rFonts w:ascii="Times New Roman" w:hAnsi="Times New Roman" w:cs="Times New Roman"/>
                <w:b/>
                <w:bCs/>
                <w:noProof/>
              </w:rPr>
              <w:t>Question and Answer</w:t>
            </w:r>
          </w:p>
        </w:tc>
      </w:tr>
      <w:tr w:rsidR="00390F34" w:rsidRPr="00955AC1" w14:paraId="73941C70"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984F5FC"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4CDD8B34" w14:textId="77777777" w:rsidR="00390F34" w:rsidRPr="00955AC1" w:rsidRDefault="00390F34" w:rsidP="00185971">
            <w:pPr>
              <w:rPr>
                <w:rFonts w:ascii="Times New Roman" w:hAnsi="Times New Roman" w:cs="Times New Roman"/>
                <w:sz w:val="20"/>
                <w:szCs w:val="20"/>
              </w:rPr>
            </w:pPr>
            <w:r w:rsidRPr="00955AC1">
              <w:rPr>
                <w:rFonts w:ascii="Times New Roman" w:hAnsi="Times New Roman" w:cs="Times New Roman"/>
                <w:sz w:val="20"/>
                <w:szCs w:val="20"/>
              </w:rPr>
              <w:t>1.05</w:t>
            </w:r>
          </w:p>
          <w:p w14:paraId="6A322EBE" w14:textId="77777777" w:rsidR="00390F34" w:rsidRPr="00955AC1" w:rsidRDefault="00390F34" w:rsidP="00185971">
            <w:pPr>
              <w:rPr>
                <w:rFonts w:ascii="Times New Roman" w:hAnsi="Times New Roman" w:cs="Times New Roman"/>
                <w:sz w:val="20"/>
                <w:szCs w:val="20"/>
              </w:rPr>
            </w:pPr>
            <w:r w:rsidRPr="00955AC1">
              <w:rPr>
                <w:rFonts w:ascii="Times New Roman" w:hAnsi="Times New Roman" w:cs="Times New Roman"/>
                <w:sz w:val="20"/>
                <w:szCs w:val="20"/>
              </w:rPr>
              <w:t>Core Plan;</w:t>
            </w:r>
          </w:p>
          <w:p w14:paraId="22381B99" w14:textId="77777777" w:rsidR="00390F34" w:rsidRPr="00955AC1" w:rsidRDefault="00390F34" w:rsidP="00185971">
            <w:pPr>
              <w:rPr>
                <w:rFonts w:ascii="Times New Roman" w:hAnsi="Times New Roman" w:cs="Times New Roman"/>
                <w:sz w:val="20"/>
                <w:szCs w:val="20"/>
              </w:rPr>
            </w:pPr>
            <w:r w:rsidRPr="00955AC1">
              <w:rPr>
                <w:rFonts w:ascii="Times New Roman" w:hAnsi="Times New Roman" w:cs="Times New Roman"/>
                <w:sz w:val="20"/>
                <w:szCs w:val="20"/>
              </w:rPr>
              <w:t>Geographic Pools</w:t>
            </w:r>
          </w:p>
        </w:tc>
        <w:tc>
          <w:tcPr>
            <w:tcW w:w="9585" w:type="dxa"/>
            <w:shd w:val="clear" w:color="auto" w:fill="auto"/>
            <w:tcMar>
              <w:top w:w="72" w:type="dxa"/>
              <w:left w:w="115" w:type="dxa"/>
              <w:bottom w:w="72" w:type="dxa"/>
              <w:right w:w="115" w:type="dxa"/>
            </w:tcMar>
            <w:vAlign w:val="center"/>
          </w:tcPr>
          <w:p w14:paraId="5D8777A0" w14:textId="77777777" w:rsidR="00390F34" w:rsidRPr="00955AC1" w:rsidRDefault="00390F34" w:rsidP="00911772">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 ID: 1013349343</w:t>
            </w:r>
            <w:r w:rsidRPr="00955AC1">
              <w:rPr>
                <w:rFonts w:ascii="Times New Roman" w:eastAsia="Times New Roman" w:hAnsi="Times New Roman" w:cs="Times New Roman"/>
                <w:sz w:val="20"/>
                <w:szCs w:val="20"/>
              </w:rPr>
              <w:t> </w:t>
            </w:r>
            <w:r w:rsidRPr="00955AC1">
              <w:rPr>
                <w:rFonts w:ascii="Times New Roman" w:eastAsia="Times New Roman" w:hAnsi="Times New Roman" w:cs="Times New Roman"/>
                <w:sz w:val="20"/>
                <w:szCs w:val="20"/>
              </w:rPr>
              <w:br/>
            </w:r>
            <w:r w:rsidRPr="00955AC1">
              <w:rPr>
                <w:rFonts w:ascii="Times New Roman" w:eastAsia="Times New Roman" w:hAnsi="Times New Roman" w:cs="Times New Roman"/>
                <w:color w:val="000000"/>
                <w:sz w:val="20"/>
                <w:szCs w:val="20"/>
              </w:rPr>
              <w:t>Will rural deals vs. metro deals be in the same pool? For instance, a rural deal can get two points for having on call bus transportation. A metro deal has to be within a certain distance of a bus stop. Will rural/metro deals be in the same pool for scoring purposes? </w:t>
            </w:r>
          </w:p>
          <w:p w14:paraId="3105140F" w14:textId="77777777" w:rsidR="00390F34" w:rsidRPr="00955AC1" w:rsidRDefault="00390F34" w:rsidP="00911772">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2ADF629C" w14:textId="77777777" w:rsidR="00390F34" w:rsidRPr="00955AC1" w:rsidRDefault="00390F34" w:rsidP="00911772">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56D6C85F" w14:textId="77777777" w:rsidR="00390F34" w:rsidRPr="00955AC1" w:rsidRDefault="00390F34" w:rsidP="00911772">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Yes, rural and metro deals will be in the same pool for scoring purposes. </w:t>
            </w:r>
          </w:p>
          <w:p w14:paraId="08D1CC37" w14:textId="77777777" w:rsidR="00390F34" w:rsidRPr="00955AC1" w:rsidRDefault="00390F34" w:rsidP="00690A7E">
            <w:pPr>
              <w:textAlignment w:val="baseline"/>
              <w:rPr>
                <w:rFonts w:ascii="Times New Roman" w:hAnsi="Times New Roman" w:cs="Times New Roman"/>
                <w:b/>
                <w:bCs/>
                <w:sz w:val="20"/>
                <w:szCs w:val="20"/>
              </w:rPr>
            </w:pPr>
          </w:p>
        </w:tc>
      </w:tr>
      <w:tr w:rsidR="00390F34" w:rsidRPr="00955AC1" w14:paraId="537C74C9"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413F950"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5D503905"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2.06</w:t>
            </w:r>
          </w:p>
          <w:p w14:paraId="69A84F2D"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Threshold Criteria;</w:t>
            </w:r>
          </w:p>
          <w:p w14:paraId="78F273CB"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08513C05" w14:textId="77777777" w:rsidR="00390F34" w:rsidRPr="00955AC1" w:rsidRDefault="00390F34" w:rsidP="00CA6AE1">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sz w:val="20"/>
                <w:szCs w:val="20"/>
              </w:rPr>
              <w:t>1010137424 </w:t>
            </w:r>
          </w:p>
          <w:p w14:paraId="2F78364D" w14:textId="77777777" w:rsidR="00390F34" w:rsidRPr="00955AC1" w:rsidRDefault="00390F34" w:rsidP="00CA6AE1">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We are submitting an application for 4% tax credits in October. The vacant land is owned by our GP/development partner, and there will be a $650 total ground lease (i.e. there is no acquisition cost for the land or any identity of interest between buyer and seller because the land will not be sold.) We also will not be generating tax credits. Do we still need to provide an appraisal with our app even though it would serve none of the purposes mentioned in the QAP? </w:t>
            </w:r>
          </w:p>
          <w:p w14:paraId="31C80170" w14:textId="77777777" w:rsidR="00390F34" w:rsidRPr="00955AC1" w:rsidRDefault="00390F34" w:rsidP="00CA6AE1">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60EBFAE1" w14:textId="77777777" w:rsidR="00390F34" w:rsidRPr="00955AC1" w:rsidRDefault="00390F34" w:rsidP="00CA6AE1">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580477BB" w14:textId="77777777" w:rsidR="00390F34" w:rsidRPr="00955AC1" w:rsidRDefault="00390F34" w:rsidP="00CA6AE1">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Per </w:t>
            </w:r>
            <w:r w:rsidRPr="00955AC1">
              <w:rPr>
                <w:rFonts w:ascii="Times New Roman" w:eastAsia="Times New Roman" w:hAnsi="Times New Roman" w:cs="Times New Roman"/>
                <w:b/>
                <w:bCs/>
                <w:sz w:val="20"/>
                <w:szCs w:val="20"/>
              </w:rPr>
              <w:t>(Threshold) Appraisals</w:t>
            </w:r>
            <w:r w:rsidRPr="00955AC1">
              <w:rPr>
                <w:rFonts w:ascii="Times New Roman" w:eastAsia="Times New Roman" w:hAnsi="Times New Roman" w:cs="Times New Roman"/>
                <w:sz w:val="20"/>
                <w:szCs w:val="20"/>
              </w:rPr>
              <w:t xml:space="preserve">, </w:t>
            </w:r>
            <w:r w:rsidRPr="00955AC1">
              <w:rPr>
                <w:rFonts w:ascii="Times New Roman" w:eastAsia="Times New Roman" w:hAnsi="Times New Roman" w:cs="Times New Roman"/>
                <w:i/>
                <w:iCs/>
                <w:sz w:val="20"/>
                <w:szCs w:val="20"/>
              </w:rPr>
              <w:t>“An Application for tax credits for 4% bond financed developments must contain an appraisal commissioned by the lender or by a DCA-approved appraiser with an effective date of not more than 6 months earlier than the date of the Application, regardless of whether there is an Identity of Interest between the buyer and the seller.”</w:t>
            </w:r>
            <w:r w:rsidRPr="00955AC1">
              <w:rPr>
                <w:rFonts w:ascii="Times New Roman" w:eastAsia="Times New Roman" w:hAnsi="Times New Roman" w:cs="Times New Roman"/>
                <w:sz w:val="20"/>
                <w:szCs w:val="20"/>
              </w:rPr>
              <w:t> </w:t>
            </w:r>
          </w:p>
          <w:p w14:paraId="3E7233A6" w14:textId="77777777" w:rsidR="00390F34" w:rsidRPr="00955AC1" w:rsidRDefault="00390F34" w:rsidP="00CA6AE1">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3E3444AA" w14:textId="77777777" w:rsidR="00390F34" w:rsidRPr="00955AC1" w:rsidRDefault="00390F34" w:rsidP="00CA6AE1">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However, Appraisals is not applicable to the 4%/Bonds Competitive Round October 14 submission (see </w:t>
            </w:r>
            <w:r w:rsidRPr="00955AC1">
              <w:rPr>
                <w:rFonts w:ascii="Times New Roman" w:eastAsia="Times New Roman" w:hAnsi="Times New Roman" w:cs="Times New Roman"/>
                <w:b/>
                <w:bCs/>
                <w:sz w:val="20"/>
                <w:szCs w:val="20"/>
              </w:rPr>
              <w:t>Applicability of Threshold Criteria</w:t>
            </w:r>
            <w:r w:rsidRPr="00955AC1">
              <w:rPr>
                <w:rFonts w:ascii="Times New Roman" w:eastAsia="Times New Roman" w:hAnsi="Times New Roman" w:cs="Times New Roman"/>
                <w:sz w:val="20"/>
                <w:szCs w:val="20"/>
              </w:rPr>
              <w:t>). If awarded through the Competitive Round, applicants must meet the requirements of Appraisals with full application. </w:t>
            </w:r>
          </w:p>
          <w:p w14:paraId="763B1408" w14:textId="77777777" w:rsidR="00390F34" w:rsidRPr="00955AC1" w:rsidRDefault="00390F34" w:rsidP="003479E0">
            <w:pPr>
              <w:textAlignment w:val="baseline"/>
              <w:rPr>
                <w:rFonts w:ascii="Times New Roman" w:eastAsia="Times New Roman" w:hAnsi="Times New Roman" w:cs="Times New Roman"/>
                <w:b/>
                <w:bCs/>
                <w:sz w:val="20"/>
                <w:szCs w:val="20"/>
              </w:rPr>
            </w:pPr>
          </w:p>
        </w:tc>
      </w:tr>
      <w:tr w:rsidR="00390F34" w:rsidRPr="00955AC1" w14:paraId="4080C590"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89922DA"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55DAEB3F"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2.10</w:t>
            </w:r>
          </w:p>
          <w:p w14:paraId="4A7FB8DC"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Threshold Criteria;</w:t>
            </w:r>
          </w:p>
          <w:p w14:paraId="20E3BC1F"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Site Zoning</w:t>
            </w:r>
          </w:p>
        </w:tc>
        <w:tc>
          <w:tcPr>
            <w:tcW w:w="9585" w:type="dxa"/>
            <w:shd w:val="clear" w:color="auto" w:fill="auto"/>
            <w:tcMar>
              <w:top w:w="72" w:type="dxa"/>
              <w:left w:w="115" w:type="dxa"/>
              <w:bottom w:w="72" w:type="dxa"/>
              <w:right w:w="115" w:type="dxa"/>
            </w:tcMar>
            <w:vAlign w:val="center"/>
          </w:tcPr>
          <w:p w14:paraId="5BB4AFD3" w14:textId="77777777" w:rsidR="00390F34" w:rsidRPr="00955AC1" w:rsidRDefault="00390F34" w:rsidP="003479E0">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sz w:val="20"/>
                <w:szCs w:val="20"/>
              </w:rPr>
              <w:t>1012028005_1 </w:t>
            </w:r>
          </w:p>
          <w:p w14:paraId="3DCA2531" w14:textId="77777777" w:rsidR="00390F34" w:rsidRPr="00955AC1" w:rsidRDefault="00390F34" w:rsidP="003479E0">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xml:space="preserve">In </w:t>
            </w:r>
            <w:r w:rsidRPr="00955AC1">
              <w:rPr>
                <w:rFonts w:ascii="Times New Roman" w:eastAsia="Times New Roman" w:hAnsi="Times New Roman" w:cs="Times New Roman"/>
                <w:b/>
                <w:bCs/>
                <w:color w:val="000000"/>
                <w:sz w:val="20"/>
                <w:szCs w:val="20"/>
              </w:rPr>
              <w:t>(Threshold Criteria) Site Zoning,</w:t>
            </w:r>
            <w:r w:rsidRPr="00955AC1">
              <w:rPr>
                <w:rFonts w:ascii="Times New Roman" w:eastAsia="Times New Roman" w:hAnsi="Times New Roman" w:cs="Times New Roman"/>
                <w:color w:val="000000"/>
                <w:sz w:val="20"/>
                <w:szCs w:val="20"/>
              </w:rPr>
              <w:t xml:space="preserve"> under minimum documentation the QAP states </w:t>
            </w:r>
            <w:r w:rsidRPr="00955AC1">
              <w:rPr>
                <w:rFonts w:ascii="Times New Roman" w:eastAsia="Times New Roman" w:hAnsi="Times New Roman" w:cs="Times New Roman"/>
                <w:i/>
                <w:iCs/>
                <w:color w:val="000000"/>
                <w:sz w:val="20"/>
                <w:szCs w:val="20"/>
              </w:rPr>
              <w:t>"Letter from Local Government official which includes project name, address, or parcel ID and confirms zoning"</w:t>
            </w:r>
            <w:r w:rsidRPr="00955AC1">
              <w:rPr>
                <w:rFonts w:ascii="Times New Roman" w:eastAsia="Times New Roman" w:hAnsi="Times New Roman" w:cs="Times New Roman"/>
                <w:color w:val="000000"/>
                <w:sz w:val="20"/>
                <w:szCs w:val="20"/>
              </w:rPr>
              <w:t>. Can DCA confirm that if the project name is not on the zoning letter but the address is that the zoning letter will pass threshold? Is the project name required for the zoning letter? </w:t>
            </w:r>
          </w:p>
          <w:p w14:paraId="0F01A617" w14:textId="77777777" w:rsidR="00390F34" w:rsidRPr="00955AC1" w:rsidRDefault="00390F34" w:rsidP="003479E0">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4D4D794D" w14:textId="77777777" w:rsidR="00390F34" w:rsidRPr="00955AC1" w:rsidRDefault="00390F34" w:rsidP="003479E0">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30335A9C" w14:textId="77777777" w:rsidR="00390F34" w:rsidRPr="00955AC1" w:rsidRDefault="00390F34" w:rsidP="003479E0">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lastRenderedPageBreak/>
              <w:t xml:space="preserve">Per the 2022 QAP, (Threshold Criteria) Site Zoning), the minimum documentation requires a </w:t>
            </w:r>
            <w:r w:rsidRPr="00955AC1">
              <w:rPr>
                <w:rFonts w:ascii="Times New Roman" w:eastAsia="Times New Roman" w:hAnsi="Times New Roman" w:cs="Times New Roman"/>
                <w:i/>
                <w:iCs/>
                <w:sz w:val="20"/>
                <w:szCs w:val="20"/>
              </w:rPr>
              <w:t xml:space="preserve">“Letter from Local Government official which includes </w:t>
            </w:r>
            <w:r w:rsidRPr="00955AC1">
              <w:rPr>
                <w:rFonts w:ascii="Times New Roman" w:eastAsia="Times New Roman" w:hAnsi="Times New Roman" w:cs="Times New Roman"/>
                <w:b/>
                <w:bCs/>
                <w:i/>
                <w:iCs/>
                <w:sz w:val="20"/>
                <w:szCs w:val="20"/>
              </w:rPr>
              <w:t>project name</w:t>
            </w:r>
            <w:r w:rsidRPr="00955AC1">
              <w:rPr>
                <w:rFonts w:ascii="Times New Roman" w:eastAsia="Times New Roman" w:hAnsi="Times New Roman" w:cs="Times New Roman"/>
                <w:i/>
                <w:iCs/>
                <w:sz w:val="20"/>
                <w:szCs w:val="20"/>
              </w:rPr>
              <w:t xml:space="preserve">, </w:t>
            </w:r>
            <w:r w:rsidRPr="00955AC1">
              <w:rPr>
                <w:rFonts w:ascii="Times New Roman" w:eastAsia="Times New Roman" w:hAnsi="Times New Roman" w:cs="Times New Roman"/>
                <w:b/>
                <w:bCs/>
                <w:i/>
                <w:iCs/>
                <w:sz w:val="20"/>
                <w:szCs w:val="20"/>
              </w:rPr>
              <w:t>address</w:t>
            </w:r>
            <w:r w:rsidRPr="00955AC1">
              <w:rPr>
                <w:rFonts w:ascii="Times New Roman" w:eastAsia="Times New Roman" w:hAnsi="Times New Roman" w:cs="Times New Roman"/>
                <w:i/>
                <w:iCs/>
                <w:sz w:val="20"/>
                <w:szCs w:val="20"/>
              </w:rPr>
              <w:t xml:space="preserve">, </w:t>
            </w:r>
            <w:r w:rsidRPr="00955AC1">
              <w:rPr>
                <w:rFonts w:ascii="Times New Roman" w:eastAsia="Times New Roman" w:hAnsi="Times New Roman" w:cs="Times New Roman"/>
                <w:b/>
                <w:bCs/>
                <w:i/>
                <w:iCs/>
                <w:sz w:val="20"/>
                <w:szCs w:val="20"/>
                <w:u w:val="single"/>
              </w:rPr>
              <w:t>or</w:t>
            </w:r>
            <w:r w:rsidRPr="00955AC1">
              <w:rPr>
                <w:rFonts w:ascii="Times New Roman" w:eastAsia="Times New Roman" w:hAnsi="Times New Roman" w:cs="Times New Roman"/>
                <w:i/>
                <w:iCs/>
                <w:sz w:val="20"/>
                <w:szCs w:val="20"/>
              </w:rPr>
              <w:t xml:space="preserve"> </w:t>
            </w:r>
            <w:r w:rsidRPr="00955AC1">
              <w:rPr>
                <w:rFonts w:ascii="Times New Roman" w:eastAsia="Times New Roman" w:hAnsi="Times New Roman" w:cs="Times New Roman"/>
                <w:b/>
                <w:bCs/>
                <w:i/>
                <w:iCs/>
                <w:sz w:val="20"/>
                <w:szCs w:val="20"/>
              </w:rPr>
              <w:t>parcel ID</w:t>
            </w:r>
            <w:r w:rsidRPr="00955AC1">
              <w:rPr>
                <w:rFonts w:ascii="Times New Roman" w:eastAsia="Times New Roman" w:hAnsi="Times New Roman" w:cs="Times New Roman"/>
                <w:i/>
                <w:iCs/>
                <w:sz w:val="20"/>
                <w:szCs w:val="20"/>
              </w:rPr>
              <w:t xml:space="preserve"> and confirms zoning. Letter must be dated within six (6) months of Application Submission.”</w:t>
            </w:r>
            <w:r w:rsidRPr="00955AC1">
              <w:rPr>
                <w:rFonts w:ascii="Times New Roman" w:eastAsia="Times New Roman" w:hAnsi="Times New Roman" w:cs="Times New Roman"/>
                <w:sz w:val="20"/>
                <w:szCs w:val="20"/>
              </w:rPr>
              <w:t> So as long as one of the above-mentioned identifying factors for the project is present, the zoning letter shall be sufficient. </w:t>
            </w:r>
          </w:p>
          <w:p w14:paraId="3D27F222" w14:textId="77777777" w:rsidR="00390F34" w:rsidRPr="00955AC1" w:rsidRDefault="00390F34" w:rsidP="000F6D48">
            <w:pPr>
              <w:textAlignment w:val="baseline"/>
              <w:rPr>
                <w:rFonts w:ascii="Times New Roman" w:eastAsia="Times New Roman" w:hAnsi="Times New Roman" w:cs="Times New Roman"/>
                <w:b/>
                <w:bCs/>
                <w:sz w:val="20"/>
                <w:szCs w:val="20"/>
              </w:rPr>
            </w:pPr>
          </w:p>
        </w:tc>
      </w:tr>
      <w:tr w:rsidR="00390F34" w:rsidRPr="00955AC1" w14:paraId="3C2C9BD0"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727FC88"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440FB15E" w14:textId="77777777" w:rsidR="00390F34" w:rsidRPr="00955AC1" w:rsidRDefault="00390F34" w:rsidP="00185971">
            <w:pPr>
              <w:rPr>
                <w:rFonts w:ascii="Times New Roman" w:hAnsi="Times New Roman" w:cs="Times New Roman"/>
                <w:sz w:val="20"/>
                <w:szCs w:val="20"/>
              </w:rPr>
            </w:pPr>
            <w:r w:rsidRPr="00955AC1">
              <w:rPr>
                <w:rFonts w:ascii="Times New Roman" w:hAnsi="Times New Roman" w:cs="Times New Roman"/>
                <w:sz w:val="20"/>
                <w:szCs w:val="20"/>
              </w:rPr>
              <w:t>2.20</w:t>
            </w:r>
          </w:p>
          <w:p w14:paraId="29143353" w14:textId="77777777" w:rsidR="00390F34" w:rsidRPr="00955AC1" w:rsidRDefault="00390F34" w:rsidP="00185971">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0701B845" w14:textId="77777777" w:rsidR="00390F34" w:rsidRPr="00955AC1" w:rsidRDefault="00390F34" w:rsidP="00185971">
            <w:pPr>
              <w:rPr>
                <w:rFonts w:ascii="Times New Roman" w:hAnsi="Times New Roman" w:cs="Times New Roman"/>
                <w:sz w:val="20"/>
                <w:szCs w:val="20"/>
              </w:rPr>
            </w:pPr>
            <w:r w:rsidRPr="00955AC1">
              <w:rPr>
                <w:rFonts w:ascii="Times New Roman" w:hAnsi="Times New Roman" w:cs="Times New Roman"/>
                <w:sz w:val="20"/>
                <w:szCs w:val="20"/>
              </w:rPr>
              <w:t>Experience, Capacity and Performance Requirements</w:t>
            </w:r>
          </w:p>
        </w:tc>
        <w:tc>
          <w:tcPr>
            <w:tcW w:w="9585" w:type="dxa"/>
            <w:shd w:val="clear" w:color="auto" w:fill="auto"/>
            <w:tcMar>
              <w:top w:w="72" w:type="dxa"/>
              <w:left w:w="115" w:type="dxa"/>
              <w:bottom w:w="72" w:type="dxa"/>
              <w:right w:w="115" w:type="dxa"/>
            </w:tcMar>
            <w:vAlign w:val="center"/>
          </w:tcPr>
          <w:p w14:paraId="6806DC9F" w14:textId="77777777" w:rsidR="00390F34" w:rsidRPr="00955AC1" w:rsidRDefault="00390F34" w:rsidP="00232EDB">
            <w:pPr>
              <w:contextualSpacing/>
              <w:rPr>
                <w:rFonts w:ascii="Times New Roman" w:hAnsi="Times New Roman" w:cs="Times New Roman"/>
                <w:sz w:val="20"/>
                <w:szCs w:val="20"/>
              </w:rPr>
            </w:pPr>
            <w:r w:rsidRPr="00955AC1">
              <w:rPr>
                <w:rFonts w:ascii="Times New Roman" w:hAnsi="Times New Roman" w:cs="Times New Roman"/>
                <w:b/>
                <w:bCs/>
                <w:sz w:val="20"/>
                <w:szCs w:val="20"/>
              </w:rPr>
              <w:t>Question ID: 1011983787</w:t>
            </w:r>
          </w:p>
          <w:p w14:paraId="6A4AAA62" w14:textId="77777777" w:rsidR="00390F34" w:rsidRPr="00955AC1" w:rsidRDefault="00390F34" w:rsidP="00232EDB">
            <w:pPr>
              <w:contextualSpacing/>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If a principal has over a 20% ownership interest in an entity in previous deals that isn’t the GP but does have control of the deal, does that suffice for the experience requirements? </w:t>
            </w:r>
          </w:p>
          <w:p w14:paraId="4D775DA6" w14:textId="77777777" w:rsidR="00390F34" w:rsidRPr="00955AC1" w:rsidRDefault="00390F34" w:rsidP="00232EDB">
            <w:pPr>
              <w:rPr>
                <w:rFonts w:ascii="Times New Roman" w:eastAsia="Times New Roman" w:hAnsi="Times New Roman" w:cs="Times New Roman"/>
                <w:color w:val="000000" w:themeColor="text1"/>
                <w:sz w:val="20"/>
                <w:szCs w:val="20"/>
              </w:rPr>
            </w:pPr>
          </w:p>
          <w:p w14:paraId="7750804B" w14:textId="77777777" w:rsidR="00390F34" w:rsidRPr="00955AC1" w:rsidRDefault="00390F34" w:rsidP="00232EDB">
            <w:pPr>
              <w:contextualSpacing/>
              <w:rPr>
                <w:rFonts w:ascii="Times New Roman" w:hAnsi="Times New Roman" w:cs="Times New Roman"/>
                <w:sz w:val="20"/>
                <w:szCs w:val="20"/>
              </w:rPr>
            </w:pPr>
            <w:r w:rsidRPr="00955AC1">
              <w:rPr>
                <w:rFonts w:ascii="Times New Roman" w:hAnsi="Times New Roman" w:cs="Times New Roman"/>
                <w:b/>
                <w:bCs/>
                <w:sz w:val="20"/>
                <w:szCs w:val="20"/>
              </w:rPr>
              <w:t>Answer</w:t>
            </w:r>
            <w:r w:rsidRPr="00955AC1">
              <w:rPr>
                <w:rFonts w:ascii="Times New Roman" w:hAnsi="Times New Roman" w:cs="Times New Roman"/>
                <w:sz w:val="20"/>
                <w:szCs w:val="20"/>
              </w:rPr>
              <w:t xml:space="preserve">: </w:t>
            </w:r>
          </w:p>
          <w:p w14:paraId="6656B907" w14:textId="77777777" w:rsidR="00390F34" w:rsidRPr="00955AC1" w:rsidRDefault="00390F34" w:rsidP="00232EDB">
            <w:pPr>
              <w:contextualSpacing/>
              <w:rPr>
                <w:rFonts w:ascii="Times New Roman" w:hAnsi="Times New Roman" w:cs="Times New Roman"/>
                <w:sz w:val="20"/>
                <w:szCs w:val="20"/>
              </w:rPr>
            </w:pPr>
            <w:r w:rsidRPr="00955AC1">
              <w:rPr>
                <w:rFonts w:ascii="Times New Roman" w:hAnsi="Times New Roman" w:cs="Times New Roman"/>
                <w:sz w:val="20"/>
                <w:szCs w:val="20"/>
              </w:rPr>
              <w:t xml:space="preserve">Per </w:t>
            </w:r>
            <w:r w:rsidRPr="00955AC1">
              <w:rPr>
                <w:rFonts w:ascii="Times New Roman" w:hAnsi="Times New Roman" w:cs="Times New Roman"/>
                <w:b/>
                <w:bCs/>
                <w:sz w:val="20"/>
                <w:szCs w:val="20"/>
              </w:rPr>
              <w:t>(Threshold) Experience, Capacity and Performance Requirements, C. Requirements for Experience (Certifying Entity):</w:t>
            </w:r>
          </w:p>
          <w:p w14:paraId="28051E15" w14:textId="77777777" w:rsidR="00390F34" w:rsidRPr="00955AC1" w:rsidRDefault="00390F34" w:rsidP="00232EDB">
            <w:pPr>
              <w:contextualSpacing/>
              <w:rPr>
                <w:rFonts w:ascii="Times New Roman" w:hAnsi="Times New Roman" w:cs="Times New Roman"/>
                <w:sz w:val="20"/>
                <w:szCs w:val="20"/>
              </w:rPr>
            </w:pPr>
          </w:p>
          <w:p w14:paraId="675FCB9E" w14:textId="77777777" w:rsidR="00390F34" w:rsidRPr="00955AC1" w:rsidRDefault="00390F34" w:rsidP="00232EDB">
            <w:pPr>
              <w:ind w:left="720"/>
              <w:rPr>
                <w:rFonts w:ascii="Times New Roman" w:hAnsi="Times New Roman" w:cs="Times New Roman"/>
                <w:i/>
                <w:iCs/>
                <w:sz w:val="20"/>
                <w:szCs w:val="20"/>
              </w:rPr>
            </w:pPr>
            <w:r w:rsidRPr="00955AC1">
              <w:rPr>
                <w:rFonts w:ascii="Times New Roman" w:hAnsi="Times New Roman" w:cs="Times New Roman"/>
                <w:i/>
                <w:iCs/>
                <w:sz w:val="20"/>
                <w:szCs w:val="20"/>
              </w:rPr>
              <w:t>“In order to be counted as a Successful Tax Credit Project, the following requirements must be met for each project claimed by a Certifying Entity:</w:t>
            </w:r>
          </w:p>
          <w:p w14:paraId="61134AE2" w14:textId="77777777" w:rsidR="00390F34" w:rsidRPr="00955AC1" w:rsidRDefault="00390F34" w:rsidP="00232EDB">
            <w:pPr>
              <w:pStyle w:val="ListParagraph"/>
              <w:numPr>
                <w:ilvl w:val="0"/>
                <w:numId w:val="68"/>
              </w:numPr>
              <w:textAlignment w:val="baseline"/>
              <w:rPr>
                <w:rFonts w:ascii="Times New Roman" w:eastAsia="Times New Roman" w:hAnsi="Times New Roman" w:cs="Times New Roman"/>
                <w:b/>
                <w:bCs/>
                <w:sz w:val="20"/>
                <w:szCs w:val="20"/>
              </w:rPr>
            </w:pPr>
            <w:r w:rsidRPr="00955AC1">
              <w:rPr>
                <w:rFonts w:ascii="Times New Roman" w:hAnsi="Times New Roman" w:cs="Times New Roman"/>
                <w:i/>
                <w:iCs/>
                <w:sz w:val="20"/>
                <w:szCs w:val="20"/>
              </w:rPr>
              <w:t>The Certifying Entity must own a minimum 20% interest in the General Partner and Developer entities for each property claimed. The interest must be reflected in the syndicator letter and Partnership Agreement for the property.”</w:t>
            </w:r>
          </w:p>
        </w:tc>
      </w:tr>
      <w:tr w:rsidR="00390F34" w:rsidRPr="00955AC1" w14:paraId="138A936F"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66260FE"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572FAF5D"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2.20</w:t>
            </w:r>
          </w:p>
          <w:p w14:paraId="5B675A60"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Threshold Criteria;</w:t>
            </w:r>
          </w:p>
          <w:p w14:paraId="2702FBAE"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387DFDC8" w14:textId="77777777" w:rsidR="00390F34" w:rsidRPr="00955AC1" w:rsidRDefault="00390F34" w:rsidP="009F255E">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sz w:val="20"/>
                <w:szCs w:val="20"/>
              </w:rPr>
              <w:t>1012443352 </w:t>
            </w:r>
            <w:r w:rsidRPr="00955AC1">
              <w:rPr>
                <w:rFonts w:ascii="Times New Roman" w:eastAsia="Times New Roman" w:hAnsi="Times New Roman" w:cs="Times New Roman"/>
                <w:sz w:val="20"/>
                <w:szCs w:val="20"/>
              </w:rPr>
              <w:br/>
            </w:r>
            <w:r w:rsidRPr="00955AC1">
              <w:rPr>
                <w:rFonts w:ascii="Times New Roman" w:eastAsia="Times New Roman" w:hAnsi="Times New Roman" w:cs="Times New Roman"/>
                <w:color w:val="000000"/>
                <w:sz w:val="20"/>
                <w:szCs w:val="20"/>
              </w:rPr>
              <w:t>I have a question regarding the Performance Workbook Experience section requirements. I know that a Performance Workbook and all relevant documentation is required for the GP/Developer, but is a Performance Workbook also required for all other members of the development team (i.e.. attorneys, GC, Architects, Syndicators, Lenders, etc.)? </w:t>
            </w:r>
          </w:p>
          <w:p w14:paraId="547DA4A4" w14:textId="77777777" w:rsidR="00390F34" w:rsidRPr="00955AC1" w:rsidRDefault="00390F34" w:rsidP="009F255E">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73221040" w14:textId="77777777" w:rsidR="00390F34" w:rsidRPr="00955AC1" w:rsidRDefault="00390F34" w:rsidP="009F255E">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7CD65DEF" w14:textId="77777777" w:rsidR="00390F34" w:rsidRPr="00955AC1" w:rsidRDefault="00390F34" w:rsidP="009F255E">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(Threshold Criteria) Experience, Capacity and Performance Requirements, I. Required Documents </w:t>
            </w:r>
            <w:r w:rsidRPr="00955AC1">
              <w:rPr>
                <w:rFonts w:ascii="Times New Roman" w:eastAsia="Times New Roman" w:hAnsi="Times New Roman" w:cs="Times New Roman"/>
                <w:sz w:val="20"/>
                <w:szCs w:val="20"/>
              </w:rPr>
              <w:t>includes the following requirements for “all other Project Team members”: </w:t>
            </w:r>
          </w:p>
          <w:p w14:paraId="46DE8F3D" w14:textId="77777777" w:rsidR="00390F34" w:rsidRPr="00955AC1" w:rsidRDefault="00390F34" w:rsidP="009F255E">
            <w:pPr>
              <w:ind w:left="72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i/>
                <w:iCs/>
                <w:sz w:val="20"/>
                <w:szCs w:val="20"/>
              </w:rPr>
              <w:t>“17. Performance Questionnaire.</w:t>
            </w:r>
            <w:r w:rsidRPr="00955AC1">
              <w:rPr>
                <w:rFonts w:ascii="Times New Roman" w:eastAsia="Times New Roman" w:hAnsi="Times New Roman" w:cs="Times New Roman"/>
                <w:sz w:val="20"/>
                <w:szCs w:val="20"/>
              </w:rPr>
              <w:t> </w:t>
            </w:r>
          </w:p>
          <w:p w14:paraId="6329E2E9" w14:textId="77777777" w:rsidR="00390F34" w:rsidRPr="00955AC1" w:rsidRDefault="00390F34" w:rsidP="009F255E">
            <w:pPr>
              <w:ind w:left="72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i/>
                <w:iCs/>
                <w:sz w:val="20"/>
                <w:szCs w:val="20"/>
              </w:rPr>
              <w:t>18. DCA Compliance History Form...</w:t>
            </w:r>
            <w:r w:rsidRPr="00955AC1">
              <w:rPr>
                <w:rFonts w:ascii="Times New Roman" w:eastAsia="Times New Roman" w:hAnsi="Times New Roman" w:cs="Times New Roman"/>
                <w:sz w:val="20"/>
                <w:szCs w:val="20"/>
              </w:rPr>
              <w:t> </w:t>
            </w:r>
          </w:p>
          <w:p w14:paraId="58F2F6FC" w14:textId="77777777" w:rsidR="00390F34" w:rsidRPr="00955AC1" w:rsidRDefault="00390F34" w:rsidP="009F255E">
            <w:pPr>
              <w:ind w:left="72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i/>
                <w:iCs/>
                <w:sz w:val="20"/>
                <w:szCs w:val="20"/>
              </w:rPr>
              <w:t>19. Performance Workbook Certification Letter.</w:t>
            </w:r>
            <w:r w:rsidRPr="00955AC1">
              <w:rPr>
                <w:rFonts w:ascii="Times New Roman" w:eastAsia="Times New Roman" w:hAnsi="Times New Roman" w:cs="Times New Roman"/>
                <w:sz w:val="20"/>
                <w:szCs w:val="20"/>
              </w:rPr>
              <w:t> </w:t>
            </w:r>
          </w:p>
          <w:p w14:paraId="7BFA026D" w14:textId="77777777" w:rsidR="00390F34" w:rsidRPr="00955AC1" w:rsidRDefault="00390F34" w:rsidP="009F255E">
            <w:pPr>
              <w:ind w:left="72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i/>
                <w:iCs/>
                <w:sz w:val="20"/>
                <w:szCs w:val="20"/>
              </w:rPr>
              <w:t>20. Credit &amp; Criminal Release form, if requested by DCA.”</w:t>
            </w:r>
            <w:r w:rsidRPr="00955AC1">
              <w:rPr>
                <w:rFonts w:ascii="Times New Roman" w:eastAsia="Times New Roman" w:hAnsi="Times New Roman" w:cs="Times New Roman"/>
                <w:sz w:val="20"/>
                <w:szCs w:val="20"/>
              </w:rPr>
              <w:t> </w:t>
            </w:r>
          </w:p>
          <w:p w14:paraId="413C0A7B" w14:textId="77777777" w:rsidR="00390F34" w:rsidRPr="00955AC1" w:rsidRDefault="00390F34" w:rsidP="009F255E">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376AE654" w14:textId="77777777" w:rsidR="00390F34" w:rsidRPr="00955AC1" w:rsidRDefault="00390F34" w:rsidP="009F255E">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“Project Team” is defined in </w:t>
            </w:r>
            <w:r w:rsidRPr="00955AC1">
              <w:rPr>
                <w:rFonts w:ascii="Times New Roman" w:eastAsia="Times New Roman" w:hAnsi="Times New Roman" w:cs="Times New Roman"/>
                <w:b/>
                <w:bCs/>
                <w:sz w:val="20"/>
                <w:szCs w:val="20"/>
              </w:rPr>
              <w:t xml:space="preserve">(Core) Definitions </w:t>
            </w:r>
            <w:r w:rsidRPr="00955AC1">
              <w:rPr>
                <w:rFonts w:ascii="Times New Roman" w:eastAsia="Times New Roman" w:hAnsi="Times New Roman" w:cs="Times New Roman"/>
                <w:sz w:val="20"/>
                <w:szCs w:val="20"/>
              </w:rPr>
              <w:t>as</w:t>
            </w:r>
            <w:r w:rsidRPr="00955AC1">
              <w:rPr>
                <w:rFonts w:ascii="Times New Roman" w:eastAsia="Times New Roman" w:hAnsi="Times New Roman" w:cs="Times New Roman"/>
                <w:i/>
                <w:iCs/>
                <w:sz w:val="20"/>
                <w:szCs w:val="20"/>
              </w:rPr>
              <w:t xml:space="preserve"> “General Partner, Developer, Consultant and the Principal(s) thereof for a proposed tax credit project. For purposes of project participant qualifications, consultants with less than 5% interest in the project are not considered members of the Project Team.”</w:t>
            </w:r>
            <w:r w:rsidRPr="00955AC1">
              <w:rPr>
                <w:rFonts w:ascii="Times New Roman" w:eastAsia="Times New Roman" w:hAnsi="Times New Roman" w:cs="Times New Roman"/>
                <w:sz w:val="20"/>
                <w:szCs w:val="20"/>
              </w:rPr>
              <w:t> </w:t>
            </w:r>
          </w:p>
          <w:p w14:paraId="1B12EF99" w14:textId="77777777" w:rsidR="00390F34" w:rsidRPr="00955AC1" w:rsidRDefault="00390F34" w:rsidP="009F255E">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407E7435" w14:textId="77777777" w:rsidR="00390F34" w:rsidRPr="00955AC1" w:rsidRDefault="00390F34" w:rsidP="009F255E">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lastRenderedPageBreak/>
              <w:t xml:space="preserve">Further, the Performance Workbook states that </w:t>
            </w:r>
            <w:r w:rsidRPr="00955AC1">
              <w:rPr>
                <w:rFonts w:ascii="Times New Roman" w:eastAsia="Times New Roman" w:hAnsi="Times New Roman" w:cs="Times New Roman"/>
                <w:i/>
                <w:iCs/>
                <w:sz w:val="20"/>
                <w:szCs w:val="20"/>
              </w:rPr>
              <w:t>“any general partner, developer, consultant with more than 5% ownership interest, or principal must submit individual Performance Questionnaire, Compliance History Forms (All States and GA), and Performance Workbook Certification Letter.”</w:t>
            </w:r>
            <w:r w:rsidRPr="00955AC1">
              <w:rPr>
                <w:rFonts w:ascii="Times New Roman" w:eastAsia="Times New Roman" w:hAnsi="Times New Roman" w:cs="Times New Roman"/>
                <w:sz w:val="20"/>
                <w:szCs w:val="20"/>
              </w:rPr>
              <w:t> </w:t>
            </w:r>
          </w:p>
          <w:p w14:paraId="4E3CF4DD" w14:textId="77777777" w:rsidR="00390F34" w:rsidRPr="00955AC1" w:rsidRDefault="00390F34" w:rsidP="003479E0">
            <w:pPr>
              <w:textAlignment w:val="baseline"/>
              <w:rPr>
                <w:rFonts w:ascii="Times New Roman" w:eastAsia="Times New Roman" w:hAnsi="Times New Roman" w:cs="Times New Roman"/>
                <w:b/>
                <w:bCs/>
                <w:sz w:val="20"/>
                <w:szCs w:val="20"/>
              </w:rPr>
            </w:pPr>
          </w:p>
        </w:tc>
      </w:tr>
      <w:tr w:rsidR="00390F34" w:rsidRPr="00955AC1" w14:paraId="3CFE70F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646D84C"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26E4C6AF"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2.20</w:t>
            </w:r>
          </w:p>
          <w:p w14:paraId="31A6F0B5"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Threshold Criteria;</w:t>
            </w:r>
          </w:p>
          <w:p w14:paraId="6C6D0E04"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Experience, Capacity and Performance Requirements</w:t>
            </w:r>
          </w:p>
        </w:tc>
        <w:tc>
          <w:tcPr>
            <w:tcW w:w="9585" w:type="dxa"/>
            <w:shd w:val="clear" w:color="auto" w:fill="auto"/>
            <w:tcMar>
              <w:top w:w="72" w:type="dxa"/>
              <w:left w:w="115" w:type="dxa"/>
              <w:bottom w:w="72" w:type="dxa"/>
              <w:right w:w="115" w:type="dxa"/>
            </w:tcMar>
            <w:vAlign w:val="center"/>
          </w:tcPr>
          <w:p w14:paraId="2EBFAD7C" w14:textId="77777777" w:rsidR="00390F34" w:rsidRPr="00955AC1" w:rsidRDefault="00390F34" w:rsidP="00975FE1">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color w:val="000000"/>
                <w:sz w:val="20"/>
                <w:szCs w:val="20"/>
                <w:shd w:val="clear" w:color="auto" w:fill="FFFFFF"/>
              </w:rPr>
              <w:t>1011983787_2 </w:t>
            </w:r>
            <w:r w:rsidRPr="00955AC1">
              <w:rPr>
                <w:rFonts w:ascii="Times New Roman" w:eastAsia="Times New Roman" w:hAnsi="Times New Roman" w:cs="Times New Roman"/>
                <w:color w:val="000000"/>
                <w:sz w:val="20"/>
                <w:szCs w:val="20"/>
              </w:rPr>
              <w:t> </w:t>
            </w:r>
          </w:p>
          <w:p w14:paraId="0A6F359B" w14:textId="77777777" w:rsidR="00390F34" w:rsidRPr="00955AC1" w:rsidRDefault="00390F34" w:rsidP="00975FE1">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What’s the minimum amount of projects for the compliance worksheet for a Developer that’s done over 100 LIHTC deals? </w:t>
            </w:r>
          </w:p>
          <w:p w14:paraId="676840B1" w14:textId="77777777" w:rsidR="00390F34" w:rsidRPr="00955AC1" w:rsidRDefault="00390F34" w:rsidP="00975FE1">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2586A7C9" w14:textId="77777777" w:rsidR="00390F34" w:rsidRPr="00955AC1" w:rsidRDefault="00390F34" w:rsidP="00975FE1">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39DF898F" w14:textId="77777777" w:rsidR="00390F34" w:rsidRPr="00955AC1" w:rsidRDefault="00390F34" w:rsidP="00975FE1">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Per the Performance Workbook, Compliance History All States tab, “all Project Team Members/Entities must list all affordable housing properties located in all states in which an entity or principal has participated in the ownership and/or development.” Per the GA DCA Compliance History tab, “all Applicants must list all Georgia DCA Affordable properties on this tab.” </w:t>
            </w:r>
          </w:p>
          <w:p w14:paraId="4FAD0DFD" w14:textId="77777777" w:rsidR="00390F34" w:rsidRPr="00955AC1" w:rsidRDefault="00390F34" w:rsidP="003479E0">
            <w:pPr>
              <w:textAlignment w:val="baseline"/>
              <w:rPr>
                <w:rFonts w:ascii="Times New Roman" w:eastAsia="Times New Roman" w:hAnsi="Times New Roman" w:cs="Times New Roman"/>
                <w:b/>
                <w:bCs/>
                <w:sz w:val="20"/>
                <w:szCs w:val="20"/>
              </w:rPr>
            </w:pPr>
          </w:p>
        </w:tc>
      </w:tr>
      <w:tr w:rsidR="00390F34" w:rsidRPr="00955AC1" w14:paraId="6A9668FE"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84157BB"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4DCF4ECA"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2.25</w:t>
            </w:r>
          </w:p>
          <w:p w14:paraId="250E7B85"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Threshold Criteria; </w:t>
            </w:r>
          </w:p>
          <w:p w14:paraId="37A55284"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5C5B6A71" w14:textId="77777777" w:rsidR="00390F34" w:rsidRPr="00955AC1" w:rsidRDefault="00390F34" w:rsidP="007D0FBC">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color w:val="000000"/>
                <w:sz w:val="20"/>
                <w:szCs w:val="20"/>
              </w:rPr>
              <w:t>996771741 </w:t>
            </w:r>
          </w:p>
          <w:p w14:paraId="3A0F5EBF" w14:textId="77777777" w:rsidR="00390F34" w:rsidRPr="00955AC1" w:rsidRDefault="00390F34" w:rsidP="007D0FBC">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What is the status of non-residential tenant leases signed before site control in a Tax Credit only submission?  </w:t>
            </w:r>
          </w:p>
          <w:p w14:paraId="7AB29C3A" w14:textId="77777777" w:rsidR="00390F34" w:rsidRPr="00955AC1" w:rsidRDefault="00390F34" w:rsidP="007D0FBC">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31204AEB" w14:textId="77777777" w:rsidR="00390F34" w:rsidRPr="00955AC1" w:rsidRDefault="00390F34" w:rsidP="007D0FBC">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What is the impact of those leases on the relocation aspects of the development?  </w:t>
            </w:r>
          </w:p>
          <w:p w14:paraId="3EE6D7F0" w14:textId="77777777" w:rsidR="00390F34" w:rsidRPr="00955AC1" w:rsidRDefault="00390F34" w:rsidP="007D0FBC">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38F6DF5D" w14:textId="77777777" w:rsidR="00390F34" w:rsidRPr="00955AC1" w:rsidRDefault="00390F34" w:rsidP="007D0FBC">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What will the development team be responsible for, financially and otherwise? </w:t>
            </w:r>
            <w:r w:rsidRPr="00955AC1">
              <w:rPr>
                <w:rFonts w:ascii="Times New Roman" w:eastAsia="Times New Roman" w:hAnsi="Times New Roman" w:cs="Times New Roman"/>
                <w:color w:val="000000"/>
                <w:sz w:val="20"/>
                <w:szCs w:val="20"/>
              </w:rPr>
              <w:br/>
              <w:t> </w:t>
            </w:r>
          </w:p>
          <w:p w14:paraId="71E3D011" w14:textId="77777777" w:rsidR="00390F34" w:rsidRPr="00955AC1" w:rsidRDefault="00390F34" w:rsidP="007D0FBC">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4BB221D9" w14:textId="77777777" w:rsidR="00390F34" w:rsidRPr="00955AC1" w:rsidRDefault="00390F34" w:rsidP="007D0FBC">
            <w:pPr>
              <w:textAlignment w:val="baseline"/>
              <w:rPr>
                <w:rFonts w:ascii="Times New Roman" w:eastAsia="Times New Roman" w:hAnsi="Times New Roman" w:cs="Times New Roman"/>
                <w:color w:val="242424"/>
                <w:sz w:val="20"/>
                <w:szCs w:val="20"/>
              </w:rPr>
            </w:pPr>
            <w:r w:rsidRPr="00955AC1">
              <w:rPr>
                <w:rFonts w:ascii="Times New Roman" w:eastAsia="Times New Roman" w:hAnsi="Times New Roman" w:cs="Times New Roman"/>
                <w:sz w:val="20"/>
                <w:szCs w:val="20"/>
              </w:rPr>
              <w:t xml:space="preserve">In every circumstance where a resident or non-residential tenant will be displaced (either temporarily or permanently) due to a DCA funded development being built and/or renovated, a relocation plan and budget must be included when the application’s relocation information is submitted to DCA. </w:t>
            </w:r>
            <w:r w:rsidRPr="00955AC1">
              <w:rPr>
                <w:rFonts w:ascii="Times New Roman" w:eastAsia="Times New Roman" w:hAnsi="Times New Roman" w:cs="Times New Roman"/>
                <w:color w:val="242424"/>
                <w:sz w:val="20"/>
                <w:szCs w:val="20"/>
              </w:rPr>
              <w:t>Until otherwise noted, please continue to follow the 2022 QAP and 2022 Relocation Manual for guidance. </w:t>
            </w:r>
          </w:p>
          <w:p w14:paraId="0BC95D79" w14:textId="77777777" w:rsidR="00390F34" w:rsidRPr="00955AC1" w:rsidRDefault="00390F34" w:rsidP="007D0FBC">
            <w:pPr>
              <w:textAlignment w:val="baseline"/>
              <w:rPr>
                <w:rFonts w:ascii="Times New Roman" w:eastAsia="Times New Roman" w:hAnsi="Times New Roman" w:cs="Times New Roman"/>
                <w:sz w:val="20"/>
                <w:szCs w:val="20"/>
              </w:rPr>
            </w:pPr>
          </w:p>
          <w:p w14:paraId="4713A40D" w14:textId="77777777" w:rsidR="00390F34" w:rsidRPr="00955AC1" w:rsidRDefault="00390F34" w:rsidP="007D0FBC">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242424"/>
                <w:sz w:val="20"/>
                <w:szCs w:val="20"/>
              </w:rPr>
              <w:t xml:space="preserve">As it is stated in the 2022 QAP - </w:t>
            </w:r>
            <w:r w:rsidRPr="00955AC1">
              <w:rPr>
                <w:rFonts w:ascii="Times New Roman" w:eastAsia="Times New Roman" w:hAnsi="Times New Roman" w:cs="Times New Roman"/>
                <w:i/>
                <w:iCs/>
                <w:color w:val="242424"/>
                <w:sz w:val="20"/>
                <w:szCs w:val="20"/>
              </w:rPr>
              <w:t xml:space="preserve">“In the event condemnation proceedings are pending against a proposed project, </w:t>
            </w:r>
            <w:r w:rsidRPr="00955AC1">
              <w:rPr>
                <w:rFonts w:ascii="Times New Roman" w:eastAsia="Times New Roman" w:hAnsi="Times New Roman" w:cs="Times New Roman"/>
                <w:b/>
                <w:bCs/>
                <w:i/>
                <w:iCs/>
                <w:color w:val="242424"/>
                <w:sz w:val="20"/>
                <w:szCs w:val="20"/>
              </w:rPr>
              <w:t>DCA’s relocation policies apply to all residents and non-residential tenants residing at the property at the earlier of Application Submission or HOME consent request, if applicable</w:t>
            </w:r>
            <w:r w:rsidRPr="00955AC1">
              <w:rPr>
                <w:rFonts w:ascii="Times New Roman" w:eastAsia="Times New Roman" w:hAnsi="Times New Roman" w:cs="Times New Roman"/>
                <w:i/>
                <w:iCs/>
                <w:color w:val="242424"/>
                <w:sz w:val="20"/>
                <w:szCs w:val="20"/>
              </w:rPr>
              <w:t>.</w:t>
            </w:r>
            <w:r w:rsidRPr="00955AC1">
              <w:rPr>
                <w:rFonts w:ascii="Times New Roman" w:eastAsia="Times New Roman" w:hAnsi="Times New Roman" w:cs="Times New Roman"/>
                <w:i/>
                <w:iCs/>
                <w:sz w:val="20"/>
                <w:szCs w:val="20"/>
              </w:rPr>
              <w:t>”</w:t>
            </w:r>
            <w:r w:rsidRPr="00955AC1">
              <w:rPr>
                <w:rFonts w:ascii="Times New Roman" w:eastAsia="Times New Roman" w:hAnsi="Times New Roman" w:cs="Times New Roman"/>
                <w:sz w:val="20"/>
                <w:szCs w:val="20"/>
              </w:rPr>
              <w:t> </w:t>
            </w:r>
          </w:p>
          <w:p w14:paraId="5789704C" w14:textId="77777777" w:rsidR="00390F34" w:rsidRPr="00955AC1" w:rsidRDefault="00390F34" w:rsidP="007D0FBC">
            <w:pPr>
              <w:textAlignment w:val="baseline"/>
              <w:rPr>
                <w:rFonts w:ascii="Times New Roman" w:eastAsia="Times New Roman" w:hAnsi="Times New Roman" w:cs="Times New Roman"/>
                <w:sz w:val="20"/>
                <w:szCs w:val="20"/>
              </w:rPr>
            </w:pPr>
          </w:p>
          <w:p w14:paraId="4EA5EAD3" w14:textId="77777777" w:rsidR="00390F34" w:rsidRPr="00955AC1" w:rsidRDefault="00390F34" w:rsidP="007D0FBC">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242424"/>
                <w:sz w:val="20"/>
                <w:szCs w:val="20"/>
              </w:rPr>
              <w:t>Please note, applications with federal funding are subject to URA provisions. All other applications with non-federal funding are subject to DCA’s relocation requirements alone. </w:t>
            </w:r>
          </w:p>
          <w:p w14:paraId="4E2E8AFA" w14:textId="77777777" w:rsidR="00390F34" w:rsidRPr="00955AC1" w:rsidRDefault="00390F34" w:rsidP="000F6D48">
            <w:pPr>
              <w:textAlignment w:val="baseline"/>
              <w:rPr>
                <w:rFonts w:ascii="Times New Roman" w:eastAsia="Times New Roman" w:hAnsi="Times New Roman" w:cs="Times New Roman"/>
                <w:b/>
                <w:bCs/>
                <w:sz w:val="20"/>
                <w:szCs w:val="20"/>
              </w:rPr>
            </w:pPr>
          </w:p>
        </w:tc>
      </w:tr>
      <w:tr w:rsidR="00390F34" w:rsidRPr="00955AC1" w14:paraId="6E7006B8"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746BFC0"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6036FCAB"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3.05</w:t>
            </w:r>
          </w:p>
          <w:p w14:paraId="388816BF"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Scoring Criteria; </w:t>
            </w:r>
          </w:p>
          <w:p w14:paraId="57DD6312"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632E8087" w14:textId="77777777" w:rsidR="00390F34" w:rsidRPr="00955AC1" w:rsidRDefault="00390F34" w:rsidP="00010D26">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sz w:val="20"/>
                <w:szCs w:val="20"/>
              </w:rPr>
              <w:t>1011391495 </w:t>
            </w:r>
          </w:p>
          <w:p w14:paraId="0A05B6D4" w14:textId="77777777" w:rsidR="00390F34" w:rsidRPr="00955AC1" w:rsidRDefault="00390F34" w:rsidP="00010D26">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xml:space="preserve">When entering data into the provided Excel Sheet for Desirable/Undesirable and the Core Application I am receiving "#######" feedback from excel on some of the cells. The affected cells are longitude data cells in the Desirable/Undesirable and a few miscellaneous date cells in the core app. When I print to PDF the data shows up. I can not edit the Excel sheets because they are locked. The data I entered can be found at the top of the excel sheet when the "#####" cells are selected. I just want to make sure we will not lose any points for this occurring in our excel sheet at submission. </w:t>
            </w:r>
          </w:p>
          <w:p w14:paraId="18439931" w14:textId="77777777" w:rsidR="00390F34" w:rsidRPr="00955AC1" w:rsidRDefault="00390F34" w:rsidP="00010D26">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7458ACC9" w14:textId="77777777" w:rsidR="00390F34" w:rsidRPr="00955AC1" w:rsidRDefault="00390F34" w:rsidP="00010D26">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08E99FDF" w14:textId="77777777" w:rsidR="00390F34" w:rsidRPr="00955AC1" w:rsidRDefault="00390F34" w:rsidP="00010D26">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The cells display ###### when the excel cell width is not long enough to accommodate/display the number of characters; however, it doesn’t prevent the excel data input. The Latitude and Longitude columns in the Desirable/Undesirable Certification form have been widened to avoid this issue. The updated form named “2022DesirableUndesirableCertification_updated_9.23.22” has been posted on the DCA website. </w:t>
            </w:r>
          </w:p>
          <w:p w14:paraId="05A6E371" w14:textId="77777777" w:rsidR="00390F34" w:rsidRPr="00955AC1" w:rsidRDefault="00390F34" w:rsidP="000F6D48">
            <w:pPr>
              <w:textAlignment w:val="baseline"/>
              <w:rPr>
                <w:rFonts w:ascii="Times New Roman" w:eastAsia="Times New Roman" w:hAnsi="Times New Roman" w:cs="Times New Roman"/>
                <w:b/>
                <w:bCs/>
                <w:sz w:val="20"/>
                <w:szCs w:val="20"/>
              </w:rPr>
            </w:pPr>
          </w:p>
        </w:tc>
      </w:tr>
      <w:tr w:rsidR="00390F34" w:rsidRPr="00955AC1" w14:paraId="0FC3669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ABEA22D"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5E607063"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3.07</w:t>
            </w:r>
          </w:p>
          <w:p w14:paraId="34C47037"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Scoring Criteria;</w:t>
            </w:r>
          </w:p>
          <w:p w14:paraId="6F11B72F"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15AD71AD" w14:textId="77777777" w:rsidR="00390F34" w:rsidRPr="00955AC1" w:rsidRDefault="00390F34" w:rsidP="00993734">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 ID: </w:t>
            </w:r>
            <w:r w:rsidRPr="00955AC1">
              <w:rPr>
                <w:rFonts w:ascii="Times New Roman" w:eastAsia="Times New Roman" w:hAnsi="Times New Roman" w:cs="Times New Roman"/>
                <w:sz w:val="20"/>
                <w:szCs w:val="20"/>
              </w:rPr>
              <w:t>1010569933 </w:t>
            </w:r>
            <w:r w:rsidRPr="00955AC1">
              <w:rPr>
                <w:rFonts w:ascii="Times New Roman" w:eastAsia="Times New Roman" w:hAnsi="Times New Roman" w:cs="Times New Roman"/>
                <w:sz w:val="20"/>
                <w:szCs w:val="20"/>
              </w:rPr>
              <w:br/>
            </w:r>
            <w:r w:rsidRPr="00955AC1">
              <w:rPr>
                <w:rFonts w:ascii="Times New Roman" w:eastAsia="Times New Roman" w:hAnsi="Times New Roman" w:cs="Times New Roman"/>
                <w:color w:val="000000"/>
                <w:sz w:val="20"/>
                <w:szCs w:val="20"/>
              </w:rPr>
              <w:t xml:space="preserve">There are two new schools in our district. One of the schools is a new school K – 8, which opened in 2019 and has no data. The second school is a renovated school Pre K – 5, which has data from 2017 and no updated data. Per the QAP, </w:t>
            </w:r>
            <w:r w:rsidRPr="00955AC1">
              <w:rPr>
                <w:rFonts w:ascii="Times New Roman" w:eastAsia="Times New Roman" w:hAnsi="Times New Roman" w:cs="Times New Roman"/>
                <w:i/>
                <w:iCs/>
                <w:color w:val="000000"/>
                <w:sz w:val="20"/>
                <w:szCs w:val="20"/>
              </w:rPr>
              <w:t>"Some recently established schools do not have data for options A through C. For such schools the Applicant may utilize scores of the applicable grade cluster for the school district."</w:t>
            </w:r>
            <w:r w:rsidRPr="00955AC1">
              <w:rPr>
                <w:rFonts w:ascii="Times New Roman" w:eastAsia="Times New Roman" w:hAnsi="Times New Roman" w:cs="Times New Roman"/>
                <w:color w:val="000000"/>
                <w:sz w:val="20"/>
                <w:szCs w:val="20"/>
              </w:rPr>
              <w:t xml:space="preserve"> Please provide guidance how to utilize the district score to qualify for points in scoring options A through C. </w:t>
            </w:r>
          </w:p>
          <w:p w14:paraId="39EEA708" w14:textId="77777777" w:rsidR="00390F34" w:rsidRPr="00955AC1" w:rsidRDefault="00390F34" w:rsidP="00993734">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138AA5B1" w14:textId="77777777" w:rsidR="00390F34" w:rsidRPr="00955AC1" w:rsidRDefault="00390F34" w:rsidP="00993734">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49032B3A" w14:textId="77777777" w:rsidR="00390F34" w:rsidRPr="00955AC1" w:rsidRDefault="00390F34" w:rsidP="00993734">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The QAP states: </w:t>
            </w:r>
            <w:r w:rsidRPr="00955AC1">
              <w:rPr>
                <w:rFonts w:ascii="Times New Roman" w:eastAsia="Times New Roman" w:hAnsi="Times New Roman" w:cs="Times New Roman"/>
                <w:i/>
                <w:iCs/>
                <w:sz w:val="20"/>
                <w:szCs w:val="20"/>
              </w:rPr>
              <w:t>“Some recently established schools do not have data for options A through C. For such schools, the Applicant may utilize scores of the applicable grade cluster for the school district.”</w:t>
            </w:r>
            <w:r w:rsidRPr="00955AC1">
              <w:rPr>
                <w:rFonts w:ascii="Times New Roman" w:eastAsia="Times New Roman" w:hAnsi="Times New Roman" w:cs="Times New Roman"/>
                <w:sz w:val="20"/>
                <w:szCs w:val="20"/>
              </w:rPr>
              <w:t> </w:t>
            </w:r>
          </w:p>
          <w:p w14:paraId="199E2531" w14:textId="77777777" w:rsidR="00390F34" w:rsidRPr="00955AC1" w:rsidRDefault="00390F34" w:rsidP="00993734">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63058976" w14:textId="77777777" w:rsidR="00390F34" w:rsidRPr="00955AC1" w:rsidRDefault="00390F34" w:rsidP="00993734">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Accordingly, for any applicable schools without data, district-wide average CCRPI scores may be used.  When searching the CCRPI website </w:t>
            </w:r>
            <w:hyperlink r:id="rId15" w:tgtFrame="_blank" w:history="1">
              <w:r w:rsidRPr="00955AC1">
                <w:rPr>
                  <w:rFonts w:ascii="Times New Roman" w:eastAsia="Times New Roman" w:hAnsi="Times New Roman" w:cs="Times New Roman"/>
                  <w:color w:val="0563C1"/>
                  <w:sz w:val="20"/>
                  <w:szCs w:val="20"/>
                  <w:u w:val="single"/>
                </w:rPr>
                <w:t>GADOE CCRPI Reporting System</w:t>
              </w:r>
            </w:hyperlink>
            <w:r w:rsidRPr="00955AC1">
              <w:rPr>
                <w:rFonts w:ascii="Times New Roman" w:eastAsia="Times New Roman" w:hAnsi="Times New Roman" w:cs="Times New Roman"/>
                <w:sz w:val="20"/>
                <w:szCs w:val="20"/>
              </w:rPr>
              <w:t>, search for the applicable county school district, and filter to the respective appropriate grade clusters (Elementary/Middle/High).   </w:t>
            </w:r>
          </w:p>
          <w:p w14:paraId="66776AB4" w14:textId="77777777" w:rsidR="00390F34" w:rsidRPr="00955AC1" w:rsidRDefault="00390F34" w:rsidP="00993734">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0E455861"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For subsection A, if both 2018 and 2019 district-wide CCRPI averages are available, the 2-year average must be used; if only one year of district-wide averages are available, the 1-year average may be used. For subsection C, use the district-wide CCRPI data for average year-over-year change and average CCRPI score. </w:t>
            </w:r>
          </w:p>
          <w:p w14:paraId="155C44AD" w14:textId="77777777" w:rsidR="00390F34" w:rsidRPr="00955AC1" w:rsidRDefault="00390F34" w:rsidP="000F6D48">
            <w:pPr>
              <w:textAlignment w:val="baseline"/>
              <w:rPr>
                <w:rFonts w:ascii="Times New Roman" w:eastAsia="Times New Roman" w:hAnsi="Times New Roman" w:cs="Times New Roman"/>
                <w:sz w:val="20"/>
                <w:szCs w:val="20"/>
              </w:rPr>
            </w:pPr>
          </w:p>
        </w:tc>
      </w:tr>
      <w:tr w:rsidR="00390F34" w:rsidRPr="00955AC1" w14:paraId="5FAB74CE"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6442645"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0F7CF65E" w14:textId="77777777" w:rsidR="00390F34" w:rsidRPr="00955AC1" w:rsidRDefault="00390F34" w:rsidP="001B16E5">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3.28</w:t>
            </w:r>
          </w:p>
          <w:p w14:paraId="48042AB2" w14:textId="77777777" w:rsidR="00390F34" w:rsidRPr="00955AC1" w:rsidRDefault="00390F34" w:rsidP="001B16E5">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Scoring Criteria; </w:t>
            </w:r>
          </w:p>
          <w:p w14:paraId="62E6D17E" w14:textId="77777777" w:rsidR="00390F34" w:rsidRPr="00955AC1" w:rsidRDefault="00390F34" w:rsidP="001B16E5">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Property Restrictions and Age</w:t>
            </w:r>
          </w:p>
          <w:p w14:paraId="4BFFBF04" w14:textId="77777777" w:rsidR="00390F34" w:rsidRPr="00955AC1" w:rsidRDefault="00390F34" w:rsidP="001B16E5">
            <w:pPr>
              <w:rPr>
                <w:rFonts w:ascii="Times New Roman" w:eastAsia="Times New Roman" w:hAnsi="Times New Roman" w:cs="Times New Roman"/>
                <w:sz w:val="20"/>
                <w:szCs w:val="20"/>
              </w:rPr>
            </w:pPr>
          </w:p>
          <w:p w14:paraId="2D4FDA0A" w14:textId="77777777" w:rsidR="00390F34" w:rsidRPr="00955AC1" w:rsidRDefault="00390F34" w:rsidP="001B16E5">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(also 3.01 Documentation and Justifications)</w:t>
            </w:r>
          </w:p>
        </w:tc>
        <w:tc>
          <w:tcPr>
            <w:tcW w:w="9585" w:type="dxa"/>
            <w:shd w:val="clear" w:color="auto" w:fill="auto"/>
            <w:tcMar>
              <w:top w:w="72" w:type="dxa"/>
              <w:left w:w="115" w:type="dxa"/>
              <w:bottom w:w="72" w:type="dxa"/>
              <w:right w:w="115" w:type="dxa"/>
            </w:tcMar>
            <w:vAlign w:val="center"/>
          </w:tcPr>
          <w:p w14:paraId="6B6C8673" w14:textId="77777777" w:rsidR="00390F34" w:rsidRPr="00955AC1" w:rsidRDefault="00390F34" w:rsidP="002C7DDA">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 ID:</w:t>
            </w:r>
            <w:r w:rsidRPr="00955AC1">
              <w:rPr>
                <w:rFonts w:ascii="Times New Roman" w:eastAsia="Times New Roman" w:hAnsi="Times New Roman" w:cs="Times New Roman"/>
                <w:sz w:val="20"/>
                <w:szCs w:val="20"/>
              </w:rPr>
              <w:t> 1009483905 </w:t>
            </w:r>
          </w:p>
          <w:p w14:paraId="3D6EDB4B" w14:textId="77777777" w:rsidR="00390F34" w:rsidRPr="00955AC1" w:rsidRDefault="00390F34" w:rsidP="002C7DDA">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We are working on a rehabilitation that was built in the early 1980's.  We have tried to obtain the Certificate of Occupancy from the City of each as it is not located at the property.  Is there another way that would be acceptable to DCA to prove occupancy prior to 2000? </w:t>
            </w:r>
          </w:p>
          <w:p w14:paraId="60DFAD47" w14:textId="77777777" w:rsidR="00390F34" w:rsidRPr="00955AC1" w:rsidRDefault="00390F34" w:rsidP="002C7DDA">
            <w:pPr>
              <w:textAlignment w:val="baseline"/>
              <w:rPr>
                <w:rFonts w:ascii="Times New Roman" w:eastAsia="Times New Roman" w:hAnsi="Times New Roman" w:cs="Times New Roman"/>
                <w:sz w:val="20"/>
                <w:szCs w:val="20"/>
              </w:rPr>
            </w:pPr>
          </w:p>
          <w:p w14:paraId="00075F41" w14:textId="77777777" w:rsidR="00390F34" w:rsidRPr="00955AC1" w:rsidRDefault="00390F34" w:rsidP="002C7DDA">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35DDE7A7" w14:textId="77777777" w:rsidR="00390F34" w:rsidRPr="00955AC1" w:rsidRDefault="00390F34" w:rsidP="002C7DDA">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Please refer to </w:t>
            </w:r>
            <w:r w:rsidRPr="00955AC1">
              <w:rPr>
                <w:rFonts w:ascii="Times New Roman" w:eastAsia="Times New Roman" w:hAnsi="Times New Roman" w:cs="Times New Roman"/>
                <w:b/>
                <w:bCs/>
                <w:sz w:val="20"/>
                <w:szCs w:val="20"/>
              </w:rPr>
              <w:t>Appendix II Scoring Criteria, I. Documentation and Justifications</w:t>
            </w:r>
            <w:r w:rsidRPr="00955AC1">
              <w:rPr>
                <w:rFonts w:ascii="Times New Roman" w:eastAsia="Times New Roman" w:hAnsi="Times New Roman" w:cs="Times New Roman"/>
                <w:sz w:val="20"/>
                <w:szCs w:val="20"/>
              </w:rPr>
              <w:t xml:space="preserve">, </w:t>
            </w:r>
            <w:r w:rsidRPr="00955AC1">
              <w:rPr>
                <w:rFonts w:ascii="Times New Roman" w:eastAsia="Times New Roman" w:hAnsi="Times New Roman" w:cs="Times New Roman"/>
                <w:b/>
                <w:bCs/>
                <w:sz w:val="20"/>
                <w:szCs w:val="20"/>
              </w:rPr>
              <w:t>A. Minimum Documentation</w:t>
            </w:r>
            <w:r w:rsidRPr="00955AC1">
              <w:rPr>
                <w:rFonts w:ascii="Times New Roman" w:eastAsia="Times New Roman" w:hAnsi="Times New Roman" w:cs="Times New Roman"/>
                <w:sz w:val="20"/>
                <w:szCs w:val="20"/>
              </w:rPr>
              <w:t>:   </w:t>
            </w:r>
          </w:p>
          <w:p w14:paraId="1D0CBD80" w14:textId="77777777" w:rsidR="00390F34" w:rsidRPr="00955AC1" w:rsidRDefault="00390F34" w:rsidP="002C7DDA">
            <w:pPr>
              <w:ind w:left="72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i/>
                <w:iCs/>
                <w:sz w:val="20"/>
                <w:szCs w:val="20"/>
              </w:rPr>
              <w:t>“Applications without Minimum Documentation and any other documents necessary to determine the Application meets the subsection criteria will not be eligible for the points. Applications must explain any alternate document to a minimum document.”</w:t>
            </w:r>
            <w:r w:rsidRPr="00955AC1">
              <w:rPr>
                <w:rFonts w:ascii="Times New Roman" w:eastAsia="Times New Roman" w:hAnsi="Times New Roman" w:cs="Times New Roman"/>
                <w:sz w:val="20"/>
                <w:szCs w:val="20"/>
              </w:rPr>
              <w:t> </w:t>
            </w:r>
          </w:p>
          <w:p w14:paraId="0CCE91B9" w14:textId="77777777" w:rsidR="00390F34" w:rsidRPr="00955AC1" w:rsidRDefault="00390F34" w:rsidP="002C7DDA">
            <w:pPr>
              <w:ind w:left="72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6BB91EDA" w14:textId="77777777" w:rsidR="00390F34" w:rsidRPr="00955AC1" w:rsidRDefault="00390F34" w:rsidP="002C7DDA">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If unable to meet Minimum Documentation requirements, please provide alternate documentation and explain in the comments why the listed Minimum Document is not available and how the alternate documentation evidences that subsection criteria is met. </w:t>
            </w:r>
          </w:p>
          <w:p w14:paraId="37E17753" w14:textId="77777777" w:rsidR="00390F34" w:rsidRPr="00955AC1" w:rsidRDefault="00390F34" w:rsidP="000F6D48">
            <w:pPr>
              <w:textAlignment w:val="baseline"/>
              <w:rPr>
                <w:rFonts w:ascii="Times New Roman" w:eastAsia="Times New Roman" w:hAnsi="Times New Roman" w:cs="Times New Roman"/>
                <w:b/>
                <w:bCs/>
                <w:sz w:val="20"/>
                <w:szCs w:val="20"/>
              </w:rPr>
            </w:pPr>
          </w:p>
        </w:tc>
      </w:tr>
      <w:tr w:rsidR="00390F34" w:rsidRPr="00955AC1" w14:paraId="271D1A99"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FACF1E1"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38C825EC"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3.28</w:t>
            </w:r>
          </w:p>
          <w:p w14:paraId="716398C3"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Scoring Criteria; </w:t>
            </w:r>
          </w:p>
          <w:p w14:paraId="14E85C5D"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Property Restrictions and Age</w:t>
            </w:r>
          </w:p>
        </w:tc>
        <w:tc>
          <w:tcPr>
            <w:tcW w:w="9585" w:type="dxa"/>
            <w:shd w:val="clear" w:color="auto" w:fill="auto"/>
            <w:tcMar>
              <w:top w:w="72" w:type="dxa"/>
              <w:left w:w="115" w:type="dxa"/>
              <w:bottom w:w="72" w:type="dxa"/>
              <w:right w:w="115" w:type="dxa"/>
            </w:tcMar>
            <w:vAlign w:val="center"/>
          </w:tcPr>
          <w:p w14:paraId="312C2870" w14:textId="77777777" w:rsidR="00390F34" w:rsidRPr="00955AC1" w:rsidRDefault="00390F34" w:rsidP="00B35BE9">
            <w:pPr>
              <w:textAlignment w:val="baseline"/>
              <w:rPr>
                <w:rFonts w:ascii="Times New Roman" w:eastAsia="Times New Roman" w:hAnsi="Times New Roman" w:cs="Times New Roman"/>
                <w:color w:val="000000"/>
                <w:sz w:val="20"/>
                <w:szCs w:val="20"/>
              </w:rPr>
            </w:pPr>
            <w:r w:rsidRPr="00955AC1">
              <w:rPr>
                <w:rStyle w:val="normaltextrun"/>
                <w:rFonts w:ascii="Times New Roman" w:hAnsi="Times New Roman" w:cs="Times New Roman"/>
                <w:b/>
                <w:bCs/>
                <w:color w:val="000000"/>
                <w:sz w:val="20"/>
                <w:szCs w:val="20"/>
                <w:shd w:val="clear" w:color="auto" w:fill="FFFFFF"/>
              </w:rPr>
              <w:t xml:space="preserve">Question ID: </w:t>
            </w:r>
            <w:r w:rsidRPr="00955AC1">
              <w:rPr>
                <w:rStyle w:val="normaltextrun"/>
                <w:rFonts w:ascii="Times New Roman" w:hAnsi="Times New Roman" w:cs="Times New Roman"/>
                <w:color w:val="000000"/>
                <w:sz w:val="20"/>
                <w:szCs w:val="20"/>
                <w:shd w:val="clear" w:color="auto" w:fill="FFFFFF"/>
              </w:rPr>
              <w:t>1003638309_2</w:t>
            </w:r>
            <w:r w:rsidRPr="00955AC1">
              <w:rPr>
                <w:rStyle w:val="eop"/>
                <w:rFonts w:ascii="Times New Roman" w:hAnsi="Times New Roman" w:cs="Times New Roman"/>
                <w:color w:val="000000"/>
                <w:sz w:val="20"/>
                <w:szCs w:val="20"/>
                <w:shd w:val="clear" w:color="auto" w:fill="FFFFFF"/>
              </w:rPr>
              <w:t> </w:t>
            </w:r>
          </w:p>
          <w:p w14:paraId="06182390" w14:textId="77777777" w:rsidR="00390F34" w:rsidRPr="00955AC1" w:rsidRDefault="00390F34" w:rsidP="00B35BE9">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xml:space="preserve">Our property was built in the 1970s but underwent substantial rehab in 2011. In </w:t>
            </w:r>
            <w:r w:rsidRPr="00955AC1">
              <w:rPr>
                <w:rFonts w:ascii="Times New Roman" w:eastAsia="Times New Roman" w:hAnsi="Times New Roman" w:cs="Times New Roman"/>
                <w:b/>
                <w:bCs/>
                <w:color w:val="000000"/>
                <w:sz w:val="20"/>
                <w:szCs w:val="20"/>
              </w:rPr>
              <w:t>(Scoring Criteria) Property Restrictions and Ag</w:t>
            </w:r>
            <w:r w:rsidRPr="00955AC1">
              <w:rPr>
                <w:rFonts w:ascii="Times New Roman" w:eastAsia="Times New Roman" w:hAnsi="Times New Roman" w:cs="Times New Roman"/>
                <w:color w:val="000000"/>
                <w:sz w:val="20"/>
                <w:szCs w:val="20"/>
              </w:rPr>
              <w:t>e, is the property age counted from the original building date or from the substantial rehabilitation date </w:t>
            </w:r>
          </w:p>
          <w:p w14:paraId="6718FABD" w14:textId="77777777" w:rsidR="00390F34" w:rsidRPr="00955AC1" w:rsidRDefault="00390F34" w:rsidP="00B35BE9">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4458240A" w14:textId="77777777" w:rsidR="00390F34" w:rsidRPr="00955AC1" w:rsidRDefault="00390F34" w:rsidP="00B35BE9">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046B656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Property age is determined by the property’s placed in service date, as evidenced by the certificate(s) of occupancy. </w:t>
            </w:r>
          </w:p>
        </w:tc>
      </w:tr>
      <w:tr w:rsidR="00390F34" w:rsidRPr="00955AC1" w14:paraId="39AF1C0F"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29229B0"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5C561110"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5.00</w:t>
            </w:r>
          </w:p>
          <w:p w14:paraId="6CD981A1"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Emphasys Application Portal</w:t>
            </w:r>
          </w:p>
        </w:tc>
        <w:tc>
          <w:tcPr>
            <w:tcW w:w="9585" w:type="dxa"/>
            <w:shd w:val="clear" w:color="auto" w:fill="auto"/>
            <w:tcMar>
              <w:top w:w="72" w:type="dxa"/>
              <w:left w:w="115" w:type="dxa"/>
              <w:bottom w:w="72" w:type="dxa"/>
              <w:right w:w="115" w:type="dxa"/>
            </w:tcMar>
            <w:vAlign w:val="center"/>
          </w:tcPr>
          <w:p w14:paraId="6F4EF020" w14:textId="77777777" w:rsidR="00390F34" w:rsidRPr="00955AC1" w:rsidRDefault="00390F34" w:rsidP="00204539">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sz w:val="20"/>
                <w:szCs w:val="20"/>
              </w:rPr>
              <w:t>1012025273 </w:t>
            </w:r>
          </w:p>
          <w:p w14:paraId="425EF888" w14:textId="77777777" w:rsidR="00390F34" w:rsidRPr="00955AC1" w:rsidRDefault="00390F34" w:rsidP="00204539">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When the 4% Bonds Competitive Review has been submitted via Emphasys, will applicants receive a written acknowledgment? </w:t>
            </w:r>
          </w:p>
          <w:p w14:paraId="50714B74" w14:textId="77777777" w:rsidR="00390F34" w:rsidRPr="00955AC1" w:rsidRDefault="00390F34" w:rsidP="00204539">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25687703" w14:textId="77777777" w:rsidR="00390F34" w:rsidRPr="00955AC1" w:rsidRDefault="00390F34" w:rsidP="00204539">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33AA67B6" w14:textId="77777777" w:rsidR="00390F34" w:rsidRPr="00955AC1" w:rsidRDefault="00390F34" w:rsidP="00204539">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272727"/>
                <w:sz w:val="20"/>
                <w:szCs w:val="20"/>
              </w:rPr>
              <w:t>DCA will send email confirmation of receipt after an application is submitted. Confirmation emails for applications submitted before October 14 will be sent by COB the day after submission. For applications submitted on October 14 (Application Submission deadline), confirmation emails will be sent within an hour. </w:t>
            </w:r>
          </w:p>
          <w:p w14:paraId="2B597EBF" w14:textId="77777777" w:rsidR="00390F34" w:rsidRPr="00955AC1" w:rsidRDefault="00390F34" w:rsidP="00204539">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272727"/>
                <w:sz w:val="20"/>
                <w:szCs w:val="20"/>
              </w:rPr>
              <w:t>If you do not receive a confirmation within the period defined above, please email Felecia Speakman (</w:t>
            </w:r>
            <w:hyperlink r:id="rId16" w:tgtFrame="_blank" w:history="1">
              <w:r w:rsidRPr="00955AC1">
                <w:rPr>
                  <w:rFonts w:ascii="Times New Roman" w:eastAsia="Times New Roman" w:hAnsi="Times New Roman" w:cs="Times New Roman"/>
                  <w:color w:val="0563C1"/>
                  <w:sz w:val="20"/>
                  <w:szCs w:val="20"/>
                  <w:u w:val="single"/>
                </w:rPr>
                <w:t>Felecia.Speakman@dca.ga.gov</w:t>
              </w:r>
            </w:hyperlink>
            <w:r w:rsidRPr="00955AC1">
              <w:rPr>
                <w:rFonts w:ascii="Times New Roman" w:eastAsia="Times New Roman" w:hAnsi="Times New Roman" w:cs="Times New Roman"/>
                <w:color w:val="272727"/>
                <w:sz w:val="20"/>
                <w:szCs w:val="20"/>
              </w:rPr>
              <w:t>) and Sanjana Zahin (</w:t>
            </w:r>
            <w:hyperlink r:id="rId17" w:tgtFrame="_blank" w:history="1">
              <w:r w:rsidRPr="00955AC1">
                <w:rPr>
                  <w:rFonts w:ascii="Times New Roman" w:eastAsia="Times New Roman" w:hAnsi="Times New Roman" w:cs="Times New Roman"/>
                  <w:color w:val="0563C1"/>
                  <w:sz w:val="20"/>
                  <w:szCs w:val="20"/>
                  <w:u w:val="single"/>
                </w:rPr>
                <w:t>Sanjana.Zahin@dca.ga.gov</w:t>
              </w:r>
            </w:hyperlink>
            <w:r w:rsidRPr="00955AC1">
              <w:rPr>
                <w:rFonts w:ascii="Times New Roman" w:eastAsia="Times New Roman" w:hAnsi="Times New Roman" w:cs="Times New Roman"/>
                <w:color w:val="272727"/>
                <w:sz w:val="20"/>
                <w:szCs w:val="20"/>
              </w:rPr>
              <w:t>). </w:t>
            </w:r>
          </w:p>
          <w:p w14:paraId="23601FC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tc>
      </w:tr>
      <w:tr w:rsidR="00390F34" w:rsidRPr="00955AC1" w14:paraId="73F8FB38"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DD44956"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240E3293" w14:textId="77777777" w:rsidR="00390F34" w:rsidRPr="00955AC1" w:rsidRDefault="00390F34" w:rsidP="00185971">
            <w:pPr>
              <w:rPr>
                <w:rFonts w:ascii="Times New Roman" w:hAnsi="Times New Roman" w:cs="Times New Roman"/>
                <w:sz w:val="20"/>
                <w:szCs w:val="20"/>
              </w:rPr>
            </w:pPr>
            <w:r w:rsidRPr="00955AC1">
              <w:rPr>
                <w:rFonts w:ascii="Times New Roman" w:hAnsi="Times New Roman" w:cs="Times New Roman"/>
                <w:sz w:val="20"/>
                <w:szCs w:val="20"/>
              </w:rPr>
              <w:t>6.00</w:t>
            </w:r>
          </w:p>
          <w:p w14:paraId="4FB6EC12"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4%/Bonds Round Application Requirements and Procedures  </w:t>
            </w:r>
          </w:p>
        </w:tc>
        <w:tc>
          <w:tcPr>
            <w:tcW w:w="9585" w:type="dxa"/>
            <w:shd w:val="clear" w:color="auto" w:fill="auto"/>
            <w:tcMar>
              <w:top w:w="72" w:type="dxa"/>
              <w:left w:w="115" w:type="dxa"/>
              <w:bottom w:w="72" w:type="dxa"/>
              <w:right w:w="115" w:type="dxa"/>
            </w:tcMar>
            <w:vAlign w:val="center"/>
          </w:tcPr>
          <w:p w14:paraId="378B50FF" w14:textId="77777777" w:rsidR="00390F34" w:rsidRPr="00955AC1" w:rsidRDefault="00390F34" w:rsidP="00FA7715">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sz w:val="20"/>
                <w:szCs w:val="20"/>
              </w:rPr>
              <w:t>1012028005_2 </w:t>
            </w:r>
          </w:p>
          <w:p w14:paraId="76AF1409" w14:textId="77777777" w:rsidR="00390F34" w:rsidRPr="00955AC1" w:rsidRDefault="00390F34" w:rsidP="00FA7715">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In the DCA Workshop on 9/20 the following question was asked "After receiving allocation in the competitive round, are the pre-app and full app also competitive or do you maintain your allocation as long as you meet the requirements?" DCA responded "You maintain the allocation as long as you met the requirements." Will DCA clarify what is considered an "Allocation"? </w:t>
            </w:r>
          </w:p>
          <w:p w14:paraId="35A08F76" w14:textId="77777777" w:rsidR="00390F34" w:rsidRPr="00955AC1" w:rsidRDefault="00390F34" w:rsidP="00FA7715">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6BAC74CF" w14:textId="77777777" w:rsidR="00390F34" w:rsidRPr="00955AC1" w:rsidRDefault="00390F34" w:rsidP="00FA7715">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520A2C53" w14:textId="77777777" w:rsidR="00390F34" w:rsidRPr="00955AC1" w:rsidRDefault="00390F34" w:rsidP="00FA7715">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The above statement simply means that the competitive elements of the 4% HTC/Bonds Round are limited to the October 14 Competitive Round submission. Applicants awarded under the Competitive Round must meet the remaining Threshold requirements by the designated Pre-Application and full Application deadlines to receive a Letter of Determination. </w:t>
            </w:r>
          </w:p>
          <w:p w14:paraId="6B534132" w14:textId="77777777" w:rsidR="00390F34" w:rsidRPr="00955AC1" w:rsidRDefault="00390F34" w:rsidP="003479E0">
            <w:pPr>
              <w:textAlignment w:val="baseline"/>
              <w:rPr>
                <w:rFonts w:ascii="Times New Roman" w:eastAsia="Times New Roman" w:hAnsi="Times New Roman" w:cs="Times New Roman"/>
                <w:b/>
                <w:bCs/>
                <w:sz w:val="20"/>
                <w:szCs w:val="20"/>
              </w:rPr>
            </w:pPr>
          </w:p>
        </w:tc>
      </w:tr>
      <w:tr w:rsidR="00390F34" w:rsidRPr="00955AC1" w14:paraId="6A664534"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1CA8E74"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42C7BC67" w14:textId="77777777" w:rsidR="00390F34" w:rsidRPr="00955AC1" w:rsidRDefault="00390F34" w:rsidP="006B2FF7">
            <w:pPr>
              <w:rPr>
                <w:rFonts w:ascii="Times New Roman" w:hAnsi="Times New Roman" w:cs="Times New Roman"/>
                <w:sz w:val="20"/>
                <w:szCs w:val="20"/>
              </w:rPr>
            </w:pPr>
            <w:r w:rsidRPr="00955AC1">
              <w:rPr>
                <w:rFonts w:ascii="Times New Roman" w:hAnsi="Times New Roman" w:cs="Times New Roman"/>
                <w:sz w:val="20"/>
                <w:szCs w:val="20"/>
              </w:rPr>
              <w:t>6.00</w:t>
            </w:r>
          </w:p>
          <w:p w14:paraId="0393811B" w14:textId="77777777" w:rsidR="00390F34" w:rsidRPr="00955AC1" w:rsidRDefault="00390F34" w:rsidP="006B2FF7">
            <w:pPr>
              <w:rPr>
                <w:rFonts w:ascii="Times New Roman" w:hAnsi="Times New Roman" w:cs="Times New Roman"/>
                <w:sz w:val="20"/>
                <w:szCs w:val="20"/>
              </w:rPr>
            </w:pPr>
            <w:r w:rsidRPr="00955AC1">
              <w:rPr>
                <w:rFonts w:ascii="Times New Roman" w:hAnsi="Times New Roman" w:cs="Times New Roman"/>
                <w:sz w:val="20"/>
                <w:szCs w:val="20"/>
              </w:rPr>
              <w:t xml:space="preserve">4%/Bonds Round Application Requirements and Procedures  </w:t>
            </w:r>
          </w:p>
          <w:p w14:paraId="4CCC9970" w14:textId="77777777" w:rsidR="00390F34" w:rsidRPr="00955AC1" w:rsidRDefault="00390F34" w:rsidP="000F6D48">
            <w:pPr>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6027331B" w14:textId="77777777" w:rsidR="00390F34" w:rsidRPr="00955AC1" w:rsidRDefault="00390F34" w:rsidP="0007184D">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sz w:val="20"/>
                <w:szCs w:val="20"/>
              </w:rPr>
              <w:t>1012441791 </w:t>
            </w:r>
          </w:p>
          <w:p w14:paraId="5AE06F58" w14:textId="77777777" w:rsidR="00390F34" w:rsidRPr="00955AC1" w:rsidRDefault="00390F34" w:rsidP="0007184D">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Do investor/lender letters of intent need to be submitted for the 4% competitive round 10/14 submission? </w:t>
            </w:r>
          </w:p>
          <w:p w14:paraId="6F1C6951" w14:textId="77777777" w:rsidR="00390F34" w:rsidRPr="00955AC1" w:rsidRDefault="00390F34" w:rsidP="0007184D">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30014D46" w14:textId="77777777" w:rsidR="00390F34" w:rsidRPr="00955AC1" w:rsidRDefault="00390F34" w:rsidP="0007184D">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3CFE5238" w14:textId="77777777" w:rsidR="00390F34" w:rsidRPr="00955AC1" w:rsidRDefault="00390F34" w:rsidP="0007184D">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DCA will not list or confirm specific documentation requirements. Applicants are responsible for determining documentation necessary to pass Threshold sections and claim points in Scoring sections applicable to the 4% HTC/Bonds Competitive Round. </w:t>
            </w:r>
          </w:p>
          <w:p w14:paraId="03A4F561" w14:textId="77777777" w:rsidR="00390F34" w:rsidRPr="00955AC1" w:rsidRDefault="00390F34" w:rsidP="003479E0">
            <w:pPr>
              <w:textAlignment w:val="baseline"/>
              <w:rPr>
                <w:rFonts w:ascii="Times New Roman" w:eastAsia="Times New Roman" w:hAnsi="Times New Roman" w:cs="Times New Roman"/>
                <w:b/>
                <w:bCs/>
                <w:sz w:val="20"/>
                <w:szCs w:val="20"/>
              </w:rPr>
            </w:pPr>
          </w:p>
        </w:tc>
      </w:tr>
      <w:tr w:rsidR="00390F34" w:rsidRPr="00955AC1" w14:paraId="7D03230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079DA38"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0DB579A1" w14:textId="77777777" w:rsidR="00390F34" w:rsidRPr="00955AC1" w:rsidRDefault="00390F34" w:rsidP="00052A87">
            <w:pPr>
              <w:rPr>
                <w:rFonts w:ascii="Times New Roman" w:hAnsi="Times New Roman" w:cs="Times New Roman"/>
                <w:sz w:val="20"/>
                <w:szCs w:val="20"/>
              </w:rPr>
            </w:pPr>
            <w:r w:rsidRPr="00955AC1">
              <w:rPr>
                <w:rFonts w:ascii="Times New Roman" w:hAnsi="Times New Roman" w:cs="Times New Roman"/>
                <w:sz w:val="20"/>
                <w:szCs w:val="20"/>
              </w:rPr>
              <w:t>6.00</w:t>
            </w:r>
          </w:p>
          <w:p w14:paraId="0607BC88" w14:textId="77777777" w:rsidR="00390F34" w:rsidRPr="00955AC1" w:rsidRDefault="00390F34" w:rsidP="00052A87">
            <w:pPr>
              <w:rPr>
                <w:rFonts w:ascii="Times New Roman" w:hAnsi="Times New Roman" w:cs="Times New Roman"/>
                <w:sz w:val="20"/>
                <w:szCs w:val="20"/>
              </w:rPr>
            </w:pPr>
            <w:r w:rsidRPr="00955AC1">
              <w:rPr>
                <w:rFonts w:ascii="Times New Roman" w:hAnsi="Times New Roman" w:cs="Times New Roman"/>
                <w:sz w:val="20"/>
                <w:szCs w:val="20"/>
              </w:rPr>
              <w:t xml:space="preserve">4%/Bonds Round Application Requirements and Procedures  </w:t>
            </w:r>
          </w:p>
          <w:p w14:paraId="71D852DE" w14:textId="77777777" w:rsidR="00390F34" w:rsidRPr="00955AC1" w:rsidRDefault="00390F34" w:rsidP="000F6D48">
            <w:pPr>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12F007F6" w14:textId="2AFFA4E0" w:rsidR="00390F34" w:rsidRPr="00955AC1" w:rsidRDefault="00390F34" w:rsidP="00DB36EF">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sz w:val="20"/>
                <w:szCs w:val="20"/>
              </w:rPr>
              <w:t>1011621366</w:t>
            </w:r>
          </w:p>
          <w:p w14:paraId="1D6E1ED8" w14:textId="77777777" w:rsidR="00390F34" w:rsidRPr="00955AC1" w:rsidRDefault="00390F34" w:rsidP="00DB36EF">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Will there be a new/different Core Application released for the 4% competitive round deadline on October 14th? The DCA website currently has a 2022 Core Application, but states that it is for 9% deals only. What Core Application will be required for the 4% round and when will it become available if it has not been released yet? </w:t>
            </w:r>
          </w:p>
          <w:p w14:paraId="24A1F9F8" w14:textId="77777777" w:rsidR="00390F34" w:rsidRPr="00955AC1" w:rsidRDefault="00390F34" w:rsidP="00DB36EF">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74FF6D17" w14:textId="77777777" w:rsidR="00390F34" w:rsidRPr="00955AC1" w:rsidRDefault="00390F34" w:rsidP="00DB36EF">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Is there a 4% Emphasys Instruction Manual or Link? Instructions on the website appear to only pertain to 9% Currently. </w:t>
            </w:r>
          </w:p>
          <w:p w14:paraId="06090EEF" w14:textId="77777777" w:rsidR="00390F34" w:rsidRPr="00955AC1" w:rsidRDefault="00390F34" w:rsidP="00DB36EF">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248E98CE" w14:textId="77777777" w:rsidR="00390F34" w:rsidRPr="00955AC1" w:rsidRDefault="00390F34" w:rsidP="00DB36EF">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0D88D03C" w14:textId="77777777" w:rsidR="00390F34" w:rsidRPr="00955AC1" w:rsidRDefault="00390F34" w:rsidP="00DB36EF">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The Excel Core Application and Emphasys instructions for this 4% HTC/Bonds Round have been published to the 2022 4% HTC/Bonds Competitive Round page of the DCA website (</w:t>
            </w:r>
            <w:hyperlink r:id="rId18" w:tgtFrame="_blank" w:history="1">
              <w:r w:rsidRPr="00955AC1">
                <w:rPr>
                  <w:rFonts w:ascii="Times New Roman" w:eastAsia="Times New Roman" w:hAnsi="Times New Roman" w:cs="Times New Roman"/>
                  <w:color w:val="0563C1"/>
                  <w:sz w:val="20"/>
                  <w:szCs w:val="20"/>
                  <w:u w:val="single"/>
                </w:rPr>
                <w:t>click here</w:t>
              </w:r>
            </w:hyperlink>
            <w:r w:rsidRPr="00955AC1">
              <w:rPr>
                <w:rFonts w:ascii="Times New Roman" w:eastAsia="Times New Roman" w:hAnsi="Times New Roman" w:cs="Times New Roman"/>
                <w:sz w:val="20"/>
                <w:szCs w:val="20"/>
              </w:rPr>
              <w:t>). </w:t>
            </w:r>
          </w:p>
          <w:p w14:paraId="54A94684" w14:textId="77777777" w:rsidR="00390F34" w:rsidRPr="00955AC1" w:rsidRDefault="00390F34" w:rsidP="000F6D48">
            <w:pPr>
              <w:textAlignment w:val="baseline"/>
              <w:rPr>
                <w:rFonts w:ascii="Times New Roman" w:eastAsia="Times New Roman" w:hAnsi="Times New Roman" w:cs="Times New Roman"/>
                <w:b/>
                <w:bCs/>
                <w:sz w:val="20"/>
                <w:szCs w:val="20"/>
              </w:rPr>
            </w:pPr>
          </w:p>
        </w:tc>
      </w:tr>
      <w:tr w:rsidR="00390F34" w:rsidRPr="00955AC1" w14:paraId="3604B863"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C646F2E"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9/27/22</w:t>
            </w:r>
          </w:p>
        </w:tc>
        <w:tc>
          <w:tcPr>
            <w:tcW w:w="2663" w:type="dxa"/>
            <w:shd w:val="clear" w:color="auto" w:fill="auto"/>
            <w:tcMar>
              <w:top w:w="72" w:type="dxa"/>
              <w:left w:w="115" w:type="dxa"/>
              <w:bottom w:w="72" w:type="dxa"/>
              <w:right w:w="115" w:type="dxa"/>
            </w:tcMar>
            <w:vAlign w:val="center"/>
          </w:tcPr>
          <w:p w14:paraId="340A203D" w14:textId="77777777" w:rsidR="00390F34" w:rsidRPr="00955AC1" w:rsidRDefault="00390F34" w:rsidP="003F5598">
            <w:pPr>
              <w:rPr>
                <w:rFonts w:ascii="Times New Roman" w:hAnsi="Times New Roman" w:cs="Times New Roman"/>
                <w:sz w:val="20"/>
                <w:szCs w:val="20"/>
              </w:rPr>
            </w:pPr>
            <w:r w:rsidRPr="00955AC1">
              <w:rPr>
                <w:rFonts w:ascii="Times New Roman" w:hAnsi="Times New Roman" w:cs="Times New Roman"/>
                <w:sz w:val="20"/>
                <w:szCs w:val="20"/>
              </w:rPr>
              <w:t>6.00</w:t>
            </w:r>
          </w:p>
          <w:p w14:paraId="038386A0" w14:textId="77777777" w:rsidR="00390F34" w:rsidRPr="00955AC1" w:rsidRDefault="00390F34" w:rsidP="003F5598">
            <w:pPr>
              <w:rPr>
                <w:rFonts w:ascii="Times New Roman" w:hAnsi="Times New Roman" w:cs="Times New Roman"/>
                <w:sz w:val="20"/>
                <w:szCs w:val="20"/>
              </w:rPr>
            </w:pPr>
            <w:r w:rsidRPr="00955AC1">
              <w:rPr>
                <w:rFonts w:ascii="Times New Roman" w:hAnsi="Times New Roman" w:cs="Times New Roman"/>
                <w:sz w:val="20"/>
                <w:szCs w:val="20"/>
              </w:rPr>
              <w:t xml:space="preserve">4%/Bonds Round Application Requirements and Procedures  </w:t>
            </w:r>
          </w:p>
          <w:p w14:paraId="67D06005" w14:textId="77777777" w:rsidR="00390F34" w:rsidRPr="00955AC1" w:rsidRDefault="00390F34" w:rsidP="00185971">
            <w:pPr>
              <w:rPr>
                <w:rFonts w:ascii="Times New Roman" w:hAnsi="Times New Roman" w:cs="Times New Roman"/>
                <w:sz w:val="20"/>
                <w:szCs w:val="20"/>
              </w:rPr>
            </w:pPr>
          </w:p>
          <w:p w14:paraId="40008CFD" w14:textId="77777777" w:rsidR="00390F34" w:rsidRPr="00955AC1" w:rsidRDefault="00390F34" w:rsidP="00185971">
            <w:pPr>
              <w:rPr>
                <w:rFonts w:ascii="Times New Roman" w:hAnsi="Times New Roman" w:cs="Times New Roman"/>
                <w:sz w:val="20"/>
                <w:szCs w:val="20"/>
              </w:rPr>
            </w:pPr>
            <w:r w:rsidRPr="00955AC1">
              <w:rPr>
                <w:rFonts w:ascii="Times New Roman" w:hAnsi="Times New Roman" w:cs="Times New Roman"/>
                <w:sz w:val="20"/>
                <w:szCs w:val="20"/>
              </w:rPr>
              <w:t>(also 1.14</w:t>
            </w:r>
          </w:p>
          <w:p w14:paraId="702D9256" w14:textId="77777777" w:rsidR="00390F34" w:rsidRPr="00955AC1" w:rsidRDefault="00390F34" w:rsidP="00185971">
            <w:pPr>
              <w:rPr>
                <w:rFonts w:ascii="Times New Roman" w:hAnsi="Times New Roman" w:cs="Times New Roman"/>
                <w:sz w:val="20"/>
                <w:szCs w:val="20"/>
              </w:rPr>
            </w:pPr>
            <w:r w:rsidRPr="00955AC1">
              <w:rPr>
                <w:rFonts w:ascii="Times New Roman" w:hAnsi="Times New Roman" w:cs="Times New Roman"/>
                <w:sz w:val="20"/>
                <w:szCs w:val="20"/>
              </w:rPr>
              <w:t>Core Plan;</w:t>
            </w:r>
          </w:p>
          <w:p w14:paraId="1F53D193" w14:textId="77777777" w:rsidR="00390F34" w:rsidRPr="00955AC1" w:rsidRDefault="00390F34" w:rsidP="00185971">
            <w:pPr>
              <w:rPr>
                <w:rFonts w:ascii="Times New Roman" w:hAnsi="Times New Roman" w:cs="Times New Roman"/>
                <w:sz w:val="20"/>
                <w:szCs w:val="20"/>
              </w:rPr>
            </w:pPr>
            <w:r w:rsidRPr="00955AC1">
              <w:rPr>
                <w:rFonts w:ascii="Times New Roman" w:hAnsi="Times New Roman" w:cs="Times New Roman"/>
                <w:sz w:val="20"/>
                <w:szCs w:val="20"/>
              </w:rPr>
              <w:t>Project Reconfiguration/</w:t>
            </w:r>
          </w:p>
          <w:p w14:paraId="6D9BB045" w14:textId="77777777" w:rsidR="00390F34" w:rsidRPr="00955AC1" w:rsidRDefault="00390F34" w:rsidP="00185971">
            <w:pPr>
              <w:rPr>
                <w:rFonts w:ascii="Times New Roman" w:hAnsi="Times New Roman" w:cs="Times New Roman"/>
                <w:sz w:val="20"/>
                <w:szCs w:val="20"/>
              </w:rPr>
            </w:pPr>
            <w:r w:rsidRPr="00955AC1">
              <w:rPr>
                <w:rFonts w:ascii="Times New Roman" w:hAnsi="Times New Roman" w:cs="Times New Roman"/>
                <w:sz w:val="20"/>
                <w:szCs w:val="20"/>
              </w:rPr>
              <w:t>Application Modification)</w:t>
            </w:r>
          </w:p>
        </w:tc>
        <w:tc>
          <w:tcPr>
            <w:tcW w:w="9585" w:type="dxa"/>
            <w:shd w:val="clear" w:color="auto" w:fill="auto"/>
            <w:tcMar>
              <w:top w:w="72" w:type="dxa"/>
              <w:left w:w="115" w:type="dxa"/>
              <w:bottom w:w="72" w:type="dxa"/>
              <w:right w:w="115" w:type="dxa"/>
            </w:tcMar>
            <w:vAlign w:val="center"/>
          </w:tcPr>
          <w:p w14:paraId="08C625EE" w14:textId="77777777" w:rsidR="00390F34" w:rsidRPr="00955AC1" w:rsidRDefault="00390F34" w:rsidP="00690A7E">
            <w:pPr>
              <w:textAlignment w:val="baseline"/>
              <w:rPr>
                <w:rFonts w:ascii="Times New Roman" w:eastAsia="Times New Roman" w:hAnsi="Times New Roman" w:cs="Times New Roman"/>
                <w:sz w:val="20"/>
                <w:szCs w:val="20"/>
              </w:rPr>
            </w:pPr>
            <w:r w:rsidRPr="00955AC1">
              <w:rPr>
                <w:rFonts w:ascii="Times New Roman" w:hAnsi="Times New Roman" w:cs="Times New Roman"/>
                <w:b/>
                <w:bCs/>
                <w:sz w:val="20"/>
                <w:szCs w:val="20"/>
              </w:rPr>
              <w:t>Question ID</w:t>
            </w:r>
            <w:r w:rsidRPr="00955AC1">
              <w:rPr>
                <w:rFonts w:ascii="Times New Roman" w:hAnsi="Times New Roman" w:cs="Times New Roman"/>
                <w:sz w:val="20"/>
                <w:szCs w:val="20"/>
              </w:rPr>
              <w:t>:</w:t>
            </w:r>
            <w:r w:rsidRPr="00955AC1">
              <w:rPr>
                <w:rFonts w:ascii="Times New Roman" w:eastAsia="Times New Roman" w:hAnsi="Times New Roman" w:cs="Times New Roman"/>
                <w:b/>
                <w:bCs/>
                <w:sz w:val="20"/>
                <w:szCs w:val="20"/>
              </w:rPr>
              <w:t xml:space="preserve"> </w:t>
            </w:r>
            <w:r w:rsidRPr="00955AC1">
              <w:rPr>
                <w:rFonts w:ascii="Times New Roman" w:eastAsia="Times New Roman" w:hAnsi="Times New Roman" w:cs="Times New Roman"/>
                <w:color w:val="000000"/>
                <w:sz w:val="20"/>
                <w:szCs w:val="20"/>
              </w:rPr>
              <w:t>997617189 </w:t>
            </w:r>
          </w:p>
          <w:p w14:paraId="34A9CD70" w14:textId="77777777" w:rsidR="00390F34" w:rsidRPr="00955AC1" w:rsidRDefault="00390F34" w:rsidP="00690A7E">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We submitted a project for the 2022 9% LIHTC application round since we were unsure if DCA would have any 4% LIHTC and bond allocation available this year. However, the 4% LIHTC and tax-exempt bonds work better for our deal and will allow us to maximize the amount of rehab we can do at the property. We would like to submit the same project for the 4% LIHTC and tax-exempt bond round, however, we don't want to jeopardize either application.  </w:t>
            </w:r>
          </w:p>
          <w:p w14:paraId="713B2171" w14:textId="77777777" w:rsidR="00390F34" w:rsidRPr="00955AC1" w:rsidRDefault="00390F34" w:rsidP="00690A7E">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047EF181" w14:textId="77777777" w:rsidR="00390F34" w:rsidRPr="00955AC1" w:rsidRDefault="00390F34" w:rsidP="00690A7E">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If we end up receiving the 9% LIHTC award, can we move forward with the application process for the 4% and choose which funding works best for our deal if we receive both allocations? Would DCA consider a project to utilize both 9% and 4% tax credits together? </w:t>
            </w:r>
            <w:r w:rsidRPr="00955AC1">
              <w:rPr>
                <w:rFonts w:ascii="Times New Roman" w:eastAsia="Times New Roman" w:hAnsi="Times New Roman" w:cs="Times New Roman"/>
                <w:color w:val="000000"/>
                <w:sz w:val="20"/>
                <w:szCs w:val="20"/>
              </w:rPr>
              <w:br/>
              <w:t> </w:t>
            </w:r>
          </w:p>
          <w:p w14:paraId="1503824F" w14:textId="77777777" w:rsidR="00390F34" w:rsidRPr="00955AC1" w:rsidRDefault="00390F34" w:rsidP="007960CD">
            <w:pPr>
              <w:rPr>
                <w:rFonts w:ascii="Times New Roman" w:hAnsi="Times New Roman" w:cs="Times New Roman"/>
                <w:b/>
                <w:bCs/>
                <w:sz w:val="20"/>
                <w:szCs w:val="20"/>
              </w:rPr>
            </w:pPr>
            <w:r w:rsidRPr="00955AC1">
              <w:rPr>
                <w:rFonts w:ascii="Times New Roman" w:hAnsi="Times New Roman" w:cs="Times New Roman"/>
                <w:b/>
                <w:bCs/>
                <w:sz w:val="20"/>
                <w:szCs w:val="20"/>
              </w:rPr>
              <w:t>Answer:  </w:t>
            </w:r>
          </w:p>
          <w:p w14:paraId="42AADD20" w14:textId="77777777" w:rsidR="00390F34" w:rsidRPr="00955AC1" w:rsidRDefault="00390F34" w:rsidP="00690A7E">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There is no risk associated with submitting the same development under both the 9% Round and the 4%/Bonds Round. If awarded under both, yes, you can choose which funding works best for the development. Although there is no risk associated with this, DCA may charge an additional fee for any return of credits. </w:t>
            </w:r>
          </w:p>
          <w:p w14:paraId="2FF1F8F5" w14:textId="77777777" w:rsidR="00390F34" w:rsidRPr="00955AC1" w:rsidRDefault="00390F34" w:rsidP="00690A7E">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70E88ACB" w14:textId="77777777" w:rsidR="00390F34" w:rsidRPr="00955AC1" w:rsidRDefault="00390F34" w:rsidP="00690A7E">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However, DCA will not allow applicants to revise applications after receiving an award to allow for twinning (combining 9% and 4% credits for the same development), as both DCA resources are highly competitive. If awarded under both competitive rounds, you must choose whether to pursue the 9% award alone or the 4%/bonds award alone.  </w:t>
            </w:r>
          </w:p>
          <w:p w14:paraId="24218C01" w14:textId="77777777" w:rsidR="00390F34" w:rsidRPr="00955AC1" w:rsidRDefault="00390F34" w:rsidP="00FA7715">
            <w:pPr>
              <w:textAlignment w:val="baseline"/>
              <w:rPr>
                <w:rFonts w:ascii="Times New Roman" w:eastAsia="Times New Roman" w:hAnsi="Times New Roman" w:cs="Times New Roman"/>
                <w:b/>
                <w:bCs/>
                <w:sz w:val="20"/>
                <w:szCs w:val="20"/>
              </w:rPr>
            </w:pPr>
          </w:p>
        </w:tc>
      </w:tr>
      <w:tr w:rsidR="00390F34" w:rsidRPr="00955AC1" w14:paraId="4A512CDF"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E228661"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3D8A1DF7"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1.10 </w:t>
            </w:r>
          </w:p>
          <w:p w14:paraId="76AC67C4"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Core Plan;</w:t>
            </w:r>
          </w:p>
          <w:p w14:paraId="4F15BEA4"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103F7DE9" w14:textId="77777777" w:rsidR="00390F34" w:rsidRPr="00955AC1" w:rsidRDefault="00390F34" w:rsidP="000F6D48">
            <w:pPr>
              <w:textAlignment w:val="baseline"/>
              <w:rPr>
                <w:rFonts w:ascii="Times New Roman" w:eastAsia="Times New Roman" w:hAnsi="Times New Roman" w:cs="Times New Roman"/>
                <w:b/>
                <w:bCs/>
                <w:sz w:val="20"/>
                <w:szCs w:val="20"/>
              </w:rPr>
            </w:pPr>
            <w:r w:rsidRPr="00955AC1">
              <w:rPr>
                <w:rFonts w:ascii="Times New Roman" w:eastAsia="Times New Roman" w:hAnsi="Times New Roman" w:cs="Times New Roman"/>
                <w:b/>
                <w:bCs/>
                <w:sz w:val="20"/>
                <w:szCs w:val="20"/>
              </w:rPr>
              <w:t>Question ID: 1000941935</w:t>
            </w:r>
          </w:p>
          <w:p w14:paraId="6ECE0F6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Can DCA please provide insight on the QAP language (Core Plan) 4% Federal Credit - Bond Financed Projects, subsections C) and D) and the following question? </w:t>
            </w:r>
          </w:p>
          <w:p w14:paraId="72331393" w14:textId="77777777" w:rsidR="00390F34" w:rsidRPr="00955AC1" w:rsidRDefault="00390F34" w:rsidP="000F6D48">
            <w:pPr>
              <w:textAlignment w:val="baseline"/>
              <w:rPr>
                <w:rFonts w:ascii="Times New Roman" w:eastAsia="Times New Roman" w:hAnsi="Times New Roman" w:cs="Times New Roman"/>
                <w:b/>
                <w:bCs/>
                <w:sz w:val="20"/>
                <w:szCs w:val="20"/>
              </w:rPr>
            </w:pPr>
          </w:p>
          <w:p w14:paraId="2C82F12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Will a Public Housing Authority, participating in an application for 20% ownership through a Private Enterprise Agreement structure, be subject to only two applications? Or is the language intended for the Developer to be limited to two applications? We are looking to submit in October with a PHA who partners with an affiliated development company. The PHA wants more developers to be active in their jurisdiction but is already planning to submit two applications through their related development company.</w:t>
            </w:r>
          </w:p>
          <w:p w14:paraId="366A3DA9" w14:textId="77777777" w:rsidR="00390F34" w:rsidRPr="00955AC1" w:rsidRDefault="00390F34" w:rsidP="000F6D48">
            <w:pPr>
              <w:textAlignment w:val="baseline"/>
              <w:rPr>
                <w:rFonts w:ascii="Times New Roman" w:eastAsia="Times New Roman" w:hAnsi="Times New Roman" w:cs="Times New Roman"/>
                <w:sz w:val="20"/>
                <w:szCs w:val="20"/>
              </w:rPr>
            </w:pPr>
          </w:p>
          <w:p w14:paraId="24CC43B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I would think that DCA is not intending to cap applications for Public Housing Authorities looking to joint venture...but based on the wording in the QAP I was unclear.</w:t>
            </w:r>
          </w:p>
          <w:p w14:paraId="4B4F0D69" w14:textId="77777777" w:rsidR="00390F34" w:rsidRPr="00955AC1" w:rsidRDefault="00390F34" w:rsidP="000F6D48">
            <w:pPr>
              <w:textAlignment w:val="baseline"/>
              <w:rPr>
                <w:rFonts w:ascii="Times New Roman" w:eastAsia="Times New Roman" w:hAnsi="Times New Roman" w:cs="Times New Roman"/>
                <w:b/>
                <w:bCs/>
                <w:sz w:val="20"/>
                <w:szCs w:val="20"/>
              </w:rPr>
            </w:pPr>
          </w:p>
          <w:p w14:paraId="32C262FE" w14:textId="77777777" w:rsidR="00390F34" w:rsidRPr="00955AC1" w:rsidRDefault="00390F34" w:rsidP="000F6D48">
            <w:pPr>
              <w:textAlignment w:val="baseline"/>
              <w:rPr>
                <w:rFonts w:ascii="Times New Roman" w:eastAsia="Times New Roman" w:hAnsi="Times New Roman" w:cs="Times New Roman"/>
                <w:b/>
                <w:bCs/>
                <w:sz w:val="20"/>
                <w:szCs w:val="20"/>
              </w:rPr>
            </w:pPr>
            <w:r w:rsidRPr="00955AC1">
              <w:rPr>
                <w:rFonts w:ascii="Times New Roman" w:eastAsia="Times New Roman" w:hAnsi="Times New Roman" w:cs="Times New Roman"/>
                <w:b/>
                <w:bCs/>
                <w:sz w:val="20"/>
                <w:szCs w:val="20"/>
              </w:rPr>
              <w:t xml:space="preserve">Answer: </w:t>
            </w:r>
          </w:p>
          <w:p w14:paraId="665C68B0"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lastRenderedPageBreak/>
              <w:t xml:space="preserve">The application limitation and the award limitation rely on the terms “qualified Developer,” “Applicant,” and “General Partner” (per (Core Plan) Definitions, “Applicant” and “General Partner” are synonymous).  </w:t>
            </w:r>
          </w:p>
          <w:p w14:paraId="02290D8B" w14:textId="77777777" w:rsidR="00390F34" w:rsidRPr="00955AC1" w:rsidRDefault="00390F34" w:rsidP="000F6D48">
            <w:pPr>
              <w:textAlignment w:val="baseline"/>
              <w:rPr>
                <w:rFonts w:ascii="Times New Roman" w:eastAsia="Times New Roman" w:hAnsi="Times New Roman" w:cs="Times New Roman"/>
                <w:sz w:val="20"/>
                <w:szCs w:val="20"/>
              </w:rPr>
            </w:pPr>
          </w:p>
          <w:p w14:paraId="7BF94CA8"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Both the Applicant/General Partner definition and the Developer definition encompass “entities that have a direct or indirect ownership” in the General Partner/Developer entity. Please review (Core Plan) Definitions to confirm whether other aspects of the definition may impact your circumstances. </w:t>
            </w:r>
          </w:p>
          <w:p w14:paraId="25FECDF5" w14:textId="77777777" w:rsidR="00390F34" w:rsidRPr="00955AC1" w:rsidRDefault="00390F34" w:rsidP="000F6D48">
            <w:pPr>
              <w:textAlignment w:val="baseline"/>
              <w:rPr>
                <w:rFonts w:ascii="Times New Roman" w:eastAsia="Times New Roman" w:hAnsi="Times New Roman" w:cs="Times New Roman"/>
                <w:sz w:val="20"/>
                <w:szCs w:val="20"/>
              </w:rPr>
            </w:pPr>
          </w:p>
          <w:p w14:paraId="3B300366"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If the PHA is covered under any of the above, the application limitation and/or award limitation applies. DCA has received public input that this limitation is not appropriate given the integral role that PHAs play in 4%/Bonds developments. DCA will not disregard the 2022 QAP language for purposes of the 2022 4%/Bonds Round but will consider this public input for purposes of the 2023 QAP.</w:t>
            </w:r>
          </w:p>
          <w:p w14:paraId="3BFF4043" w14:textId="77777777" w:rsidR="00390F34" w:rsidRPr="00955AC1" w:rsidRDefault="00390F34" w:rsidP="000F6D48">
            <w:pPr>
              <w:textAlignment w:val="baseline"/>
              <w:rPr>
                <w:rFonts w:ascii="Times New Roman" w:eastAsia="Times New Roman" w:hAnsi="Times New Roman" w:cs="Times New Roman"/>
                <w:b/>
                <w:bCs/>
                <w:sz w:val="20"/>
                <w:szCs w:val="20"/>
              </w:rPr>
            </w:pPr>
          </w:p>
        </w:tc>
      </w:tr>
      <w:tr w:rsidR="00390F34" w:rsidRPr="00955AC1" w14:paraId="2F49DAB2"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7333B62" w14:textId="77777777" w:rsidR="00390F34" w:rsidRPr="00955AC1" w:rsidRDefault="00390F34" w:rsidP="64301FE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9/22/22</w:t>
            </w:r>
          </w:p>
        </w:tc>
        <w:tc>
          <w:tcPr>
            <w:tcW w:w="2663" w:type="dxa"/>
            <w:shd w:val="clear" w:color="auto" w:fill="auto"/>
            <w:tcMar>
              <w:top w:w="72" w:type="dxa"/>
              <w:left w:w="115" w:type="dxa"/>
              <w:bottom w:w="72" w:type="dxa"/>
              <w:right w:w="115" w:type="dxa"/>
            </w:tcMar>
            <w:vAlign w:val="center"/>
          </w:tcPr>
          <w:p w14:paraId="7379E64E" w14:textId="77777777" w:rsidR="00390F34" w:rsidRPr="00955AC1" w:rsidRDefault="00390F34" w:rsidP="64301FE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2.21 </w:t>
            </w:r>
          </w:p>
          <w:p w14:paraId="26853805" w14:textId="77777777" w:rsidR="00390F34" w:rsidRPr="00955AC1" w:rsidRDefault="00390F34" w:rsidP="64301FE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Threshold Criteria;</w:t>
            </w:r>
          </w:p>
          <w:p w14:paraId="5FC2F10E" w14:textId="77777777" w:rsidR="00390F34" w:rsidRPr="00955AC1" w:rsidRDefault="00390F34" w:rsidP="64301FE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Eligibility for Credit Under the Preservation Set Asides</w:t>
            </w:r>
          </w:p>
        </w:tc>
        <w:tc>
          <w:tcPr>
            <w:tcW w:w="9585" w:type="dxa"/>
            <w:shd w:val="clear" w:color="auto" w:fill="auto"/>
            <w:tcMar>
              <w:top w:w="72" w:type="dxa"/>
              <w:left w:w="115" w:type="dxa"/>
              <w:bottom w:w="72" w:type="dxa"/>
              <w:right w:w="115" w:type="dxa"/>
            </w:tcMar>
            <w:vAlign w:val="center"/>
          </w:tcPr>
          <w:p w14:paraId="54A68CBD" w14:textId="77777777" w:rsidR="00390F34" w:rsidRPr="00955AC1" w:rsidRDefault="00390F34" w:rsidP="007040CC">
            <w:pPr>
              <w:textAlignment w:val="baseline"/>
              <w:rPr>
                <w:rFonts w:ascii="Times New Roman" w:eastAsia="Times New Roman" w:hAnsi="Times New Roman" w:cs="Times New Roman"/>
                <w:b/>
                <w:bCs/>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b/>
                <w:bCs/>
                <w:color w:val="000000"/>
                <w:sz w:val="20"/>
                <w:szCs w:val="20"/>
              </w:rPr>
              <w:t>1002018951 </w:t>
            </w:r>
          </w:p>
          <w:p w14:paraId="147202A8" w14:textId="77777777" w:rsidR="00390F34" w:rsidRPr="00955AC1" w:rsidRDefault="00390F34" w:rsidP="007040CC">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We will be submitting an application for tax-exempt bonds and the 4% credit. It will be submitted as a Preservation deal. I would like to confirm that, as there is no RAD set aside for 4% deals, we will not be required to submit HUD approval for the RAD conversion or the RAD CHAP as part of our application. </w:t>
            </w:r>
          </w:p>
          <w:p w14:paraId="74DCB242" w14:textId="77777777" w:rsidR="00390F34" w:rsidRPr="00955AC1" w:rsidRDefault="00390F34" w:rsidP="007040CC">
            <w:pPr>
              <w:textAlignment w:val="baseline"/>
              <w:rPr>
                <w:rFonts w:ascii="Times New Roman" w:eastAsia="Times New Roman" w:hAnsi="Times New Roman" w:cs="Times New Roman"/>
                <w:sz w:val="20"/>
                <w:szCs w:val="20"/>
              </w:rPr>
            </w:pPr>
          </w:p>
          <w:p w14:paraId="51AF75E7" w14:textId="77777777" w:rsidR="00390F34" w:rsidRPr="00955AC1" w:rsidRDefault="00390F34" w:rsidP="007040CC">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534AF65C" w14:textId="77777777" w:rsidR="00390F34" w:rsidRPr="00955AC1" w:rsidRDefault="00390F34" w:rsidP="007040CC">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You are correct that the requirements for RAD developments listed under </w:t>
            </w:r>
            <w:r w:rsidRPr="00955AC1">
              <w:rPr>
                <w:rFonts w:ascii="Times New Roman" w:eastAsia="Times New Roman" w:hAnsi="Times New Roman" w:cs="Times New Roman"/>
                <w:b/>
                <w:bCs/>
                <w:sz w:val="20"/>
                <w:szCs w:val="20"/>
              </w:rPr>
              <w:t>Eligibility for Credit Under the Preservation Set Asides</w:t>
            </w:r>
            <w:r w:rsidRPr="00955AC1">
              <w:rPr>
                <w:rFonts w:ascii="Times New Roman" w:eastAsia="Times New Roman" w:hAnsi="Times New Roman" w:cs="Times New Roman"/>
                <w:sz w:val="20"/>
                <w:szCs w:val="20"/>
              </w:rPr>
              <w:t xml:space="preserve"> are not required for purposes of the 4%/Bonds Round. This section is not required for purposes of 4% Competitive Review (see </w:t>
            </w:r>
            <w:r w:rsidRPr="00955AC1">
              <w:rPr>
                <w:rFonts w:ascii="Times New Roman" w:eastAsia="Times New Roman" w:hAnsi="Times New Roman" w:cs="Times New Roman"/>
                <w:b/>
                <w:bCs/>
                <w:sz w:val="20"/>
                <w:szCs w:val="20"/>
              </w:rPr>
              <w:t>Applicability of Threshold Criteria</w:t>
            </w:r>
            <w:r w:rsidRPr="00955AC1">
              <w:rPr>
                <w:rFonts w:ascii="Times New Roman" w:eastAsia="Times New Roman" w:hAnsi="Times New Roman" w:cs="Times New Roman"/>
                <w:sz w:val="20"/>
                <w:szCs w:val="20"/>
              </w:rPr>
              <w:t>).  </w:t>
            </w:r>
          </w:p>
          <w:p w14:paraId="7DDA0049" w14:textId="77777777" w:rsidR="00390F34" w:rsidRPr="00955AC1" w:rsidRDefault="00390F34" w:rsidP="64301FE8">
            <w:pPr>
              <w:rPr>
                <w:rFonts w:ascii="Times New Roman" w:eastAsia="Times New Roman" w:hAnsi="Times New Roman" w:cs="Times New Roman"/>
                <w:b/>
                <w:bCs/>
                <w:sz w:val="20"/>
                <w:szCs w:val="20"/>
              </w:rPr>
            </w:pPr>
          </w:p>
        </w:tc>
      </w:tr>
      <w:tr w:rsidR="00390F34" w:rsidRPr="00955AC1" w14:paraId="3D323676"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F57A0FA" w14:textId="77777777" w:rsidR="00390F34" w:rsidRPr="00955AC1" w:rsidRDefault="00390F34" w:rsidP="64301FE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1FC76725" w14:textId="77777777" w:rsidR="00390F34" w:rsidRPr="00955AC1" w:rsidRDefault="00390F34" w:rsidP="64301FE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3.05 </w:t>
            </w:r>
          </w:p>
          <w:p w14:paraId="3FCCC57E" w14:textId="77777777" w:rsidR="00390F34" w:rsidRPr="00955AC1" w:rsidRDefault="00390F34" w:rsidP="64301FE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Scoring Criteria;</w:t>
            </w:r>
          </w:p>
          <w:p w14:paraId="2DC13E74" w14:textId="77777777" w:rsidR="00390F34" w:rsidRPr="00955AC1" w:rsidRDefault="00390F34" w:rsidP="64301FE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6985AD26" w14:textId="77777777" w:rsidR="00390F34" w:rsidRPr="00955AC1" w:rsidRDefault="00390F34" w:rsidP="00513535">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b/>
                <w:bCs/>
                <w:color w:val="000000"/>
                <w:sz w:val="20"/>
                <w:szCs w:val="20"/>
              </w:rPr>
              <w:t>1007640689</w:t>
            </w:r>
            <w:r w:rsidRPr="00955AC1">
              <w:rPr>
                <w:rFonts w:ascii="Times New Roman" w:eastAsia="Times New Roman" w:hAnsi="Times New Roman" w:cs="Times New Roman"/>
                <w:color w:val="000000"/>
                <w:sz w:val="20"/>
                <w:szCs w:val="20"/>
              </w:rPr>
              <w:t> </w:t>
            </w:r>
          </w:p>
          <w:p w14:paraId="48506FCF" w14:textId="77777777" w:rsidR="00390F34" w:rsidRPr="00955AC1" w:rsidRDefault="00390F34" w:rsidP="00513535">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The desirable site certification is tied to the vehicle and walking entrance coordinates on the conceptual site development plan. Do we need conceptual site development plan to be part of the initial 4% submission or will the coordinates for vehicle entrance and walking entrance suffice? </w:t>
            </w:r>
            <w:r w:rsidRPr="00955AC1">
              <w:rPr>
                <w:rFonts w:ascii="Times New Roman" w:eastAsia="Times New Roman" w:hAnsi="Times New Roman" w:cs="Times New Roman"/>
                <w:color w:val="000000"/>
                <w:sz w:val="20"/>
                <w:szCs w:val="20"/>
              </w:rPr>
              <w:br/>
            </w:r>
          </w:p>
          <w:p w14:paraId="50DE2C58" w14:textId="77777777" w:rsidR="00390F34" w:rsidRPr="00955AC1" w:rsidRDefault="00390F34" w:rsidP="00513535">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76580521" w14:textId="77777777" w:rsidR="00390F34" w:rsidRPr="00955AC1" w:rsidRDefault="00390F34" w:rsidP="00513535">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Since a CSDP is not required for the 4%/Bonds Competitive Review Submission, coordinates for the vehicle and walking distance will suffice for purposes of Desirable/Undesirable Activities.   </w:t>
            </w:r>
          </w:p>
          <w:p w14:paraId="29C9C909" w14:textId="77777777" w:rsidR="00390F34" w:rsidRPr="00955AC1" w:rsidRDefault="00390F34" w:rsidP="00513535">
            <w:pPr>
              <w:textAlignment w:val="baseline"/>
              <w:rPr>
                <w:rFonts w:ascii="Times New Roman" w:eastAsia="Times New Roman" w:hAnsi="Times New Roman" w:cs="Times New Roman"/>
                <w:sz w:val="20"/>
                <w:szCs w:val="20"/>
              </w:rPr>
            </w:pPr>
          </w:p>
        </w:tc>
      </w:tr>
      <w:tr w:rsidR="00390F34" w:rsidRPr="00955AC1" w14:paraId="28FA8DEE"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A601EB0"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64862D43"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3.07 </w:t>
            </w:r>
          </w:p>
          <w:p w14:paraId="0A834FB1"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Scoring Criteria;</w:t>
            </w:r>
          </w:p>
          <w:p w14:paraId="6A94DF70"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6C4CB6FC" w14:textId="77777777" w:rsidR="00390F34" w:rsidRPr="00955AC1" w:rsidRDefault="00390F34" w:rsidP="000F6D48">
            <w:pPr>
              <w:textAlignment w:val="baseline"/>
              <w:rPr>
                <w:rFonts w:ascii="Times New Roman" w:eastAsia="Times New Roman" w:hAnsi="Times New Roman" w:cs="Times New Roman"/>
                <w:b/>
                <w:bCs/>
                <w:sz w:val="20"/>
                <w:szCs w:val="20"/>
              </w:rPr>
            </w:pPr>
            <w:r w:rsidRPr="00955AC1">
              <w:rPr>
                <w:rFonts w:ascii="Times New Roman" w:eastAsia="Times New Roman" w:hAnsi="Times New Roman" w:cs="Times New Roman"/>
                <w:b/>
                <w:bCs/>
                <w:sz w:val="20"/>
                <w:szCs w:val="20"/>
              </w:rPr>
              <w:t>Question ID: 1006251146 </w:t>
            </w:r>
          </w:p>
          <w:p w14:paraId="5614BF9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Under Section VII.) Quality Education Areas, do all three schools that the property is districted for have to meet the criteria in order to qualify for points?  </w:t>
            </w:r>
          </w:p>
          <w:p w14:paraId="75068F7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17BACE5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lastRenderedPageBreak/>
              <w:t>For Example, under subsection A) if 2/3 schools have above average CCRPI scores do they qualify for points? </w:t>
            </w:r>
          </w:p>
          <w:p w14:paraId="748B31ED"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1B074C22" w14:textId="77777777" w:rsidR="00390F34" w:rsidRPr="00955AC1" w:rsidRDefault="00390F34" w:rsidP="000F6D48">
            <w:pPr>
              <w:textAlignment w:val="baseline"/>
              <w:rPr>
                <w:rFonts w:ascii="Times New Roman" w:eastAsia="Times New Roman" w:hAnsi="Times New Roman" w:cs="Times New Roman"/>
                <w:b/>
                <w:bCs/>
                <w:sz w:val="20"/>
                <w:szCs w:val="20"/>
              </w:rPr>
            </w:pPr>
            <w:r w:rsidRPr="00955AC1">
              <w:rPr>
                <w:rFonts w:ascii="Times New Roman" w:eastAsia="Times New Roman" w:hAnsi="Times New Roman" w:cs="Times New Roman"/>
                <w:sz w:val="20"/>
                <w:szCs w:val="20"/>
              </w:rPr>
              <w:t>Under subsection B) if 1/3 schools has a "Beating the Odds" designation do they qualify for points?</w:t>
            </w:r>
            <w:r w:rsidRPr="00955AC1">
              <w:rPr>
                <w:rFonts w:ascii="Times New Roman" w:eastAsia="Times New Roman" w:hAnsi="Times New Roman" w:cs="Times New Roman"/>
                <w:b/>
                <w:bCs/>
                <w:sz w:val="20"/>
                <w:szCs w:val="20"/>
              </w:rPr>
              <w:t> </w:t>
            </w:r>
            <w:r w:rsidRPr="00955AC1">
              <w:rPr>
                <w:rFonts w:ascii="Times New Roman" w:eastAsia="Times New Roman" w:hAnsi="Times New Roman" w:cs="Times New Roman"/>
                <w:b/>
                <w:bCs/>
                <w:sz w:val="20"/>
                <w:szCs w:val="20"/>
              </w:rPr>
              <w:br/>
              <w:t> </w:t>
            </w:r>
          </w:p>
          <w:p w14:paraId="020071B9" w14:textId="77777777" w:rsidR="00390F34" w:rsidRPr="00955AC1" w:rsidRDefault="00390F34" w:rsidP="000F6D48">
            <w:pPr>
              <w:textAlignment w:val="baseline"/>
              <w:rPr>
                <w:rFonts w:ascii="Times New Roman" w:eastAsia="Times New Roman" w:hAnsi="Times New Roman" w:cs="Times New Roman"/>
                <w:b/>
                <w:bCs/>
                <w:sz w:val="20"/>
                <w:szCs w:val="20"/>
              </w:rPr>
            </w:pPr>
            <w:r w:rsidRPr="00955AC1">
              <w:rPr>
                <w:rFonts w:ascii="Times New Roman" w:eastAsia="Times New Roman" w:hAnsi="Times New Roman" w:cs="Times New Roman"/>
                <w:b/>
                <w:bCs/>
                <w:sz w:val="20"/>
                <w:szCs w:val="20"/>
              </w:rPr>
              <w:t>Answer:  </w:t>
            </w:r>
          </w:p>
          <w:p w14:paraId="6617709D"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As stated in the QAP, </w:t>
            </w:r>
            <w:r w:rsidRPr="00955AC1">
              <w:rPr>
                <w:rFonts w:ascii="Times New Roman" w:eastAsia="Times New Roman" w:hAnsi="Times New Roman" w:cs="Times New Roman"/>
                <w:b/>
                <w:bCs/>
                <w:sz w:val="20"/>
                <w:szCs w:val="20"/>
              </w:rPr>
              <w:t>Scoring VII Quality Education Areas</w:t>
            </w:r>
            <w:r w:rsidRPr="00955AC1">
              <w:rPr>
                <w:rFonts w:ascii="Times New Roman" w:eastAsia="Times New Roman" w:hAnsi="Times New Roman" w:cs="Times New Roman"/>
                <w:sz w:val="20"/>
                <w:szCs w:val="20"/>
              </w:rPr>
              <w:t xml:space="preserve">, </w:t>
            </w:r>
            <w:r w:rsidRPr="00955AC1">
              <w:rPr>
                <w:rFonts w:ascii="Times New Roman" w:eastAsia="Times New Roman" w:hAnsi="Times New Roman" w:cs="Times New Roman"/>
                <w:i/>
                <w:iCs/>
                <w:sz w:val="20"/>
                <w:szCs w:val="20"/>
              </w:rPr>
              <w:t>“Each school qualifying for points must meet requirements for A, B or C.”</w:t>
            </w:r>
            <w:r w:rsidRPr="00955AC1">
              <w:rPr>
                <w:rFonts w:ascii="Times New Roman" w:eastAsia="Times New Roman" w:hAnsi="Times New Roman" w:cs="Times New Roman"/>
                <w:sz w:val="20"/>
                <w:szCs w:val="20"/>
              </w:rPr>
              <w:t> </w:t>
            </w:r>
          </w:p>
          <w:p w14:paraId="2C482FE6"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6862548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Following the same example, if 2 out of 3 schools that the property is districted for meet the qualifications for subsection A., those 2 schools would qualify for points under subsection A. If 1 school that the property is districted for meets the qualifications for subsection B., that 1 school would qualify for points under subsection B.  </w:t>
            </w:r>
          </w:p>
          <w:p w14:paraId="1F50E3C8"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7D3F405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The total number of grades served by qualifying schools under subsection A., B., and C. will be added together to determine the number of points awarded under this scoring section. Please refer to the Scoring Table in this section for more detail. </w:t>
            </w:r>
          </w:p>
          <w:p w14:paraId="7E94AE95" w14:textId="77777777" w:rsidR="00390F34" w:rsidRPr="00955AC1" w:rsidRDefault="00390F34" w:rsidP="000F6D48">
            <w:pPr>
              <w:rPr>
                <w:rFonts w:ascii="Times New Roman" w:eastAsia="Times New Roman" w:hAnsi="Times New Roman" w:cs="Times New Roman"/>
                <w:b/>
                <w:bCs/>
                <w:sz w:val="20"/>
                <w:szCs w:val="20"/>
              </w:rPr>
            </w:pPr>
          </w:p>
        </w:tc>
      </w:tr>
      <w:tr w:rsidR="00390F34" w:rsidRPr="00955AC1" w14:paraId="2F189058"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F23AA6B"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9/22/22</w:t>
            </w:r>
          </w:p>
        </w:tc>
        <w:tc>
          <w:tcPr>
            <w:tcW w:w="2663" w:type="dxa"/>
            <w:shd w:val="clear" w:color="auto" w:fill="auto"/>
            <w:tcMar>
              <w:top w:w="72" w:type="dxa"/>
              <w:left w:w="115" w:type="dxa"/>
              <w:bottom w:w="72" w:type="dxa"/>
              <w:right w:w="115" w:type="dxa"/>
            </w:tcMar>
            <w:vAlign w:val="center"/>
          </w:tcPr>
          <w:p w14:paraId="064DA53D"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3.07 </w:t>
            </w:r>
          </w:p>
          <w:p w14:paraId="6BC8CAE2"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Scoring Criteria;</w:t>
            </w:r>
          </w:p>
          <w:p w14:paraId="111C2303"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7F77D49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 ID: 1001875371</w:t>
            </w:r>
            <w:r w:rsidRPr="00955AC1">
              <w:rPr>
                <w:rFonts w:ascii="Times New Roman" w:eastAsia="Times New Roman" w:hAnsi="Times New Roman" w:cs="Times New Roman"/>
                <w:b/>
                <w:bCs/>
                <w:sz w:val="20"/>
                <w:szCs w:val="20"/>
              </w:rPr>
              <w:br/>
            </w:r>
            <w:r w:rsidRPr="00955AC1">
              <w:rPr>
                <w:rFonts w:ascii="Times New Roman" w:eastAsia="Times New Roman" w:hAnsi="Times New Roman" w:cs="Times New Roman"/>
                <w:sz w:val="20"/>
                <w:szCs w:val="20"/>
              </w:rPr>
              <w:t>Are CCRPI 2020-2022 averages waved due to covid? Still need to provide 2018/19 CCRPI documentation?</w:t>
            </w:r>
          </w:p>
          <w:p w14:paraId="3322E4DE" w14:textId="77777777" w:rsidR="00390F34" w:rsidRPr="00955AC1" w:rsidRDefault="00390F34" w:rsidP="000F6D48">
            <w:pPr>
              <w:textAlignment w:val="baseline"/>
              <w:rPr>
                <w:rFonts w:ascii="Times New Roman" w:eastAsia="Times New Roman" w:hAnsi="Times New Roman" w:cs="Times New Roman"/>
                <w:b/>
                <w:bCs/>
                <w:sz w:val="20"/>
                <w:szCs w:val="20"/>
              </w:rPr>
            </w:pPr>
          </w:p>
          <w:p w14:paraId="5CB2EDFE" w14:textId="77777777" w:rsidR="00390F34" w:rsidRPr="00955AC1" w:rsidRDefault="00390F34" w:rsidP="000F6D48">
            <w:pPr>
              <w:textAlignment w:val="baseline"/>
              <w:rPr>
                <w:rFonts w:ascii="Times New Roman" w:eastAsia="Times New Roman" w:hAnsi="Times New Roman" w:cs="Times New Roman"/>
                <w:b/>
                <w:bCs/>
                <w:sz w:val="20"/>
                <w:szCs w:val="20"/>
              </w:rPr>
            </w:pPr>
            <w:r w:rsidRPr="00955AC1">
              <w:rPr>
                <w:rFonts w:ascii="Times New Roman" w:eastAsia="Times New Roman" w:hAnsi="Times New Roman" w:cs="Times New Roman"/>
                <w:b/>
                <w:bCs/>
                <w:sz w:val="20"/>
                <w:szCs w:val="20"/>
              </w:rPr>
              <w:t xml:space="preserve">Answer: </w:t>
            </w:r>
          </w:p>
          <w:p w14:paraId="5760FED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Per the GA Department of Education CCRPI website </w:t>
            </w:r>
            <w:r w:rsidRPr="00955AC1">
              <w:rPr>
                <w:rStyle w:val="normaltextrun"/>
                <w:rFonts w:ascii="Times New Roman" w:hAnsi="Times New Roman" w:cs="Times New Roman"/>
                <w:color w:val="000000"/>
                <w:sz w:val="20"/>
                <w:szCs w:val="20"/>
                <w:shd w:val="clear" w:color="auto" w:fill="FFFFFF"/>
              </w:rPr>
              <w:t>(</w:t>
            </w:r>
            <w:hyperlink r:id="rId19" w:tgtFrame="_blank" w:history="1">
              <w:r w:rsidRPr="00955AC1">
                <w:rPr>
                  <w:rStyle w:val="normaltextrun"/>
                  <w:rFonts w:ascii="Times New Roman" w:hAnsi="Times New Roman" w:cs="Times New Roman"/>
                  <w:color w:val="0563C1"/>
                  <w:sz w:val="20"/>
                  <w:szCs w:val="20"/>
                  <w:u w:val="single"/>
                  <w:shd w:val="clear" w:color="auto" w:fill="FFFFFF"/>
                </w:rPr>
                <w:t>click here</w:t>
              </w:r>
            </w:hyperlink>
            <w:r w:rsidRPr="00955AC1">
              <w:rPr>
                <w:rStyle w:val="normaltextrun"/>
                <w:rFonts w:ascii="Times New Roman" w:hAnsi="Times New Roman" w:cs="Times New Roman"/>
                <w:color w:val="000000"/>
                <w:sz w:val="20"/>
                <w:szCs w:val="20"/>
                <w:shd w:val="clear" w:color="auto" w:fill="FFFFFF"/>
              </w:rPr>
              <w:t xml:space="preserve">), </w:t>
            </w:r>
            <w:r w:rsidRPr="00955AC1">
              <w:rPr>
                <w:rFonts w:ascii="Times New Roman" w:eastAsia="Times New Roman" w:hAnsi="Times New Roman" w:cs="Times New Roman"/>
                <w:sz w:val="20"/>
                <w:szCs w:val="20"/>
              </w:rPr>
              <w:t xml:space="preserve">for 2020 and 2021 scores purposes, there are no CCRPI summary scores for the state, school districts, or schools. </w:t>
            </w:r>
          </w:p>
          <w:p w14:paraId="3F1D6894" w14:textId="77777777" w:rsidR="00390F34" w:rsidRPr="00955AC1" w:rsidRDefault="00390F34" w:rsidP="000F6D48">
            <w:pPr>
              <w:textAlignment w:val="baseline"/>
              <w:rPr>
                <w:rFonts w:ascii="Times New Roman" w:eastAsia="Times New Roman" w:hAnsi="Times New Roman" w:cs="Times New Roman"/>
                <w:sz w:val="20"/>
                <w:szCs w:val="20"/>
              </w:rPr>
            </w:pPr>
          </w:p>
          <w:p w14:paraId="6641D3E0"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Therefore, the Quality Education Areas Scoring Instructions document as posted to the website can still be used for the 2022 4%/Bonds Round </w:t>
            </w:r>
            <w:r w:rsidRPr="00955AC1">
              <w:rPr>
                <w:rStyle w:val="normaltextrun"/>
                <w:rFonts w:ascii="Times New Roman" w:hAnsi="Times New Roman" w:cs="Times New Roman"/>
                <w:color w:val="000000"/>
                <w:sz w:val="20"/>
                <w:szCs w:val="20"/>
                <w:shd w:val="clear" w:color="auto" w:fill="FFFFFF"/>
              </w:rPr>
              <w:t>(</w:t>
            </w:r>
            <w:hyperlink r:id="rId20" w:tgtFrame="_blank" w:history="1">
              <w:r w:rsidRPr="00955AC1">
                <w:rPr>
                  <w:rStyle w:val="normaltextrun"/>
                  <w:rFonts w:ascii="Times New Roman" w:hAnsi="Times New Roman" w:cs="Times New Roman"/>
                  <w:color w:val="0563C1"/>
                  <w:sz w:val="20"/>
                  <w:szCs w:val="20"/>
                  <w:u w:val="single"/>
                  <w:shd w:val="clear" w:color="auto" w:fill="FFFFFF"/>
                </w:rPr>
                <w:t>click here</w:t>
              </w:r>
            </w:hyperlink>
            <w:r w:rsidRPr="00955AC1">
              <w:rPr>
                <w:rStyle w:val="normaltextrun"/>
                <w:rFonts w:ascii="Times New Roman" w:hAnsi="Times New Roman" w:cs="Times New Roman"/>
                <w:color w:val="000000"/>
                <w:sz w:val="20"/>
                <w:szCs w:val="20"/>
                <w:shd w:val="clear" w:color="auto" w:fill="FFFFFF"/>
              </w:rPr>
              <w:t>).</w:t>
            </w:r>
          </w:p>
          <w:p w14:paraId="066A179D" w14:textId="77777777" w:rsidR="00390F34" w:rsidRPr="00955AC1" w:rsidRDefault="00390F34" w:rsidP="000F6D48">
            <w:pPr>
              <w:textAlignment w:val="baseline"/>
              <w:rPr>
                <w:rFonts w:ascii="Times New Roman" w:eastAsia="Times New Roman" w:hAnsi="Times New Roman" w:cs="Times New Roman"/>
                <w:color w:val="000000" w:themeColor="text1"/>
                <w:sz w:val="20"/>
                <w:szCs w:val="20"/>
              </w:rPr>
            </w:pPr>
          </w:p>
        </w:tc>
      </w:tr>
      <w:tr w:rsidR="00390F34" w:rsidRPr="00955AC1" w14:paraId="15F04CAA"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C663D2F" w14:textId="77777777" w:rsidR="00390F34" w:rsidRPr="00955AC1" w:rsidRDefault="00390F34" w:rsidP="64301FE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59461D46" w14:textId="77777777" w:rsidR="00390F34" w:rsidRPr="00955AC1" w:rsidRDefault="00390F34" w:rsidP="00344EE6">
            <w:pPr>
              <w:rPr>
                <w:rFonts w:ascii="Times New Roman" w:hAnsi="Times New Roman" w:cs="Times New Roman"/>
                <w:sz w:val="20"/>
                <w:szCs w:val="20"/>
              </w:rPr>
            </w:pPr>
            <w:r w:rsidRPr="00955AC1">
              <w:rPr>
                <w:rFonts w:ascii="Times New Roman" w:hAnsi="Times New Roman" w:cs="Times New Roman"/>
                <w:sz w:val="20"/>
                <w:szCs w:val="20"/>
              </w:rPr>
              <w:t>7.00</w:t>
            </w:r>
          </w:p>
          <w:p w14:paraId="71DDE12A" w14:textId="77777777" w:rsidR="00390F34" w:rsidRPr="00955AC1" w:rsidRDefault="00390F34" w:rsidP="00344EE6">
            <w:pPr>
              <w:rPr>
                <w:rFonts w:ascii="Times New Roman" w:eastAsia="Times New Roman" w:hAnsi="Times New Roman" w:cs="Times New Roman"/>
                <w:sz w:val="20"/>
                <w:szCs w:val="20"/>
              </w:rPr>
            </w:pPr>
            <w:r w:rsidRPr="00955AC1">
              <w:rPr>
                <w:rFonts w:ascii="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6814072F" w14:textId="77777777" w:rsidR="00390F34" w:rsidRPr="00955AC1" w:rsidRDefault="00390F34" w:rsidP="00316F75">
            <w:pPr>
              <w:pStyle w:val="paragraph"/>
              <w:spacing w:before="0" w:beforeAutospacing="0" w:after="0" w:afterAutospacing="0"/>
              <w:textAlignment w:val="baseline"/>
              <w:rPr>
                <w:sz w:val="20"/>
                <w:szCs w:val="20"/>
              </w:rPr>
            </w:pPr>
            <w:r w:rsidRPr="00955AC1">
              <w:rPr>
                <w:b/>
                <w:bCs/>
                <w:sz w:val="20"/>
                <w:szCs w:val="20"/>
              </w:rPr>
              <w:t>Question ID:</w:t>
            </w:r>
            <w:r w:rsidRPr="00955AC1">
              <w:rPr>
                <w:rStyle w:val="normaltextrun"/>
                <w:b/>
                <w:bCs/>
                <w:sz w:val="20"/>
                <w:szCs w:val="20"/>
              </w:rPr>
              <w:t xml:space="preserve"> </w:t>
            </w:r>
            <w:r w:rsidRPr="00955AC1">
              <w:rPr>
                <w:rStyle w:val="normaltextrun"/>
                <w:b/>
                <w:bCs/>
                <w:color w:val="000000"/>
                <w:sz w:val="20"/>
                <w:szCs w:val="20"/>
              </w:rPr>
              <w:t>995462618</w:t>
            </w:r>
            <w:r w:rsidRPr="00955AC1">
              <w:rPr>
                <w:rStyle w:val="scxw80676492"/>
                <w:rFonts w:eastAsiaTheme="majorEastAsia"/>
                <w:b/>
                <w:bCs/>
                <w:color w:val="000000"/>
                <w:sz w:val="20"/>
                <w:szCs w:val="20"/>
              </w:rPr>
              <w:t> </w:t>
            </w:r>
            <w:r w:rsidRPr="00955AC1">
              <w:rPr>
                <w:color w:val="000000"/>
                <w:sz w:val="20"/>
                <w:szCs w:val="20"/>
              </w:rPr>
              <w:br/>
            </w:r>
            <w:r w:rsidRPr="00955AC1">
              <w:rPr>
                <w:rStyle w:val="normaltextrun"/>
                <w:color w:val="000000"/>
                <w:sz w:val="20"/>
                <w:szCs w:val="20"/>
              </w:rPr>
              <w:t xml:space="preserve">We are a </w:t>
            </w:r>
            <w:r w:rsidRPr="00955AC1">
              <w:rPr>
                <w:rStyle w:val="contextualspellingandgrammarerror"/>
                <w:rFonts w:eastAsiaTheme="majorEastAsia"/>
                <w:color w:val="000000"/>
                <w:sz w:val="20"/>
                <w:szCs w:val="20"/>
              </w:rPr>
              <w:t>previously-awarded</w:t>
            </w:r>
            <w:r w:rsidRPr="00955AC1">
              <w:rPr>
                <w:rStyle w:val="normaltextrun"/>
                <w:color w:val="000000"/>
                <w:sz w:val="20"/>
                <w:szCs w:val="20"/>
              </w:rPr>
              <w:t xml:space="preserve"> 9% development that is stalled due to construction cost increases. We think that this deal could work, though, with 4% credits and bonds. We are contemplating applying under the upcoming 4%/Bonds Competitive Round and returning the </w:t>
            </w:r>
            <w:r w:rsidRPr="00955AC1">
              <w:rPr>
                <w:rStyle w:val="contextualspellingandgrammarerror"/>
                <w:rFonts w:eastAsiaTheme="majorEastAsia"/>
                <w:color w:val="000000"/>
                <w:sz w:val="20"/>
                <w:szCs w:val="20"/>
              </w:rPr>
              <w:t>previously-awarded</w:t>
            </w:r>
            <w:r w:rsidRPr="00955AC1">
              <w:rPr>
                <w:rStyle w:val="normaltextrun"/>
                <w:color w:val="000000"/>
                <w:sz w:val="20"/>
                <w:szCs w:val="20"/>
              </w:rPr>
              <w:t xml:space="preserve"> 9% credits. </w:t>
            </w:r>
            <w:r w:rsidRPr="00955AC1">
              <w:rPr>
                <w:rStyle w:val="scxw80676492"/>
                <w:rFonts w:eastAsiaTheme="majorEastAsia"/>
                <w:color w:val="000000"/>
                <w:sz w:val="20"/>
                <w:szCs w:val="20"/>
              </w:rPr>
              <w:t> </w:t>
            </w:r>
            <w:r w:rsidRPr="00955AC1">
              <w:rPr>
                <w:color w:val="000000"/>
                <w:sz w:val="20"/>
                <w:szCs w:val="20"/>
              </w:rPr>
              <w:br/>
            </w:r>
            <w:r w:rsidRPr="00955AC1">
              <w:rPr>
                <w:rStyle w:val="eop"/>
                <w:color w:val="000000"/>
                <w:sz w:val="20"/>
                <w:szCs w:val="20"/>
              </w:rPr>
              <w:t> </w:t>
            </w:r>
          </w:p>
          <w:p w14:paraId="63648AE3" w14:textId="77777777" w:rsidR="00390F34" w:rsidRPr="00955AC1" w:rsidRDefault="00390F34" w:rsidP="00316F75">
            <w:pPr>
              <w:pStyle w:val="paragraph"/>
              <w:spacing w:before="0" w:beforeAutospacing="0" w:after="0" w:afterAutospacing="0"/>
              <w:textAlignment w:val="baseline"/>
              <w:rPr>
                <w:sz w:val="20"/>
                <w:szCs w:val="20"/>
              </w:rPr>
            </w:pPr>
            <w:r w:rsidRPr="00955AC1">
              <w:rPr>
                <w:rStyle w:val="normaltextrun"/>
                <w:color w:val="000000"/>
                <w:sz w:val="20"/>
                <w:szCs w:val="20"/>
              </w:rPr>
              <w:t>If awarded a 4% allocation, we would immediately return the 2021 9% allocation and move to closing with the new 4% allocation.</w:t>
            </w:r>
            <w:r w:rsidRPr="00955AC1">
              <w:rPr>
                <w:rStyle w:val="eop"/>
                <w:color w:val="000000"/>
                <w:sz w:val="20"/>
                <w:szCs w:val="20"/>
              </w:rPr>
              <w:t> </w:t>
            </w:r>
          </w:p>
          <w:p w14:paraId="23310720" w14:textId="77777777" w:rsidR="00390F34" w:rsidRPr="00955AC1" w:rsidRDefault="00390F34" w:rsidP="00316F75">
            <w:pPr>
              <w:pStyle w:val="paragraph"/>
              <w:spacing w:before="0" w:beforeAutospacing="0" w:after="0" w:afterAutospacing="0"/>
              <w:ind w:firstLine="720"/>
              <w:textAlignment w:val="baseline"/>
              <w:rPr>
                <w:sz w:val="20"/>
                <w:szCs w:val="20"/>
              </w:rPr>
            </w:pPr>
            <w:r w:rsidRPr="00955AC1">
              <w:rPr>
                <w:rStyle w:val="normaltextrun"/>
                <w:color w:val="000000"/>
                <w:sz w:val="20"/>
                <w:szCs w:val="20"/>
              </w:rPr>
              <w:t>a. What would the process for returning credits entail?</w:t>
            </w:r>
            <w:r w:rsidRPr="00955AC1">
              <w:rPr>
                <w:rStyle w:val="eop"/>
                <w:color w:val="000000"/>
                <w:sz w:val="20"/>
                <w:szCs w:val="20"/>
              </w:rPr>
              <w:t> </w:t>
            </w:r>
          </w:p>
          <w:p w14:paraId="2AEB163E" w14:textId="77777777" w:rsidR="00390F34" w:rsidRPr="00955AC1" w:rsidRDefault="00390F34" w:rsidP="00316F75">
            <w:pPr>
              <w:pStyle w:val="paragraph"/>
              <w:spacing w:before="0" w:beforeAutospacing="0" w:after="0" w:afterAutospacing="0"/>
              <w:ind w:left="720"/>
              <w:textAlignment w:val="baseline"/>
              <w:rPr>
                <w:sz w:val="20"/>
                <w:szCs w:val="20"/>
              </w:rPr>
            </w:pPr>
            <w:r w:rsidRPr="00955AC1">
              <w:rPr>
                <w:rStyle w:val="normaltextrun"/>
                <w:color w:val="000000"/>
                <w:sz w:val="20"/>
                <w:szCs w:val="20"/>
              </w:rPr>
              <w:t>b. Would there be any additional fees or reimbursement of prior fees paid?</w:t>
            </w:r>
            <w:r w:rsidRPr="00955AC1">
              <w:rPr>
                <w:rStyle w:val="eop"/>
                <w:color w:val="000000"/>
                <w:sz w:val="20"/>
                <w:szCs w:val="20"/>
              </w:rPr>
              <w:t> </w:t>
            </w:r>
          </w:p>
          <w:p w14:paraId="17C1042B" w14:textId="77777777" w:rsidR="00390F34" w:rsidRPr="00955AC1" w:rsidRDefault="00390F34" w:rsidP="00316F75">
            <w:pPr>
              <w:pStyle w:val="paragraph"/>
              <w:spacing w:before="0" w:beforeAutospacing="0" w:after="0" w:afterAutospacing="0"/>
              <w:textAlignment w:val="baseline"/>
              <w:rPr>
                <w:sz w:val="20"/>
                <w:szCs w:val="20"/>
              </w:rPr>
            </w:pPr>
            <w:r w:rsidRPr="00955AC1">
              <w:rPr>
                <w:rStyle w:val="eop"/>
                <w:color w:val="000000"/>
                <w:sz w:val="20"/>
                <w:szCs w:val="20"/>
              </w:rPr>
              <w:lastRenderedPageBreak/>
              <w:t> </w:t>
            </w:r>
          </w:p>
          <w:p w14:paraId="62C9AF93" w14:textId="77777777" w:rsidR="00390F34" w:rsidRPr="00955AC1" w:rsidRDefault="00390F34" w:rsidP="00316F75">
            <w:pPr>
              <w:pStyle w:val="paragraph"/>
              <w:spacing w:before="0" w:beforeAutospacing="0" w:after="0" w:afterAutospacing="0"/>
              <w:textAlignment w:val="baseline"/>
              <w:rPr>
                <w:rStyle w:val="eop"/>
                <w:color w:val="000000"/>
                <w:sz w:val="20"/>
                <w:szCs w:val="20"/>
              </w:rPr>
            </w:pPr>
            <w:r w:rsidRPr="00955AC1">
              <w:rPr>
                <w:rStyle w:val="normaltextrun"/>
                <w:color w:val="000000"/>
                <w:sz w:val="20"/>
                <w:szCs w:val="20"/>
              </w:rPr>
              <w:t xml:space="preserve">If not awarded a 4% allocation, we would still require an extension of the PIS deadline either directly (per IRS Revenue Procedure 2014-49) or a credit exchange. </w:t>
            </w:r>
            <w:r w:rsidRPr="00955AC1">
              <w:rPr>
                <w:rStyle w:val="advancedproofingissue"/>
                <w:color w:val="000000"/>
                <w:sz w:val="20"/>
                <w:szCs w:val="20"/>
              </w:rPr>
              <w:t>Generally speaking, is</w:t>
            </w:r>
            <w:r w:rsidRPr="00955AC1">
              <w:rPr>
                <w:rStyle w:val="normaltextrun"/>
                <w:color w:val="000000"/>
                <w:sz w:val="20"/>
                <w:szCs w:val="20"/>
              </w:rPr>
              <w:t xml:space="preserve"> DCA willing to allow us to delay any exchange request until such time that DCA has made its award determination on the proposed 4% application?</w:t>
            </w:r>
            <w:r w:rsidRPr="00955AC1">
              <w:rPr>
                <w:rStyle w:val="eop"/>
                <w:color w:val="000000"/>
                <w:sz w:val="20"/>
                <w:szCs w:val="20"/>
              </w:rPr>
              <w:t> </w:t>
            </w:r>
          </w:p>
          <w:p w14:paraId="6E617EF4" w14:textId="77777777" w:rsidR="00390F34" w:rsidRPr="00955AC1" w:rsidRDefault="00390F34" w:rsidP="00316F75">
            <w:pPr>
              <w:pStyle w:val="paragraph"/>
              <w:spacing w:before="0" w:beforeAutospacing="0" w:after="0" w:afterAutospacing="0"/>
              <w:textAlignment w:val="baseline"/>
              <w:rPr>
                <w:rStyle w:val="eop"/>
                <w:color w:val="000000"/>
                <w:sz w:val="20"/>
                <w:szCs w:val="20"/>
              </w:rPr>
            </w:pPr>
          </w:p>
          <w:p w14:paraId="2D504DB4" w14:textId="77777777" w:rsidR="00390F34" w:rsidRPr="00955AC1" w:rsidRDefault="00390F34" w:rsidP="00A93AC0">
            <w:pPr>
              <w:pStyle w:val="paragraph"/>
              <w:spacing w:before="0" w:beforeAutospacing="0" w:after="0" w:afterAutospacing="0"/>
              <w:textAlignment w:val="baseline"/>
              <w:rPr>
                <w:b/>
                <w:bCs/>
                <w:sz w:val="20"/>
                <w:szCs w:val="20"/>
              </w:rPr>
            </w:pPr>
            <w:r w:rsidRPr="00955AC1">
              <w:rPr>
                <w:rStyle w:val="eop"/>
                <w:b/>
                <w:bCs/>
                <w:color w:val="000000"/>
                <w:sz w:val="20"/>
                <w:szCs w:val="20"/>
              </w:rPr>
              <w:t>Answer:</w:t>
            </w:r>
          </w:p>
          <w:p w14:paraId="7CC1BDFD" w14:textId="77777777" w:rsidR="00390F34" w:rsidRPr="00955AC1" w:rsidRDefault="00390F34" w:rsidP="004D23CA">
            <w:pPr>
              <w:pStyle w:val="paragraph"/>
              <w:spacing w:before="0" w:beforeAutospacing="0" w:after="0" w:afterAutospacing="0"/>
              <w:textAlignment w:val="baseline"/>
              <w:rPr>
                <w:b/>
                <w:bCs/>
                <w:sz w:val="20"/>
                <w:szCs w:val="20"/>
              </w:rPr>
            </w:pPr>
            <w:r w:rsidRPr="00955AC1">
              <w:rPr>
                <w:rStyle w:val="normaltextrun"/>
                <w:color w:val="4472C4"/>
                <w:sz w:val="20"/>
                <w:szCs w:val="20"/>
              </w:rPr>
              <w:t>“What would the process for returning credits entail? Would there be any additional fees or reimbursement of prior fees paid?” </w:t>
            </w:r>
            <w:r w:rsidRPr="00955AC1">
              <w:rPr>
                <w:rStyle w:val="eop"/>
                <w:color w:val="4472C4"/>
                <w:sz w:val="20"/>
                <w:szCs w:val="20"/>
              </w:rPr>
              <w:t> </w:t>
            </w:r>
          </w:p>
          <w:p w14:paraId="2FA29DAE" w14:textId="77777777" w:rsidR="00390F34" w:rsidRPr="00955AC1" w:rsidRDefault="00390F34" w:rsidP="00660A95">
            <w:pPr>
              <w:pStyle w:val="paragraph"/>
              <w:numPr>
                <w:ilvl w:val="0"/>
                <w:numId w:val="66"/>
              </w:numPr>
              <w:spacing w:before="0" w:beforeAutospacing="0" w:after="0" w:afterAutospacing="0"/>
              <w:textAlignment w:val="baseline"/>
              <w:rPr>
                <w:sz w:val="20"/>
                <w:szCs w:val="20"/>
              </w:rPr>
            </w:pPr>
            <w:r w:rsidRPr="00955AC1">
              <w:rPr>
                <w:rStyle w:val="normaltextrun"/>
                <w:sz w:val="20"/>
                <w:szCs w:val="20"/>
              </w:rPr>
              <w:t xml:space="preserve">If selected under the 4%/Bonds Competitive Round, you will receive a DCA Consent letter granting approval to submit a </w:t>
            </w:r>
            <w:r w:rsidRPr="00955AC1">
              <w:rPr>
                <w:rStyle w:val="contextualspellingandgrammarerror"/>
                <w:rFonts w:eastAsiaTheme="majorEastAsia"/>
                <w:sz w:val="20"/>
                <w:szCs w:val="20"/>
              </w:rPr>
              <w:t>Pre-</w:t>
            </w:r>
            <w:r w:rsidRPr="00955AC1">
              <w:rPr>
                <w:rStyle w:val="normaltextrun"/>
                <w:sz w:val="20"/>
                <w:szCs w:val="20"/>
              </w:rPr>
              <w:t xml:space="preserve">Application within 40 days. Upon receiving this notice, please submit official confirmation of your intent to return previously awarded 9% credits. </w:t>
            </w:r>
            <w:r w:rsidRPr="00955AC1">
              <w:rPr>
                <w:rStyle w:val="scxw80676492"/>
                <w:rFonts w:eastAsiaTheme="majorEastAsia"/>
                <w:sz w:val="20"/>
                <w:szCs w:val="20"/>
              </w:rPr>
              <w:t> </w:t>
            </w:r>
            <w:r w:rsidRPr="00955AC1">
              <w:rPr>
                <w:sz w:val="20"/>
                <w:szCs w:val="20"/>
              </w:rPr>
              <w:br/>
            </w:r>
            <w:r w:rsidRPr="00955AC1">
              <w:rPr>
                <w:rStyle w:val="eop"/>
                <w:sz w:val="20"/>
                <w:szCs w:val="20"/>
              </w:rPr>
              <w:t> </w:t>
            </w:r>
          </w:p>
          <w:p w14:paraId="0C87DEFA" w14:textId="77777777" w:rsidR="00390F34" w:rsidRPr="00955AC1" w:rsidRDefault="00390F34" w:rsidP="004D23CA">
            <w:pPr>
              <w:pStyle w:val="paragraph"/>
              <w:spacing w:before="0" w:beforeAutospacing="0" w:after="0" w:afterAutospacing="0"/>
              <w:textAlignment w:val="baseline"/>
              <w:rPr>
                <w:sz w:val="20"/>
                <w:szCs w:val="20"/>
              </w:rPr>
            </w:pPr>
            <w:r w:rsidRPr="00955AC1">
              <w:rPr>
                <w:rStyle w:val="normaltextrun"/>
                <w:color w:val="4472C4"/>
                <w:sz w:val="20"/>
                <w:szCs w:val="20"/>
              </w:rPr>
              <w:t>“Is DCA willing to allow us to delay any exchange request until such time that DCA has made its award determination on the proposed 4% application?”</w:t>
            </w:r>
            <w:r w:rsidRPr="00955AC1">
              <w:rPr>
                <w:rStyle w:val="eop"/>
                <w:color w:val="4472C4"/>
                <w:sz w:val="20"/>
                <w:szCs w:val="20"/>
              </w:rPr>
              <w:t> </w:t>
            </w:r>
          </w:p>
          <w:p w14:paraId="5381CA3A" w14:textId="77777777" w:rsidR="00390F34" w:rsidRPr="00955AC1" w:rsidRDefault="00390F34" w:rsidP="00660A95">
            <w:pPr>
              <w:pStyle w:val="paragraph"/>
              <w:numPr>
                <w:ilvl w:val="0"/>
                <w:numId w:val="66"/>
              </w:numPr>
              <w:spacing w:before="0" w:beforeAutospacing="0" w:after="0" w:afterAutospacing="0"/>
              <w:textAlignment w:val="baseline"/>
              <w:rPr>
                <w:sz w:val="20"/>
                <w:szCs w:val="20"/>
              </w:rPr>
            </w:pPr>
            <w:r w:rsidRPr="00955AC1">
              <w:rPr>
                <w:rStyle w:val="normaltextrun"/>
                <w:sz w:val="20"/>
                <w:szCs w:val="20"/>
              </w:rPr>
              <w:t xml:space="preserve">DCA will allow credit exchange request extensions for those waiting on awards from the 4%/Bonds Competitive Round. </w:t>
            </w:r>
            <w:r w:rsidRPr="00955AC1">
              <w:rPr>
                <w:rStyle w:val="scxw80676492"/>
                <w:rFonts w:eastAsiaTheme="majorEastAsia"/>
                <w:sz w:val="20"/>
                <w:szCs w:val="20"/>
              </w:rPr>
              <w:t> </w:t>
            </w:r>
            <w:r w:rsidRPr="00955AC1">
              <w:rPr>
                <w:sz w:val="20"/>
                <w:szCs w:val="20"/>
              </w:rPr>
              <w:br/>
            </w:r>
            <w:r w:rsidRPr="00955AC1">
              <w:rPr>
                <w:rStyle w:val="eop"/>
                <w:sz w:val="20"/>
                <w:szCs w:val="20"/>
              </w:rPr>
              <w:t> </w:t>
            </w:r>
          </w:p>
          <w:p w14:paraId="3537EFC2" w14:textId="77777777" w:rsidR="00390F34" w:rsidRPr="00955AC1" w:rsidRDefault="00390F34" w:rsidP="00316F75">
            <w:pPr>
              <w:pStyle w:val="paragraph"/>
              <w:spacing w:before="0" w:beforeAutospacing="0" w:after="0" w:afterAutospacing="0"/>
              <w:textAlignment w:val="baseline"/>
              <w:rPr>
                <w:sz w:val="20"/>
                <w:szCs w:val="20"/>
              </w:rPr>
            </w:pPr>
            <w:r w:rsidRPr="00955AC1">
              <w:rPr>
                <w:rStyle w:val="normaltextrun"/>
                <w:sz w:val="20"/>
                <w:szCs w:val="20"/>
              </w:rPr>
              <w:t>At this time, DCA cannot provide more specific guidance for either of the above (e.g., regarding fees).</w:t>
            </w:r>
            <w:r w:rsidRPr="00955AC1">
              <w:rPr>
                <w:rStyle w:val="eop"/>
                <w:sz w:val="20"/>
                <w:szCs w:val="20"/>
              </w:rPr>
              <w:t> </w:t>
            </w:r>
          </w:p>
          <w:p w14:paraId="3DF5B367" w14:textId="77777777" w:rsidR="00390F34" w:rsidRPr="00955AC1" w:rsidRDefault="00390F34" w:rsidP="64301FE8">
            <w:pPr>
              <w:rPr>
                <w:rFonts w:ascii="Times New Roman" w:eastAsia="Times New Roman" w:hAnsi="Times New Roman" w:cs="Times New Roman"/>
                <w:b/>
                <w:bCs/>
                <w:sz w:val="20"/>
                <w:szCs w:val="20"/>
              </w:rPr>
            </w:pPr>
          </w:p>
        </w:tc>
      </w:tr>
      <w:tr w:rsidR="00390F34" w:rsidRPr="00955AC1" w14:paraId="46FFCB68"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EB9CBDB" w14:textId="77777777" w:rsidR="00390F34" w:rsidRPr="00955AC1" w:rsidRDefault="00390F34" w:rsidP="64301FE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9/22/22</w:t>
            </w:r>
          </w:p>
        </w:tc>
        <w:tc>
          <w:tcPr>
            <w:tcW w:w="2663" w:type="dxa"/>
            <w:shd w:val="clear" w:color="auto" w:fill="auto"/>
            <w:tcMar>
              <w:top w:w="72" w:type="dxa"/>
              <w:left w:w="115" w:type="dxa"/>
              <w:bottom w:w="72" w:type="dxa"/>
              <w:right w:w="115" w:type="dxa"/>
            </w:tcMar>
            <w:vAlign w:val="center"/>
          </w:tcPr>
          <w:p w14:paraId="78CE6FF0" w14:textId="77777777" w:rsidR="00390F34" w:rsidRPr="00955AC1" w:rsidRDefault="00390F34" w:rsidP="64301FE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7.00</w:t>
            </w:r>
          </w:p>
          <w:p w14:paraId="22A95329" w14:textId="77777777" w:rsidR="00390F34" w:rsidRPr="00955AC1" w:rsidRDefault="00390F34" w:rsidP="64301FE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54E800DE" w14:textId="77777777" w:rsidR="00390F34" w:rsidRPr="00955AC1" w:rsidRDefault="00390F34" w:rsidP="00300A50">
            <w:pPr>
              <w:pStyle w:val="paragraph"/>
              <w:spacing w:before="0" w:beforeAutospacing="0" w:after="0" w:afterAutospacing="0"/>
              <w:textAlignment w:val="baseline"/>
              <w:rPr>
                <w:sz w:val="20"/>
                <w:szCs w:val="20"/>
              </w:rPr>
            </w:pPr>
            <w:r w:rsidRPr="00955AC1">
              <w:rPr>
                <w:rStyle w:val="normaltextrun"/>
                <w:b/>
                <w:bCs/>
                <w:sz w:val="20"/>
                <w:szCs w:val="20"/>
              </w:rPr>
              <w:t xml:space="preserve">Question ID: </w:t>
            </w:r>
            <w:r w:rsidRPr="00955AC1">
              <w:rPr>
                <w:rStyle w:val="normaltextrun"/>
                <w:b/>
                <w:bCs/>
                <w:color w:val="000000"/>
                <w:sz w:val="20"/>
                <w:szCs w:val="20"/>
              </w:rPr>
              <w:t>1002055675</w:t>
            </w:r>
            <w:r w:rsidRPr="00955AC1">
              <w:rPr>
                <w:rStyle w:val="eop"/>
                <w:b/>
                <w:bCs/>
                <w:color w:val="000000"/>
                <w:sz w:val="20"/>
                <w:szCs w:val="20"/>
              </w:rPr>
              <w:t> </w:t>
            </w:r>
          </w:p>
          <w:p w14:paraId="63762E98" w14:textId="77777777" w:rsidR="00390F34" w:rsidRPr="00955AC1" w:rsidRDefault="00390F34" w:rsidP="00300A50">
            <w:pPr>
              <w:pStyle w:val="paragraph"/>
              <w:spacing w:before="0" w:beforeAutospacing="0" w:after="0" w:afterAutospacing="0"/>
              <w:textAlignment w:val="baseline"/>
              <w:rPr>
                <w:sz w:val="20"/>
                <w:szCs w:val="20"/>
              </w:rPr>
            </w:pPr>
            <w:r w:rsidRPr="00955AC1">
              <w:rPr>
                <w:rStyle w:val="normaltextrun"/>
                <w:color w:val="000000"/>
                <w:sz w:val="20"/>
                <w:szCs w:val="20"/>
              </w:rPr>
              <w:t>The 2022 HOME Manual and Forms button does not work. Could the link be fixed? Thanks</w:t>
            </w:r>
            <w:r w:rsidRPr="00955AC1">
              <w:rPr>
                <w:rStyle w:val="scxw100267300"/>
                <w:rFonts w:eastAsiaTheme="majorEastAsia"/>
                <w:color w:val="000000"/>
                <w:sz w:val="20"/>
                <w:szCs w:val="20"/>
              </w:rPr>
              <w:t> </w:t>
            </w:r>
          </w:p>
          <w:p w14:paraId="47E67747" w14:textId="77777777" w:rsidR="00390F34" w:rsidRPr="00955AC1" w:rsidRDefault="00390F34" w:rsidP="00300A50">
            <w:pPr>
              <w:pStyle w:val="paragraph"/>
              <w:spacing w:before="0" w:beforeAutospacing="0" w:after="0" w:afterAutospacing="0"/>
              <w:textAlignment w:val="baseline"/>
              <w:rPr>
                <w:sz w:val="20"/>
                <w:szCs w:val="20"/>
              </w:rPr>
            </w:pPr>
            <w:r w:rsidRPr="00955AC1">
              <w:rPr>
                <w:rStyle w:val="eop"/>
                <w:color w:val="000000"/>
                <w:sz w:val="20"/>
                <w:szCs w:val="20"/>
              </w:rPr>
              <w:t> </w:t>
            </w:r>
          </w:p>
          <w:p w14:paraId="6F7AB482" w14:textId="77777777" w:rsidR="00390F34" w:rsidRPr="00955AC1" w:rsidRDefault="00390F34" w:rsidP="00300A50">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516BD7A3" w14:textId="77777777" w:rsidR="00390F34" w:rsidRPr="00955AC1" w:rsidRDefault="00390F34" w:rsidP="00300A50">
            <w:pPr>
              <w:pStyle w:val="paragraph"/>
              <w:spacing w:before="0" w:beforeAutospacing="0" w:after="0" w:afterAutospacing="0"/>
              <w:textAlignment w:val="baseline"/>
              <w:rPr>
                <w:sz w:val="20"/>
                <w:szCs w:val="20"/>
              </w:rPr>
            </w:pPr>
            <w:r w:rsidRPr="00955AC1">
              <w:rPr>
                <w:rStyle w:val="normaltextrun"/>
                <w:sz w:val="20"/>
                <w:szCs w:val="20"/>
              </w:rPr>
              <w:t>The 2022 HOME Manual and Forms have not yet been posted, but they are also not currently applicable to an open competition:</w:t>
            </w:r>
            <w:r w:rsidRPr="00955AC1">
              <w:rPr>
                <w:rStyle w:val="scxw100267300"/>
                <w:rFonts w:eastAsiaTheme="majorEastAsia"/>
                <w:sz w:val="20"/>
                <w:szCs w:val="20"/>
              </w:rPr>
              <w:t> </w:t>
            </w:r>
            <w:r w:rsidRPr="00955AC1">
              <w:rPr>
                <w:sz w:val="20"/>
                <w:szCs w:val="20"/>
              </w:rPr>
              <w:br/>
            </w:r>
            <w:r w:rsidRPr="00955AC1">
              <w:rPr>
                <w:rStyle w:val="eop"/>
                <w:sz w:val="20"/>
                <w:szCs w:val="20"/>
              </w:rPr>
              <w:t> </w:t>
            </w:r>
          </w:p>
          <w:p w14:paraId="313C5E29" w14:textId="77777777" w:rsidR="00390F34" w:rsidRPr="00955AC1" w:rsidRDefault="00390F34" w:rsidP="00660A95">
            <w:pPr>
              <w:pStyle w:val="paragraph"/>
              <w:numPr>
                <w:ilvl w:val="0"/>
                <w:numId w:val="67"/>
              </w:numPr>
              <w:spacing w:before="0" w:beforeAutospacing="0" w:after="0" w:afterAutospacing="0"/>
              <w:textAlignment w:val="baseline"/>
              <w:rPr>
                <w:sz w:val="20"/>
                <w:szCs w:val="20"/>
              </w:rPr>
            </w:pPr>
            <w:r w:rsidRPr="00955AC1">
              <w:rPr>
                <w:rStyle w:val="normaltextrun"/>
                <w:sz w:val="20"/>
                <w:szCs w:val="20"/>
              </w:rPr>
              <w:t>HOME and NHTF are not available as soft funds for the 4%/Bonds Competitive Round. </w:t>
            </w:r>
            <w:r w:rsidRPr="00955AC1">
              <w:rPr>
                <w:rStyle w:val="eop"/>
                <w:sz w:val="20"/>
                <w:szCs w:val="20"/>
              </w:rPr>
              <w:t> </w:t>
            </w:r>
          </w:p>
          <w:p w14:paraId="73F50B7B" w14:textId="77777777" w:rsidR="00390F34" w:rsidRPr="00955AC1" w:rsidRDefault="00390F34" w:rsidP="00660A95">
            <w:pPr>
              <w:pStyle w:val="paragraph"/>
              <w:numPr>
                <w:ilvl w:val="0"/>
                <w:numId w:val="67"/>
              </w:numPr>
              <w:spacing w:before="0" w:beforeAutospacing="0" w:after="0" w:afterAutospacing="0"/>
              <w:textAlignment w:val="baseline"/>
              <w:rPr>
                <w:sz w:val="20"/>
                <w:szCs w:val="20"/>
              </w:rPr>
            </w:pPr>
            <w:r w:rsidRPr="00955AC1">
              <w:rPr>
                <w:rStyle w:val="normaltextrun"/>
                <w:sz w:val="20"/>
                <w:szCs w:val="20"/>
              </w:rPr>
              <w:t>For purposes of the Cost Increases NOFA, the posted 2021 HOME manuals and forms are to be used. </w:t>
            </w:r>
            <w:r w:rsidRPr="00955AC1">
              <w:rPr>
                <w:rStyle w:val="eop"/>
                <w:sz w:val="20"/>
                <w:szCs w:val="20"/>
              </w:rPr>
              <w:t> </w:t>
            </w:r>
          </w:p>
          <w:p w14:paraId="1AC65D8E" w14:textId="77777777" w:rsidR="00390F34" w:rsidRPr="00955AC1" w:rsidRDefault="00390F34" w:rsidP="64301FE8">
            <w:pPr>
              <w:rPr>
                <w:rFonts w:ascii="Times New Roman" w:eastAsia="Times New Roman" w:hAnsi="Times New Roman" w:cs="Times New Roman"/>
                <w:b/>
                <w:bCs/>
                <w:sz w:val="20"/>
                <w:szCs w:val="20"/>
              </w:rPr>
            </w:pPr>
          </w:p>
        </w:tc>
      </w:tr>
      <w:tr w:rsidR="00390F34" w:rsidRPr="00955AC1" w14:paraId="2E52A102"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E2B1ECF"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3749D6B9"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1.10</w:t>
            </w:r>
          </w:p>
          <w:p w14:paraId="26BF43C9"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Core Plan;</w:t>
            </w:r>
          </w:p>
          <w:p w14:paraId="129841ED"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7625D4A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color w:val="000000" w:themeColor="text1"/>
                <w:sz w:val="20"/>
                <w:szCs w:val="20"/>
              </w:rPr>
              <w:t>995414261_2 </w:t>
            </w:r>
          </w:p>
          <w:p w14:paraId="245BBCF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Scattered Site - We are applying for 4% credits for two rehabilitation properties. One project is a RAD conversion and the other is a 202 building.  </w:t>
            </w:r>
          </w:p>
          <w:p w14:paraId="6E6C6541"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4F756A8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lastRenderedPageBreak/>
              <w:t>Per the Application Restrictions on p. 12 of the "Core" section, the scattered site is only eligible for consideration if proposing rehabilitation of properties funded by USDA, RAD Conversion, or pre-approved during Pre-Application process.  </w:t>
            </w:r>
          </w:p>
          <w:p w14:paraId="6685411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212007F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themeColor="text1"/>
                <w:sz w:val="20"/>
                <w:szCs w:val="20"/>
              </w:rPr>
              <w:t>Will these projects qualify here since one is a RAD Conversion, or is it disqualified because the 2nd property is not a RAD conversion? </w:t>
            </w:r>
          </w:p>
          <w:p w14:paraId="64DDA5E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26328AB4"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7BFFD18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The</w:t>
            </w:r>
            <w:r w:rsidRPr="00955AC1">
              <w:rPr>
                <w:rFonts w:ascii="Times New Roman" w:eastAsia="Times New Roman" w:hAnsi="Times New Roman" w:cs="Times New Roman"/>
                <w:i/>
                <w:sz w:val="20"/>
                <w:szCs w:val="20"/>
              </w:rPr>
              <w:t xml:space="preserve"> “…or approved during the Pre-Application process”</w:t>
            </w:r>
            <w:r w:rsidRPr="00955AC1">
              <w:rPr>
                <w:rFonts w:ascii="Times New Roman" w:eastAsia="Times New Roman" w:hAnsi="Times New Roman" w:cs="Times New Roman"/>
                <w:sz w:val="20"/>
                <w:szCs w:val="20"/>
              </w:rPr>
              <w:t xml:space="preserve"> language primarily is intended for when DCA accepts Pre-Applications prior to the competitive round for purposes of allowing special circumstances. Under the 2022 4%/Bonds Competitive Round, there is no DCA review of special circumstances prior to the competitive round.  </w:t>
            </w:r>
          </w:p>
          <w:p w14:paraId="201767A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3CF0C36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Scattered site applications are allowed under the 4%/Bonds Competitive Round, provided all requirements under </w:t>
            </w:r>
            <w:r w:rsidRPr="00955AC1">
              <w:rPr>
                <w:rFonts w:ascii="Times New Roman" w:eastAsia="Times New Roman" w:hAnsi="Times New Roman" w:cs="Times New Roman"/>
                <w:b/>
                <w:bCs/>
                <w:sz w:val="20"/>
                <w:szCs w:val="20"/>
              </w:rPr>
              <w:t>(Core Plan) Eligibility of Certain Project Configurations</w:t>
            </w:r>
            <w:r w:rsidRPr="00955AC1">
              <w:rPr>
                <w:rFonts w:ascii="Times New Roman" w:eastAsia="Times New Roman" w:hAnsi="Times New Roman" w:cs="Times New Roman"/>
                <w:sz w:val="20"/>
                <w:szCs w:val="20"/>
              </w:rPr>
              <w:t xml:space="preserve">, subsection </w:t>
            </w:r>
            <w:r w:rsidRPr="00955AC1">
              <w:rPr>
                <w:rFonts w:ascii="Times New Roman" w:eastAsia="Times New Roman" w:hAnsi="Times New Roman" w:cs="Times New Roman"/>
                <w:b/>
                <w:bCs/>
                <w:sz w:val="20"/>
                <w:szCs w:val="20"/>
              </w:rPr>
              <w:t>A. Eligibility of Scattered Sites</w:t>
            </w:r>
            <w:r w:rsidRPr="00955AC1">
              <w:rPr>
                <w:rFonts w:ascii="Times New Roman" w:eastAsia="Times New Roman" w:hAnsi="Times New Roman" w:cs="Times New Roman"/>
                <w:sz w:val="20"/>
                <w:szCs w:val="20"/>
              </w:rPr>
              <w:t xml:space="preserve"> are met. Further, as stated in this subsection, for purposes of requirements and points eligibility, </w:t>
            </w:r>
            <w:r w:rsidRPr="00955AC1">
              <w:rPr>
                <w:rFonts w:ascii="Times New Roman" w:eastAsia="Times New Roman" w:hAnsi="Times New Roman" w:cs="Times New Roman"/>
                <w:i/>
                <w:sz w:val="20"/>
                <w:szCs w:val="20"/>
              </w:rPr>
              <w:t>“Each site must meet all applicable Threshold and Scoring criteria.” </w:t>
            </w:r>
          </w:p>
          <w:p w14:paraId="7B84BCF9" w14:textId="77777777" w:rsidR="00390F34" w:rsidRPr="00955AC1" w:rsidRDefault="00390F34" w:rsidP="000F6D48">
            <w:pPr>
              <w:rPr>
                <w:rFonts w:ascii="Times New Roman" w:hAnsi="Times New Roman" w:cs="Times New Roman"/>
                <w:b/>
                <w:bCs/>
                <w:sz w:val="20"/>
                <w:szCs w:val="20"/>
              </w:rPr>
            </w:pPr>
          </w:p>
        </w:tc>
      </w:tr>
      <w:tr w:rsidR="00390F34" w:rsidRPr="00955AC1" w14:paraId="74143AC1"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2F789A4"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9/15/22</w:t>
            </w:r>
          </w:p>
        </w:tc>
        <w:tc>
          <w:tcPr>
            <w:tcW w:w="2663" w:type="dxa"/>
            <w:shd w:val="clear" w:color="auto" w:fill="auto"/>
            <w:tcMar>
              <w:top w:w="72" w:type="dxa"/>
              <w:left w:w="115" w:type="dxa"/>
              <w:bottom w:w="72" w:type="dxa"/>
              <w:right w:w="115" w:type="dxa"/>
            </w:tcMar>
            <w:vAlign w:val="center"/>
          </w:tcPr>
          <w:p w14:paraId="5D683018"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1.12</w:t>
            </w:r>
          </w:p>
          <w:p w14:paraId="0109E88E"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Core Plan;</w:t>
            </w:r>
          </w:p>
          <w:p w14:paraId="742B4F46"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Eligibility of Certain Project Configurations</w:t>
            </w:r>
          </w:p>
        </w:tc>
        <w:tc>
          <w:tcPr>
            <w:tcW w:w="9585" w:type="dxa"/>
            <w:shd w:val="clear" w:color="auto" w:fill="auto"/>
            <w:tcMar>
              <w:top w:w="72" w:type="dxa"/>
              <w:left w:w="115" w:type="dxa"/>
              <w:bottom w:w="72" w:type="dxa"/>
              <w:right w:w="115" w:type="dxa"/>
            </w:tcMar>
            <w:vAlign w:val="center"/>
          </w:tcPr>
          <w:p w14:paraId="3C8D1968" w14:textId="77777777" w:rsidR="00390F34" w:rsidRPr="00955AC1" w:rsidRDefault="00390F34" w:rsidP="000F6D48">
            <w:pPr>
              <w:contextualSpacing/>
              <w:rPr>
                <w:rFonts w:ascii="Times New Roman" w:hAnsi="Times New Roman" w:cs="Times New Roman"/>
                <w:b/>
                <w:bCs/>
                <w:sz w:val="20"/>
                <w:szCs w:val="20"/>
              </w:rPr>
            </w:pPr>
            <w:r w:rsidRPr="00955AC1">
              <w:rPr>
                <w:rFonts w:ascii="Times New Roman" w:hAnsi="Times New Roman" w:cs="Times New Roman"/>
                <w:b/>
                <w:bCs/>
                <w:sz w:val="20"/>
                <w:szCs w:val="20"/>
              </w:rPr>
              <w:t xml:space="preserve">Question ID: </w:t>
            </w:r>
            <w:r w:rsidRPr="00955AC1">
              <w:rPr>
                <w:rFonts w:ascii="Times New Roman" w:hAnsi="Times New Roman" w:cs="Times New Roman"/>
                <w:sz w:val="20"/>
                <w:szCs w:val="20"/>
              </w:rPr>
              <w:t>995841793 </w:t>
            </w:r>
          </w:p>
          <w:p w14:paraId="0C147C3B" w14:textId="77777777" w:rsidR="00390F34" w:rsidRPr="00955AC1" w:rsidRDefault="00390F34" w:rsidP="000F6D48">
            <w:pPr>
              <w:rPr>
                <w:rFonts w:ascii="Times New Roman" w:hAnsi="Times New Roman" w:cs="Times New Roman"/>
                <w:sz w:val="20"/>
                <w:szCs w:val="20"/>
              </w:rPr>
            </w:pPr>
            <w:r w:rsidRPr="00955AC1">
              <w:rPr>
                <w:rStyle w:val="normaltextrun"/>
                <w:rFonts w:ascii="Times New Roman" w:hAnsi="Times New Roman" w:cs="Times New Roman"/>
                <w:color w:val="000000"/>
                <w:sz w:val="20"/>
                <w:szCs w:val="20"/>
              </w:rPr>
              <w:t xml:space="preserve">When submitting a scattered site project, should each project have a separate Excel Core </w:t>
            </w:r>
            <w:r w:rsidRPr="00955AC1">
              <w:rPr>
                <w:rStyle w:val="contextualspellingandgrammarerror"/>
                <w:rFonts w:ascii="Times New Roman" w:hAnsi="Times New Roman" w:cs="Times New Roman"/>
                <w:color w:val="000000"/>
                <w:sz w:val="20"/>
                <w:szCs w:val="20"/>
              </w:rPr>
              <w:t>Application</w:t>
            </w:r>
            <w:r w:rsidRPr="00955AC1">
              <w:rPr>
                <w:rStyle w:val="normaltextrun"/>
                <w:rFonts w:ascii="Times New Roman" w:hAnsi="Times New Roman" w:cs="Times New Roman"/>
                <w:color w:val="000000"/>
                <w:sz w:val="20"/>
                <w:szCs w:val="20"/>
              </w:rPr>
              <w:t xml:space="preserve"> or should they be combined in one?</w:t>
            </w:r>
            <w:r w:rsidRPr="00955AC1">
              <w:rPr>
                <w:rStyle w:val="eop"/>
                <w:rFonts w:ascii="Times New Roman" w:hAnsi="Times New Roman" w:cs="Times New Roman"/>
                <w:color w:val="000000"/>
                <w:sz w:val="20"/>
                <w:szCs w:val="20"/>
              </w:rPr>
              <w:t> </w:t>
            </w:r>
          </w:p>
          <w:p w14:paraId="08EEA7EC" w14:textId="77777777" w:rsidR="00390F34" w:rsidRPr="00955AC1" w:rsidRDefault="00390F34" w:rsidP="000F6D48">
            <w:pPr>
              <w:rPr>
                <w:rFonts w:ascii="Times New Roman" w:hAnsi="Times New Roman" w:cs="Times New Roman"/>
                <w:sz w:val="20"/>
                <w:szCs w:val="20"/>
              </w:rPr>
            </w:pPr>
            <w:r w:rsidRPr="00955AC1">
              <w:rPr>
                <w:rStyle w:val="eop"/>
                <w:rFonts w:ascii="Times New Roman" w:hAnsi="Times New Roman" w:cs="Times New Roman"/>
                <w:color w:val="000000"/>
                <w:sz w:val="20"/>
                <w:szCs w:val="20"/>
              </w:rPr>
              <w:t> </w:t>
            </w:r>
          </w:p>
          <w:p w14:paraId="46ACBCF6"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Answer</w:t>
            </w:r>
            <w:r w:rsidRPr="00955AC1">
              <w:rPr>
                <w:rFonts w:ascii="Times New Roman" w:hAnsi="Times New Roman" w:cs="Times New Roman"/>
                <w:sz w:val="20"/>
                <w:szCs w:val="20"/>
              </w:rPr>
              <w:t>:  </w:t>
            </w:r>
          </w:p>
          <w:p w14:paraId="6BD9F3FE" w14:textId="77777777" w:rsidR="00390F34" w:rsidRPr="00955AC1" w:rsidRDefault="00390F34" w:rsidP="000F6D48">
            <w:pPr>
              <w:rPr>
                <w:rFonts w:ascii="Times New Roman" w:hAnsi="Times New Roman" w:cs="Times New Roman"/>
                <w:sz w:val="20"/>
                <w:szCs w:val="20"/>
              </w:rPr>
            </w:pPr>
            <w:r w:rsidRPr="00955AC1">
              <w:rPr>
                <w:rStyle w:val="normaltextrun"/>
                <w:rFonts w:ascii="Times New Roman" w:hAnsi="Times New Roman" w:cs="Times New Roman"/>
                <w:sz w:val="20"/>
                <w:szCs w:val="20"/>
              </w:rPr>
              <w:t>Scattered site developments should utilize only one Excel Core Application. </w:t>
            </w:r>
          </w:p>
          <w:p w14:paraId="2372542E" w14:textId="77777777" w:rsidR="00390F34" w:rsidRPr="00955AC1" w:rsidRDefault="00390F34" w:rsidP="000F6D48">
            <w:pPr>
              <w:rPr>
                <w:rStyle w:val="normaltextrun"/>
                <w:rFonts w:ascii="Times New Roman" w:hAnsi="Times New Roman" w:cs="Times New Roman"/>
                <w:sz w:val="20"/>
                <w:szCs w:val="20"/>
              </w:rPr>
            </w:pPr>
          </w:p>
        </w:tc>
      </w:tr>
      <w:tr w:rsidR="00390F34" w:rsidRPr="00955AC1" w14:paraId="0534E672"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71EFA58"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0A76E21B"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2.02</w:t>
            </w:r>
          </w:p>
          <w:p w14:paraId="0DCCDB03"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Threshold Criteria;</w:t>
            </w:r>
          </w:p>
          <w:p w14:paraId="06FAB438"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5AE08FAD" w14:textId="77777777" w:rsidR="00390F34" w:rsidRPr="00955AC1" w:rsidRDefault="00390F34" w:rsidP="000F6D48">
            <w:pPr>
              <w:pStyle w:val="paragraph"/>
              <w:spacing w:before="0" w:beforeAutospacing="0" w:after="0" w:afterAutospacing="0"/>
              <w:textAlignment w:val="baseline"/>
              <w:rPr>
                <w:sz w:val="20"/>
                <w:szCs w:val="20"/>
              </w:rPr>
            </w:pPr>
            <w:r w:rsidRPr="00955AC1">
              <w:rPr>
                <w:b/>
                <w:bCs/>
                <w:sz w:val="20"/>
                <w:szCs w:val="20"/>
              </w:rPr>
              <w:t xml:space="preserve">Question ID: </w:t>
            </w:r>
            <w:r w:rsidRPr="00955AC1">
              <w:rPr>
                <w:sz w:val="20"/>
                <w:szCs w:val="20"/>
              </w:rPr>
              <w:t>999018344</w:t>
            </w:r>
            <w:r w:rsidRPr="00955AC1">
              <w:rPr>
                <w:rStyle w:val="scxw202753128"/>
                <w:rFonts w:eastAsiaTheme="majorEastAsia"/>
                <w:color w:val="000000" w:themeColor="text1"/>
                <w:sz w:val="20"/>
                <w:szCs w:val="20"/>
              </w:rPr>
              <w:t> </w:t>
            </w:r>
            <w:r w:rsidRPr="00955AC1">
              <w:br/>
            </w:r>
            <w:r w:rsidRPr="00955AC1">
              <w:rPr>
                <w:rStyle w:val="normaltextrun"/>
                <w:color w:val="000000" w:themeColor="text1"/>
                <w:sz w:val="20"/>
                <w:szCs w:val="20"/>
              </w:rPr>
              <w:t>Will the Core Application that is due with the Competitive Review proposal in October require a full development budget and operating pro forma completed in accordance with GHFA's underwriting parameters? </w:t>
            </w:r>
            <w:r w:rsidRPr="00955AC1">
              <w:rPr>
                <w:rStyle w:val="eop"/>
                <w:rFonts w:eastAsiaTheme="majorEastAsia"/>
                <w:color w:val="000000" w:themeColor="text1"/>
                <w:sz w:val="20"/>
                <w:szCs w:val="20"/>
              </w:rPr>
              <w:t> </w:t>
            </w:r>
          </w:p>
          <w:p w14:paraId="73F4B6B0"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rFonts w:eastAsiaTheme="majorEastAsia"/>
                <w:color w:val="000000"/>
                <w:sz w:val="20"/>
                <w:szCs w:val="20"/>
              </w:rPr>
              <w:t> </w:t>
            </w:r>
          </w:p>
          <w:p w14:paraId="0E116BC9"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color w:val="000000"/>
                <w:sz w:val="20"/>
                <w:szCs w:val="20"/>
              </w:rPr>
              <w:t>If so, to what degree will GHFA allow changes to the numbers from one stage (Competitive Review) to another (Full Application), understanding that in the best of circumstances, there will be a lag of at least six to eight months, which in the current economic environment could see quite a bit of change - for good or bad?</w:t>
            </w:r>
            <w:r w:rsidRPr="00955AC1">
              <w:rPr>
                <w:rStyle w:val="scxw202753128"/>
                <w:rFonts w:eastAsiaTheme="majorEastAsia"/>
                <w:color w:val="000000"/>
                <w:sz w:val="20"/>
                <w:szCs w:val="20"/>
              </w:rPr>
              <w:t> </w:t>
            </w:r>
            <w:r w:rsidRPr="00955AC1">
              <w:rPr>
                <w:color w:val="000000"/>
                <w:sz w:val="20"/>
                <w:szCs w:val="20"/>
              </w:rPr>
              <w:br/>
            </w:r>
            <w:r w:rsidRPr="00955AC1">
              <w:rPr>
                <w:rStyle w:val="eop"/>
                <w:rFonts w:eastAsiaTheme="majorEastAsia"/>
                <w:color w:val="000000"/>
                <w:sz w:val="20"/>
                <w:szCs w:val="20"/>
              </w:rPr>
              <w:t> </w:t>
            </w:r>
          </w:p>
          <w:p w14:paraId="4D60BC96" w14:textId="77777777" w:rsidR="00390F34" w:rsidRPr="00955AC1" w:rsidRDefault="00390F34" w:rsidP="000F6D48">
            <w:pPr>
              <w:rPr>
                <w:rFonts w:ascii="Times New Roman" w:hAnsi="Times New Roman" w:cs="Times New Roman"/>
                <w:b/>
                <w:bCs/>
                <w:sz w:val="20"/>
                <w:szCs w:val="20"/>
              </w:rPr>
            </w:pPr>
            <w:r w:rsidRPr="00955AC1">
              <w:rPr>
                <w:rFonts w:ascii="Times New Roman" w:hAnsi="Times New Roman" w:cs="Times New Roman"/>
                <w:b/>
                <w:bCs/>
                <w:sz w:val="20"/>
                <w:szCs w:val="20"/>
              </w:rPr>
              <w:t>Answer:  </w:t>
            </w:r>
          </w:p>
          <w:p w14:paraId="132F93AC"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For the first question: DCA understands that the development budget estimates will need to be updated between the Competitive Review Submission and the Full Application. </w:t>
            </w:r>
            <w:r w:rsidRPr="00955AC1">
              <w:rPr>
                <w:rStyle w:val="advancedproofingissue"/>
                <w:sz w:val="20"/>
                <w:szCs w:val="20"/>
              </w:rPr>
              <w:t>This is why</w:t>
            </w:r>
            <w:r w:rsidRPr="00955AC1">
              <w:rPr>
                <w:rStyle w:val="normaltextrun"/>
                <w:sz w:val="20"/>
                <w:szCs w:val="20"/>
              </w:rPr>
              <w:t xml:space="preserve">, per </w:t>
            </w:r>
            <w:r w:rsidRPr="00955AC1">
              <w:rPr>
                <w:rStyle w:val="normaltextrun"/>
                <w:b/>
                <w:bCs/>
                <w:sz w:val="20"/>
                <w:szCs w:val="20"/>
              </w:rPr>
              <w:t xml:space="preserve">(Threshold Criteria) Applicability of </w:t>
            </w:r>
            <w:r w:rsidRPr="00955AC1">
              <w:rPr>
                <w:rStyle w:val="normaltextrun"/>
                <w:b/>
                <w:bCs/>
                <w:sz w:val="20"/>
                <w:szCs w:val="20"/>
              </w:rPr>
              <w:lastRenderedPageBreak/>
              <w:t>Threshold Criteria</w:t>
            </w:r>
            <w:r w:rsidRPr="00955AC1">
              <w:rPr>
                <w:rStyle w:val="normaltextrun"/>
                <w:sz w:val="20"/>
                <w:szCs w:val="20"/>
              </w:rPr>
              <w:t xml:space="preserve">, applicants will not be strictly held to the standards of </w:t>
            </w:r>
            <w:r w:rsidRPr="00955AC1">
              <w:rPr>
                <w:rStyle w:val="normaltextrun"/>
                <w:b/>
                <w:bCs/>
                <w:sz w:val="20"/>
                <w:szCs w:val="20"/>
              </w:rPr>
              <w:t xml:space="preserve">Project Feasibility </w:t>
            </w:r>
            <w:r w:rsidRPr="00955AC1">
              <w:rPr>
                <w:rStyle w:val="normaltextrun"/>
                <w:sz w:val="20"/>
                <w:szCs w:val="20"/>
              </w:rPr>
              <w:t>at the time of the Competitive Review Submission.</w:t>
            </w:r>
            <w:r w:rsidRPr="00955AC1">
              <w:rPr>
                <w:rStyle w:val="eop"/>
                <w:rFonts w:eastAsiaTheme="majorEastAsia"/>
                <w:sz w:val="20"/>
                <w:szCs w:val="20"/>
              </w:rPr>
              <w:t> </w:t>
            </w:r>
          </w:p>
          <w:p w14:paraId="2340E469"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rFonts w:eastAsiaTheme="majorEastAsia"/>
                <w:sz w:val="20"/>
                <w:szCs w:val="20"/>
              </w:rPr>
              <w:t> </w:t>
            </w:r>
          </w:p>
          <w:p w14:paraId="0B874918"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If selected under 2022 4%/Bonds Round, the applicant will be required to pass all </w:t>
            </w:r>
            <w:r w:rsidRPr="00955AC1">
              <w:rPr>
                <w:rStyle w:val="normaltextrun"/>
                <w:b/>
                <w:bCs/>
                <w:sz w:val="20"/>
                <w:szCs w:val="20"/>
              </w:rPr>
              <w:t>Project Feasibility</w:t>
            </w:r>
            <w:r w:rsidRPr="00955AC1">
              <w:rPr>
                <w:rStyle w:val="normaltextrun"/>
                <w:sz w:val="20"/>
                <w:szCs w:val="20"/>
              </w:rPr>
              <w:t xml:space="preserve"> requirements as part of the Full Application submission. </w:t>
            </w:r>
            <w:r w:rsidRPr="00955AC1">
              <w:rPr>
                <w:rStyle w:val="eop"/>
                <w:rFonts w:eastAsiaTheme="majorEastAsia"/>
                <w:sz w:val="20"/>
                <w:szCs w:val="20"/>
              </w:rPr>
              <w:t> </w:t>
            </w:r>
          </w:p>
          <w:p w14:paraId="600BD2FE"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rFonts w:eastAsiaTheme="majorEastAsia"/>
                <w:sz w:val="20"/>
                <w:szCs w:val="20"/>
              </w:rPr>
              <w:t> </w:t>
            </w:r>
          </w:p>
          <w:p w14:paraId="40AA39BB"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However, applicants should not expect to be able to increase the bonds requested, as tax-exempt bonds are, for the time being, a scarce resource. Filling out the development budget and pro forma at the Competitive Review stage is to ensure DCA underwriters have information to work with in assessing whether the estimates and assumptions underlying the bonds request are reasonable and realistic. </w:t>
            </w:r>
            <w:r w:rsidRPr="00955AC1">
              <w:rPr>
                <w:rStyle w:val="eop"/>
                <w:rFonts w:eastAsiaTheme="majorEastAsia"/>
                <w:sz w:val="20"/>
                <w:szCs w:val="20"/>
              </w:rPr>
              <w:t> </w:t>
            </w:r>
          </w:p>
          <w:p w14:paraId="5D75A482" w14:textId="77777777" w:rsidR="00390F34" w:rsidRPr="00955AC1" w:rsidRDefault="00390F34" w:rsidP="000F6D48">
            <w:pPr>
              <w:pStyle w:val="paragraph"/>
              <w:spacing w:before="0" w:beforeAutospacing="0" w:after="0" w:afterAutospacing="0"/>
              <w:textAlignment w:val="baseline"/>
              <w:rPr>
                <w:rStyle w:val="eop"/>
              </w:rPr>
            </w:pPr>
          </w:p>
        </w:tc>
      </w:tr>
      <w:tr w:rsidR="00390F34" w:rsidRPr="00955AC1" w14:paraId="302B780A"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979675F"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9/15/22</w:t>
            </w:r>
          </w:p>
        </w:tc>
        <w:tc>
          <w:tcPr>
            <w:tcW w:w="2663" w:type="dxa"/>
            <w:shd w:val="clear" w:color="auto" w:fill="auto"/>
            <w:tcMar>
              <w:top w:w="72" w:type="dxa"/>
              <w:left w:w="115" w:type="dxa"/>
              <w:bottom w:w="72" w:type="dxa"/>
              <w:right w:w="115" w:type="dxa"/>
            </w:tcMar>
            <w:vAlign w:val="center"/>
          </w:tcPr>
          <w:p w14:paraId="217F9E0D"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2.07</w:t>
            </w:r>
          </w:p>
          <w:p w14:paraId="37DF19D6"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Threshold;</w:t>
            </w:r>
          </w:p>
          <w:p w14:paraId="04EEFAAA"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Environmental Requirements</w:t>
            </w:r>
          </w:p>
        </w:tc>
        <w:tc>
          <w:tcPr>
            <w:tcW w:w="9585" w:type="dxa"/>
            <w:shd w:val="clear" w:color="auto" w:fill="auto"/>
            <w:tcMar>
              <w:top w:w="72" w:type="dxa"/>
              <w:left w:w="115" w:type="dxa"/>
              <w:bottom w:w="72" w:type="dxa"/>
              <w:right w:w="115" w:type="dxa"/>
            </w:tcMar>
            <w:vAlign w:val="center"/>
          </w:tcPr>
          <w:p w14:paraId="5F131004"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sz w:val="20"/>
                <w:szCs w:val="20"/>
              </w:rPr>
              <w:t>1006350748 </w:t>
            </w:r>
            <w:r w:rsidRPr="00955AC1">
              <w:br/>
            </w:r>
            <w:r w:rsidRPr="00955AC1">
              <w:rPr>
                <w:rFonts w:ascii="Times New Roman" w:eastAsia="Times New Roman" w:hAnsi="Times New Roman" w:cs="Times New Roman"/>
                <w:color w:val="000000" w:themeColor="text1"/>
                <w:sz w:val="20"/>
                <w:szCs w:val="20"/>
              </w:rPr>
              <w:t>We are preparing our 4% Competitive Review Submission.  </w:t>
            </w:r>
          </w:p>
          <w:p w14:paraId="795A557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198EE67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We understand that certain environmental reports are required by the 10/14/2022 deadline, but we are not clear whether a complete Asbestos, Lead, and Radon Report are required at that time, or whether providing evidence that they have been engaged and are underway would be sufficient.  </w:t>
            </w:r>
          </w:p>
          <w:p w14:paraId="1A2D454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55C7253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We would be able to submit the Phase I ESA, Noise Study, 50-Year Chain of Title, and Lien Search requirements by the 10/14/2022 deadline.  But the timing to obtain an Asbestos, Lead, and Radon Report is 60 days out, so we would have those separate reports shortly after the 10/14/2022 deadline.   </w:t>
            </w:r>
          </w:p>
          <w:p w14:paraId="53EB447C"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03AF27E9"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719AC778" w14:textId="77777777" w:rsidR="00390F34" w:rsidRPr="00955AC1" w:rsidRDefault="00390F34" w:rsidP="000F6D48">
            <w:pPr>
              <w:textAlignment w:val="baseline"/>
              <w:rPr>
                <w:rFonts w:ascii="Times New Roman" w:eastAsia="Times New Roman" w:hAnsi="Times New Roman" w:cs="Times New Roman"/>
                <w:color w:val="333333"/>
                <w:sz w:val="20"/>
                <w:szCs w:val="20"/>
              </w:rPr>
            </w:pPr>
            <w:r w:rsidRPr="00955AC1">
              <w:rPr>
                <w:rFonts w:ascii="Times New Roman" w:eastAsia="Times New Roman" w:hAnsi="Times New Roman" w:cs="Times New Roman"/>
                <w:color w:val="333333"/>
                <w:sz w:val="20"/>
                <w:szCs w:val="20"/>
              </w:rPr>
              <w:t>According to the DCA Environmental Review Manual, the asbestos survey, lead inspection and radon report are required to be included in Phase I ESA at the time of application. Providing only evidence that these reports have been engaged and are underway would not be sufficient and would be considered an incomplete environmental report for the application.  </w:t>
            </w:r>
          </w:p>
          <w:p w14:paraId="59E33EC7" w14:textId="77777777" w:rsidR="00390F34" w:rsidRPr="00955AC1" w:rsidRDefault="00390F34" w:rsidP="000F6D48">
            <w:pPr>
              <w:textAlignment w:val="baseline"/>
              <w:rPr>
                <w:rFonts w:ascii="Times New Roman" w:eastAsia="Times New Roman" w:hAnsi="Times New Roman" w:cs="Times New Roman"/>
                <w:sz w:val="20"/>
                <w:szCs w:val="20"/>
              </w:rPr>
            </w:pPr>
          </w:p>
          <w:p w14:paraId="7DEC3F9E" w14:textId="77777777" w:rsidR="00390F34" w:rsidRPr="00955AC1" w:rsidRDefault="00390F34" w:rsidP="000F6D48">
            <w:pPr>
              <w:textAlignment w:val="baseline"/>
              <w:rPr>
                <w:rFonts w:ascii="Segoe UI" w:eastAsia="Times New Roman" w:hAnsi="Segoe UI" w:cs="Segoe UI"/>
                <w:sz w:val="18"/>
                <w:szCs w:val="18"/>
              </w:rPr>
            </w:pPr>
            <w:r w:rsidRPr="00955AC1">
              <w:rPr>
                <w:rFonts w:ascii="Times New Roman" w:eastAsia="Times New Roman" w:hAnsi="Times New Roman" w:cs="Times New Roman"/>
                <w:color w:val="333333"/>
                <w:sz w:val="20"/>
                <w:szCs w:val="20"/>
              </w:rPr>
              <w:t xml:space="preserve">For more information on “incomplete document” penalties, please review </w:t>
            </w:r>
            <w:r w:rsidRPr="00955AC1">
              <w:rPr>
                <w:rFonts w:ascii="Times New Roman" w:eastAsia="Times New Roman" w:hAnsi="Times New Roman" w:cs="Times New Roman"/>
                <w:b/>
                <w:bCs/>
                <w:color w:val="333333"/>
                <w:sz w:val="20"/>
                <w:szCs w:val="20"/>
              </w:rPr>
              <w:t>(Scoring Criteria) Application Completeness</w:t>
            </w:r>
            <w:r w:rsidRPr="00955AC1">
              <w:rPr>
                <w:rFonts w:ascii="Times New Roman" w:eastAsia="Times New Roman" w:hAnsi="Times New Roman" w:cs="Times New Roman"/>
                <w:color w:val="333333"/>
                <w:sz w:val="20"/>
                <w:szCs w:val="20"/>
              </w:rPr>
              <w:t>.</w:t>
            </w:r>
            <w:r w:rsidRPr="00955AC1">
              <w:rPr>
                <w:rFonts w:ascii="Calibri" w:eastAsia="Times New Roman" w:hAnsi="Calibri" w:cs="Calibri"/>
                <w:color w:val="333333"/>
              </w:rPr>
              <w:t>  </w:t>
            </w:r>
          </w:p>
          <w:p w14:paraId="6B517CBE" w14:textId="77777777" w:rsidR="00390F34" w:rsidRPr="00955AC1" w:rsidRDefault="00390F34" w:rsidP="000F6D48">
            <w:pPr>
              <w:textAlignment w:val="baseline"/>
              <w:rPr>
                <w:rFonts w:ascii="Times New Roman" w:eastAsia="Times New Roman" w:hAnsi="Times New Roman" w:cs="Times New Roman"/>
                <w:b/>
                <w:bCs/>
                <w:sz w:val="20"/>
                <w:szCs w:val="20"/>
              </w:rPr>
            </w:pPr>
          </w:p>
        </w:tc>
      </w:tr>
      <w:tr w:rsidR="00390F34" w:rsidRPr="00955AC1" w14:paraId="16080CD6"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EA8EA95"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013C0C88"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2.20</w:t>
            </w:r>
          </w:p>
          <w:p w14:paraId="77B96BEF"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Threshold;</w:t>
            </w:r>
          </w:p>
          <w:p w14:paraId="1F6EA850"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Experience, Capacity, and Performance Requirements</w:t>
            </w:r>
          </w:p>
        </w:tc>
        <w:tc>
          <w:tcPr>
            <w:tcW w:w="9585" w:type="dxa"/>
            <w:shd w:val="clear" w:color="auto" w:fill="auto"/>
            <w:tcMar>
              <w:top w:w="72" w:type="dxa"/>
              <w:left w:w="115" w:type="dxa"/>
              <w:bottom w:w="72" w:type="dxa"/>
              <w:right w:w="115" w:type="dxa"/>
            </w:tcMar>
            <w:vAlign w:val="center"/>
          </w:tcPr>
          <w:p w14:paraId="733BC712" w14:textId="77777777" w:rsidR="00390F34" w:rsidRPr="00955AC1" w:rsidRDefault="00390F34" w:rsidP="000F6D48">
            <w:pPr>
              <w:textAlignment w:val="baseline"/>
              <w:rPr>
                <w:rFonts w:ascii="Times New Roman" w:eastAsia="Times New Roman" w:hAnsi="Times New Roman" w:cs="Times New Roman"/>
                <w:b/>
                <w:bCs/>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color w:val="000000" w:themeColor="text1"/>
                <w:sz w:val="20"/>
                <w:szCs w:val="20"/>
              </w:rPr>
              <w:t>998963315_2 </w:t>
            </w:r>
          </w:p>
          <w:p w14:paraId="5750FEB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Since there is no pre-application for the 4% credits, do we need a Qualified Determination from DCA? </w:t>
            </w:r>
          </w:p>
          <w:p w14:paraId="59489203"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50166DA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themeColor="text1"/>
                <w:sz w:val="20"/>
                <w:szCs w:val="20"/>
              </w:rPr>
              <w:lastRenderedPageBreak/>
              <w:t>One of our projects received a Qualified Determination from DCA when submitting for 9% applications. For the 4% round, we are submitting a separate application for a different property. Both teams are the same except the borrower entity is a single purpose entity, therefore different for the projects.  </w:t>
            </w:r>
          </w:p>
          <w:p w14:paraId="0778B2F3"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themeColor="text1"/>
                <w:sz w:val="20"/>
                <w:szCs w:val="20"/>
              </w:rPr>
              <w:t> </w:t>
            </w:r>
          </w:p>
          <w:p w14:paraId="3C75D89D"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We will be using the Qualified Determination from DCA for the first project. Are we approaching this correctly? </w:t>
            </w:r>
            <w:r w:rsidRPr="00955AC1">
              <w:rPr>
                <w:rFonts w:ascii="Times New Roman" w:eastAsia="Times New Roman" w:hAnsi="Times New Roman" w:cs="Times New Roman"/>
                <w:color w:val="000000"/>
                <w:sz w:val="20"/>
                <w:szCs w:val="20"/>
              </w:rPr>
              <w:br/>
              <w:t> </w:t>
            </w:r>
          </w:p>
          <w:p w14:paraId="1003CBB1"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7CA9F1C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The Competitive Review Submission due October 14</w:t>
            </w:r>
            <w:r w:rsidRPr="00955AC1">
              <w:rPr>
                <w:rFonts w:ascii="Times New Roman" w:eastAsia="Times New Roman" w:hAnsi="Times New Roman" w:cs="Times New Roman"/>
                <w:sz w:val="20"/>
                <w:szCs w:val="20"/>
                <w:vertAlign w:val="superscript"/>
              </w:rPr>
              <w:t>th</w:t>
            </w:r>
            <w:r w:rsidRPr="00955AC1">
              <w:rPr>
                <w:rFonts w:ascii="Times New Roman" w:eastAsia="Times New Roman" w:hAnsi="Times New Roman" w:cs="Times New Roman"/>
                <w:sz w:val="20"/>
                <w:szCs w:val="20"/>
              </w:rPr>
              <w:t xml:space="preserve"> must include documentation to meet all requirements for </w:t>
            </w:r>
            <w:r w:rsidRPr="00955AC1">
              <w:rPr>
                <w:rFonts w:ascii="Times New Roman" w:eastAsia="Times New Roman" w:hAnsi="Times New Roman" w:cs="Times New Roman"/>
                <w:b/>
                <w:bCs/>
                <w:sz w:val="20"/>
                <w:szCs w:val="20"/>
              </w:rPr>
              <w:t>(Threshold Criteria) Experience, Capacity, and Performance Requirements for General Partners and Developer Entities</w:t>
            </w:r>
            <w:r w:rsidRPr="00955AC1">
              <w:rPr>
                <w:rFonts w:ascii="Times New Roman" w:eastAsia="Times New Roman" w:hAnsi="Times New Roman" w:cs="Times New Roman"/>
                <w:sz w:val="20"/>
                <w:szCs w:val="20"/>
              </w:rPr>
              <w:t>.</w:t>
            </w:r>
            <w:r w:rsidRPr="00955AC1">
              <w:rPr>
                <w:rFonts w:ascii="Times New Roman" w:eastAsia="Times New Roman" w:hAnsi="Times New Roman" w:cs="Times New Roman"/>
                <w:b/>
                <w:bCs/>
                <w:sz w:val="20"/>
                <w:szCs w:val="20"/>
              </w:rPr>
              <w:t xml:space="preserve"> </w:t>
            </w:r>
            <w:r w:rsidRPr="00955AC1">
              <w:rPr>
                <w:rFonts w:ascii="Times New Roman" w:eastAsia="Times New Roman" w:hAnsi="Times New Roman" w:cs="Times New Roman"/>
                <w:sz w:val="20"/>
                <w:szCs w:val="20"/>
              </w:rPr>
              <w:t>You do need a qualification determination from DCA for purposes of the 2022 4%/Bonds Competitive Round. Please review “Required Documents” in the Competitive Round Announcement (</w:t>
            </w:r>
            <w:hyperlink r:id="rId21" w:tgtFrame="_blank" w:history="1">
              <w:r w:rsidRPr="00955AC1">
                <w:rPr>
                  <w:rFonts w:ascii="Times New Roman" w:eastAsia="Times New Roman" w:hAnsi="Times New Roman" w:cs="Times New Roman"/>
                  <w:color w:val="0563C1"/>
                  <w:sz w:val="20"/>
                  <w:szCs w:val="20"/>
                  <w:u w:val="single"/>
                </w:rPr>
                <w:t>click here</w:t>
              </w:r>
            </w:hyperlink>
            <w:r w:rsidRPr="00955AC1">
              <w:rPr>
                <w:rFonts w:ascii="Times New Roman" w:eastAsia="Times New Roman" w:hAnsi="Times New Roman" w:cs="Times New Roman"/>
                <w:sz w:val="20"/>
                <w:szCs w:val="20"/>
              </w:rPr>
              <w:t>).   </w:t>
            </w:r>
          </w:p>
          <w:p w14:paraId="1EAE67F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23D8545D"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For the second question: subsection </w:t>
            </w:r>
            <w:r w:rsidRPr="00955AC1">
              <w:rPr>
                <w:rFonts w:ascii="Times New Roman" w:eastAsia="Times New Roman" w:hAnsi="Times New Roman" w:cs="Times New Roman"/>
                <w:b/>
                <w:bCs/>
                <w:sz w:val="20"/>
                <w:szCs w:val="20"/>
              </w:rPr>
              <w:t>B. Requirements for Capacity</w:t>
            </w:r>
            <w:r w:rsidRPr="00955AC1">
              <w:rPr>
                <w:rFonts w:ascii="Times New Roman" w:eastAsia="Times New Roman" w:hAnsi="Times New Roman" w:cs="Times New Roman"/>
                <w:sz w:val="20"/>
                <w:szCs w:val="20"/>
              </w:rPr>
              <w:t xml:space="preserve"> is project specific. This section states that capacity is assessed by looking at the applicant’s track record regarding “similar developments considering size, complexity and scope.”  </w:t>
            </w:r>
          </w:p>
          <w:p w14:paraId="3D294C80"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7468A6BC" w14:textId="77777777" w:rsidR="00390F34" w:rsidRPr="00955AC1" w:rsidRDefault="00390F34" w:rsidP="000F6D48">
            <w:pPr>
              <w:textAlignment w:val="baseline"/>
              <w:rPr>
                <w:rFonts w:ascii="Segoe UI" w:eastAsia="Times New Roman" w:hAnsi="Segoe UI" w:cs="Segoe UI"/>
                <w:sz w:val="18"/>
                <w:szCs w:val="18"/>
              </w:rPr>
            </w:pPr>
            <w:r w:rsidRPr="00955AC1">
              <w:rPr>
                <w:rFonts w:ascii="Times New Roman" w:eastAsia="Times New Roman" w:hAnsi="Times New Roman" w:cs="Times New Roman"/>
                <w:sz w:val="20"/>
                <w:szCs w:val="20"/>
              </w:rPr>
              <w:t xml:space="preserve">Assuming that the size, complexity, or scope varies between the two developments (e.g., the unit count for the 4%/Bonds Round application will be larger than what was approved for the 9% application), then please re-submit all documentation, include the QD letter received from DCA for purposes of the 2022 9% Round, and for purposes of the 4%/Bonds Round DCA will conduct the subsection </w:t>
            </w:r>
            <w:r w:rsidRPr="00955AC1">
              <w:rPr>
                <w:rFonts w:ascii="Times New Roman" w:eastAsia="Times New Roman" w:hAnsi="Times New Roman" w:cs="Times New Roman"/>
                <w:b/>
                <w:bCs/>
                <w:sz w:val="20"/>
                <w:szCs w:val="20"/>
              </w:rPr>
              <w:t xml:space="preserve">B. Requirements for Capacity </w:t>
            </w:r>
            <w:r w:rsidRPr="00955AC1">
              <w:rPr>
                <w:rFonts w:ascii="Times New Roman" w:eastAsia="Times New Roman" w:hAnsi="Times New Roman" w:cs="Times New Roman"/>
                <w:sz w:val="20"/>
                <w:szCs w:val="20"/>
              </w:rPr>
              <w:t>review.</w:t>
            </w:r>
            <w:r w:rsidRPr="00955AC1">
              <w:rPr>
                <w:rFonts w:ascii="Calibri" w:eastAsia="Times New Roman" w:hAnsi="Calibri" w:cs="Calibri"/>
              </w:rPr>
              <w:t xml:space="preserve">  </w:t>
            </w:r>
          </w:p>
          <w:p w14:paraId="6DD16B23" w14:textId="77777777" w:rsidR="00390F34" w:rsidRPr="00955AC1" w:rsidRDefault="00390F34" w:rsidP="000F6D48">
            <w:pPr>
              <w:textAlignment w:val="baseline"/>
              <w:rPr>
                <w:rFonts w:ascii="Calibri" w:eastAsia="Times New Roman" w:hAnsi="Calibri" w:cs="Calibri"/>
              </w:rPr>
            </w:pPr>
          </w:p>
        </w:tc>
      </w:tr>
      <w:tr w:rsidR="00390F34" w:rsidRPr="00955AC1" w14:paraId="07169170"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DE12F9B"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9/15/22</w:t>
            </w:r>
          </w:p>
        </w:tc>
        <w:tc>
          <w:tcPr>
            <w:tcW w:w="2663" w:type="dxa"/>
            <w:shd w:val="clear" w:color="auto" w:fill="auto"/>
            <w:tcMar>
              <w:top w:w="72" w:type="dxa"/>
              <w:left w:w="115" w:type="dxa"/>
              <w:bottom w:w="72" w:type="dxa"/>
              <w:right w:w="115" w:type="dxa"/>
            </w:tcMar>
            <w:vAlign w:val="center"/>
          </w:tcPr>
          <w:p w14:paraId="52EC1A2F"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3.02</w:t>
            </w:r>
          </w:p>
          <w:p w14:paraId="46B564DA"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Scoring Criteria;</w:t>
            </w:r>
          </w:p>
          <w:p w14:paraId="37EAC8A0"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451F7C44" w14:textId="77777777" w:rsidR="00390F34" w:rsidRPr="00955AC1" w:rsidRDefault="00390F34" w:rsidP="000F6D48">
            <w:pPr>
              <w:contextualSpacing/>
              <w:rPr>
                <w:rFonts w:ascii="Times New Roman" w:eastAsia="Calibri" w:hAnsi="Times New Roman" w:cs="Times New Roman"/>
                <w:color w:val="000000" w:themeColor="text1"/>
                <w:sz w:val="20"/>
                <w:szCs w:val="20"/>
              </w:rPr>
            </w:pPr>
            <w:r w:rsidRPr="00955AC1">
              <w:rPr>
                <w:rFonts w:ascii="Times New Roman" w:hAnsi="Times New Roman" w:cs="Times New Roman"/>
                <w:b/>
                <w:bCs/>
                <w:sz w:val="20"/>
                <w:szCs w:val="20"/>
              </w:rPr>
              <w:t xml:space="preserve">Question ID: </w:t>
            </w:r>
            <w:r w:rsidRPr="00955AC1">
              <w:rPr>
                <w:rFonts w:ascii="Times New Roman" w:eastAsia="Calibri" w:hAnsi="Times New Roman" w:cs="Times New Roman"/>
                <w:color w:val="000000" w:themeColor="text1"/>
                <w:sz w:val="20"/>
                <w:szCs w:val="20"/>
              </w:rPr>
              <w:t>996606345_2</w:t>
            </w:r>
            <w:r w:rsidRPr="00955AC1">
              <w:br/>
            </w:r>
            <w:r w:rsidRPr="00955AC1">
              <w:rPr>
                <w:rFonts w:ascii="Times New Roman" w:eastAsia="Calibri" w:hAnsi="Times New Roman" w:cs="Times New Roman"/>
                <w:color w:val="000000" w:themeColor="text1"/>
                <w:sz w:val="20"/>
                <w:szCs w:val="20"/>
              </w:rPr>
              <w:t>There are differing point values between the 9% and 4% scoring categories but within each category there is no guidance on how those points are discounted from 9% to 4%, for example: the max score for community transportation for a 9% deal is 6 points however the max points for a 4% is only 4 and there is no guidance as to what is and is not applicable to account for the 2 point difference within the QAP. I have similar questions about: Desirable/Undesirables, Quality Education, Revitalization/Redevelopment Plans, Stable Communities, Community Designations, and Favorable Financing.</w:t>
            </w:r>
          </w:p>
          <w:p w14:paraId="63EF03E2" w14:textId="77777777" w:rsidR="00390F34" w:rsidRPr="00955AC1" w:rsidRDefault="00390F34" w:rsidP="000F6D48">
            <w:pPr>
              <w:contextualSpacing/>
              <w:rPr>
                <w:rFonts w:ascii="Times New Roman" w:eastAsia="Times New Roman" w:hAnsi="Times New Roman" w:cs="Times New Roman"/>
                <w:color w:val="000000" w:themeColor="text1"/>
                <w:sz w:val="20"/>
                <w:szCs w:val="20"/>
              </w:rPr>
            </w:pPr>
          </w:p>
          <w:p w14:paraId="6374E45E"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Answer</w:t>
            </w:r>
            <w:r w:rsidRPr="00955AC1">
              <w:rPr>
                <w:rFonts w:ascii="Times New Roman" w:hAnsi="Times New Roman" w:cs="Times New Roman"/>
                <w:sz w:val="20"/>
                <w:szCs w:val="20"/>
              </w:rPr>
              <w:t xml:space="preserve">: </w:t>
            </w:r>
          </w:p>
          <w:p w14:paraId="1669E03D"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(Scoring Criteria) Applicability of Scoring Criteria</w:t>
            </w:r>
            <w:r w:rsidRPr="00955AC1">
              <w:rPr>
                <w:rFonts w:ascii="Times New Roman" w:hAnsi="Times New Roman" w:cs="Times New Roman"/>
                <w:sz w:val="20"/>
                <w:szCs w:val="20"/>
              </w:rPr>
              <w:t xml:space="preserve"> states: This means that applicants can claim points in a section for any option that they qualify for, but the number of points that contribute to the application score for purposes of the 4%/Bonds Competitive Round will be limited by the maximum listed in the table. </w:t>
            </w:r>
          </w:p>
          <w:p w14:paraId="76CC41D3" w14:textId="77777777" w:rsidR="00390F34" w:rsidRPr="00955AC1" w:rsidRDefault="00390F34" w:rsidP="000F6D48">
            <w:pPr>
              <w:contextualSpacing/>
              <w:rPr>
                <w:rFonts w:ascii="Times New Roman" w:hAnsi="Times New Roman" w:cs="Times New Roman"/>
                <w:sz w:val="20"/>
                <w:szCs w:val="20"/>
              </w:rPr>
            </w:pPr>
          </w:p>
          <w:p w14:paraId="1506284D"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lastRenderedPageBreak/>
              <w:t xml:space="preserve">While there are point limitation differences between 9% and 4% applications for certain scoring sections, there is otherwise no difference in how a 9% application or a 4% application would be prepared for the same scoring section. </w:t>
            </w:r>
          </w:p>
          <w:p w14:paraId="2844D423" w14:textId="77777777" w:rsidR="00390F34" w:rsidRPr="00955AC1" w:rsidRDefault="00390F34" w:rsidP="000F6D48">
            <w:pPr>
              <w:contextualSpacing/>
              <w:rPr>
                <w:rFonts w:ascii="Times New Roman" w:hAnsi="Times New Roman" w:cs="Times New Roman"/>
                <w:sz w:val="20"/>
                <w:szCs w:val="20"/>
              </w:rPr>
            </w:pPr>
          </w:p>
          <w:p w14:paraId="738B0519"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t xml:space="preserve">The below examples compare two hypothetical 4%/Bonds Round applications: </w:t>
            </w:r>
          </w:p>
          <w:p w14:paraId="374F8DBD" w14:textId="77777777" w:rsidR="00390F34" w:rsidRPr="00955AC1" w:rsidRDefault="00390F34" w:rsidP="000F6D48">
            <w:pPr>
              <w:contextualSpacing/>
              <w:rPr>
                <w:rFonts w:ascii="Times New Roman" w:hAnsi="Times New Roman" w:cs="Times New Roman"/>
                <w:sz w:val="20"/>
                <w:szCs w:val="20"/>
              </w:rPr>
            </w:pPr>
          </w:p>
          <w:p w14:paraId="01FD56AB" w14:textId="77777777" w:rsidR="00390F34" w:rsidRPr="00955AC1" w:rsidRDefault="00390F34" w:rsidP="000F6D48">
            <w:pPr>
              <w:pStyle w:val="ListParagraph"/>
              <w:numPr>
                <w:ilvl w:val="0"/>
                <w:numId w:val="64"/>
              </w:numPr>
              <w:rPr>
                <w:rFonts w:ascii="Times New Roman" w:hAnsi="Times New Roman" w:cs="Times New Roman"/>
                <w:sz w:val="20"/>
                <w:szCs w:val="20"/>
              </w:rPr>
            </w:pPr>
            <w:r w:rsidRPr="00955AC1">
              <w:rPr>
                <w:rFonts w:ascii="Times New Roman" w:hAnsi="Times New Roman" w:cs="Times New Roman"/>
                <w:sz w:val="20"/>
                <w:szCs w:val="20"/>
              </w:rPr>
              <w:t xml:space="preserve">The 4% maximum for </w:t>
            </w:r>
            <w:r w:rsidRPr="00955AC1">
              <w:rPr>
                <w:rFonts w:ascii="Times New Roman" w:hAnsi="Times New Roman" w:cs="Times New Roman"/>
                <w:b/>
                <w:bCs/>
                <w:sz w:val="20"/>
                <w:szCs w:val="20"/>
              </w:rPr>
              <w:t>Community Transportation Options</w:t>
            </w:r>
            <w:r w:rsidRPr="00955AC1">
              <w:rPr>
                <w:rFonts w:ascii="Times New Roman" w:hAnsi="Times New Roman" w:cs="Times New Roman"/>
                <w:sz w:val="20"/>
                <w:szCs w:val="20"/>
              </w:rPr>
              <w:t xml:space="preserve"> is 4 points. Suppose two applications claim points under subsection </w:t>
            </w:r>
            <w:r w:rsidRPr="00955AC1">
              <w:rPr>
                <w:rFonts w:ascii="Times New Roman" w:hAnsi="Times New Roman" w:cs="Times New Roman"/>
                <w:b/>
                <w:bCs/>
                <w:sz w:val="20"/>
                <w:szCs w:val="20"/>
              </w:rPr>
              <w:t>A. Transit-Oriented Development</w:t>
            </w:r>
            <w:r w:rsidRPr="00955AC1">
              <w:rPr>
                <w:rFonts w:ascii="Times New Roman" w:hAnsi="Times New Roman" w:cs="Times New Roman"/>
                <w:sz w:val="20"/>
                <w:szCs w:val="20"/>
              </w:rPr>
              <w:t xml:space="preserve">. One application is 0.25 miles from a transit hub and the other is 1 mile from a transit hub. Both will only receive 4 points. </w:t>
            </w:r>
            <w:r w:rsidRPr="00955AC1">
              <w:rPr>
                <w:rFonts w:ascii="Times New Roman" w:hAnsi="Times New Roman" w:cs="Times New Roman"/>
                <w:sz w:val="20"/>
                <w:szCs w:val="20"/>
              </w:rPr>
              <w:br/>
            </w:r>
          </w:p>
          <w:p w14:paraId="6EF28AC7" w14:textId="77777777" w:rsidR="00390F34" w:rsidRPr="00955AC1" w:rsidRDefault="00390F34" w:rsidP="000F6D48">
            <w:pPr>
              <w:pStyle w:val="ListParagraph"/>
              <w:numPr>
                <w:ilvl w:val="0"/>
                <w:numId w:val="64"/>
              </w:numPr>
              <w:rPr>
                <w:rFonts w:ascii="Times New Roman" w:hAnsi="Times New Roman" w:cs="Times New Roman"/>
                <w:sz w:val="20"/>
                <w:szCs w:val="20"/>
              </w:rPr>
            </w:pPr>
            <w:r w:rsidRPr="00955AC1">
              <w:rPr>
                <w:rFonts w:ascii="Times New Roman" w:hAnsi="Times New Roman" w:cs="Times New Roman"/>
                <w:sz w:val="20"/>
                <w:szCs w:val="20"/>
              </w:rPr>
              <w:t xml:space="preserve">The 4% maximum for </w:t>
            </w:r>
            <w:r w:rsidRPr="00955AC1">
              <w:rPr>
                <w:rFonts w:ascii="Times New Roman" w:hAnsi="Times New Roman" w:cs="Times New Roman"/>
                <w:b/>
                <w:bCs/>
                <w:sz w:val="20"/>
                <w:szCs w:val="20"/>
              </w:rPr>
              <w:t>Desirable/Undesirable Activities</w:t>
            </w:r>
            <w:r w:rsidRPr="00955AC1">
              <w:rPr>
                <w:rFonts w:ascii="Times New Roman" w:hAnsi="Times New Roman" w:cs="Times New Roman"/>
                <w:sz w:val="20"/>
                <w:szCs w:val="20"/>
              </w:rPr>
              <w:t xml:space="preserve"> is 12 points. Suppose one application claims 18 points under this section and another 12 points. Both will only receive 12 points. </w:t>
            </w:r>
            <w:r w:rsidRPr="00955AC1">
              <w:br/>
            </w:r>
          </w:p>
          <w:p w14:paraId="69C2D806" w14:textId="77777777" w:rsidR="00390F34" w:rsidRPr="00955AC1" w:rsidRDefault="00390F34" w:rsidP="000F6D48">
            <w:pPr>
              <w:pStyle w:val="ListParagraph"/>
              <w:numPr>
                <w:ilvl w:val="0"/>
                <w:numId w:val="64"/>
              </w:numPr>
              <w:rPr>
                <w:rFonts w:ascii="Times New Roman" w:hAnsi="Times New Roman" w:cs="Times New Roman"/>
                <w:sz w:val="20"/>
                <w:szCs w:val="20"/>
              </w:rPr>
            </w:pPr>
            <w:r w:rsidRPr="00955AC1">
              <w:rPr>
                <w:rFonts w:ascii="Times New Roman" w:hAnsi="Times New Roman" w:cs="Times New Roman"/>
                <w:sz w:val="20"/>
                <w:szCs w:val="20"/>
              </w:rPr>
              <w:t xml:space="preserve">The 4% maximum for </w:t>
            </w:r>
            <w:r w:rsidRPr="00955AC1">
              <w:rPr>
                <w:rFonts w:ascii="Times New Roman" w:hAnsi="Times New Roman" w:cs="Times New Roman"/>
                <w:b/>
                <w:bCs/>
                <w:sz w:val="20"/>
                <w:szCs w:val="20"/>
              </w:rPr>
              <w:t>Quality Education Areas</w:t>
            </w:r>
            <w:r w:rsidRPr="00955AC1">
              <w:rPr>
                <w:rFonts w:ascii="Times New Roman" w:hAnsi="Times New Roman" w:cs="Times New Roman"/>
                <w:sz w:val="20"/>
                <w:szCs w:val="20"/>
              </w:rPr>
              <w:t xml:space="preserve"> is 2 points. Suppose for two applications, both have qualifying schools serving all grades K-12. One application is family tenancy and the other HFOP tenancy. Both will only receive 2 points. </w:t>
            </w:r>
          </w:p>
          <w:p w14:paraId="72E645F4" w14:textId="77777777" w:rsidR="00390F34" w:rsidRPr="00955AC1" w:rsidRDefault="00390F34" w:rsidP="000F6D48">
            <w:pPr>
              <w:textAlignment w:val="baseline"/>
              <w:rPr>
                <w:rFonts w:ascii="Times New Roman" w:eastAsia="Times New Roman" w:hAnsi="Times New Roman" w:cs="Times New Roman"/>
                <w:b/>
                <w:bCs/>
                <w:sz w:val="20"/>
                <w:szCs w:val="20"/>
              </w:rPr>
            </w:pPr>
          </w:p>
        </w:tc>
      </w:tr>
      <w:tr w:rsidR="00390F34" w:rsidRPr="00955AC1" w14:paraId="47F7FFA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7D62977"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3E01816A"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2.02</w:t>
            </w:r>
          </w:p>
          <w:p w14:paraId="5ACE8869"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Threshold Criteria; </w:t>
            </w:r>
          </w:p>
          <w:p w14:paraId="40541A3B"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757F2D76"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b/>
                <w:bCs/>
                <w:sz w:val="20"/>
                <w:szCs w:val="20"/>
              </w:rPr>
              <w:t>Question ID:</w:t>
            </w:r>
            <w:r w:rsidRPr="00955AC1">
              <w:rPr>
                <w:rFonts w:ascii="Times New Roman" w:hAnsi="Times New Roman" w:cs="Times New Roman"/>
                <w:sz w:val="20"/>
                <w:szCs w:val="20"/>
              </w:rPr>
              <w:t xml:space="preserve"> 966591811 </w:t>
            </w:r>
          </w:p>
          <w:p w14:paraId="2AFFF484"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color w:val="000000"/>
                <w:sz w:val="20"/>
                <w:szCs w:val="20"/>
              </w:rPr>
              <w:t>Pages 5-6 of the QAP's Threshold section state: </w:t>
            </w:r>
          </w:p>
          <w:p w14:paraId="38542E1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color w:val="000000"/>
                <w:sz w:val="20"/>
                <w:szCs w:val="20"/>
              </w:rPr>
              <w:t> </w:t>
            </w:r>
          </w:p>
          <w:p w14:paraId="1079F74A" w14:textId="77777777" w:rsidR="00390F34" w:rsidRPr="00955AC1" w:rsidRDefault="00390F34" w:rsidP="000F6D48">
            <w:pPr>
              <w:rPr>
                <w:rFonts w:ascii="Times New Roman" w:hAnsi="Times New Roman" w:cs="Times New Roman"/>
                <w:b/>
                <w:bCs/>
                <w:sz w:val="20"/>
                <w:szCs w:val="20"/>
              </w:rPr>
            </w:pPr>
            <w:r w:rsidRPr="00955AC1">
              <w:rPr>
                <w:rFonts w:ascii="Times New Roman" w:hAnsi="Times New Roman" w:cs="Times New Roman"/>
                <w:b/>
                <w:bCs/>
                <w:color w:val="000000"/>
                <w:sz w:val="20"/>
                <w:szCs w:val="20"/>
              </w:rPr>
              <w:t>8. Project Based Rental Assistance (PBRA)/Rental Assistance Demonstration Program (RAD):  </w:t>
            </w:r>
          </w:p>
          <w:p w14:paraId="321082D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i/>
                <w:iCs/>
                <w:color w:val="000000"/>
                <w:sz w:val="20"/>
                <w:szCs w:val="20"/>
              </w:rPr>
              <w:t>Projects with PBRA that have less than ten years remaining from Application Submission Date, must be underwritten within the maximum tax credit rents and/or HOME rents, as applicable. (All units with High HOME rents and PBRA must be underwritten at the maximum HOME rent).</w:t>
            </w:r>
            <w:r w:rsidRPr="00955AC1">
              <w:rPr>
                <w:rFonts w:ascii="Times New Roman" w:hAnsi="Times New Roman" w:cs="Times New Roman"/>
                <w:color w:val="000000"/>
                <w:sz w:val="20"/>
                <w:szCs w:val="20"/>
              </w:rPr>
              <w:t> </w:t>
            </w:r>
          </w:p>
          <w:p w14:paraId="3E77307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color w:val="000000"/>
                <w:sz w:val="20"/>
                <w:szCs w:val="20"/>
              </w:rPr>
              <w:t> </w:t>
            </w:r>
          </w:p>
          <w:p w14:paraId="7D8C1DD2"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color w:val="000000"/>
                <w:sz w:val="20"/>
                <w:szCs w:val="20"/>
              </w:rPr>
              <w:t>Looking at a 100% Section 8, acquisition/rehab property (4% w/TEBs), a common strategy is to go through a Chapter 15 (post-renovation) mark-up-to-market (MU2M) process through HUD, while applying for LIHTCs and securing the TEBs. The post-renovation MU2M results in higher rental subsidy from HUD, thus allowing more permanent debt, thus increasing the amount of rehab that can be carried out. The MU2M also results in a new 20-year HAP contract being placed on the property. From a LIHTC perspective, the units are still restricted at 60% AMI, or a lower percentage if chosen. </w:t>
            </w:r>
          </w:p>
          <w:p w14:paraId="03610F82"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color w:val="000000"/>
                <w:sz w:val="20"/>
                <w:szCs w:val="20"/>
              </w:rPr>
              <w:t> </w:t>
            </w:r>
          </w:p>
          <w:p w14:paraId="3D9C986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color w:val="000000"/>
                <w:sz w:val="20"/>
                <w:szCs w:val="20"/>
              </w:rPr>
              <w:t>Given the QAP language, I am not clear if DCA would underwrite the projected MU2M rents for a property with less than 10-years remaining on the current HAP contract. Depending on market, being limited to maximum LIHTC rents could dramatically decrease the amount of rehab able to be performed. </w:t>
            </w:r>
            <w:r w:rsidRPr="00955AC1">
              <w:rPr>
                <w:rFonts w:ascii="Times New Roman" w:hAnsi="Times New Roman" w:cs="Times New Roman"/>
                <w:color w:val="000000"/>
                <w:sz w:val="20"/>
                <w:szCs w:val="20"/>
              </w:rPr>
              <w:br/>
              <w:t> </w:t>
            </w:r>
          </w:p>
          <w:p w14:paraId="3B8FD819" w14:textId="77777777" w:rsidR="00390F34" w:rsidRPr="00955AC1" w:rsidRDefault="00390F34" w:rsidP="000F6D48">
            <w:pPr>
              <w:rPr>
                <w:rFonts w:ascii="Times New Roman" w:hAnsi="Times New Roman" w:cs="Times New Roman"/>
                <w:b/>
                <w:bCs/>
                <w:sz w:val="20"/>
                <w:szCs w:val="20"/>
              </w:rPr>
            </w:pPr>
            <w:r w:rsidRPr="00955AC1">
              <w:rPr>
                <w:rFonts w:ascii="Times New Roman" w:hAnsi="Times New Roman" w:cs="Times New Roman"/>
                <w:b/>
                <w:bCs/>
                <w:sz w:val="20"/>
                <w:szCs w:val="20"/>
              </w:rPr>
              <w:lastRenderedPageBreak/>
              <w:t>Answer:   </w:t>
            </w:r>
          </w:p>
          <w:p w14:paraId="18621CC3"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At baseline, per </w:t>
            </w:r>
            <w:r w:rsidRPr="00955AC1">
              <w:rPr>
                <w:rFonts w:ascii="Times New Roman" w:hAnsi="Times New Roman" w:cs="Times New Roman"/>
                <w:b/>
                <w:bCs/>
                <w:sz w:val="20"/>
                <w:szCs w:val="20"/>
              </w:rPr>
              <w:t>(Threshold Criteria) Project Feasibility</w:t>
            </w:r>
            <w:r w:rsidRPr="00955AC1">
              <w:rPr>
                <w:rFonts w:ascii="Times New Roman" w:hAnsi="Times New Roman" w:cs="Times New Roman"/>
                <w:sz w:val="20"/>
                <w:szCs w:val="20"/>
              </w:rPr>
              <w:t xml:space="preserve">, subsection A.8, </w:t>
            </w:r>
            <w:r w:rsidRPr="00955AC1">
              <w:rPr>
                <w:rFonts w:ascii="Times New Roman" w:hAnsi="Times New Roman" w:cs="Times New Roman"/>
                <w:i/>
                <w:iCs/>
                <w:sz w:val="20"/>
                <w:szCs w:val="20"/>
              </w:rPr>
              <w:t>“Projects with PBRA that have less than ten years remaining from Application Submission Date, must be underwritten within the maximum tax credit rents and/or HOME rents, as applicable.”</w:t>
            </w:r>
            <w:r w:rsidRPr="00955AC1">
              <w:rPr>
                <w:rFonts w:ascii="Times New Roman" w:hAnsi="Times New Roman" w:cs="Times New Roman"/>
                <w:sz w:val="20"/>
                <w:szCs w:val="20"/>
              </w:rPr>
              <w:t>  </w:t>
            </w:r>
          </w:p>
          <w:p w14:paraId="06F62AFA"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w:t>
            </w:r>
          </w:p>
          <w:p w14:paraId="2CDB6CE6"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If selected under the Competitive Review process, DCA would be open to waiving this requirement given the applicant’s circumstances provided we receive a letter from HUD providing assurances of comparable stringency to the “Template HUD Letter for RAD / Section 18 Blends” (</w:t>
            </w:r>
            <w:hyperlink r:id="rId22" w:tgtFrame="_blank" w:history="1">
              <w:r w:rsidRPr="00955AC1">
                <w:rPr>
                  <w:rStyle w:val="Hyperlink"/>
                  <w:rFonts w:ascii="Times New Roman" w:hAnsi="Times New Roman" w:cs="Times New Roman"/>
                  <w:sz w:val="20"/>
                  <w:szCs w:val="20"/>
                </w:rPr>
                <w:t>click here</w:t>
              </w:r>
            </w:hyperlink>
            <w:r w:rsidRPr="00955AC1">
              <w:rPr>
                <w:rFonts w:ascii="Times New Roman" w:hAnsi="Times New Roman" w:cs="Times New Roman"/>
                <w:sz w:val="20"/>
                <w:szCs w:val="20"/>
              </w:rPr>
              <w:t>).</w:t>
            </w:r>
            <w:r w:rsidRPr="00955AC1">
              <w:rPr>
                <w:rFonts w:ascii="Times New Roman" w:hAnsi="Times New Roman" w:cs="Times New Roman"/>
                <w:sz w:val="18"/>
                <w:szCs w:val="18"/>
              </w:rPr>
              <w:t>  </w:t>
            </w:r>
          </w:p>
          <w:p w14:paraId="78ED703E" w14:textId="77777777" w:rsidR="00390F34" w:rsidRPr="00955AC1" w:rsidRDefault="00390F34" w:rsidP="000F6D48">
            <w:pPr>
              <w:rPr>
                <w:rFonts w:ascii="Times New Roman" w:eastAsia="Times New Roman" w:hAnsi="Times New Roman" w:cs="Times New Roman"/>
                <w:b/>
                <w:bCs/>
                <w:sz w:val="20"/>
                <w:szCs w:val="20"/>
              </w:rPr>
            </w:pPr>
          </w:p>
        </w:tc>
      </w:tr>
      <w:tr w:rsidR="00390F34" w:rsidRPr="00955AC1" w14:paraId="6001B534"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0183AC9"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0C93E792"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2.02</w:t>
            </w:r>
          </w:p>
          <w:p w14:paraId="21278882"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Threshold Criteria;</w:t>
            </w:r>
          </w:p>
          <w:p w14:paraId="04ACAD1C"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6F79C264" w14:textId="77777777" w:rsidR="00390F34" w:rsidRPr="00955AC1" w:rsidRDefault="00390F34" w:rsidP="000F6D48">
            <w:pPr>
              <w:rPr>
                <w:rFonts w:ascii="Times New Roman" w:eastAsia="Times New Roman" w:hAnsi="Times New Roman" w:cs="Times New Roman"/>
                <w:b/>
                <w:bCs/>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sz w:val="20"/>
                <w:szCs w:val="20"/>
              </w:rPr>
              <w:t>1001139876_2</w:t>
            </w:r>
            <w:r w:rsidRPr="00955AC1">
              <w:rPr>
                <w:rFonts w:ascii="Times New Roman" w:eastAsia="Times New Roman" w:hAnsi="Times New Roman" w:cs="Times New Roman"/>
                <w:b/>
                <w:bCs/>
                <w:sz w:val="20"/>
                <w:szCs w:val="20"/>
              </w:rPr>
              <w:t> </w:t>
            </w:r>
          </w:p>
          <w:p w14:paraId="2D237183"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DCA received the following two related questions: </w:t>
            </w:r>
          </w:p>
          <w:p w14:paraId="43C679BE"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30394EFB" w14:textId="77777777" w:rsidR="00390F34" w:rsidRPr="00955AC1" w:rsidRDefault="00390F34" w:rsidP="000F6D48">
            <w:pPr>
              <w:numPr>
                <w:ilvl w:val="0"/>
                <w:numId w:val="62"/>
              </w:num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In the 9/7 Q&amp;A </w:t>
            </w:r>
            <w:r w:rsidRPr="00955AC1">
              <w:rPr>
                <w:rFonts w:ascii="Times New Roman" w:eastAsia="Times New Roman" w:hAnsi="Times New Roman" w:cs="Times New Roman"/>
                <w:b/>
                <w:bCs/>
                <w:sz w:val="20"/>
                <w:szCs w:val="20"/>
              </w:rPr>
              <w:t>Question ID: 995414261</w:t>
            </w:r>
            <w:r w:rsidRPr="00955AC1">
              <w:rPr>
                <w:rFonts w:ascii="Times New Roman" w:eastAsia="Times New Roman" w:hAnsi="Times New Roman" w:cs="Times New Roman"/>
                <w:sz w:val="20"/>
                <w:szCs w:val="20"/>
              </w:rPr>
              <w:t xml:space="preserve">, DCA states </w:t>
            </w:r>
            <w:r w:rsidRPr="00955AC1">
              <w:rPr>
                <w:rFonts w:ascii="Times New Roman" w:eastAsia="Times New Roman" w:hAnsi="Times New Roman" w:cs="Times New Roman"/>
                <w:i/>
                <w:iCs/>
                <w:sz w:val="20"/>
                <w:szCs w:val="20"/>
              </w:rPr>
              <w:t>"Applicants still must complete the underwriting model in the Excel Core Application, and for that purpose applicants should use the most accurate and up-to-date information available to them."</w:t>
            </w:r>
            <w:r w:rsidRPr="00955AC1">
              <w:rPr>
                <w:rFonts w:ascii="Times New Roman" w:eastAsia="Times New Roman" w:hAnsi="Times New Roman" w:cs="Times New Roman"/>
                <w:sz w:val="20"/>
                <w:szCs w:val="20"/>
              </w:rPr>
              <w:t xml:space="preserve"> However, the QAP states, "</w:t>
            </w:r>
            <w:r w:rsidRPr="00955AC1">
              <w:rPr>
                <w:rFonts w:ascii="Times New Roman" w:eastAsia="Times New Roman" w:hAnsi="Times New Roman" w:cs="Times New Roman"/>
                <w:i/>
                <w:iCs/>
                <w:sz w:val="20"/>
                <w:szCs w:val="20"/>
              </w:rPr>
              <w:t>Rents in effect as of January 1, 2022, must be used.”</w:t>
            </w:r>
            <w:r w:rsidRPr="00955AC1">
              <w:rPr>
                <w:rFonts w:ascii="Times New Roman" w:eastAsia="Times New Roman" w:hAnsi="Times New Roman" w:cs="Times New Roman"/>
                <w:sz w:val="20"/>
                <w:szCs w:val="20"/>
              </w:rPr>
              <w:t xml:space="preserve"> Can DCA clarify for the 4% bond round if applicants should use 2021 data which would meet the QAP Guidelines or 2022 data which would meet DCA's Q&amp;A response? </w:t>
            </w:r>
            <w:r w:rsidRPr="00955AC1">
              <w:rPr>
                <w:rFonts w:ascii="Times New Roman" w:eastAsia="Times New Roman" w:hAnsi="Times New Roman" w:cs="Times New Roman"/>
                <w:sz w:val="20"/>
                <w:szCs w:val="20"/>
              </w:rPr>
              <w:br/>
              <w:t> </w:t>
            </w:r>
          </w:p>
          <w:p w14:paraId="2197CEAC" w14:textId="77777777" w:rsidR="00390F34" w:rsidRPr="00955AC1" w:rsidRDefault="00390F34" w:rsidP="000F6D48">
            <w:pPr>
              <w:numPr>
                <w:ilvl w:val="0"/>
                <w:numId w:val="63"/>
              </w:numPr>
              <w:rPr>
                <w:rFonts w:ascii="Times New Roman" w:eastAsia="Times New Roman" w:hAnsi="Times New Roman" w:cs="Times New Roman"/>
                <w:b/>
                <w:bCs/>
                <w:sz w:val="20"/>
                <w:szCs w:val="20"/>
              </w:rPr>
            </w:pPr>
            <w:r w:rsidRPr="00955AC1">
              <w:rPr>
                <w:rFonts w:ascii="Times New Roman" w:eastAsia="Times New Roman" w:hAnsi="Times New Roman" w:cs="Times New Roman"/>
                <w:sz w:val="20"/>
                <w:szCs w:val="20"/>
              </w:rPr>
              <w:t>Can the 2022 income limits be used? The way the QAP is written, it refers to using the 2021 limits as those were in effect on 1/1/22.</w:t>
            </w:r>
            <w:r w:rsidRPr="00955AC1">
              <w:rPr>
                <w:rFonts w:ascii="Times New Roman" w:eastAsia="Times New Roman" w:hAnsi="Times New Roman" w:cs="Times New Roman"/>
                <w:b/>
                <w:bCs/>
                <w:sz w:val="20"/>
                <w:szCs w:val="20"/>
              </w:rPr>
              <w:t> </w:t>
            </w:r>
            <w:r w:rsidRPr="00955AC1">
              <w:rPr>
                <w:rFonts w:ascii="Times New Roman" w:eastAsia="Times New Roman" w:hAnsi="Times New Roman" w:cs="Times New Roman"/>
                <w:b/>
                <w:bCs/>
                <w:sz w:val="20"/>
                <w:szCs w:val="20"/>
              </w:rPr>
              <w:br/>
              <w:t> </w:t>
            </w:r>
          </w:p>
          <w:p w14:paraId="57E06E01" w14:textId="77777777" w:rsidR="00390F34" w:rsidRPr="00955AC1" w:rsidRDefault="00390F34" w:rsidP="000F6D48">
            <w:pPr>
              <w:rPr>
                <w:rFonts w:ascii="Times New Roman" w:eastAsia="Times New Roman" w:hAnsi="Times New Roman" w:cs="Times New Roman"/>
                <w:b/>
                <w:bCs/>
                <w:sz w:val="20"/>
                <w:szCs w:val="20"/>
              </w:rPr>
            </w:pPr>
            <w:r w:rsidRPr="00955AC1">
              <w:rPr>
                <w:rFonts w:ascii="Times New Roman" w:eastAsia="Times New Roman" w:hAnsi="Times New Roman" w:cs="Times New Roman"/>
                <w:b/>
                <w:bCs/>
                <w:sz w:val="20"/>
                <w:szCs w:val="20"/>
              </w:rPr>
              <w:t>Answer:  </w:t>
            </w:r>
          </w:p>
          <w:p w14:paraId="57E90E2E"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The policy </w:t>
            </w:r>
            <w:r w:rsidRPr="00955AC1">
              <w:rPr>
                <w:rFonts w:ascii="Times New Roman" w:eastAsia="Times New Roman" w:hAnsi="Times New Roman" w:cs="Times New Roman"/>
                <w:i/>
                <w:iCs/>
                <w:sz w:val="20"/>
                <w:szCs w:val="20"/>
              </w:rPr>
              <w:t>“Rents in effect as of January 1, 2022”</w:t>
            </w:r>
            <w:r w:rsidRPr="00955AC1">
              <w:rPr>
                <w:rFonts w:ascii="Times New Roman" w:eastAsia="Times New Roman" w:hAnsi="Times New Roman" w:cs="Times New Roman"/>
                <w:sz w:val="20"/>
                <w:szCs w:val="20"/>
              </w:rPr>
              <w:t xml:space="preserve"> does not apply to the 2022 4%/Bonds Competitive Round. The above-referenced provision exists to ensure a level of consistency when </w:t>
            </w:r>
            <w:r w:rsidRPr="00955AC1">
              <w:rPr>
                <w:rFonts w:ascii="Times New Roman" w:eastAsia="Times New Roman" w:hAnsi="Times New Roman" w:cs="Times New Roman"/>
                <w:b/>
                <w:bCs/>
                <w:sz w:val="20"/>
                <w:szCs w:val="20"/>
              </w:rPr>
              <w:t>(Threshold Criteria) Project Feasibility</w:t>
            </w:r>
            <w:r w:rsidRPr="00955AC1">
              <w:rPr>
                <w:rFonts w:ascii="Times New Roman" w:eastAsia="Times New Roman" w:hAnsi="Times New Roman" w:cs="Times New Roman"/>
                <w:sz w:val="20"/>
                <w:szCs w:val="20"/>
              </w:rPr>
              <w:t xml:space="preserve"> is evaluated during the competitive review process, which is the case for the 9% Competitive Round. Per </w:t>
            </w:r>
            <w:r w:rsidRPr="00955AC1">
              <w:rPr>
                <w:rFonts w:ascii="Times New Roman" w:eastAsia="Times New Roman" w:hAnsi="Times New Roman" w:cs="Times New Roman"/>
                <w:b/>
                <w:bCs/>
                <w:sz w:val="20"/>
                <w:szCs w:val="20"/>
              </w:rPr>
              <w:t>(Threshold Criteria) Applicability of Threshold Criteria</w:t>
            </w:r>
            <w:r w:rsidRPr="00955AC1">
              <w:rPr>
                <w:rFonts w:ascii="Times New Roman" w:eastAsia="Times New Roman" w:hAnsi="Times New Roman" w:cs="Times New Roman"/>
                <w:sz w:val="20"/>
                <w:szCs w:val="20"/>
              </w:rPr>
              <w:t>, the competitive review process for the 4% round does not involve a strict Project Feasibility review.  </w:t>
            </w:r>
          </w:p>
          <w:p w14:paraId="22D1D12E"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66529CB6"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Please use the best and most up-to-date information available to you when completing the underwriting model in the Excel Core Application. Please review </w:t>
            </w:r>
            <w:r w:rsidRPr="00955AC1">
              <w:rPr>
                <w:rFonts w:ascii="Times New Roman" w:eastAsia="Times New Roman" w:hAnsi="Times New Roman" w:cs="Times New Roman"/>
                <w:b/>
                <w:bCs/>
                <w:sz w:val="20"/>
                <w:szCs w:val="20"/>
              </w:rPr>
              <w:t>Question ID: 999018344</w:t>
            </w:r>
            <w:r w:rsidRPr="00955AC1">
              <w:rPr>
                <w:rFonts w:ascii="Times New Roman" w:eastAsia="Times New Roman" w:hAnsi="Times New Roman" w:cs="Times New Roman"/>
                <w:sz w:val="20"/>
                <w:szCs w:val="20"/>
              </w:rPr>
              <w:t xml:space="preserve"> for more detail regarding the role of the underwriting model in the 2022 4%/Bonds competitive review process.   </w:t>
            </w:r>
          </w:p>
          <w:p w14:paraId="0A52EB81"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2A21713B" w14:textId="77777777" w:rsidR="00390F34" w:rsidRPr="00955AC1" w:rsidRDefault="00390F34" w:rsidP="000F6D48">
            <w:pPr>
              <w:rPr>
                <w:rFonts w:ascii="Times New Roman" w:eastAsia="Times New Roman" w:hAnsi="Times New Roman" w:cs="Times New Roman"/>
                <w:b/>
                <w:bCs/>
                <w:sz w:val="20"/>
                <w:szCs w:val="20"/>
              </w:rPr>
            </w:pPr>
          </w:p>
        </w:tc>
      </w:tr>
      <w:tr w:rsidR="00390F34" w:rsidRPr="00955AC1" w14:paraId="4F881FB2"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C9184C0"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359E9311"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2.25</w:t>
            </w:r>
          </w:p>
          <w:p w14:paraId="1F7CBA6F"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Threshold Criteria;</w:t>
            </w:r>
          </w:p>
          <w:p w14:paraId="0F090433"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67F2E421" w14:textId="77777777" w:rsidR="00390F34" w:rsidRPr="00955AC1" w:rsidRDefault="00390F34" w:rsidP="000F6D48">
            <w:pPr>
              <w:rPr>
                <w:rFonts w:ascii="Times New Roman" w:eastAsia="Times New Roman" w:hAnsi="Times New Roman" w:cs="Times New Roman"/>
                <w:b/>
                <w:bCs/>
                <w:sz w:val="20"/>
                <w:szCs w:val="20"/>
              </w:rPr>
            </w:pPr>
            <w:r w:rsidRPr="00955AC1">
              <w:rPr>
                <w:rFonts w:ascii="Times New Roman" w:eastAsia="Times New Roman" w:hAnsi="Times New Roman" w:cs="Times New Roman"/>
                <w:b/>
                <w:bCs/>
                <w:sz w:val="20"/>
                <w:szCs w:val="20"/>
              </w:rPr>
              <w:t>Question ID:</w:t>
            </w:r>
            <w:r w:rsidRPr="00955AC1">
              <w:rPr>
                <w:rFonts w:ascii="Times New Roman" w:eastAsia="Times New Roman" w:hAnsi="Times New Roman" w:cs="Times New Roman"/>
                <w:sz w:val="20"/>
                <w:szCs w:val="20"/>
              </w:rPr>
              <w:t xml:space="preserve"> 1001263496</w:t>
            </w:r>
            <w:r w:rsidRPr="00955AC1">
              <w:rPr>
                <w:rFonts w:ascii="Times New Roman" w:eastAsia="Times New Roman" w:hAnsi="Times New Roman" w:cs="Times New Roman"/>
                <w:b/>
                <w:bCs/>
                <w:sz w:val="20"/>
                <w:szCs w:val="20"/>
              </w:rPr>
              <w:t> </w:t>
            </w:r>
          </w:p>
          <w:p w14:paraId="6C26AA64"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While looking over the Relocation Workbook, the HH Date and Rent Rolls section has a drop down with type of form used. The options are TIC, HUD 50059, and the DCA HH Data Form. Does this mean we have the option to use any of the 3 forms to verify household data? </w:t>
            </w:r>
            <w:r w:rsidRPr="00955AC1">
              <w:rPr>
                <w:rFonts w:ascii="Times New Roman" w:eastAsia="Times New Roman" w:hAnsi="Times New Roman" w:cs="Times New Roman"/>
                <w:sz w:val="20"/>
                <w:szCs w:val="20"/>
              </w:rPr>
              <w:br/>
              <w:t> </w:t>
            </w:r>
          </w:p>
          <w:p w14:paraId="2263A774" w14:textId="77777777" w:rsidR="00390F34" w:rsidRPr="00955AC1" w:rsidRDefault="00390F34" w:rsidP="000F6D48">
            <w:pPr>
              <w:rPr>
                <w:rFonts w:ascii="Times New Roman" w:eastAsia="Times New Roman" w:hAnsi="Times New Roman" w:cs="Times New Roman"/>
                <w:b/>
                <w:bCs/>
                <w:sz w:val="20"/>
                <w:szCs w:val="20"/>
              </w:rPr>
            </w:pPr>
            <w:r w:rsidRPr="00955AC1">
              <w:rPr>
                <w:rFonts w:ascii="Times New Roman" w:eastAsia="Times New Roman" w:hAnsi="Times New Roman" w:cs="Times New Roman"/>
                <w:b/>
                <w:bCs/>
                <w:sz w:val="20"/>
                <w:szCs w:val="20"/>
              </w:rPr>
              <w:t>Answer:  </w:t>
            </w:r>
          </w:p>
          <w:p w14:paraId="641BE0FC"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Yes.  You can use the Tenant Income Certification (TIC), HUD 50058/50059, or the DCA Household Data Form to verify household information in your submitted relocation information. </w:t>
            </w:r>
          </w:p>
          <w:p w14:paraId="1C930734" w14:textId="77777777" w:rsidR="00390F34" w:rsidRPr="00955AC1" w:rsidRDefault="00390F34" w:rsidP="000F6D48">
            <w:pPr>
              <w:rPr>
                <w:rFonts w:ascii="Times New Roman" w:eastAsia="Times New Roman" w:hAnsi="Times New Roman" w:cs="Times New Roman"/>
                <w:b/>
                <w:bCs/>
                <w:sz w:val="20"/>
                <w:szCs w:val="20"/>
              </w:rPr>
            </w:pPr>
          </w:p>
        </w:tc>
      </w:tr>
      <w:tr w:rsidR="00390F34" w:rsidRPr="00955AC1" w14:paraId="33C6EEF2"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434C648"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67A79118"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3.16</w:t>
            </w:r>
          </w:p>
          <w:p w14:paraId="227636DD"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Scoring Criteria;</w:t>
            </w:r>
          </w:p>
          <w:p w14:paraId="2C237A67"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681B8B25"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 xml:space="preserve">Question: </w:t>
            </w:r>
            <w:r w:rsidRPr="00955AC1">
              <w:rPr>
                <w:rFonts w:ascii="Times New Roman" w:eastAsia="Times New Roman" w:hAnsi="Times New Roman" w:cs="Times New Roman"/>
                <w:sz w:val="20"/>
                <w:szCs w:val="20"/>
              </w:rPr>
              <w:t>Q22_0427_02 </w:t>
            </w:r>
          </w:p>
          <w:p w14:paraId="03B60075"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I noticed in the QAP that for Rehabs it is allowing 2 points for internet access.  If we are not in the Atlanta Metro can we not qualify for those points?  Otherwise all Atlanta Metro rehab deals will have a 2 point advantage over everything else just for being in one of those 4 counties, which doesn't seem correct.   </w:t>
            </w:r>
          </w:p>
          <w:p w14:paraId="783C3F33" w14:textId="77777777" w:rsidR="00390F34" w:rsidRPr="00955AC1" w:rsidRDefault="00390F34" w:rsidP="000F6D48">
            <w:pPr>
              <w:rPr>
                <w:rFonts w:ascii="Times New Roman" w:eastAsia="Times New Roman" w:hAnsi="Times New Roman" w:cs="Times New Roman"/>
                <w:b/>
                <w:bCs/>
                <w:sz w:val="20"/>
                <w:szCs w:val="20"/>
              </w:rPr>
            </w:pPr>
            <w:r w:rsidRPr="00955AC1">
              <w:rPr>
                <w:rFonts w:ascii="Times New Roman" w:eastAsia="Times New Roman" w:hAnsi="Times New Roman" w:cs="Times New Roman"/>
                <w:b/>
                <w:bCs/>
                <w:sz w:val="20"/>
                <w:szCs w:val="20"/>
              </w:rPr>
              <w:t> </w:t>
            </w:r>
          </w:p>
          <w:p w14:paraId="3A51784C" w14:textId="77777777" w:rsidR="00390F34" w:rsidRPr="00955AC1" w:rsidRDefault="00390F34" w:rsidP="000F6D48">
            <w:pPr>
              <w:rPr>
                <w:rFonts w:ascii="Times New Roman" w:eastAsia="Times New Roman" w:hAnsi="Times New Roman" w:cs="Times New Roman"/>
                <w:b/>
                <w:bCs/>
                <w:sz w:val="20"/>
                <w:szCs w:val="20"/>
              </w:rPr>
            </w:pPr>
            <w:r w:rsidRPr="00955AC1">
              <w:rPr>
                <w:rFonts w:ascii="Times New Roman" w:eastAsia="Times New Roman" w:hAnsi="Times New Roman" w:cs="Times New Roman"/>
                <w:b/>
                <w:bCs/>
                <w:sz w:val="20"/>
                <w:szCs w:val="20"/>
              </w:rPr>
              <w:t>Answer:  </w:t>
            </w:r>
          </w:p>
          <w:p w14:paraId="6280BD52"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The sentence, “This section only applies to proposed developments in the Atlanta Metro Pool” in </w:t>
            </w:r>
            <w:r w:rsidRPr="00955AC1">
              <w:rPr>
                <w:rFonts w:ascii="Times New Roman" w:eastAsia="Times New Roman" w:hAnsi="Times New Roman" w:cs="Times New Roman"/>
                <w:b/>
                <w:bCs/>
                <w:sz w:val="20"/>
                <w:szCs w:val="20"/>
              </w:rPr>
              <w:t>(Scoring Criteria) Internet Access</w:t>
            </w:r>
            <w:r w:rsidRPr="00955AC1">
              <w:rPr>
                <w:rFonts w:ascii="Times New Roman" w:eastAsia="Times New Roman" w:hAnsi="Times New Roman" w:cs="Times New Roman"/>
                <w:sz w:val="20"/>
                <w:szCs w:val="20"/>
              </w:rPr>
              <w:t xml:space="preserve"> only applies to the 9% New Supply competition, for which geographic pools result in separate sub-competitions.  </w:t>
            </w:r>
          </w:p>
          <w:p w14:paraId="7FEBD817"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15CDDA60"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Per </w:t>
            </w:r>
            <w:r w:rsidRPr="00955AC1">
              <w:rPr>
                <w:rFonts w:ascii="Times New Roman" w:eastAsia="Times New Roman" w:hAnsi="Times New Roman" w:cs="Times New Roman"/>
                <w:b/>
                <w:bCs/>
                <w:sz w:val="20"/>
                <w:szCs w:val="20"/>
              </w:rPr>
              <w:t>(Scoring Criteria) Applicability of Scoring Criteria,</w:t>
            </w:r>
            <w:r w:rsidRPr="00955AC1">
              <w:rPr>
                <w:rFonts w:ascii="Times New Roman" w:eastAsia="Times New Roman" w:hAnsi="Times New Roman" w:cs="Times New Roman"/>
                <w:sz w:val="20"/>
                <w:szCs w:val="20"/>
              </w:rPr>
              <w:t xml:space="preserve"> scoring criteria is “specific to” the various sub-competitions (e.g., 9% New Supply vs 4% New Supply). This section does not permit that applicability of a Scoring section could be restricted to one application but open to another within the same competition.  </w:t>
            </w:r>
          </w:p>
          <w:p w14:paraId="153F5DA2"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3AF7D1A4"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As the above-referenced limitation only applies to the 9% New Supply competition, for purposes of the 4%/Bonds Round, all applications are eligible to claim points under Internet Access, regardless of construction type or location.  </w:t>
            </w:r>
          </w:p>
          <w:p w14:paraId="5032467C" w14:textId="77777777" w:rsidR="00390F34" w:rsidRPr="00955AC1" w:rsidRDefault="00390F34" w:rsidP="000F6D48">
            <w:pPr>
              <w:rPr>
                <w:rFonts w:ascii="Times New Roman" w:eastAsia="Times New Roman" w:hAnsi="Times New Roman" w:cs="Times New Roman"/>
                <w:b/>
                <w:bCs/>
                <w:sz w:val="20"/>
                <w:szCs w:val="20"/>
              </w:rPr>
            </w:pPr>
          </w:p>
        </w:tc>
      </w:tr>
      <w:tr w:rsidR="00390F34" w:rsidRPr="00955AC1" w14:paraId="0DF3777A"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1C982F7"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5AB241C1"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6.00</w:t>
            </w:r>
          </w:p>
          <w:p w14:paraId="0391650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4%/Bonds Round Application Requirements and Procedures  </w:t>
            </w:r>
          </w:p>
          <w:p w14:paraId="7BDE78B0" w14:textId="77777777" w:rsidR="00390F34" w:rsidRPr="00955AC1" w:rsidRDefault="00390F34" w:rsidP="000F6D48">
            <w:pPr>
              <w:rPr>
                <w:rFonts w:ascii="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20C8F76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 xml:space="preserve">Question ID: </w:t>
            </w:r>
            <w:r w:rsidRPr="00955AC1">
              <w:rPr>
                <w:rStyle w:val="normaltextrun"/>
                <w:color w:val="000000"/>
                <w:sz w:val="20"/>
                <w:szCs w:val="20"/>
              </w:rPr>
              <w:t>1001000976</w:t>
            </w:r>
            <w:r w:rsidRPr="00955AC1">
              <w:rPr>
                <w:rStyle w:val="eop"/>
                <w:color w:val="000000"/>
                <w:sz w:val="20"/>
                <w:szCs w:val="20"/>
              </w:rPr>
              <w:t> </w:t>
            </w:r>
          </w:p>
          <w:p w14:paraId="58C7901E"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color w:val="000000"/>
                <w:sz w:val="20"/>
                <w:szCs w:val="20"/>
              </w:rPr>
              <w:t>For the DCA 2022- 4% Competitive Round, will applications not selected have to reapply in the next round? If so, is there a round expected to open in 2023 and if so, when?</w:t>
            </w:r>
            <w:r w:rsidRPr="00955AC1">
              <w:rPr>
                <w:rStyle w:val="eop"/>
                <w:color w:val="000000"/>
                <w:sz w:val="20"/>
                <w:szCs w:val="20"/>
              </w:rPr>
              <w:t> </w:t>
            </w:r>
          </w:p>
          <w:p w14:paraId="7AF0B21A"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color w:val="000000"/>
                <w:sz w:val="20"/>
                <w:szCs w:val="20"/>
              </w:rPr>
              <w:t> </w:t>
            </w:r>
          </w:p>
          <w:p w14:paraId="7EED7C2A"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77C146AC"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advancedproofingissue"/>
                <w:rFonts w:eastAsiaTheme="majorEastAsia"/>
                <w:sz w:val="20"/>
                <w:szCs w:val="20"/>
              </w:rPr>
              <w:t>At this time</w:t>
            </w:r>
            <w:r w:rsidRPr="00955AC1">
              <w:rPr>
                <w:rStyle w:val="normaltextrun"/>
                <w:sz w:val="20"/>
                <w:szCs w:val="20"/>
              </w:rPr>
              <w:t xml:space="preserve">, DCA does expect to have a 2023 4%/Bonds Competitive Round. DCA is not able to provide a more specific timeframe expectation </w:t>
            </w:r>
            <w:r w:rsidRPr="00955AC1">
              <w:rPr>
                <w:rStyle w:val="advancedproofingissue"/>
                <w:rFonts w:eastAsiaTheme="majorEastAsia"/>
                <w:sz w:val="20"/>
                <w:szCs w:val="20"/>
              </w:rPr>
              <w:t>at this time</w:t>
            </w:r>
            <w:r w:rsidRPr="00955AC1">
              <w:rPr>
                <w:rStyle w:val="normaltextrun"/>
                <w:sz w:val="20"/>
                <w:szCs w:val="20"/>
              </w:rPr>
              <w:t>. </w:t>
            </w:r>
            <w:r w:rsidRPr="00955AC1">
              <w:rPr>
                <w:rStyle w:val="eop"/>
                <w:sz w:val="20"/>
                <w:szCs w:val="20"/>
              </w:rPr>
              <w:t> </w:t>
            </w:r>
          </w:p>
          <w:p w14:paraId="4CC1389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2BA48EF6"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lastRenderedPageBreak/>
              <w:t>Applicants not selected under the 2022 4%/Bonds Competitive Round would need to re-apply next year. </w:t>
            </w:r>
            <w:r w:rsidRPr="00955AC1">
              <w:rPr>
                <w:rStyle w:val="eop"/>
                <w:sz w:val="20"/>
                <w:szCs w:val="20"/>
              </w:rPr>
              <w:t> </w:t>
            </w:r>
          </w:p>
          <w:p w14:paraId="630D3D3F" w14:textId="77777777" w:rsidR="00390F34" w:rsidRPr="00955AC1" w:rsidRDefault="00390F34" w:rsidP="000F6D48">
            <w:pPr>
              <w:rPr>
                <w:rFonts w:ascii="Times New Roman" w:eastAsia="Times New Roman" w:hAnsi="Times New Roman" w:cs="Times New Roman"/>
                <w:b/>
                <w:bCs/>
                <w:sz w:val="20"/>
                <w:szCs w:val="20"/>
              </w:rPr>
            </w:pPr>
          </w:p>
        </w:tc>
      </w:tr>
      <w:tr w:rsidR="00390F34" w:rsidRPr="00955AC1" w14:paraId="02E686FE"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03B31C6"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09F16A73"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6.00</w:t>
            </w:r>
          </w:p>
          <w:p w14:paraId="0D8D786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4%/Bonds Round Application Requirements and Procedures  </w:t>
            </w:r>
          </w:p>
          <w:p w14:paraId="074FB001" w14:textId="77777777" w:rsidR="00390F34" w:rsidRPr="00955AC1" w:rsidRDefault="00390F34" w:rsidP="000F6D48">
            <w:pPr>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171FC186"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 ID:</w:t>
            </w:r>
            <w:r w:rsidRPr="00955AC1">
              <w:rPr>
                <w:rFonts w:ascii="Times New Roman" w:eastAsia="Times New Roman" w:hAnsi="Times New Roman" w:cs="Times New Roman"/>
                <w:sz w:val="20"/>
                <w:szCs w:val="20"/>
              </w:rPr>
              <w:t xml:space="preserve"> 996606345 </w:t>
            </w:r>
          </w:p>
          <w:p w14:paraId="384FFD22"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Will DCA have HOME Funds, NHTF, CDBG, or any other "soft" money available for projects in this round? </w:t>
            </w:r>
          </w:p>
          <w:p w14:paraId="6FAED7D1" w14:textId="77777777" w:rsidR="00390F34" w:rsidRPr="00955AC1" w:rsidRDefault="00390F34" w:rsidP="000F6D48">
            <w:pPr>
              <w:rPr>
                <w:rFonts w:ascii="Times New Roman" w:eastAsia="Times New Roman" w:hAnsi="Times New Roman" w:cs="Times New Roman"/>
                <w:b/>
                <w:bCs/>
                <w:sz w:val="20"/>
                <w:szCs w:val="20"/>
              </w:rPr>
            </w:pPr>
            <w:r w:rsidRPr="00955AC1">
              <w:rPr>
                <w:rFonts w:ascii="Times New Roman" w:eastAsia="Times New Roman" w:hAnsi="Times New Roman" w:cs="Times New Roman"/>
                <w:b/>
                <w:bCs/>
                <w:sz w:val="20"/>
                <w:szCs w:val="20"/>
              </w:rPr>
              <w:t> </w:t>
            </w:r>
          </w:p>
          <w:p w14:paraId="219A5E4B" w14:textId="77777777" w:rsidR="00390F34" w:rsidRPr="00955AC1" w:rsidRDefault="00390F34" w:rsidP="000F6D48">
            <w:pPr>
              <w:rPr>
                <w:rFonts w:ascii="Times New Roman" w:eastAsia="Times New Roman" w:hAnsi="Times New Roman" w:cs="Times New Roman"/>
                <w:b/>
                <w:bCs/>
                <w:sz w:val="20"/>
                <w:szCs w:val="20"/>
              </w:rPr>
            </w:pPr>
            <w:r w:rsidRPr="00955AC1">
              <w:rPr>
                <w:rFonts w:ascii="Times New Roman" w:eastAsia="Times New Roman" w:hAnsi="Times New Roman" w:cs="Times New Roman"/>
                <w:b/>
                <w:bCs/>
                <w:sz w:val="20"/>
                <w:szCs w:val="20"/>
              </w:rPr>
              <w:t>Answer:  </w:t>
            </w:r>
          </w:p>
          <w:p w14:paraId="3A203658"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DCA will not have any “soft funding” available for the 2022 4%/Bonds Competitive Round.  </w:t>
            </w:r>
          </w:p>
          <w:p w14:paraId="00D1924F" w14:textId="77777777" w:rsidR="00390F34" w:rsidRPr="00955AC1" w:rsidRDefault="00390F34" w:rsidP="000F6D48">
            <w:pPr>
              <w:pStyle w:val="paragraph"/>
              <w:spacing w:before="0" w:beforeAutospacing="0" w:after="0" w:afterAutospacing="0"/>
              <w:textAlignment w:val="baseline"/>
              <w:rPr>
                <w:b/>
                <w:bCs/>
                <w:sz w:val="20"/>
                <w:szCs w:val="20"/>
              </w:rPr>
            </w:pPr>
          </w:p>
        </w:tc>
      </w:tr>
      <w:tr w:rsidR="00390F34" w:rsidRPr="00955AC1" w14:paraId="5D47386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0D56AC8"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766E5BF2"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6.00</w:t>
            </w:r>
          </w:p>
          <w:p w14:paraId="02CA49FB"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2584C76D"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sz w:val="20"/>
                <w:szCs w:val="20"/>
              </w:rPr>
              <w:t>998191155 </w:t>
            </w:r>
            <w:r w:rsidRPr="00955AC1">
              <w:rPr>
                <w:rFonts w:ascii="Times New Roman" w:eastAsia="Times New Roman" w:hAnsi="Times New Roman" w:cs="Times New Roman"/>
                <w:sz w:val="20"/>
                <w:szCs w:val="20"/>
              </w:rPr>
              <w:br/>
              <w:t>Do we receive a pre-app number via Emphasys before submitting materials for Competitive Review? "Pre-Application Submission" is listed after "Competitive Review Submission" in the Application Submission Timeline provided in the Competitive Round Announcement, so I'm confused what the process is. </w:t>
            </w:r>
          </w:p>
          <w:p w14:paraId="71E35EA3" w14:textId="77777777" w:rsidR="00390F34" w:rsidRPr="00955AC1" w:rsidRDefault="00390F34" w:rsidP="000F6D48">
            <w:pPr>
              <w:rPr>
                <w:rFonts w:ascii="Times New Roman" w:eastAsia="Times New Roman" w:hAnsi="Times New Roman" w:cs="Times New Roman"/>
                <w:b/>
                <w:bCs/>
                <w:sz w:val="20"/>
                <w:szCs w:val="20"/>
              </w:rPr>
            </w:pPr>
            <w:r w:rsidRPr="00955AC1">
              <w:rPr>
                <w:rFonts w:ascii="Times New Roman" w:eastAsia="Times New Roman" w:hAnsi="Times New Roman" w:cs="Times New Roman"/>
                <w:b/>
                <w:bCs/>
                <w:sz w:val="20"/>
                <w:szCs w:val="20"/>
              </w:rPr>
              <w:t> </w:t>
            </w:r>
          </w:p>
          <w:p w14:paraId="3AB29358" w14:textId="77777777" w:rsidR="00390F34" w:rsidRPr="00955AC1" w:rsidRDefault="00390F34" w:rsidP="000F6D48">
            <w:pPr>
              <w:rPr>
                <w:rFonts w:ascii="Times New Roman" w:eastAsia="Times New Roman" w:hAnsi="Times New Roman" w:cs="Times New Roman"/>
                <w:b/>
                <w:bCs/>
                <w:sz w:val="20"/>
                <w:szCs w:val="20"/>
              </w:rPr>
            </w:pPr>
            <w:r w:rsidRPr="00955AC1">
              <w:rPr>
                <w:rFonts w:ascii="Times New Roman" w:eastAsia="Times New Roman" w:hAnsi="Times New Roman" w:cs="Times New Roman"/>
                <w:b/>
                <w:bCs/>
                <w:sz w:val="20"/>
                <w:szCs w:val="20"/>
              </w:rPr>
              <w:t>Answer:  </w:t>
            </w:r>
          </w:p>
          <w:p w14:paraId="6FCB61D2"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Applicants will not receive a Pre-Application number as part of their Competitive Review Submission. Each application DCA receives will be assigned a unique ID. The Competitive Review Submission will have a unique ID, and applications selected under the Competitive Review Process will receive a unique Pre-Application ID and a unique Full Application ID.  </w:t>
            </w:r>
          </w:p>
          <w:p w14:paraId="6874A0BC" w14:textId="77777777" w:rsidR="00390F34" w:rsidRPr="00955AC1" w:rsidRDefault="00390F34" w:rsidP="000F6D48">
            <w:pPr>
              <w:rPr>
                <w:rFonts w:ascii="Times New Roman" w:eastAsia="Times New Roman" w:hAnsi="Times New Roman" w:cs="Times New Roman"/>
                <w:b/>
                <w:bCs/>
                <w:sz w:val="20"/>
                <w:szCs w:val="20"/>
              </w:rPr>
            </w:pPr>
          </w:p>
        </w:tc>
      </w:tr>
      <w:tr w:rsidR="00390F34" w:rsidRPr="00955AC1" w14:paraId="6CAC3929"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04C3ED6"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581342AD"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2.02</w:t>
            </w:r>
          </w:p>
          <w:p w14:paraId="75F1C3C1"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Threshold Criteria; </w:t>
            </w:r>
          </w:p>
          <w:p w14:paraId="56EFCC4E"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487DBCA7" w14:textId="77777777" w:rsidR="00390F34" w:rsidRPr="00955AC1" w:rsidRDefault="00390F34" w:rsidP="000F6D48">
            <w:pPr>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sz w:val="20"/>
                <w:szCs w:val="20"/>
              </w:rPr>
              <w:t xml:space="preserve">995414261 </w:t>
            </w:r>
            <w:r w:rsidRPr="00955AC1">
              <w:br/>
            </w:r>
          </w:p>
          <w:p w14:paraId="1ABB3739"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Rent 4% Competitive Round: Under the </w:t>
            </w:r>
            <w:r w:rsidRPr="00955AC1">
              <w:rPr>
                <w:rFonts w:ascii="Times New Roman" w:eastAsia="Times New Roman" w:hAnsi="Times New Roman" w:cs="Times New Roman"/>
                <w:b/>
                <w:bCs/>
                <w:color w:val="000000" w:themeColor="text1"/>
                <w:sz w:val="20"/>
                <w:szCs w:val="20"/>
              </w:rPr>
              <w:t xml:space="preserve">QAP Threshold Section II Project Feasibility, Viability Analysis &amp; Conformance with Plan, subsection 6. Rent </w:t>
            </w:r>
            <w:r w:rsidRPr="00955AC1">
              <w:rPr>
                <w:rFonts w:ascii="Times New Roman" w:eastAsia="Times New Roman" w:hAnsi="Times New Roman" w:cs="Times New Roman"/>
                <w:color w:val="000000" w:themeColor="text1"/>
                <w:sz w:val="20"/>
                <w:szCs w:val="20"/>
              </w:rPr>
              <w:t>- The rents used must be put into place as of January 1, 2022. Our building is a 202 PRAC. We are going through the process of a RAD for PRAC conversion which would increase our rents, but this increase is not in effect yet. Can we use the rent we will receive as a result of the RAD for PRAC conversion that is determined by HUD?</w:t>
            </w:r>
          </w:p>
          <w:p w14:paraId="1B425668" w14:textId="77777777" w:rsidR="00390F34" w:rsidRPr="00955AC1" w:rsidRDefault="00390F34" w:rsidP="000F6D48">
            <w:pPr>
              <w:spacing w:after="160" w:line="259" w:lineRule="auto"/>
              <w:contextualSpacing/>
              <w:rPr>
                <w:rFonts w:ascii="Times New Roman" w:eastAsia="Times New Roman" w:hAnsi="Times New Roman" w:cs="Times New Roman"/>
                <w:color w:val="000000" w:themeColor="text1"/>
                <w:sz w:val="20"/>
                <w:szCs w:val="20"/>
              </w:rPr>
            </w:pPr>
          </w:p>
          <w:p w14:paraId="5AF99F4F" w14:textId="77777777" w:rsidR="00390F34" w:rsidRPr="00955AC1" w:rsidRDefault="00390F34" w:rsidP="000F6D48">
            <w:pPr>
              <w:rPr>
                <w:rFonts w:ascii="Times New Roman" w:eastAsia="Times New Roman" w:hAnsi="Times New Roman" w:cs="Times New Roman"/>
                <w:b/>
                <w:bCs/>
                <w:color w:val="4472C4" w:themeColor="accent1"/>
                <w:sz w:val="20"/>
                <w:szCs w:val="20"/>
              </w:rPr>
            </w:pPr>
            <w:r w:rsidRPr="00955AC1">
              <w:rPr>
                <w:rFonts w:ascii="Times New Roman" w:eastAsia="Times New Roman" w:hAnsi="Times New Roman" w:cs="Times New Roman"/>
                <w:b/>
                <w:bCs/>
                <w:sz w:val="20"/>
                <w:szCs w:val="20"/>
              </w:rPr>
              <w:t xml:space="preserve">Answer: </w:t>
            </w:r>
          </w:p>
          <w:p w14:paraId="35617723"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The policy in question is the following: </w:t>
            </w:r>
          </w:p>
          <w:p w14:paraId="77244098" w14:textId="77777777" w:rsidR="00390F34" w:rsidRPr="00955AC1" w:rsidRDefault="00390F34" w:rsidP="000F6D48">
            <w:pPr>
              <w:spacing w:after="160" w:line="259" w:lineRule="auto"/>
              <w:ind w:left="720"/>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b/>
                <w:bCs/>
                <w:color w:val="000000" w:themeColor="text1"/>
                <w:sz w:val="20"/>
                <w:szCs w:val="20"/>
              </w:rPr>
              <w:lastRenderedPageBreak/>
              <w:t>(Threshold Criteria) Project Feasibility</w:t>
            </w:r>
            <w:r w:rsidRPr="00955AC1">
              <w:rPr>
                <w:rFonts w:ascii="Times New Roman" w:eastAsia="Times New Roman" w:hAnsi="Times New Roman" w:cs="Times New Roman"/>
                <w:color w:val="000000" w:themeColor="text1"/>
                <w:sz w:val="20"/>
                <w:szCs w:val="20"/>
              </w:rPr>
              <w:t>,</w:t>
            </w:r>
            <w:r w:rsidRPr="00955AC1">
              <w:rPr>
                <w:rFonts w:ascii="Times New Roman" w:eastAsia="Times New Roman" w:hAnsi="Times New Roman" w:cs="Times New Roman"/>
                <w:b/>
                <w:bCs/>
                <w:color w:val="000000" w:themeColor="text1"/>
                <w:sz w:val="20"/>
                <w:szCs w:val="20"/>
              </w:rPr>
              <w:t xml:space="preserve"> </w:t>
            </w:r>
            <w:r w:rsidRPr="00955AC1">
              <w:rPr>
                <w:rFonts w:ascii="Times New Roman" w:eastAsia="Times New Roman" w:hAnsi="Times New Roman" w:cs="Times New Roman"/>
                <w:color w:val="000000" w:themeColor="text1"/>
                <w:sz w:val="20"/>
                <w:szCs w:val="20"/>
              </w:rPr>
              <w:t xml:space="preserve">subsection </w:t>
            </w:r>
            <w:r w:rsidRPr="00955AC1">
              <w:rPr>
                <w:rFonts w:ascii="Times New Roman" w:eastAsia="Times New Roman" w:hAnsi="Times New Roman" w:cs="Times New Roman"/>
                <w:b/>
                <w:bCs/>
                <w:color w:val="000000" w:themeColor="text1"/>
                <w:sz w:val="20"/>
                <w:szCs w:val="20"/>
              </w:rPr>
              <w:t>6. Rents</w:t>
            </w:r>
            <w:r w:rsidRPr="00955AC1">
              <w:rPr>
                <w:rFonts w:ascii="Times New Roman" w:eastAsia="Times New Roman" w:hAnsi="Times New Roman" w:cs="Times New Roman"/>
                <w:color w:val="000000" w:themeColor="text1"/>
                <w:sz w:val="20"/>
                <w:szCs w:val="20"/>
              </w:rPr>
              <w:t>: “Rents in effect as of January 1, 2022, must be used.”</w:t>
            </w:r>
          </w:p>
          <w:p w14:paraId="44CF00FA"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First, please note that per </w:t>
            </w:r>
            <w:r w:rsidRPr="00955AC1">
              <w:rPr>
                <w:rFonts w:ascii="Times New Roman" w:eastAsia="Times New Roman" w:hAnsi="Times New Roman" w:cs="Times New Roman"/>
                <w:b/>
                <w:bCs/>
                <w:color w:val="000000" w:themeColor="text1"/>
                <w:sz w:val="20"/>
                <w:szCs w:val="20"/>
              </w:rPr>
              <w:t>(Threshold Criteria) Applicability of Threshold Criteria</w:t>
            </w:r>
            <w:r w:rsidRPr="00955AC1">
              <w:rPr>
                <w:rFonts w:ascii="Times New Roman" w:eastAsia="Times New Roman" w:hAnsi="Times New Roman" w:cs="Times New Roman"/>
                <w:color w:val="000000" w:themeColor="text1"/>
                <w:sz w:val="20"/>
                <w:szCs w:val="20"/>
              </w:rPr>
              <w:t xml:space="preserve">, the section </w:t>
            </w:r>
            <w:r w:rsidRPr="00955AC1">
              <w:rPr>
                <w:rFonts w:ascii="Times New Roman" w:eastAsia="Times New Roman" w:hAnsi="Times New Roman" w:cs="Times New Roman"/>
                <w:b/>
                <w:bCs/>
                <w:color w:val="000000" w:themeColor="text1"/>
                <w:sz w:val="20"/>
                <w:szCs w:val="20"/>
              </w:rPr>
              <w:t>Project Feasibility</w:t>
            </w:r>
            <w:r w:rsidRPr="00955AC1">
              <w:rPr>
                <w:rFonts w:ascii="Times New Roman" w:eastAsia="Times New Roman" w:hAnsi="Times New Roman" w:cs="Times New Roman"/>
                <w:color w:val="000000" w:themeColor="text1"/>
                <w:sz w:val="20"/>
                <w:szCs w:val="20"/>
              </w:rPr>
              <w:t xml:space="preserve"> is not a requirement for purposes of 4% Competitive Review. Applicants still must complete the underwriting model in the Excel Core Application, and for that purpose applicants should use the most accurate and up-to-date information available to them. </w:t>
            </w:r>
          </w:p>
          <w:p w14:paraId="5465571A"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Second, please note that the QAP policy in question is referring to rental income for programs with a rent limit (e.g., the 60% AMI Housing Credit rent limit). The “in effect as of January” requirement does not apply to rental income based on PBRA. Please see </w:t>
            </w:r>
            <w:r w:rsidRPr="00955AC1">
              <w:rPr>
                <w:rFonts w:ascii="Times New Roman" w:eastAsia="Times New Roman" w:hAnsi="Times New Roman" w:cs="Times New Roman"/>
                <w:b/>
                <w:bCs/>
                <w:color w:val="000000" w:themeColor="text1"/>
                <w:sz w:val="20"/>
                <w:szCs w:val="20"/>
              </w:rPr>
              <w:t>(Threshold Criteria) Project Feasibility</w:t>
            </w:r>
            <w:r w:rsidRPr="00955AC1">
              <w:rPr>
                <w:rFonts w:ascii="Times New Roman" w:eastAsia="Times New Roman" w:hAnsi="Times New Roman" w:cs="Times New Roman"/>
                <w:color w:val="000000" w:themeColor="text1"/>
                <w:sz w:val="20"/>
                <w:szCs w:val="20"/>
              </w:rPr>
              <w:t xml:space="preserve">, subsection </w:t>
            </w:r>
            <w:r w:rsidRPr="00955AC1">
              <w:rPr>
                <w:rFonts w:ascii="Times New Roman" w:eastAsia="Times New Roman" w:hAnsi="Times New Roman" w:cs="Times New Roman"/>
                <w:b/>
                <w:bCs/>
                <w:color w:val="000000" w:themeColor="text1"/>
                <w:sz w:val="20"/>
                <w:szCs w:val="20"/>
              </w:rPr>
              <w:t xml:space="preserve">8. Project Based Rental Assistance (PBRA)/Rental Assistance Demonstration Program (RAD) </w:t>
            </w:r>
            <w:r w:rsidRPr="00955AC1">
              <w:rPr>
                <w:rFonts w:ascii="Times New Roman" w:eastAsia="Times New Roman" w:hAnsi="Times New Roman" w:cs="Times New Roman"/>
                <w:color w:val="000000" w:themeColor="text1"/>
                <w:sz w:val="20"/>
                <w:szCs w:val="20"/>
              </w:rPr>
              <w:t>for more information.</w:t>
            </w:r>
          </w:p>
          <w:p w14:paraId="4ECB69F2" w14:textId="77777777" w:rsidR="00390F34" w:rsidRPr="00955AC1" w:rsidRDefault="00390F34" w:rsidP="000F6D48">
            <w:pPr>
              <w:spacing w:line="259" w:lineRule="auto"/>
              <w:rPr>
                <w:rStyle w:val="IntenseReference"/>
                <w:rFonts w:ascii="Times New Roman" w:eastAsia="Times New Roman" w:hAnsi="Times New Roman" w:cs="Times New Roman"/>
                <w:sz w:val="20"/>
                <w:szCs w:val="20"/>
              </w:rPr>
            </w:pPr>
          </w:p>
        </w:tc>
      </w:tr>
      <w:tr w:rsidR="00390F34" w:rsidRPr="00955AC1" w14:paraId="7ADA8318"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619C857"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4627818E"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2.07</w:t>
            </w:r>
          </w:p>
          <w:p w14:paraId="74A1F727"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Threshold Criteria;</w:t>
            </w:r>
          </w:p>
          <w:p w14:paraId="049399D1"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Environmental Requirements</w:t>
            </w:r>
          </w:p>
        </w:tc>
        <w:tc>
          <w:tcPr>
            <w:tcW w:w="9585" w:type="dxa"/>
            <w:shd w:val="clear" w:color="auto" w:fill="auto"/>
            <w:tcMar>
              <w:top w:w="72" w:type="dxa"/>
              <w:left w:w="115" w:type="dxa"/>
              <w:bottom w:w="72" w:type="dxa"/>
              <w:right w:w="115" w:type="dxa"/>
            </w:tcMar>
            <w:vAlign w:val="center"/>
          </w:tcPr>
          <w:p w14:paraId="2D80AA23" w14:textId="77777777" w:rsidR="00390F34" w:rsidRPr="00955AC1" w:rsidRDefault="00390F34" w:rsidP="000F6D48">
            <w:pPr>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sz w:val="20"/>
                <w:szCs w:val="20"/>
              </w:rPr>
              <w:t>995019203</w:t>
            </w:r>
          </w:p>
          <w:p w14:paraId="3C0BD7EF"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Environmental: HUD/HOME Questionnaires:</w:t>
            </w:r>
          </w:p>
          <w:p w14:paraId="2D67AFC9"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The HUD/HOME Questionnaire (</w:t>
            </w:r>
            <w:hyperlink r:id="rId23" w:history="1">
              <w:r w:rsidRPr="00955AC1">
                <w:rPr>
                  <w:rStyle w:val="Hyperlink"/>
                  <w:rFonts w:ascii="Times New Roman" w:eastAsia="Times New Roman" w:hAnsi="Times New Roman" w:cs="Times New Roman"/>
                  <w:sz w:val="20"/>
                  <w:szCs w:val="20"/>
                </w:rPr>
                <w:t>click here</w:t>
              </w:r>
            </w:hyperlink>
            <w:r w:rsidRPr="00955AC1">
              <w:rPr>
                <w:rFonts w:ascii="Times New Roman" w:eastAsia="Times New Roman" w:hAnsi="Times New Roman" w:cs="Times New Roman"/>
                <w:color w:val="000000" w:themeColor="text1"/>
                <w:sz w:val="20"/>
                <w:szCs w:val="20"/>
              </w:rPr>
              <w:t>) states that this form should be completed for applications seeking HOME/HUD (Federal) funding. Can DCA confirm if HUD/HOME Questionnaire are required for projects involving any of the following? If you would, please respond to this question as it relates to each individual subsidy/source.</w:t>
            </w:r>
          </w:p>
          <w:p w14:paraId="7DCF8230"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PBV (HCV)</w:t>
            </w:r>
          </w:p>
          <w:p w14:paraId="1CC27947"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TPV (Tenant Protection Vouchers)</w:t>
            </w:r>
          </w:p>
          <w:p w14:paraId="6BB36CC9"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RAD (PBV or PBRA)</w:t>
            </w:r>
          </w:p>
          <w:p w14:paraId="5D614C9C"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ACC</w:t>
            </w:r>
          </w:p>
          <w:p w14:paraId="78C4E498"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PHA funds (either Capital Funds or recycled/repurposed developer fees)</w:t>
            </w:r>
          </w:p>
          <w:p w14:paraId="348298F3" w14:textId="77777777" w:rsidR="00390F34" w:rsidRPr="00955AC1" w:rsidRDefault="00390F34" w:rsidP="000F6D48">
            <w:pPr>
              <w:rPr>
                <w:rFonts w:ascii="Times New Roman" w:eastAsia="Times New Roman" w:hAnsi="Times New Roman" w:cs="Times New Roman"/>
                <w:b/>
                <w:bCs/>
                <w:sz w:val="20"/>
                <w:szCs w:val="20"/>
              </w:rPr>
            </w:pPr>
          </w:p>
          <w:p w14:paraId="11327454" w14:textId="77777777" w:rsidR="00390F34" w:rsidRPr="00955AC1" w:rsidRDefault="00390F34" w:rsidP="000F6D48">
            <w:pPr>
              <w:rPr>
                <w:rFonts w:ascii="Times New Roman" w:eastAsia="Times New Roman" w:hAnsi="Times New Roman" w:cs="Times New Roman"/>
                <w:b/>
                <w:bCs/>
                <w:color w:val="000000" w:themeColor="text1"/>
                <w:sz w:val="20"/>
                <w:szCs w:val="20"/>
              </w:rPr>
            </w:pPr>
            <w:r w:rsidRPr="00955AC1">
              <w:rPr>
                <w:rFonts w:ascii="Times New Roman" w:eastAsia="Times New Roman" w:hAnsi="Times New Roman" w:cs="Times New Roman"/>
                <w:b/>
                <w:bCs/>
                <w:sz w:val="20"/>
                <w:szCs w:val="20"/>
              </w:rPr>
              <w:t xml:space="preserve">Answer: </w:t>
            </w:r>
          </w:p>
          <w:p w14:paraId="57A56A05"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The HUD/HOME Questionnaire need not be included with the tax credit application for purposes of any of the above-listed resources. The Questionnaire is required for purposes of assessing eligibility for those resources, and </w:t>
            </w:r>
            <w:r w:rsidRPr="00955AC1">
              <w:rPr>
                <w:rFonts w:ascii="Times New Roman" w:eastAsia="Times New Roman" w:hAnsi="Times New Roman" w:cs="Times New Roman"/>
                <w:color w:val="000000" w:themeColor="text1"/>
                <w:sz w:val="20"/>
                <w:szCs w:val="20"/>
              </w:rPr>
              <w:lastRenderedPageBreak/>
              <w:t>the Housing Credit administering team within DCA (the Housing Finance and Development Division) does not administer any of the above-listed resources.</w:t>
            </w:r>
          </w:p>
          <w:p w14:paraId="7FE121CC" w14:textId="77777777" w:rsidR="00390F34" w:rsidRPr="00955AC1" w:rsidRDefault="00390F34" w:rsidP="000F6D48">
            <w:pPr>
              <w:spacing w:line="259" w:lineRule="auto"/>
              <w:rPr>
                <w:rStyle w:val="IntenseReference"/>
                <w:rFonts w:ascii="Times New Roman" w:eastAsia="Times New Roman" w:hAnsi="Times New Roman" w:cs="Times New Roman"/>
                <w:sz w:val="20"/>
                <w:szCs w:val="20"/>
              </w:rPr>
            </w:pPr>
          </w:p>
        </w:tc>
      </w:tr>
      <w:tr w:rsidR="00390F34" w:rsidRPr="00955AC1" w14:paraId="15ADC220"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BE436D1"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6D17B695"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2.10</w:t>
            </w:r>
          </w:p>
          <w:p w14:paraId="41C456FC"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Threshold Criteria; </w:t>
            </w:r>
          </w:p>
          <w:p w14:paraId="2449C7E8"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Site Zoning</w:t>
            </w:r>
          </w:p>
        </w:tc>
        <w:tc>
          <w:tcPr>
            <w:tcW w:w="9585" w:type="dxa"/>
            <w:shd w:val="clear" w:color="auto" w:fill="auto"/>
            <w:tcMar>
              <w:top w:w="72" w:type="dxa"/>
              <w:left w:w="115" w:type="dxa"/>
              <w:bottom w:w="72" w:type="dxa"/>
              <w:right w:w="115" w:type="dxa"/>
            </w:tcMar>
            <w:vAlign w:val="center"/>
          </w:tcPr>
          <w:p w14:paraId="3D86D843" w14:textId="77777777" w:rsidR="00390F34" w:rsidRPr="00955AC1" w:rsidRDefault="00390F34" w:rsidP="000F6D48">
            <w:pPr>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sz w:val="20"/>
                <w:szCs w:val="20"/>
              </w:rPr>
              <w:t>998174910</w:t>
            </w:r>
            <w:r w:rsidRPr="00955AC1">
              <w:br/>
            </w:r>
            <w:r w:rsidRPr="00955AC1">
              <w:rPr>
                <w:rFonts w:ascii="Times New Roman" w:eastAsia="Times New Roman" w:hAnsi="Times New Roman" w:cs="Times New Roman"/>
                <w:color w:val="000000" w:themeColor="text1"/>
                <w:sz w:val="20"/>
                <w:szCs w:val="20"/>
              </w:rPr>
              <w:t xml:space="preserve">Can you guide me as it relates to zoning? For example, I have a potential site that has a special zoning* that allows for multifamily land use. Is this acceptable to DCA for purposes of tax-exempt bonds? </w:t>
            </w:r>
          </w:p>
          <w:p w14:paraId="79235907" w14:textId="77777777" w:rsidR="00390F34" w:rsidRPr="00955AC1" w:rsidRDefault="00390F34" w:rsidP="000F6D48">
            <w:pPr>
              <w:rPr>
                <w:rFonts w:ascii="Times New Roman" w:eastAsia="Times New Roman" w:hAnsi="Times New Roman" w:cs="Times New Roman"/>
                <w:color w:val="000000" w:themeColor="text1"/>
                <w:sz w:val="20"/>
                <w:szCs w:val="20"/>
              </w:rPr>
            </w:pPr>
          </w:p>
          <w:p w14:paraId="5C1B67D0"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i/>
                <w:iCs/>
                <w:color w:val="000000" w:themeColor="text1"/>
                <w:sz w:val="20"/>
                <w:szCs w:val="20"/>
              </w:rPr>
              <w:t>* (specific zoning designation included in original question, but DCA staff removed from question for publication purposes)</w:t>
            </w:r>
          </w:p>
          <w:p w14:paraId="226A8396"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p>
          <w:p w14:paraId="6B46CFFB" w14:textId="77777777" w:rsidR="00390F34" w:rsidRPr="00955AC1" w:rsidRDefault="00390F34" w:rsidP="000F6D48">
            <w:pPr>
              <w:rPr>
                <w:rFonts w:ascii="Times New Roman" w:eastAsia="Times New Roman" w:hAnsi="Times New Roman" w:cs="Times New Roman"/>
                <w:b/>
                <w:bCs/>
                <w:color w:val="000000" w:themeColor="text1"/>
                <w:sz w:val="20"/>
                <w:szCs w:val="20"/>
              </w:rPr>
            </w:pPr>
            <w:r w:rsidRPr="00955AC1">
              <w:rPr>
                <w:rFonts w:ascii="Times New Roman" w:eastAsia="Times New Roman" w:hAnsi="Times New Roman" w:cs="Times New Roman"/>
                <w:b/>
                <w:bCs/>
                <w:sz w:val="20"/>
                <w:szCs w:val="20"/>
              </w:rPr>
              <w:t xml:space="preserve">Answer: </w:t>
            </w:r>
          </w:p>
          <w:p w14:paraId="16A5BCC2"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DCA does not pre-approve whether specific circumstances meet requirements under Threshold Criteria or Scoring Criteria through Q&amp;A. If a particular QAP policy is unclear, please re-submit the question highlighting which QAP policy needs to be clarified for you to understand whether your zoning designation will qualify.</w:t>
            </w:r>
          </w:p>
          <w:p w14:paraId="6F471998" w14:textId="77777777" w:rsidR="00390F34" w:rsidRPr="00955AC1" w:rsidRDefault="00390F34" w:rsidP="000F6D48">
            <w:pPr>
              <w:spacing w:line="259" w:lineRule="auto"/>
              <w:rPr>
                <w:rStyle w:val="IntenseReference"/>
                <w:rFonts w:ascii="Times New Roman" w:eastAsia="Times New Roman" w:hAnsi="Times New Roman" w:cs="Times New Roman"/>
                <w:sz w:val="20"/>
                <w:szCs w:val="20"/>
              </w:rPr>
            </w:pPr>
          </w:p>
        </w:tc>
      </w:tr>
      <w:tr w:rsidR="00390F34" w:rsidRPr="00955AC1" w14:paraId="2A29BA8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5FCFA4D"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151B2A0D"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3.05</w:t>
            </w:r>
          </w:p>
          <w:p w14:paraId="4E28F28A"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Scoring Criteria; Desirable/Undesirable Activities</w:t>
            </w:r>
          </w:p>
        </w:tc>
        <w:tc>
          <w:tcPr>
            <w:tcW w:w="9585" w:type="dxa"/>
            <w:shd w:val="clear" w:color="auto" w:fill="auto"/>
            <w:tcMar>
              <w:top w:w="72" w:type="dxa"/>
              <w:left w:w="115" w:type="dxa"/>
              <w:bottom w:w="72" w:type="dxa"/>
              <w:right w:w="115" w:type="dxa"/>
            </w:tcMar>
            <w:vAlign w:val="center"/>
          </w:tcPr>
          <w:p w14:paraId="13ED6C5B" w14:textId="77777777" w:rsidR="00390F34" w:rsidRPr="00955AC1" w:rsidRDefault="00390F34" w:rsidP="000F6D48">
            <w:pPr>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sz w:val="20"/>
                <w:szCs w:val="20"/>
              </w:rPr>
              <w:t>993260153</w:t>
            </w:r>
          </w:p>
          <w:p w14:paraId="166298D5"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This question pertains to the Scoring Criteria for Desirables/Undesirables.  Can I use the same Fire and Rescue station for both (p) Community Assets Fire Station and (f) Medical Care Provider?  This station has Fire /Rescue Service and EMS.</w:t>
            </w:r>
          </w:p>
          <w:p w14:paraId="5F8DD894" w14:textId="77777777" w:rsidR="00390F34" w:rsidRPr="00955AC1" w:rsidRDefault="00390F34" w:rsidP="000F6D48">
            <w:pPr>
              <w:rPr>
                <w:rFonts w:ascii="Times New Roman" w:eastAsia="Times New Roman" w:hAnsi="Times New Roman" w:cs="Times New Roman"/>
                <w:b/>
                <w:bCs/>
                <w:color w:val="4472C4" w:themeColor="accent1"/>
                <w:sz w:val="20"/>
                <w:szCs w:val="20"/>
              </w:rPr>
            </w:pPr>
            <w:r w:rsidRPr="00955AC1">
              <w:rPr>
                <w:rFonts w:ascii="Times New Roman" w:eastAsia="Times New Roman" w:hAnsi="Times New Roman" w:cs="Times New Roman"/>
                <w:b/>
                <w:bCs/>
                <w:sz w:val="20"/>
                <w:szCs w:val="20"/>
              </w:rPr>
              <w:t xml:space="preserve">Answer: </w:t>
            </w:r>
          </w:p>
          <w:p w14:paraId="5FBA7E41"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No, the QAP states: </w:t>
            </w:r>
            <w:r w:rsidRPr="00955AC1">
              <w:rPr>
                <w:rFonts w:ascii="Times New Roman" w:eastAsia="Times New Roman" w:hAnsi="Times New Roman" w:cs="Times New Roman"/>
                <w:i/>
                <w:iCs/>
                <w:color w:val="000000" w:themeColor="text1"/>
                <w:sz w:val="20"/>
                <w:szCs w:val="20"/>
              </w:rPr>
              <w:t>“Each building/entity/location will be assigned to only one (1) desirable category, with the exception of an amenity under (a), (c) or (l) below, which may be assigned to up to two (2) desirable categories.”</w:t>
            </w:r>
          </w:p>
          <w:p w14:paraId="108A7150"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Please see Q&amp;A </w:t>
            </w:r>
            <w:r w:rsidRPr="00955AC1">
              <w:rPr>
                <w:rFonts w:ascii="Times New Roman" w:eastAsia="Times New Roman" w:hAnsi="Times New Roman" w:cs="Times New Roman"/>
                <w:b/>
                <w:bCs/>
                <w:color w:val="000000" w:themeColor="text1"/>
                <w:sz w:val="20"/>
                <w:szCs w:val="20"/>
              </w:rPr>
              <w:t>Q22_0503_01b</w:t>
            </w:r>
            <w:r w:rsidRPr="00955AC1">
              <w:rPr>
                <w:rFonts w:ascii="Times New Roman" w:eastAsia="Times New Roman" w:hAnsi="Times New Roman" w:cs="Times New Roman"/>
                <w:color w:val="000000" w:themeColor="text1"/>
                <w:sz w:val="20"/>
                <w:szCs w:val="20"/>
              </w:rPr>
              <w:t xml:space="preserve"> for guidance on entities qualifying under the Medical Care Provider desirable category.</w:t>
            </w:r>
          </w:p>
        </w:tc>
      </w:tr>
      <w:tr w:rsidR="00390F34" w:rsidRPr="00955AC1" w14:paraId="1EFC612D"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DE62DFB"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227EB49A"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3.05</w:t>
            </w:r>
          </w:p>
          <w:p w14:paraId="71E3372F"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Scoring Criteria; Desirable/Undesirable Activities</w:t>
            </w:r>
          </w:p>
        </w:tc>
        <w:tc>
          <w:tcPr>
            <w:tcW w:w="9585" w:type="dxa"/>
            <w:shd w:val="clear" w:color="auto" w:fill="auto"/>
            <w:tcMar>
              <w:top w:w="72" w:type="dxa"/>
              <w:left w:w="115" w:type="dxa"/>
              <w:bottom w:w="72" w:type="dxa"/>
              <w:right w:w="115" w:type="dxa"/>
            </w:tcMar>
            <w:vAlign w:val="center"/>
          </w:tcPr>
          <w:p w14:paraId="34C8EB9A" w14:textId="77777777" w:rsidR="00390F34" w:rsidRPr="00955AC1" w:rsidRDefault="00390F34" w:rsidP="000F6D48">
            <w:pPr>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b/>
                <w:bCs/>
                <w:sz w:val="20"/>
                <w:szCs w:val="20"/>
              </w:rPr>
              <w:t xml:space="preserve">Question ID: </w:t>
            </w:r>
            <w:r w:rsidRPr="00955AC1">
              <w:rPr>
                <w:rFonts w:ascii="Times New Roman" w:eastAsia="Times New Roman" w:hAnsi="Times New Roman" w:cs="Times New Roman"/>
                <w:sz w:val="20"/>
                <w:szCs w:val="20"/>
              </w:rPr>
              <w:t>993260153_2</w:t>
            </w:r>
          </w:p>
          <w:p w14:paraId="1B035195" w14:textId="77777777" w:rsidR="00390F34" w:rsidRPr="00955AC1" w:rsidRDefault="00390F34" w:rsidP="000F6D48">
            <w:pPr>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Would a UPS Customer Center qualify for the scoring category of Community Assets – Post office? UPS Customer Service centers offer similar services as the U.S. Postal Service offices.</w:t>
            </w:r>
          </w:p>
          <w:p w14:paraId="695D846A" w14:textId="77777777" w:rsidR="00390F34" w:rsidRPr="00955AC1" w:rsidRDefault="00390F34" w:rsidP="000F6D48">
            <w:pPr>
              <w:rPr>
                <w:rFonts w:ascii="Times New Roman" w:eastAsia="Times New Roman" w:hAnsi="Times New Roman" w:cs="Times New Roman"/>
                <w:color w:val="000000" w:themeColor="text1"/>
                <w:sz w:val="20"/>
                <w:szCs w:val="20"/>
              </w:rPr>
            </w:pPr>
          </w:p>
          <w:p w14:paraId="43ADB4B1" w14:textId="77777777" w:rsidR="00390F34" w:rsidRPr="00955AC1" w:rsidRDefault="00390F34" w:rsidP="000F6D48">
            <w:pPr>
              <w:rPr>
                <w:rFonts w:ascii="Times New Roman" w:eastAsia="Times New Roman" w:hAnsi="Times New Roman" w:cs="Times New Roman"/>
                <w:b/>
                <w:bCs/>
                <w:color w:val="000000" w:themeColor="text1"/>
                <w:sz w:val="20"/>
                <w:szCs w:val="20"/>
              </w:rPr>
            </w:pPr>
            <w:r w:rsidRPr="00955AC1">
              <w:rPr>
                <w:rFonts w:ascii="Times New Roman" w:eastAsia="Times New Roman" w:hAnsi="Times New Roman" w:cs="Times New Roman"/>
                <w:b/>
                <w:bCs/>
                <w:sz w:val="20"/>
                <w:szCs w:val="20"/>
              </w:rPr>
              <w:lastRenderedPageBreak/>
              <w:t>Answer:</w:t>
            </w:r>
          </w:p>
          <w:p w14:paraId="79F9D080"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DCA provided the following guidance for a similar question regarding the 2021 QAP (see 2021 Q&amp;A </w:t>
            </w:r>
            <w:r w:rsidRPr="00955AC1">
              <w:rPr>
                <w:rFonts w:ascii="Times New Roman" w:eastAsia="Times New Roman" w:hAnsi="Times New Roman" w:cs="Times New Roman"/>
                <w:b/>
                <w:bCs/>
                <w:color w:val="000000" w:themeColor="text1"/>
                <w:sz w:val="20"/>
                <w:szCs w:val="20"/>
              </w:rPr>
              <w:t>Q0204_01</w:t>
            </w:r>
            <w:r w:rsidRPr="00955AC1">
              <w:rPr>
                <w:rFonts w:ascii="Times New Roman" w:eastAsia="Times New Roman" w:hAnsi="Times New Roman" w:cs="Times New Roman"/>
                <w:color w:val="000000" w:themeColor="text1"/>
                <w:sz w:val="20"/>
                <w:szCs w:val="20"/>
              </w:rPr>
              <w:t>). This guidance still holds for purposes of the 2022 QAP:</w:t>
            </w:r>
          </w:p>
          <w:p w14:paraId="7FC0B568" w14:textId="77777777" w:rsidR="00390F34" w:rsidRPr="00955AC1" w:rsidRDefault="00390F34" w:rsidP="000F6D48">
            <w:pPr>
              <w:spacing w:after="160" w:line="257" w:lineRule="auto"/>
              <w:ind w:left="720"/>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“The 2021 QAP list of Desirable Activities specifies post office. Post offices are branches of a public agency that administers mail. UPS and FedEx are not considered post offices.”</w:t>
            </w:r>
          </w:p>
        </w:tc>
      </w:tr>
      <w:tr w:rsidR="00390F34" w:rsidRPr="00955AC1" w14:paraId="78E691B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328C1B4"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5D9C05BC"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3.17</w:t>
            </w:r>
          </w:p>
          <w:p w14:paraId="4594D3FD"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Scoring Criteria; </w:t>
            </w:r>
          </w:p>
          <w:p w14:paraId="799570D1"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7515EEF2"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b/>
                <w:bCs/>
                <w:color w:val="000000" w:themeColor="text1"/>
                <w:sz w:val="20"/>
                <w:szCs w:val="20"/>
              </w:rPr>
              <w:t xml:space="preserve">Question ID: </w:t>
            </w:r>
            <w:r w:rsidRPr="00955AC1">
              <w:rPr>
                <w:rFonts w:ascii="Times New Roman" w:eastAsia="Times New Roman" w:hAnsi="Times New Roman" w:cs="Times New Roman"/>
                <w:color w:val="000000" w:themeColor="text1"/>
                <w:sz w:val="20"/>
                <w:szCs w:val="20"/>
              </w:rPr>
              <w:t>996163925</w:t>
            </w:r>
            <w:r w:rsidRPr="00955AC1">
              <w:rPr>
                <w:rFonts w:ascii="Times New Roman" w:eastAsia="Times New Roman" w:hAnsi="Times New Roman" w:cs="Times New Roman"/>
                <w:color w:val="000000" w:themeColor="text1"/>
                <w:sz w:val="20"/>
                <w:szCs w:val="20"/>
              </w:rPr>
              <w:br/>
              <w:t>To claim points in the Minority and Women Owned Business Engagement section, the Qualified Business must be certified under one of the programs approved and posted to the DCA website. Where can I find the list of the DCA approved programs; I have not been able to locate this list on DCA's website?</w:t>
            </w:r>
          </w:p>
          <w:p w14:paraId="657C9ED7"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b/>
                <w:bCs/>
                <w:color w:val="000000" w:themeColor="text1"/>
                <w:sz w:val="20"/>
                <w:szCs w:val="20"/>
              </w:rPr>
              <w:t>Answer</w:t>
            </w:r>
            <w:r w:rsidRPr="00955AC1">
              <w:rPr>
                <w:rFonts w:ascii="Times New Roman" w:eastAsia="Times New Roman" w:hAnsi="Times New Roman" w:cs="Times New Roman"/>
                <w:color w:val="000000" w:themeColor="text1"/>
                <w:sz w:val="20"/>
                <w:szCs w:val="20"/>
              </w:rPr>
              <w:t xml:space="preserve">: </w:t>
            </w:r>
            <w:r w:rsidRPr="00955AC1">
              <w:rPr>
                <w:rFonts w:ascii="Times New Roman" w:eastAsia="Times New Roman" w:hAnsi="Times New Roman" w:cs="Times New Roman"/>
                <w:color w:val="000000" w:themeColor="text1"/>
                <w:sz w:val="20"/>
                <w:szCs w:val="20"/>
              </w:rPr>
              <w:br/>
              <w:t>For more information on the DCA Minority- and Women-Owned Business Engagement Policy, including a list of qualifying certification programs, please click on “</w:t>
            </w:r>
            <w:r w:rsidRPr="00955AC1">
              <w:rPr>
                <w:rFonts w:ascii="Times New Roman" w:eastAsia="Times New Roman" w:hAnsi="Times New Roman" w:cs="Times New Roman"/>
                <w:i/>
                <w:iCs/>
                <w:color w:val="000000" w:themeColor="text1"/>
                <w:sz w:val="20"/>
                <w:szCs w:val="20"/>
              </w:rPr>
              <w:t>DCA Minority- and Women-Owned Business Engagement Policy”</w:t>
            </w:r>
            <w:r w:rsidRPr="00955AC1">
              <w:rPr>
                <w:rFonts w:ascii="Times New Roman" w:eastAsia="Times New Roman" w:hAnsi="Times New Roman" w:cs="Times New Roman"/>
                <w:color w:val="000000" w:themeColor="text1"/>
                <w:sz w:val="20"/>
                <w:szCs w:val="20"/>
              </w:rPr>
              <w:t xml:space="preserve"> posted on the “</w:t>
            </w:r>
            <w:hyperlink r:id="rId24" w:history="1">
              <w:r w:rsidRPr="00955AC1">
                <w:rPr>
                  <w:rStyle w:val="Hyperlink"/>
                  <w:rFonts w:ascii="Times New Roman" w:eastAsia="Times New Roman" w:hAnsi="Times New Roman" w:cs="Times New Roman"/>
                  <w:sz w:val="20"/>
                  <w:szCs w:val="20"/>
                </w:rPr>
                <w:t>2022 QAP – Scoring Documents and Data Overview</w:t>
              </w:r>
            </w:hyperlink>
            <w:r w:rsidRPr="00955AC1">
              <w:rPr>
                <w:rFonts w:ascii="Times New Roman" w:eastAsia="Times New Roman" w:hAnsi="Times New Roman" w:cs="Times New Roman"/>
                <w:color w:val="000000" w:themeColor="text1"/>
                <w:sz w:val="20"/>
                <w:szCs w:val="20"/>
              </w:rPr>
              <w:t>” webpage.</w:t>
            </w:r>
          </w:p>
        </w:tc>
      </w:tr>
      <w:tr w:rsidR="00390F34" w:rsidRPr="00955AC1" w14:paraId="36CDDE3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0712419"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4F82AE6B"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6.00</w:t>
            </w:r>
          </w:p>
          <w:p w14:paraId="636A28D1"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4%/Bonds Round Application Requirements and Procedures</w:t>
            </w:r>
          </w:p>
          <w:p w14:paraId="7AACD3FB" w14:textId="77777777" w:rsidR="00390F34" w:rsidRPr="00955AC1" w:rsidRDefault="00390F34" w:rsidP="000F6D48">
            <w:pPr>
              <w:spacing w:line="259" w:lineRule="auto"/>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534D4044" w14:textId="77777777" w:rsidR="00390F34" w:rsidRPr="00955AC1" w:rsidRDefault="00390F34" w:rsidP="000F6D48">
            <w:pPr>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b/>
                <w:bCs/>
                <w:sz w:val="20"/>
                <w:szCs w:val="20"/>
              </w:rPr>
              <w:t>Question ID:</w:t>
            </w:r>
            <w:r w:rsidRPr="00955AC1">
              <w:rPr>
                <w:rFonts w:ascii="Times New Roman" w:eastAsia="Times New Roman" w:hAnsi="Times New Roman" w:cs="Times New Roman"/>
                <w:sz w:val="20"/>
                <w:szCs w:val="20"/>
              </w:rPr>
              <w:t xml:space="preserve"> 993170019 </w:t>
            </w:r>
            <w:r w:rsidRPr="00955AC1">
              <w:br/>
            </w:r>
            <w:r w:rsidRPr="00955AC1">
              <w:rPr>
                <w:rFonts w:ascii="Times New Roman" w:eastAsia="Times New Roman" w:hAnsi="Times New Roman" w:cs="Times New Roman"/>
                <w:sz w:val="20"/>
                <w:szCs w:val="20"/>
              </w:rPr>
              <w:t xml:space="preserve">DCA received several questions related to clarifying Competitive Review Submission requirements, paired with their answers below. </w:t>
            </w:r>
          </w:p>
          <w:p w14:paraId="55A742C0"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p>
          <w:p w14:paraId="0CB8959F" w14:textId="77777777" w:rsidR="00390F34" w:rsidRPr="00955AC1" w:rsidRDefault="00390F34" w:rsidP="000F6D48">
            <w:pPr>
              <w:rPr>
                <w:rFonts w:ascii="Times New Roman" w:eastAsia="Times New Roman" w:hAnsi="Times New Roman" w:cs="Times New Roman"/>
                <w:b/>
                <w:bCs/>
                <w:color w:val="4472C4" w:themeColor="accent1"/>
                <w:sz w:val="20"/>
                <w:szCs w:val="20"/>
              </w:rPr>
            </w:pPr>
            <w:r w:rsidRPr="00955AC1">
              <w:rPr>
                <w:rFonts w:ascii="Times New Roman" w:eastAsia="Times New Roman" w:hAnsi="Times New Roman" w:cs="Times New Roman"/>
                <w:b/>
                <w:bCs/>
                <w:sz w:val="20"/>
                <w:szCs w:val="20"/>
              </w:rPr>
              <w:t xml:space="preserve">Answer: </w:t>
            </w:r>
          </w:p>
          <w:p w14:paraId="2050AE62" w14:textId="77777777" w:rsidR="00390F34" w:rsidRPr="00955AC1" w:rsidRDefault="00390F34"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00955AC1">
              <w:rPr>
                <w:rFonts w:ascii="Times New Roman" w:eastAsia="Times New Roman" w:hAnsi="Times New Roman" w:cs="Times New Roman"/>
                <w:i/>
                <w:iCs/>
                <w:color w:val="4472C4" w:themeColor="accent1"/>
                <w:sz w:val="20"/>
                <w:szCs w:val="20"/>
              </w:rPr>
              <w:t>Has an updated checklist been distributed for the 2022 4% application?</w:t>
            </w:r>
          </w:p>
          <w:p w14:paraId="523EB33A" w14:textId="77777777" w:rsidR="00390F34" w:rsidRPr="00955AC1" w:rsidRDefault="00390F34"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DCA will not be publishing a checklist for purposes of the 2022 4%/Bonds Round. For purposes of meeting QAP requirements, applicants should be reviewing the relevant QAP sections, especially the “Minimum Documentation” lists. </w:t>
            </w:r>
          </w:p>
          <w:p w14:paraId="4A6E98CD" w14:textId="77777777" w:rsidR="00390F34" w:rsidRPr="00955AC1" w:rsidRDefault="00390F34"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If necessary, any other supplementary documents related to the 4%/Bonds Competitive Round will be requested directly in Emphasys. </w:t>
            </w:r>
            <w:r w:rsidRPr="00955AC1">
              <w:br/>
            </w:r>
          </w:p>
          <w:p w14:paraId="0FE8DD6C" w14:textId="77777777" w:rsidR="00390F34" w:rsidRPr="00955AC1" w:rsidRDefault="00390F34"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00955AC1">
              <w:rPr>
                <w:rFonts w:ascii="Times New Roman" w:eastAsia="Times New Roman" w:hAnsi="Times New Roman" w:cs="Times New Roman"/>
                <w:i/>
                <w:iCs/>
                <w:color w:val="4472C4" w:themeColor="accent1"/>
                <w:sz w:val="20"/>
                <w:szCs w:val="20"/>
              </w:rPr>
              <w:t>Can DCA clarify what is required for the Competitive Review Submission? It appears to me that the submission requirements for the Competitive Review Submission are the same as a full application.</w:t>
            </w:r>
          </w:p>
          <w:p w14:paraId="73832FC1" w14:textId="77777777" w:rsidR="00390F34" w:rsidRPr="00955AC1" w:rsidRDefault="00390F34"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A Competitive Review Submission and a Full Application are not the same. A Competitive Review Submission meets all requirements for applicable Scoring Criteria, but only a select number of Threshold Criteria must be met. If selected under the Competitive Review process, at a </w:t>
            </w:r>
            <w:r w:rsidRPr="00955AC1">
              <w:rPr>
                <w:rFonts w:ascii="Times New Roman" w:eastAsia="Times New Roman" w:hAnsi="Times New Roman" w:cs="Times New Roman"/>
                <w:color w:val="000000" w:themeColor="text1"/>
                <w:sz w:val="20"/>
                <w:szCs w:val="20"/>
              </w:rPr>
              <w:lastRenderedPageBreak/>
              <w:t xml:space="preserve">later date the applicant submits a Full Application that meets all Threshold Criteria (see </w:t>
            </w:r>
            <w:r w:rsidRPr="00955AC1">
              <w:rPr>
                <w:rFonts w:ascii="Times New Roman" w:eastAsia="Times New Roman" w:hAnsi="Times New Roman" w:cs="Times New Roman"/>
                <w:b/>
                <w:bCs/>
                <w:color w:val="000000" w:themeColor="text1"/>
                <w:sz w:val="20"/>
                <w:szCs w:val="20"/>
              </w:rPr>
              <w:t xml:space="preserve">QID 1001945883_2 </w:t>
            </w:r>
            <w:r w:rsidRPr="00955AC1">
              <w:rPr>
                <w:rFonts w:ascii="Times New Roman" w:eastAsia="Times New Roman" w:hAnsi="Times New Roman" w:cs="Times New Roman"/>
                <w:color w:val="000000" w:themeColor="text1"/>
                <w:sz w:val="20"/>
                <w:szCs w:val="20"/>
              </w:rPr>
              <w:t xml:space="preserve">for a timeline discussion). </w:t>
            </w:r>
          </w:p>
          <w:p w14:paraId="0ACBEFCF" w14:textId="77777777" w:rsidR="00390F34" w:rsidRPr="00955AC1" w:rsidRDefault="00390F34"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The requirements for what must be included in the Competitive Review Submission are posted in the </w:t>
            </w:r>
            <w:r w:rsidRPr="00955AC1">
              <w:rPr>
                <w:rFonts w:ascii="Times New Roman" w:eastAsia="Times New Roman" w:hAnsi="Times New Roman" w:cs="Times New Roman"/>
                <w:b/>
                <w:bCs/>
                <w:color w:val="000000" w:themeColor="text1"/>
                <w:sz w:val="20"/>
                <w:szCs w:val="20"/>
              </w:rPr>
              <w:t>Competitive Round Announcement</w:t>
            </w:r>
            <w:r w:rsidRPr="00955AC1">
              <w:rPr>
                <w:rFonts w:ascii="Times New Roman" w:eastAsia="Times New Roman" w:hAnsi="Times New Roman" w:cs="Times New Roman"/>
                <w:color w:val="000000" w:themeColor="text1"/>
                <w:sz w:val="20"/>
                <w:szCs w:val="20"/>
              </w:rPr>
              <w:t xml:space="preserve"> under “Competitive Review Submission Requirements” (</w:t>
            </w:r>
            <w:hyperlink r:id="rId25" w:history="1">
              <w:r w:rsidRPr="00955AC1">
                <w:rPr>
                  <w:rStyle w:val="Hyperlink"/>
                  <w:rFonts w:ascii="Times New Roman" w:eastAsia="Times New Roman" w:hAnsi="Times New Roman" w:cs="Times New Roman"/>
                  <w:sz w:val="20"/>
                  <w:szCs w:val="20"/>
                </w:rPr>
                <w:t>click here</w:t>
              </w:r>
            </w:hyperlink>
            <w:r w:rsidRPr="00955AC1">
              <w:rPr>
                <w:rFonts w:ascii="Times New Roman" w:eastAsia="Times New Roman" w:hAnsi="Times New Roman" w:cs="Times New Roman"/>
                <w:color w:val="000000" w:themeColor="text1"/>
                <w:sz w:val="20"/>
                <w:szCs w:val="20"/>
              </w:rPr>
              <w:t>).</w:t>
            </w:r>
          </w:p>
          <w:p w14:paraId="4CBB92DE" w14:textId="77777777" w:rsidR="00390F34" w:rsidRPr="00955AC1" w:rsidRDefault="00390F34"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Applicants seeking greater clarity on the Competitive Review Submission requirements should submit a follow-up Q&amp;A indicating which listed requirements are unclear. </w:t>
            </w:r>
            <w:r w:rsidRPr="00955AC1">
              <w:br/>
            </w:r>
          </w:p>
          <w:p w14:paraId="52FE311A" w14:textId="77777777" w:rsidR="00390F34" w:rsidRPr="00955AC1" w:rsidRDefault="00390F34"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00955AC1">
              <w:rPr>
                <w:rFonts w:ascii="Times New Roman" w:eastAsia="Times New Roman" w:hAnsi="Times New Roman" w:cs="Times New Roman"/>
                <w:i/>
                <w:iCs/>
                <w:color w:val="4472C4" w:themeColor="accent1"/>
                <w:sz w:val="20"/>
                <w:szCs w:val="20"/>
              </w:rPr>
              <w:t xml:space="preserve">Has the window passed to submit a Competitive Review Submission including Scoring items and select Threshold items?  </w:t>
            </w:r>
          </w:p>
          <w:p w14:paraId="7CAEA635" w14:textId="77777777" w:rsidR="00390F34" w:rsidRPr="00955AC1" w:rsidRDefault="00390F34"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The </w:t>
            </w:r>
            <w:r w:rsidRPr="00955AC1">
              <w:rPr>
                <w:rFonts w:ascii="Times New Roman" w:eastAsia="Times New Roman" w:hAnsi="Times New Roman" w:cs="Times New Roman"/>
                <w:b/>
                <w:bCs/>
                <w:color w:val="000000" w:themeColor="text1"/>
                <w:sz w:val="20"/>
                <w:szCs w:val="20"/>
              </w:rPr>
              <w:t>Competitive Round Announcement</w:t>
            </w:r>
            <w:r w:rsidRPr="00955AC1">
              <w:rPr>
                <w:rFonts w:ascii="Times New Roman" w:eastAsia="Times New Roman" w:hAnsi="Times New Roman" w:cs="Times New Roman"/>
                <w:color w:val="000000" w:themeColor="text1"/>
                <w:sz w:val="20"/>
                <w:szCs w:val="20"/>
              </w:rPr>
              <w:t xml:space="preserve"> also states, under “Application Submission Timeline,” that the Competitive Review Submission deadline is Friday, October 14, 2022. </w:t>
            </w:r>
            <w:r w:rsidRPr="00955AC1">
              <w:br/>
            </w:r>
          </w:p>
          <w:p w14:paraId="532B3172" w14:textId="77777777" w:rsidR="00390F34" w:rsidRPr="00955AC1" w:rsidRDefault="00390F34"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00955AC1">
              <w:rPr>
                <w:rFonts w:ascii="Times New Roman" w:eastAsia="Times New Roman" w:hAnsi="Times New Roman" w:cs="Times New Roman"/>
                <w:i/>
                <w:iCs/>
                <w:color w:val="4472C4" w:themeColor="accent1"/>
                <w:sz w:val="20"/>
                <w:szCs w:val="20"/>
              </w:rPr>
              <w:t xml:space="preserve">Below is a list of the documents we plan to submit to meet all applicable Threshold Criteria. Can you please confirm that these are the correct ones? </w:t>
            </w:r>
          </w:p>
          <w:p w14:paraId="3B14B55C" w14:textId="77777777" w:rsidR="00390F34" w:rsidRPr="00955AC1" w:rsidRDefault="00390F34"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Absent seeing the full context of the development, DCA is not able to confirm through Q&amp;A whether a proposed set of documents will be sufficient to pass a particular Threshold section. Applicants are responsible for reviewing the QAP sections themselves to understand what documentation will be required to pass a Threshold section. </w:t>
            </w:r>
          </w:p>
          <w:p w14:paraId="247E672F" w14:textId="77777777" w:rsidR="00390F34" w:rsidRPr="00955AC1" w:rsidRDefault="00390F34"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If a specific QAP policy is ambiguous, or if given the development’s circumstances it is not clear how a particular QAP policy should apply, then please submit a new question highlighting the ambiguity.  </w:t>
            </w:r>
          </w:p>
          <w:p w14:paraId="20494AF8" w14:textId="77777777" w:rsidR="00390F34" w:rsidRPr="00955AC1" w:rsidRDefault="00390F34" w:rsidP="000F6D48">
            <w:pPr>
              <w:rPr>
                <w:rFonts w:ascii="Times New Roman" w:eastAsia="Times New Roman" w:hAnsi="Times New Roman" w:cs="Times New Roman"/>
                <w:b/>
                <w:bCs/>
                <w:sz w:val="20"/>
                <w:szCs w:val="20"/>
              </w:rPr>
            </w:pPr>
          </w:p>
        </w:tc>
      </w:tr>
      <w:tr w:rsidR="00390F34" w:rsidRPr="00955AC1" w14:paraId="2285B1C2"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2D2C0D2" w14:textId="77777777" w:rsidR="00390F34" w:rsidRPr="00955AC1" w:rsidRDefault="00390F34" w:rsidP="000F6D48">
            <w:pPr>
              <w:rPr>
                <w:rFonts w:ascii="Times New Roman" w:eastAsia="Times New Roman" w:hAnsi="Times New Roman" w:cs="Times New Roman"/>
                <w:noProof/>
                <w:sz w:val="20"/>
                <w:szCs w:val="20"/>
              </w:rPr>
            </w:pPr>
            <w:r w:rsidRPr="00955AC1">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3A3BEDCA"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6.00</w:t>
            </w:r>
          </w:p>
          <w:p w14:paraId="281E2C63" w14:textId="77777777" w:rsidR="00390F34" w:rsidRPr="00955AC1" w:rsidRDefault="00390F34" w:rsidP="000F6D48">
            <w:pPr>
              <w:spacing w:line="259" w:lineRule="auto"/>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289988D0" w14:textId="77777777" w:rsidR="00390F34" w:rsidRPr="00955AC1" w:rsidRDefault="00390F34" w:rsidP="000F6D48">
            <w:pPr>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b/>
                <w:bCs/>
                <w:sz w:val="20"/>
                <w:szCs w:val="20"/>
              </w:rPr>
              <w:t>Question ID:</w:t>
            </w:r>
            <w:r w:rsidRPr="00955AC1">
              <w:rPr>
                <w:rFonts w:ascii="Times New Roman" w:eastAsia="Times New Roman" w:hAnsi="Times New Roman" w:cs="Times New Roman"/>
                <w:sz w:val="20"/>
                <w:szCs w:val="20"/>
              </w:rPr>
              <w:t xml:space="preserve"> 1001945883_2</w:t>
            </w:r>
            <w:r w:rsidRPr="00955AC1">
              <w:br/>
            </w:r>
            <w:r w:rsidRPr="00955AC1">
              <w:rPr>
                <w:rFonts w:ascii="Times New Roman" w:eastAsia="Times New Roman" w:hAnsi="Times New Roman" w:cs="Times New Roman"/>
                <w:color w:val="000000" w:themeColor="text1"/>
                <w:sz w:val="20"/>
                <w:szCs w:val="20"/>
              </w:rPr>
              <w:t xml:space="preserve">Below are a series of questions related to </w:t>
            </w:r>
            <w:r w:rsidRPr="00955AC1">
              <w:rPr>
                <w:rFonts w:ascii="Times New Roman" w:eastAsia="Times New Roman" w:hAnsi="Times New Roman" w:cs="Times New Roman"/>
                <w:b/>
                <w:bCs/>
                <w:color w:val="000000" w:themeColor="text1"/>
                <w:sz w:val="20"/>
                <w:szCs w:val="20"/>
              </w:rPr>
              <w:t>(Core Plan) 4% Federal Credit – Bond Financed Projects</w:t>
            </w:r>
            <w:r w:rsidRPr="00955AC1">
              <w:rPr>
                <w:rFonts w:ascii="Times New Roman" w:eastAsia="Times New Roman" w:hAnsi="Times New Roman" w:cs="Times New Roman"/>
                <w:color w:val="000000" w:themeColor="text1"/>
                <w:sz w:val="20"/>
                <w:szCs w:val="20"/>
              </w:rPr>
              <w:t xml:space="preserve">, subsection </w:t>
            </w:r>
            <w:r w:rsidRPr="00955AC1">
              <w:rPr>
                <w:rFonts w:ascii="Times New Roman" w:eastAsia="Times New Roman" w:hAnsi="Times New Roman" w:cs="Times New Roman"/>
                <w:b/>
                <w:bCs/>
                <w:color w:val="000000" w:themeColor="text1"/>
                <w:sz w:val="20"/>
                <w:szCs w:val="20"/>
              </w:rPr>
              <w:t>A. 4% Credit Review Process</w:t>
            </w:r>
            <w:r w:rsidRPr="00955AC1">
              <w:rPr>
                <w:rFonts w:ascii="Times New Roman" w:eastAsia="Times New Roman" w:hAnsi="Times New Roman" w:cs="Times New Roman"/>
                <w:color w:val="000000" w:themeColor="text1"/>
                <w:sz w:val="20"/>
                <w:szCs w:val="20"/>
              </w:rPr>
              <w:t xml:space="preserve">. </w:t>
            </w:r>
          </w:p>
          <w:p w14:paraId="25226BE8"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p>
          <w:p w14:paraId="34925CAD" w14:textId="77777777" w:rsidR="00390F34" w:rsidRPr="00955AC1" w:rsidRDefault="00390F34" w:rsidP="000F6D48">
            <w:pPr>
              <w:rPr>
                <w:rFonts w:ascii="Times New Roman" w:eastAsia="Times New Roman" w:hAnsi="Times New Roman" w:cs="Times New Roman"/>
                <w:b/>
                <w:bCs/>
                <w:color w:val="4472C4" w:themeColor="accent1"/>
                <w:sz w:val="20"/>
                <w:szCs w:val="20"/>
              </w:rPr>
            </w:pPr>
            <w:r w:rsidRPr="00955AC1">
              <w:rPr>
                <w:rFonts w:ascii="Times New Roman" w:eastAsia="Times New Roman" w:hAnsi="Times New Roman" w:cs="Times New Roman"/>
                <w:b/>
                <w:bCs/>
                <w:sz w:val="20"/>
                <w:szCs w:val="20"/>
              </w:rPr>
              <w:t xml:space="preserve">Answer: </w:t>
            </w:r>
          </w:p>
          <w:p w14:paraId="6DFA37EE" w14:textId="77777777" w:rsidR="00390F34" w:rsidRPr="00955AC1" w:rsidRDefault="00390F34" w:rsidP="000F6D48">
            <w:pPr>
              <w:spacing w:after="160" w:line="259" w:lineRule="auto"/>
              <w:rPr>
                <w:rFonts w:ascii="Times New Roman" w:eastAsia="Times New Roman" w:hAnsi="Times New Roman" w:cs="Times New Roman"/>
                <w:color w:val="4472C4" w:themeColor="accent1"/>
                <w:sz w:val="20"/>
                <w:szCs w:val="20"/>
              </w:rPr>
            </w:pPr>
            <w:r w:rsidRPr="00955AC1">
              <w:rPr>
                <w:rFonts w:ascii="Times New Roman" w:eastAsia="Times New Roman" w:hAnsi="Times New Roman" w:cs="Times New Roman"/>
                <w:b/>
                <w:bCs/>
                <w:color w:val="000000" w:themeColor="text1"/>
                <w:sz w:val="20"/>
                <w:szCs w:val="20"/>
              </w:rPr>
              <w:t>Question 1:</w:t>
            </w:r>
            <w:r w:rsidRPr="00955AC1">
              <w:rPr>
                <w:rFonts w:ascii="Times New Roman" w:eastAsia="Times New Roman" w:hAnsi="Times New Roman" w:cs="Times New Roman"/>
                <w:color w:val="000000" w:themeColor="text1"/>
                <w:sz w:val="20"/>
                <w:szCs w:val="20"/>
              </w:rPr>
              <w:t xml:space="preserve"> </w:t>
            </w:r>
            <w:r w:rsidRPr="00955AC1">
              <w:rPr>
                <w:rFonts w:ascii="Times New Roman" w:eastAsia="Times New Roman" w:hAnsi="Times New Roman" w:cs="Times New Roman"/>
                <w:color w:val="4472C4" w:themeColor="accent1"/>
                <w:sz w:val="20"/>
                <w:szCs w:val="20"/>
              </w:rPr>
              <w:t>This section states “</w:t>
            </w:r>
            <w:r w:rsidRPr="00955AC1">
              <w:rPr>
                <w:rFonts w:ascii="Times New Roman" w:eastAsia="Times New Roman" w:hAnsi="Times New Roman" w:cs="Times New Roman"/>
                <w:i/>
                <w:iCs/>
                <w:color w:val="4472C4" w:themeColor="accent1"/>
                <w:sz w:val="20"/>
                <w:szCs w:val="20"/>
              </w:rPr>
              <w:t>Applications selected under the competitive process will receive DCA consent to submit a full Pre-Application within 40 days.</w:t>
            </w:r>
            <w:r w:rsidRPr="00955AC1">
              <w:rPr>
                <w:rFonts w:ascii="Times New Roman" w:eastAsia="Times New Roman" w:hAnsi="Times New Roman" w:cs="Times New Roman"/>
                <w:color w:val="4472C4" w:themeColor="accent1"/>
                <w:sz w:val="20"/>
                <w:szCs w:val="20"/>
              </w:rPr>
              <w:t xml:space="preserve">” Is this 40 days from October 14th deadline that we will receive </w:t>
            </w:r>
            <w:r w:rsidRPr="00955AC1">
              <w:rPr>
                <w:rFonts w:ascii="Times New Roman" w:eastAsia="Times New Roman" w:hAnsi="Times New Roman" w:cs="Times New Roman"/>
                <w:color w:val="4472C4" w:themeColor="accent1"/>
                <w:sz w:val="20"/>
                <w:szCs w:val="20"/>
              </w:rPr>
              <w:lastRenderedPageBreak/>
              <w:t>consent to submit a full pre-application? So by November 23rd we will know if we are allowed to submit a full pre-application?</w:t>
            </w:r>
          </w:p>
          <w:p w14:paraId="3340928F" w14:textId="77777777" w:rsidR="00390F34" w:rsidRPr="00955AC1" w:rsidRDefault="00390F34"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The above interpretation is not correct. When DCA has completed staff reviews of Competitive Review Submissions, DCA will issue consent to submit a Pre-Application to high-scoring applications. Upon receiving this consent notice, the 40-day clock starts. </w:t>
            </w:r>
          </w:p>
          <w:p w14:paraId="4F433D68" w14:textId="77777777" w:rsidR="00390F34" w:rsidRPr="00955AC1" w:rsidRDefault="00390F34"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For example, if on January 1 you are notified to proceed with submitting a Pre-Application within 40 days, you must submit your Pre-Application by February 10</w:t>
            </w:r>
            <w:r w:rsidRPr="00955AC1">
              <w:rPr>
                <w:rFonts w:ascii="Times New Roman" w:eastAsia="Times New Roman" w:hAnsi="Times New Roman" w:cs="Times New Roman"/>
                <w:color w:val="000000" w:themeColor="text1"/>
                <w:sz w:val="20"/>
                <w:szCs w:val="20"/>
                <w:vertAlign w:val="superscript"/>
              </w:rPr>
              <w:t>th</w:t>
            </w:r>
            <w:r w:rsidRPr="00955AC1">
              <w:rPr>
                <w:rFonts w:ascii="Times New Roman" w:eastAsia="Times New Roman" w:hAnsi="Times New Roman" w:cs="Times New Roman"/>
                <w:color w:val="000000" w:themeColor="text1"/>
                <w:sz w:val="20"/>
                <w:szCs w:val="20"/>
              </w:rPr>
              <w:t xml:space="preserve">. </w:t>
            </w:r>
          </w:p>
          <w:p w14:paraId="6197A73B" w14:textId="77777777" w:rsidR="00390F34" w:rsidRPr="00955AC1" w:rsidRDefault="00390F34" w:rsidP="000F6D48">
            <w:pPr>
              <w:pStyle w:val="ListParagraph"/>
              <w:numPr>
                <w:ilvl w:val="1"/>
                <w:numId w:val="61"/>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The above dates are for illustrative purposes only. DCA cannot speak to how long the Competitive Review process will take, and so we cannot provide any guidance on what these exact dates may be.</w:t>
            </w:r>
          </w:p>
          <w:p w14:paraId="11F76438" w14:textId="77777777" w:rsidR="00390F34" w:rsidRPr="00955AC1" w:rsidRDefault="00390F34" w:rsidP="000F6D48">
            <w:pPr>
              <w:spacing w:after="160" w:line="259" w:lineRule="auto"/>
              <w:rPr>
                <w:rFonts w:ascii="Times New Roman" w:eastAsia="Times New Roman" w:hAnsi="Times New Roman" w:cs="Times New Roman"/>
                <w:color w:val="4472C4" w:themeColor="accent1"/>
                <w:sz w:val="20"/>
                <w:szCs w:val="20"/>
              </w:rPr>
            </w:pPr>
            <w:r w:rsidRPr="00955AC1">
              <w:rPr>
                <w:rFonts w:ascii="Times New Roman" w:eastAsia="Times New Roman" w:hAnsi="Times New Roman" w:cs="Times New Roman"/>
                <w:b/>
                <w:bCs/>
                <w:color w:val="000000" w:themeColor="text1"/>
                <w:sz w:val="20"/>
                <w:szCs w:val="20"/>
              </w:rPr>
              <w:t xml:space="preserve">Question 2: </w:t>
            </w:r>
            <w:r w:rsidRPr="00955AC1">
              <w:rPr>
                <w:rFonts w:ascii="Times New Roman" w:eastAsia="Times New Roman" w:hAnsi="Times New Roman" w:cs="Times New Roman"/>
                <w:color w:val="4472C4" w:themeColor="accent1"/>
                <w:sz w:val="20"/>
                <w:szCs w:val="20"/>
              </w:rPr>
              <w:t xml:space="preserve">How soon after the developer submits the pre-application will DCA provide the "Pre-Application Clearance Letter"? </w:t>
            </w:r>
          </w:p>
          <w:p w14:paraId="5ACC6D64" w14:textId="77777777" w:rsidR="00390F34" w:rsidRPr="00955AC1" w:rsidRDefault="00390F34"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How long it takes DCA staff to review a Pre-Application depends on how many items listed under </w:t>
            </w:r>
            <w:r w:rsidRPr="00955AC1">
              <w:rPr>
                <w:rFonts w:ascii="Times New Roman" w:eastAsia="Times New Roman" w:hAnsi="Times New Roman" w:cs="Times New Roman"/>
                <w:b/>
                <w:bCs/>
                <w:color w:val="000000" w:themeColor="text1"/>
                <w:sz w:val="20"/>
                <w:szCs w:val="20"/>
              </w:rPr>
              <w:t>(Core Plan) Submission Requirements and Award Limitations</w:t>
            </w:r>
            <w:r w:rsidRPr="00955AC1">
              <w:rPr>
                <w:rFonts w:ascii="Times New Roman" w:eastAsia="Times New Roman" w:hAnsi="Times New Roman" w:cs="Times New Roman"/>
                <w:color w:val="000000" w:themeColor="text1"/>
                <w:sz w:val="20"/>
                <w:szCs w:val="20"/>
              </w:rPr>
              <w:t xml:space="preserve">, subsection </w:t>
            </w:r>
            <w:r w:rsidRPr="00955AC1">
              <w:rPr>
                <w:rFonts w:ascii="Times New Roman" w:eastAsia="Times New Roman" w:hAnsi="Times New Roman" w:cs="Times New Roman"/>
                <w:b/>
                <w:bCs/>
                <w:color w:val="000000" w:themeColor="text1"/>
                <w:sz w:val="20"/>
                <w:szCs w:val="20"/>
              </w:rPr>
              <w:t>A. Pre-Determinations and Waivers</w:t>
            </w:r>
            <w:r w:rsidRPr="00955AC1">
              <w:rPr>
                <w:rFonts w:ascii="Times New Roman" w:eastAsia="Times New Roman" w:hAnsi="Times New Roman" w:cs="Times New Roman"/>
                <w:color w:val="000000" w:themeColor="text1"/>
                <w:sz w:val="20"/>
                <w:szCs w:val="20"/>
              </w:rPr>
              <w:t xml:space="preserve"> apply to the development. A New Supply application with no waivers will be reviewed more quickly than a Preservation development with 20+ architectural waivers. </w:t>
            </w:r>
          </w:p>
          <w:p w14:paraId="6F8D863E" w14:textId="77777777" w:rsidR="00390F34" w:rsidRPr="00955AC1" w:rsidRDefault="00390F34"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Further, DCA does not know to what extent 2023 9% Competitive Round seasonal processes will overlap with post-award 2022 4%/Bonds Competitive Round processes. This may delay a Pre-Application Clearance Letter. </w:t>
            </w:r>
          </w:p>
          <w:p w14:paraId="2363EE76" w14:textId="77777777" w:rsidR="00390F34" w:rsidRPr="00955AC1" w:rsidRDefault="00390F34" w:rsidP="000F6D48">
            <w:pPr>
              <w:spacing w:after="160" w:line="259" w:lineRule="auto"/>
              <w:rPr>
                <w:rFonts w:ascii="Times New Roman" w:eastAsia="Times New Roman" w:hAnsi="Times New Roman" w:cs="Times New Roman"/>
                <w:color w:val="4472C4" w:themeColor="accent1"/>
                <w:sz w:val="20"/>
                <w:szCs w:val="20"/>
              </w:rPr>
            </w:pPr>
            <w:r w:rsidRPr="00955AC1">
              <w:rPr>
                <w:rFonts w:ascii="Times New Roman" w:eastAsia="Times New Roman" w:hAnsi="Times New Roman" w:cs="Times New Roman"/>
                <w:b/>
                <w:bCs/>
                <w:color w:val="000000" w:themeColor="text1"/>
                <w:sz w:val="20"/>
                <w:szCs w:val="20"/>
              </w:rPr>
              <w:t>Question 3:</w:t>
            </w:r>
            <w:r w:rsidRPr="00955AC1">
              <w:rPr>
                <w:rFonts w:ascii="Times New Roman" w:eastAsia="Times New Roman" w:hAnsi="Times New Roman" w:cs="Times New Roman"/>
                <w:color w:val="000000" w:themeColor="text1"/>
                <w:sz w:val="20"/>
                <w:szCs w:val="20"/>
              </w:rPr>
              <w:t xml:space="preserve"> </w:t>
            </w:r>
            <w:r w:rsidRPr="00955AC1">
              <w:rPr>
                <w:rFonts w:ascii="Times New Roman" w:eastAsia="Times New Roman" w:hAnsi="Times New Roman" w:cs="Times New Roman"/>
                <w:color w:val="4472C4" w:themeColor="accent1"/>
                <w:sz w:val="20"/>
                <w:szCs w:val="20"/>
              </w:rPr>
              <w:t>How soon after the developer receives the "Pre-Application Clearance Letter" will DCA issue the consent to apply for LODs with a Full Application Submission?</w:t>
            </w:r>
          </w:p>
          <w:p w14:paraId="4BBFFB1C" w14:textId="77777777" w:rsidR="00390F34" w:rsidRPr="00955AC1" w:rsidRDefault="00390F34" w:rsidP="000F6D48">
            <w:pPr>
              <w:pStyle w:val="ListParagraph"/>
              <w:numPr>
                <w:ilvl w:val="0"/>
                <w:numId w:val="60"/>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The Pre-Application Clearance Letter is just Pre-Application approval. Per the “Application Submission Timeline” detailed in the </w:t>
            </w:r>
            <w:r w:rsidRPr="00955AC1">
              <w:rPr>
                <w:rFonts w:ascii="Times New Roman" w:eastAsia="Times New Roman" w:hAnsi="Times New Roman" w:cs="Times New Roman"/>
                <w:b/>
                <w:bCs/>
                <w:color w:val="000000" w:themeColor="text1"/>
                <w:sz w:val="20"/>
                <w:szCs w:val="20"/>
              </w:rPr>
              <w:t>4%/Bonds Competitive Round Announcement</w:t>
            </w:r>
            <w:r w:rsidRPr="00955AC1">
              <w:rPr>
                <w:rFonts w:ascii="Times New Roman" w:eastAsia="Times New Roman" w:hAnsi="Times New Roman" w:cs="Times New Roman"/>
                <w:color w:val="000000" w:themeColor="text1"/>
                <w:sz w:val="20"/>
                <w:szCs w:val="20"/>
              </w:rPr>
              <w:t xml:space="preserve"> (</w:t>
            </w:r>
            <w:hyperlink r:id="rId26" w:history="1">
              <w:r w:rsidRPr="00955AC1">
                <w:rPr>
                  <w:rStyle w:val="Hyperlink"/>
                  <w:rFonts w:ascii="Times New Roman" w:eastAsia="Times New Roman" w:hAnsi="Times New Roman" w:cs="Times New Roman"/>
                  <w:sz w:val="20"/>
                  <w:szCs w:val="20"/>
                </w:rPr>
                <w:t>click here</w:t>
              </w:r>
            </w:hyperlink>
            <w:r w:rsidRPr="00955AC1">
              <w:rPr>
                <w:rFonts w:ascii="Times New Roman" w:eastAsia="Times New Roman" w:hAnsi="Times New Roman" w:cs="Times New Roman"/>
                <w:color w:val="000000" w:themeColor="text1"/>
                <w:sz w:val="20"/>
                <w:szCs w:val="20"/>
              </w:rPr>
              <w:t xml:space="preserve">), immediately upon receiving Pre-Application approval, the applicant will have 60 days to submit a Full Application. </w:t>
            </w:r>
          </w:p>
          <w:p w14:paraId="1F113DA3" w14:textId="77777777" w:rsidR="00390F34" w:rsidRPr="00955AC1" w:rsidRDefault="00390F34" w:rsidP="000F6D48">
            <w:pPr>
              <w:spacing w:after="160" w:line="259" w:lineRule="auto"/>
              <w:rPr>
                <w:rFonts w:ascii="Times New Roman" w:eastAsia="Times New Roman" w:hAnsi="Times New Roman" w:cs="Times New Roman"/>
                <w:color w:val="4472C4" w:themeColor="accent1"/>
                <w:sz w:val="20"/>
                <w:szCs w:val="20"/>
              </w:rPr>
            </w:pPr>
            <w:r w:rsidRPr="00955AC1">
              <w:rPr>
                <w:rFonts w:ascii="Times New Roman" w:eastAsia="Times New Roman" w:hAnsi="Times New Roman" w:cs="Times New Roman"/>
                <w:b/>
                <w:bCs/>
                <w:color w:val="000000" w:themeColor="text1"/>
                <w:sz w:val="20"/>
                <w:szCs w:val="20"/>
              </w:rPr>
              <w:t>Question 4:</w:t>
            </w:r>
            <w:r w:rsidRPr="00955AC1">
              <w:rPr>
                <w:rFonts w:ascii="Times New Roman" w:eastAsia="Times New Roman" w:hAnsi="Times New Roman" w:cs="Times New Roman"/>
                <w:color w:val="000000" w:themeColor="text1"/>
                <w:sz w:val="20"/>
                <w:szCs w:val="20"/>
              </w:rPr>
              <w:t xml:space="preserve"> </w:t>
            </w:r>
            <w:r w:rsidRPr="00955AC1">
              <w:rPr>
                <w:rFonts w:ascii="Times New Roman" w:eastAsia="Times New Roman" w:hAnsi="Times New Roman" w:cs="Times New Roman"/>
                <w:i/>
                <w:iCs/>
                <w:color w:val="4472C4" w:themeColor="accent1"/>
                <w:sz w:val="20"/>
                <w:szCs w:val="20"/>
              </w:rPr>
              <w:t>What is the expected timeline for DCA to review the Full Application submission and issue a LOD?</w:t>
            </w:r>
          </w:p>
          <w:p w14:paraId="73764F3C" w14:textId="77777777" w:rsidR="00390F34" w:rsidRPr="00955AC1" w:rsidRDefault="00390F34" w:rsidP="000F6D48">
            <w:pPr>
              <w:pStyle w:val="ListParagraph"/>
              <w:numPr>
                <w:ilvl w:val="0"/>
                <w:numId w:val="59"/>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The answer is similar to question 2 above. This depends on the complexity of the Full Application and the extent to which 4%/Bonds Round reviews overlap with other seasonal processes, including but not limited to the 9% Competitive Round.</w:t>
            </w:r>
          </w:p>
          <w:p w14:paraId="1CCA9368" w14:textId="77777777" w:rsidR="00390F34" w:rsidRPr="00955AC1" w:rsidRDefault="00390F34" w:rsidP="000F6D48">
            <w:pPr>
              <w:spacing w:line="259" w:lineRule="auto"/>
              <w:rPr>
                <w:rStyle w:val="IntenseReference"/>
                <w:rFonts w:ascii="Times New Roman" w:eastAsia="Times New Roman" w:hAnsi="Times New Roman" w:cs="Times New Roman"/>
                <w:sz w:val="20"/>
                <w:szCs w:val="20"/>
              </w:rPr>
            </w:pPr>
          </w:p>
        </w:tc>
      </w:tr>
      <w:tr w:rsidR="00390F34" w:rsidRPr="00955AC1" w14:paraId="2E9F0D6C"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E01230F"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lastRenderedPageBreak/>
              <w:t>8/5/22</w:t>
            </w:r>
          </w:p>
        </w:tc>
        <w:tc>
          <w:tcPr>
            <w:tcW w:w="2663" w:type="dxa"/>
            <w:shd w:val="clear" w:color="auto" w:fill="auto"/>
            <w:tcMar>
              <w:top w:w="72" w:type="dxa"/>
              <w:left w:w="115" w:type="dxa"/>
              <w:bottom w:w="72" w:type="dxa"/>
              <w:right w:w="115" w:type="dxa"/>
            </w:tcMar>
            <w:vAlign w:val="center"/>
          </w:tcPr>
          <w:p w14:paraId="0CAAF083" w14:textId="77777777" w:rsidR="00390F34" w:rsidRPr="00955AC1" w:rsidRDefault="00390F34" w:rsidP="000F6D48">
            <w:pPr>
              <w:spacing w:line="259" w:lineRule="auto"/>
              <w:rPr>
                <w:rFonts w:ascii="Times New Roman" w:hAnsi="Times New Roman" w:cs="Times New Roman"/>
                <w:sz w:val="20"/>
                <w:szCs w:val="20"/>
              </w:rPr>
            </w:pPr>
            <w:r w:rsidRPr="00955AC1">
              <w:rPr>
                <w:rFonts w:ascii="Times New Roman" w:hAnsi="Times New Roman" w:cs="Times New Roman"/>
                <w:sz w:val="20"/>
                <w:szCs w:val="20"/>
              </w:rPr>
              <w:t>2.15</w:t>
            </w:r>
          </w:p>
          <w:p w14:paraId="14D98106" w14:textId="77777777" w:rsidR="00390F34" w:rsidRPr="00955AC1" w:rsidRDefault="00390F34" w:rsidP="000F6D48">
            <w:pPr>
              <w:spacing w:line="259" w:lineRule="auto"/>
              <w:rPr>
                <w:rFonts w:ascii="Times New Roman" w:hAnsi="Times New Roman" w:cs="Times New Roman"/>
                <w:sz w:val="20"/>
                <w:szCs w:val="20"/>
              </w:rPr>
            </w:pPr>
            <w:r w:rsidRPr="00955AC1">
              <w:rPr>
                <w:rFonts w:ascii="Times New Roman" w:hAnsi="Times New Roman" w:cs="Times New Roman"/>
                <w:sz w:val="20"/>
                <w:szCs w:val="20"/>
              </w:rPr>
              <w:t xml:space="preserve">Threshold Criteria; </w:t>
            </w:r>
          </w:p>
          <w:p w14:paraId="773775D4" w14:textId="77777777" w:rsidR="00390F34" w:rsidRPr="00955AC1" w:rsidRDefault="00390F34" w:rsidP="000F6D48">
            <w:pPr>
              <w:spacing w:line="259" w:lineRule="auto"/>
              <w:rPr>
                <w:rFonts w:ascii="Times New Roman" w:hAnsi="Times New Roman" w:cs="Times New Roman"/>
                <w:sz w:val="20"/>
                <w:szCs w:val="20"/>
              </w:rPr>
            </w:pPr>
            <w:r w:rsidRPr="00955AC1">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25B03E21" w14:textId="77777777" w:rsidR="00390F34" w:rsidRPr="00955AC1" w:rsidRDefault="00390F34" w:rsidP="000F6D48">
            <w:pPr>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b/>
                <w:bCs/>
                <w:sz w:val="20"/>
                <w:szCs w:val="20"/>
              </w:rPr>
              <w:t>Question ID:</w:t>
            </w:r>
            <w:r w:rsidRPr="00955AC1">
              <w:rPr>
                <w:rFonts w:ascii="Times New Roman" w:eastAsia="Times New Roman" w:hAnsi="Times New Roman" w:cs="Times New Roman"/>
                <w:sz w:val="20"/>
                <w:szCs w:val="20"/>
              </w:rPr>
              <w:t xml:space="preserve"> 0725_HFDR-1</w:t>
            </w:r>
            <w:r w:rsidRPr="00955AC1">
              <w:rPr>
                <w:rFonts w:ascii="Times New Roman" w:hAnsi="Times New Roman" w:cs="Times New Roman"/>
                <w:sz w:val="20"/>
                <w:szCs w:val="20"/>
              </w:rPr>
              <w:br/>
              <w:t>I have questions regarding the QAP standards for a rehabilitation.</w:t>
            </w:r>
          </w:p>
          <w:p w14:paraId="754C320E" w14:textId="77777777" w:rsidR="00390F34" w:rsidRPr="00955AC1" w:rsidRDefault="00390F34" w:rsidP="000F6D48">
            <w:pPr>
              <w:pStyle w:val="ListParagraph"/>
              <w:numPr>
                <w:ilvl w:val="0"/>
                <w:numId w:val="56"/>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Do rehab projects applying for a 4% tax credit need to have a minimum of $25,000/interior unit in hard costs? </w:t>
            </w:r>
          </w:p>
          <w:p w14:paraId="07293A87" w14:textId="77777777" w:rsidR="00390F34" w:rsidRPr="00955AC1" w:rsidRDefault="00390F34" w:rsidP="000F6D48">
            <w:pPr>
              <w:pStyle w:val="ListParagraph"/>
              <w:numPr>
                <w:ilvl w:val="0"/>
                <w:numId w:val="56"/>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Assuming that it is required for 4% deals, I have two follow-up questions:</w:t>
            </w:r>
          </w:p>
          <w:p w14:paraId="53B6EED6" w14:textId="77777777" w:rsidR="00390F34" w:rsidRPr="00955AC1" w:rsidRDefault="00390F34" w:rsidP="000F6D48">
            <w:pPr>
              <w:pStyle w:val="ListParagraph"/>
              <w:numPr>
                <w:ilvl w:val="1"/>
                <w:numId w:val="56"/>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Is contingency included in this? </w:t>
            </w:r>
          </w:p>
          <w:p w14:paraId="2BF55E83" w14:textId="77777777" w:rsidR="00390F34" w:rsidRPr="00955AC1" w:rsidRDefault="00390F34" w:rsidP="000F6D48">
            <w:pPr>
              <w:pStyle w:val="ListParagraph"/>
              <w:numPr>
                <w:ilvl w:val="1"/>
                <w:numId w:val="56"/>
              </w:num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Does this apply for a Section 8 deal. That is, are any waivers possible?</w:t>
            </w:r>
          </w:p>
          <w:p w14:paraId="7F378819" w14:textId="77777777" w:rsidR="00390F34" w:rsidRPr="00955AC1" w:rsidRDefault="00390F34" w:rsidP="000F6D48">
            <w:pPr>
              <w:spacing w:after="160" w:line="259" w:lineRule="auto"/>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I am referring to the following requirement in the </w:t>
            </w:r>
            <w:r w:rsidRPr="00955AC1">
              <w:rPr>
                <w:rFonts w:ascii="Times New Roman" w:eastAsia="Times New Roman" w:hAnsi="Times New Roman" w:cs="Times New Roman"/>
                <w:b/>
                <w:bCs/>
                <w:color w:val="000000" w:themeColor="text1"/>
                <w:sz w:val="20"/>
                <w:szCs w:val="20"/>
              </w:rPr>
              <w:t>Rehabilitation Guide</w:t>
            </w:r>
            <w:r w:rsidRPr="00955AC1">
              <w:rPr>
                <w:rFonts w:ascii="Times New Roman" w:eastAsia="Times New Roman" w:hAnsi="Times New Roman" w:cs="Times New Roman"/>
                <w:color w:val="000000" w:themeColor="text1"/>
                <w:sz w:val="20"/>
                <w:szCs w:val="20"/>
              </w:rPr>
              <w:t xml:space="preserve"> of the </w:t>
            </w:r>
            <w:r w:rsidRPr="00955AC1">
              <w:rPr>
                <w:rFonts w:ascii="Times New Roman" w:eastAsia="Times New Roman" w:hAnsi="Times New Roman" w:cs="Times New Roman"/>
                <w:b/>
                <w:bCs/>
                <w:color w:val="000000" w:themeColor="text1"/>
                <w:sz w:val="20"/>
                <w:szCs w:val="20"/>
              </w:rPr>
              <w:t>2022 Architectural Manual</w:t>
            </w:r>
            <w:r w:rsidRPr="00955AC1">
              <w:rPr>
                <w:rFonts w:ascii="Times New Roman" w:eastAsia="Times New Roman" w:hAnsi="Times New Roman" w:cs="Times New Roman"/>
                <w:color w:val="000000" w:themeColor="text1"/>
                <w:sz w:val="20"/>
                <w:szCs w:val="20"/>
              </w:rPr>
              <w:t xml:space="preserve">: </w:t>
            </w:r>
          </w:p>
          <w:p w14:paraId="106D3659" w14:textId="77777777" w:rsidR="00390F34" w:rsidRPr="00955AC1" w:rsidRDefault="00390F34" w:rsidP="000F6D48">
            <w:pPr>
              <w:spacing w:after="160" w:line="259" w:lineRule="auto"/>
              <w:rPr>
                <w:rFonts w:ascii="Times New Roman" w:eastAsia="Times New Roman" w:hAnsi="Times New Roman" w:cs="Times New Roman"/>
                <w:i/>
                <w:iCs/>
                <w:color w:val="000000" w:themeColor="text1"/>
                <w:sz w:val="20"/>
                <w:szCs w:val="20"/>
              </w:rPr>
            </w:pPr>
            <w:r w:rsidRPr="00955AC1">
              <w:rPr>
                <w:rFonts w:ascii="Times New Roman" w:eastAsia="Times New Roman" w:hAnsi="Times New Roman" w:cs="Times New Roman"/>
                <w:i/>
                <w:iCs/>
                <w:color w:val="000000" w:themeColor="text1"/>
                <w:sz w:val="20"/>
                <w:szCs w:val="20"/>
              </w:rPr>
              <w:t>“Hard costs eligible for this minimum “dwelling unit” per unit hard cost minimum requirement shall be limited to interior dwelling unit improvements and dwelling unit envelope work items that directly impact the quality of life of the resident (i.e., windows, entry doors, unit insulation, balconies, and patios only). Exterior wall cladding and roofs of residential structures, site improvements, common building systems, community building improvements, new community buildings, maintenance facilities, other common use structures, interior amenities, exterior amenities and other similar items ARE NOT eligible to count towards the $25,000 “dwelling unit” per unit hard cost minimum.”</w:t>
            </w:r>
          </w:p>
          <w:p w14:paraId="48CAB332" w14:textId="77777777" w:rsidR="00390F34" w:rsidRPr="00955AC1" w:rsidRDefault="00390F34" w:rsidP="000F6D48">
            <w:pPr>
              <w:rPr>
                <w:rFonts w:ascii="Times New Roman" w:eastAsia="Times New Roman" w:hAnsi="Times New Roman" w:cs="Times New Roman"/>
                <w:b/>
                <w:bCs/>
                <w:color w:val="4472C4" w:themeColor="accent1"/>
                <w:sz w:val="20"/>
                <w:szCs w:val="20"/>
              </w:rPr>
            </w:pPr>
            <w:r w:rsidRPr="00955AC1">
              <w:rPr>
                <w:rFonts w:ascii="Times New Roman" w:eastAsia="Times New Roman" w:hAnsi="Times New Roman" w:cs="Times New Roman"/>
                <w:b/>
                <w:bCs/>
                <w:sz w:val="20"/>
                <w:szCs w:val="20"/>
              </w:rPr>
              <w:t xml:space="preserve">Answer: </w:t>
            </w:r>
          </w:p>
          <w:p w14:paraId="23496E37" w14:textId="77777777" w:rsidR="00390F34" w:rsidRPr="00955AC1" w:rsidRDefault="00390F34" w:rsidP="000F6D48">
            <w:pPr>
              <w:spacing w:after="160" w:line="259" w:lineRule="auto"/>
              <w:rPr>
                <w:rFonts w:ascii="Times New Roman" w:eastAsia="Times New Roman" w:hAnsi="Times New Roman" w:cs="Times New Roman"/>
                <w:color w:val="498205"/>
                <w:sz w:val="20"/>
                <w:szCs w:val="20"/>
                <w:u w:val="single"/>
              </w:rPr>
            </w:pPr>
            <w:r w:rsidRPr="00955AC1">
              <w:rPr>
                <w:rFonts w:ascii="Times New Roman" w:eastAsia="Times New Roman" w:hAnsi="Times New Roman" w:cs="Times New Roman"/>
                <w:color w:val="000000" w:themeColor="text1"/>
                <w:sz w:val="20"/>
                <w:szCs w:val="20"/>
              </w:rPr>
              <w:t xml:space="preserve">Question #1 answer – Yes, the minimum “dwelling unit” per unit hard cost budget is $25,000 for all properties proposing rehab. </w:t>
            </w:r>
          </w:p>
          <w:p w14:paraId="531600C8" w14:textId="77777777" w:rsidR="00390F34" w:rsidRPr="00955AC1" w:rsidRDefault="00390F34" w:rsidP="000F6D48">
            <w:pPr>
              <w:spacing w:after="160" w:line="259" w:lineRule="auto"/>
              <w:rPr>
                <w:rFonts w:ascii="Times New Roman" w:eastAsia="Times New Roman" w:hAnsi="Times New Roman" w:cs="Times New Roman"/>
                <w:color w:val="498205"/>
                <w:sz w:val="20"/>
                <w:szCs w:val="20"/>
                <w:u w:val="single"/>
              </w:rPr>
            </w:pPr>
            <w:r w:rsidRPr="00955AC1">
              <w:rPr>
                <w:rFonts w:ascii="Times New Roman" w:eastAsia="Times New Roman" w:hAnsi="Times New Roman" w:cs="Times New Roman"/>
                <w:color w:val="000000" w:themeColor="text1"/>
                <w:sz w:val="20"/>
                <w:szCs w:val="20"/>
              </w:rPr>
              <w:t xml:space="preserve">Question #2a answer – No, the minimum “dwelling unit” per unit hard cost budget of $25,000 does not include contingency. </w:t>
            </w:r>
          </w:p>
          <w:p w14:paraId="0E28D978" w14:textId="77777777" w:rsidR="00390F34" w:rsidRPr="00955AC1" w:rsidRDefault="00390F34" w:rsidP="000F6D48">
            <w:pPr>
              <w:spacing w:after="160" w:line="259" w:lineRule="auto"/>
              <w:rPr>
                <w:rFonts w:ascii="Times New Roman" w:eastAsia="Times New Roman" w:hAnsi="Times New Roman" w:cs="Times New Roman"/>
                <w:color w:val="498205"/>
                <w:sz w:val="20"/>
                <w:szCs w:val="20"/>
                <w:u w:val="single"/>
              </w:rPr>
            </w:pPr>
            <w:r w:rsidRPr="00955AC1">
              <w:rPr>
                <w:rFonts w:ascii="Times New Roman" w:eastAsia="Times New Roman" w:hAnsi="Times New Roman" w:cs="Times New Roman"/>
                <w:color w:val="000000" w:themeColor="text1"/>
                <w:sz w:val="20"/>
                <w:szCs w:val="20"/>
              </w:rPr>
              <w:t>Question #2b answer – Yes, this also applies for Section 8 deals.  Waivers are applicable per the guidance provided in both 2022 QAP and Architectural Manual – Rehabilitation Guide (</w:t>
            </w:r>
            <w:hyperlink r:id="rId27">
              <w:r w:rsidRPr="00955AC1">
                <w:rPr>
                  <w:rStyle w:val="Hyperlink"/>
                  <w:rFonts w:ascii="Times New Roman" w:eastAsia="Times New Roman" w:hAnsi="Times New Roman" w:cs="Times New Roman"/>
                  <w:sz w:val="20"/>
                  <w:szCs w:val="20"/>
                </w:rPr>
                <w:t>click here</w:t>
              </w:r>
            </w:hyperlink>
            <w:r w:rsidRPr="00955AC1">
              <w:rPr>
                <w:rFonts w:ascii="Times New Roman" w:eastAsia="Times New Roman" w:hAnsi="Times New Roman" w:cs="Times New Roman"/>
                <w:color w:val="000000" w:themeColor="text1"/>
                <w:sz w:val="20"/>
                <w:szCs w:val="20"/>
              </w:rPr>
              <w:t>).</w:t>
            </w:r>
          </w:p>
          <w:p w14:paraId="502B77C8" w14:textId="77777777" w:rsidR="00390F34" w:rsidRPr="00955AC1" w:rsidRDefault="00390F34" w:rsidP="000F6D48">
            <w:pPr>
              <w:spacing w:after="160" w:line="259" w:lineRule="auto"/>
              <w:rPr>
                <w:rStyle w:val="IntenseReference"/>
                <w:rFonts w:ascii="Times New Roman" w:hAnsi="Times New Roman" w:cs="Times New Roman"/>
                <w:sz w:val="20"/>
                <w:szCs w:val="20"/>
              </w:rPr>
            </w:pPr>
            <w:r w:rsidRPr="00955AC1">
              <w:rPr>
                <w:rFonts w:ascii="Times New Roman" w:eastAsia="Times New Roman" w:hAnsi="Times New Roman" w:cs="Times New Roman"/>
                <w:color w:val="000000" w:themeColor="text1"/>
                <w:sz w:val="20"/>
                <w:szCs w:val="20"/>
              </w:rPr>
              <w:t>Please see 2022 QAP and applicable Rehab Standards in Architectural Manual for full disclosure of work scope requirements and definition of “dwelling unit” along with guidance for allowable waivers for deals including a rehab component. DCA will not waive the minimum hard costs of $25,000 per dwelling unit requirement.</w:t>
            </w:r>
          </w:p>
        </w:tc>
      </w:tr>
      <w:tr w:rsidR="00390F34" w:rsidRPr="00955AC1" w14:paraId="7E68A612" w14:textId="77777777" w:rsidTr="64301FE8">
        <w:trPr>
          <w:trHeight w:val="1808"/>
          <w:jc w:val="center"/>
        </w:trPr>
        <w:tc>
          <w:tcPr>
            <w:tcW w:w="1697" w:type="dxa"/>
            <w:shd w:val="clear" w:color="auto" w:fill="auto"/>
            <w:tcMar>
              <w:top w:w="72" w:type="dxa"/>
              <w:left w:w="115" w:type="dxa"/>
              <w:bottom w:w="72" w:type="dxa"/>
              <w:right w:w="115" w:type="dxa"/>
            </w:tcMar>
            <w:vAlign w:val="center"/>
          </w:tcPr>
          <w:p w14:paraId="26D2B2F1"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7/27/22</w:t>
            </w:r>
          </w:p>
        </w:tc>
        <w:tc>
          <w:tcPr>
            <w:tcW w:w="2663" w:type="dxa"/>
            <w:shd w:val="clear" w:color="auto" w:fill="auto"/>
            <w:tcMar>
              <w:top w:w="72" w:type="dxa"/>
              <w:left w:w="115" w:type="dxa"/>
              <w:bottom w:w="72" w:type="dxa"/>
              <w:right w:w="115" w:type="dxa"/>
            </w:tcMar>
            <w:vAlign w:val="center"/>
          </w:tcPr>
          <w:p w14:paraId="7C277EB2"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1.10</w:t>
            </w:r>
          </w:p>
          <w:p w14:paraId="123466E2"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7F5B9515"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 ID:</w:t>
            </w:r>
            <w:r w:rsidRPr="00955AC1">
              <w:rPr>
                <w:rFonts w:ascii="Times New Roman" w:eastAsia="Times New Roman" w:hAnsi="Times New Roman" w:cs="Times New Roman"/>
                <w:sz w:val="20"/>
                <w:szCs w:val="20"/>
              </w:rPr>
              <w:t xml:space="preserve"> 987916432 </w:t>
            </w:r>
            <w:r w:rsidRPr="00955AC1">
              <w:br/>
            </w:r>
            <w:r w:rsidRPr="00955AC1">
              <w:rPr>
                <w:rFonts w:ascii="Times New Roman" w:eastAsia="Times New Roman" w:hAnsi="Times New Roman" w:cs="Times New Roman"/>
                <w:sz w:val="20"/>
                <w:szCs w:val="20"/>
              </w:rPr>
              <w:t>I am preparing an application to submit a portfolio of properties for purposes of the 4%/Bonds Competitive Round (more than 10 properties). Given the higher upfront costs associated with portfolio developments, is there any leniency in relaxing certain requirements for portfolio applications?  </w:t>
            </w:r>
          </w:p>
          <w:p w14:paraId="7773548A"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1E7F3389" w14:textId="77777777" w:rsidR="00390F34" w:rsidRPr="00955AC1" w:rsidRDefault="00390F34" w:rsidP="000F6D48">
            <w:pPr>
              <w:rPr>
                <w:rStyle w:val="IntenseReference"/>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  </w:t>
            </w:r>
          </w:p>
          <w:p w14:paraId="10E8DCEC"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Most “portfolio” applications are not eligible under the 2022 4%/Bonds Competitive Round. For purposes of this Q&amp;A, a “portfolio” application refers to a proposed development for which: </w:t>
            </w:r>
            <w:r w:rsidRPr="00955AC1">
              <w:rPr>
                <w:rStyle w:val="eop"/>
                <w:rFonts w:eastAsiaTheme="majorEastAsia"/>
                <w:sz w:val="20"/>
                <w:szCs w:val="20"/>
              </w:rPr>
              <w:t> </w:t>
            </w:r>
          </w:p>
          <w:p w14:paraId="50700E85" w14:textId="77777777" w:rsidR="00390F34" w:rsidRPr="00955AC1" w:rsidRDefault="00390F34" w:rsidP="000F6D48">
            <w:pPr>
              <w:pStyle w:val="paragraph"/>
              <w:numPr>
                <w:ilvl w:val="0"/>
                <w:numId w:val="55"/>
              </w:numPr>
              <w:spacing w:before="0" w:beforeAutospacing="0" w:after="0" w:afterAutospacing="0"/>
              <w:ind w:left="1080" w:firstLine="0"/>
              <w:textAlignment w:val="baseline"/>
              <w:rPr>
                <w:sz w:val="20"/>
                <w:szCs w:val="20"/>
              </w:rPr>
            </w:pPr>
            <w:r w:rsidRPr="00955AC1">
              <w:rPr>
                <w:rStyle w:val="normaltextrun"/>
                <w:sz w:val="20"/>
                <w:szCs w:val="20"/>
              </w:rPr>
              <w:t xml:space="preserve">The application does not meet all requirements under </w:t>
            </w:r>
            <w:r w:rsidRPr="00955AC1">
              <w:rPr>
                <w:rStyle w:val="normaltextrun"/>
                <w:b/>
                <w:bCs/>
                <w:sz w:val="20"/>
                <w:szCs w:val="20"/>
              </w:rPr>
              <w:t>(Core Plan) Eligibility of Certain Project Configurations</w:t>
            </w:r>
            <w:r w:rsidRPr="00955AC1">
              <w:rPr>
                <w:rStyle w:val="normaltextrun"/>
                <w:sz w:val="20"/>
                <w:szCs w:val="20"/>
              </w:rPr>
              <w:t>, subsection</w:t>
            </w:r>
            <w:r w:rsidRPr="00955AC1">
              <w:rPr>
                <w:rStyle w:val="normaltextrun"/>
                <w:b/>
                <w:bCs/>
                <w:sz w:val="20"/>
                <w:szCs w:val="20"/>
              </w:rPr>
              <w:t xml:space="preserve"> A. Eligibility of Scattered Sites</w:t>
            </w:r>
            <w:r w:rsidRPr="00955AC1">
              <w:rPr>
                <w:rStyle w:val="eop"/>
                <w:rFonts w:eastAsiaTheme="majorEastAsia"/>
                <w:sz w:val="20"/>
                <w:szCs w:val="20"/>
              </w:rPr>
              <w:t> </w:t>
            </w:r>
          </w:p>
          <w:p w14:paraId="75E9D469" w14:textId="77777777" w:rsidR="00390F34" w:rsidRPr="00955AC1" w:rsidRDefault="00390F34" w:rsidP="000F6D48">
            <w:pPr>
              <w:pStyle w:val="paragraph"/>
              <w:numPr>
                <w:ilvl w:val="0"/>
                <w:numId w:val="55"/>
              </w:numPr>
              <w:spacing w:before="0" w:beforeAutospacing="0" w:after="0" w:afterAutospacing="0"/>
              <w:ind w:left="1080" w:firstLine="0"/>
              <w:textAlignment w:val="baseline"/>
              <w:rPr>
                <w:sz w:val="20"/>
                <w:szCs w:val="20"/>
              </w:rPr>
            </w:pPr>
            <w:r w:rsidRPr="00955AC1">
              <w:rPr>
                <w:rStyle w:val="normaltextrun"/>
                <w:sz w:val="20"/>
                <w:szCs w:val="20"/>
              </w:rPr>
              <w:t>Upon completion, each building’s 8609 form is not associated only one “project” (federal definition). </w:t>
            </w:r>
            <w:r w:rsidRPr="00955AC1">
              <w:rPr>
                <w:rStyle w:val="eop"/>
                <w:rFonts w:eastAsiaTheme="majorEastAsia"/>
                <w:sz w:val="20"/>
                <w:szCs w:val="20"/>
              </w:rPr>
              <w:t> </w:t>
            </w:r>
          </w:p>
          <w:p w14:paraId="2686C704"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rFonts w:eastAsiaTheme="majorEastAsia"/>
                <w:sz w:val="20"/>
                <w:szCs w:val="20"/>
              </w:rPr>
              <w:t> </w:t>
            </w:r>
          </w:p>
          <w:p w14:paraId="1B8DBC7F"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Any individual application must either be a single-site application or qualify as a “scattered site.” Thus, the only allowable type of “portfolio” application would be a portfolio development consisting of no more than 2 or 3 separate applications (see </w:t>
            </w:r>
            <w:r w:rsidRPr="00955AC1">
              <w:rPr>
                <w:rStyle w:val="normaltextrun"/>
                <w:b/>
                <w:bCs/>
                <w:sz w:val="20"/>
                <w:szCs w:val="20"/>
              </w:rPr>
              <w:t>(Core Plan)</w:t>
            </w:r>
            <w:r w:rsidRPr="00955AC1">
              <w:rPr>
                <w:rStyle w:val="normaltextrun"/>
                <w:sz w:val="20"/>
                <w:szCs w:val="20"/>
              </w:rPr>
              <w:t xml:space="preserve"> </w:t>
            </w:r>
            <w:r w:rsidRPr="00955AC1">
              <w:rPr>
                <w:rStyle w:val="normaltextrun"/>
                <w:b/>
                <w:bCs/>
                <w:sz w:val="20"/>
                <w:szCs w:val="20"/>
              </w:rPr>
              <w:t xml:space="preserve">C. Additional Requirements for 4% Credit Applications </w:t>
            </w:r>
            <w:r w:rsidRPr="00955AC1">
              <w:rPr>
                <w:rStyle w:val="normaltextrun"/>
                <w:sz w:val="20"/>
                <w:szCs w:val="20"/>
              </w:rPr>
              <w:t>for application limit information).</w:t>
            </w:r>
            <w:r w:rsidRPr="00955AC1">
              <w:rPr>
                <w:rStyle w:val="normaltextrun"/>
                <w:b/>
                <w:bCs/>
                <w:sz w:val="20"/>
                <w:szCs w:val="20"/>
              </w:rPr>
              <w:t> </w:t>
            </w:r>
            <w:r w:rsidRPr="00955AC1">
              <w:rPr>
                <w:rStyle w:val="eop"/>
                <w:rFonts w:eastAsiaTheme="majorEastAsia"/>
                <w:sz w:val="20"/>
                <w:szCs w:val="20"/>
              </w:rPr>
              <w:t> </w:t>
            </w:r>
          </w:p>
          <w:p w14:paraId="27851806"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rFonts w:eastAsiaTheme="majorEastAsia"/>
                <w:sz w:val="20"/>
                <w:szCs w:val="20"/>
              </w:rPr>
              <w:t> </w:t>
            </w:r>
          </w:p>
          <w:p w14:paraId="37F76763"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Even for the above 2- or 3-site portfolio application instances, please note that</w:t>
            </w:r>
            <w:r w:rsidRPr="00955AC1">
              <w:rPr>
                <w:rStyle w:val="normaltextrun"/>
                <w:b/>
                <w:bCs/>
                <w:sz w:val="20"/>
                <w:szCs w:val="20"/>
              </w:rPr>
              <w:t xml:space="preserve"> (Core Plan) 4% Federal Credit – Bond Financed Projects</w:t>
            </w:r>
            <w:r w:rsidRPr="00955AC1">
              <w:rPr>
                <w:rStyle w:val="normaltextrun"/>
                <w:sz w:val="20"/>
                <w:szCs w:val="20"/>
              </w:rPr>
              <w:t xml:space="preserve">, </w:t>
            </w:r>
            <w:r w:rsidRPr="00955AC1">
              <w:rPr>
                <w:rStyle w:val="normaltextrun"/>
                <w:b/>
                <w:bCs/>
                <w:sz w:val="20"/>
                <w:szCs w:val="20"/>
              </w:rPr>
              <w:t>B. Application Restrictions</w:t>
            </w:r>
            <w:r w:rsidRPr="00955AC1">
              <w:rPr>
                <w:rStyle w:val="normaltextrun"/>
                <w:sz w:val="20"/>
                <w:szCs w:val="20"/>
              </w:rPr>
              <w:t xml:space="preserve"> requires that “Each Application must be associated with one bond issuance.”</w:t>
            </w:r>
            <w:r w:rsidRPr="00955AC1">
              <w:rPr>
                <w:rStyle w:val="eop"/>
                <w:rFonts w:eastAsiaTheme="majorEastAsia"/>
                <w:sz w:val="20"/>
                <w:szCs w:val="20"/>
              </w:rPr>
              <w:t> </w:t>
            </w:r>
          </w:p>
          <w:p w14:paraId="29460633" w14:textId="77777777" w:rsidR="00390F34" w:rsidRPr="00955AC1" w:rsidRDefault="00390F34" w:rsidP="000F6D48">
            <w:pPr>
              <w:textAlignment w:val="baseline"/>
              <w:rPr>
                <w:rFonts w:ascii="Times New Roman" w:eastAsia="Times New Roman" w:hAnsi="Times New Roman" w:cs="Times New Roman"/>
                <w:b/>
                <w:bCs/>
                <w:sz w:val="20"/>
                <w:szCs w:val="20"/>
              </w:rPr>
            </w:pPr>
          </w:p>
        </w:tc>
      </w:tr>
      <w:tr w:rsidR="00390F34" w:rsidRPr="00955AC1" w14:paraId="1AF76B1C" w14:textId="77777777" w:rsidTr="64301FE8">
        <w:trPr>
          <w:trHeight w:val="548"/>
          <w:jc w:val="center"/>
        </w:trPr>
        <w:tc>
          <w:tcPr>
            <w:tcW w:w="1697" w:type="dxa"/>
            <w:shd w:val="clear" w:color="auto" w:fill="auto"/>
            <w:tcMar>
              <w:top w:w="72" w:type="dxa"/>
              <w:left w:w="115" w:type="dxa"/>
              <w:bottom w:w="72" w:type="dxa"/>
              <w:right w:w="115" w:type="dxa"/>
            </w:tcMar>
            <w:vAlign w:val="center"/>
          </w:tcPr>
          <w:p w14:paraId="0FB7EEB0"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6/3/22</w:t>
            </w:r>
          </w:p>
        </w:tc>
        <w:tc>
          <w:tcPr>
            <w:tcW w:w="2663" w:type="dxa"/>
            <w:shd w:val="clear" w:color="auto" w:fill="auto"/>
            <w:tcMar>
              <w:top w:w="72" w:type="dxa"/>
              <w:left w:w="115" w:type="dxa"/>
              <w:bottom w:w="72" w:type="dxa"/>
              <w:right w:w="115" w:type="dxa"/>
            </w:tcMar>
            <w:vAlign w:val="center"/>
          </w:tcPr>
          <w:p w14:paraId="1E4C8A04"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3.23</w:t>
            </w:r>
          </w:p>
          <w:p w14:paraId="79577824"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2BA9023A"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Compliance Performance</w:t>
            </w:r>
          </w:p>
        </w:tc>
        <w:tc>
          <w:tcPr>
            <w:tcW w:w="9585" w:type="dxa"/>
            <w:shd w:val="clear" w:color="auto" w:fill="auto"/>
            <w:tcMar>
              <w:top w:w="72" w:type="dxa"/>
              <w:left w:w="115" w:type="dxa"/>
              <w:bottom w:w="72" w:type="dxa"/>
              <w:right w:w="115" w:type="dxa"/>
            </w:tcMar>
            <w:vAlign w:val="center"/>
          </w:tcPr>
          <w:p w14:paraId="0DC73C5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Q22_0526_01 </w:t>
            </w:r>
          </w:p>
          <w:p w14:paraId="2F63BF10"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Is the below QAP excerpt true? It seems unfair and a steep penalty. </w:t>
            </w:r>
          </w:p>
          <w:p w14:paraId="20A58548"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08F6E50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color w:val="000000"/>
                <w:sz w:val="20"/>
                <w:szCs w:val="20"/>
              </w:rPr>
              <w:t>(Scoring) Compliance Performance, A. Calculation of Point Deductions, 1. Significant Adverse Events (SAE):</w:t>
            </w:r>
            <w:r w:rsidRPr="00955AC1">
              <w:rPr>
                <w:rFonts w:ascii="Times New Roman" w:eastAsia="Times New Roman" w:hAnsi="Times New Roman" w:cs="Times New Roman"/>
                <w:color w:val="000000"/>
                <w:sz w:val="20"/>
                <w:szCs w:val="20"/>
              </w:rPr>
              <w:t> </w:t>
            </w:r>
          </w:p>
          <w:p w14:paraId="02BD67DC"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37461161" w14:textId="77777777" w:rsidR="00390F34" w:rsidRPr="00955AC1" w:rsidRDefault="00390F34" w:rsidP="000F6D48">
            <w:pPr>
              <w:ind w:left="72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i/>
                <w:iCs/>
                <w:color w:val="000000"/>
                <w:sz w:val="20"/>
                <w:szCs w:val="20"/>
              </w:rPr>
              <w:t>“A five (5) point deduction for the occurrence of each SAE for which a waiver was granted or renewed including but not limited to:</w:t>
            </w:r>
            <w:r w:rsidRPr="00955AC1">
              <w:rPr>
                <w:rFonts w:ascii="Times New Roman" w:eastAsia="Times New Roman" w:hAnsi="Times New Roman" w:cs="Times New Roman"/>
                <w:color w:val="000000"/>
                <w:sz w:val="20"/>
                <w:szCs w:val="20"/>
              </w:rPr>
              <w:t> </w:t>
            </w:r>
          </w:p>
          <w:p w14:paraId="16158166" w14:textId="77777777" w:rsidR="00390F34" w:rsidRPr="00955AC1" w:rsidRDefault="00390F34" w:rsidP="000F6D48">
            <w:pPr>
              <w:ind w:left="72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5"/>
              <w:gridCol w:w="3315"/>
            </w:tblGrid>
            <w:tr w:rsidR="00390F34" w:rsidRPr="00955AC1" w14:paraId="05A840B0" w14:textId="77777777" w:rsidTr="00747B98">
              <w:tc>
                <w:tcPr>
                  <w:tcW w:w="5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11D14A" w14:textId="77777777" w:rsidR="00390F34" w:rsidRPr="00955AC1" w:rsidRDefault="00390F34" w:rsidP="000F6D48">
                  <w:pPr>
                    <w:spacing w:after="0" w:line="240" w:lineRule="auto"/>
                    <w:jc w:val="cente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i/>
                      <w:iCs/>
                      <w:color w:val="000000"/>
                      <w:sz w:val="20"/>
                      <w:szCs w:val="20"/>
                    </w:rPr>
                    <w:t>SIGNIFICANT ADVERSE EVENT</w:t>
                  </w:r>
                  <w:r w:rsidRPr="00955AC1">
                    <w:rPr>
                      <w:rFonts w:ascii="Times New Roman" w:eastAsia="Times New Roman" w:hAnsi="Times New Roman" w:cs="Times New Roman"/>
                      <w:color w:val="000000"/>
                      <w:sz w:val="20"/>
                      <w:szCs w:val="20"/>
                    </w:rPr>
                    <w:t> </w:t>
                  </w:r>
                </w:p>
              </w:tc>
              <w:tc>
                <w:tcPr>
                  <w:tcW w:w="3315" w:type="dxa"/>
                  <w:tcBorders>
                    <w:top w:val="single" w:sz="6" w:space="0" w:color="auto"/>
                    <w:left w:val="nil"/>
                    <w:bottom w:val="single" w:sz="6" w:space="0" w:color="auto"/>
                    <w:right w:val="single" w:sz="6" w:space="0" w:color="auto"/>
                  </w:tcBorders>
                  <w:shd w:val="clear" w:color="auto" w:fill="auto"/>
                  <w:hideMark/>
                </w:tcPr>
                <w:p w14:paraId="1096D64F" w14:textId="77777777" w:rsidR="00390F34" w:rsidRPr="00955AC1" w:rsidRDefault="00390F34" w:rsidP="000F6D48">
                  <w:pPr>
                    <w:spacing w:after="0" w:line="240" w:lineRule="auto"/>
                    <w:jc w:val="cente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i/>
                      <w:iCs/>
                      <w:color w:val="000000"/>
                      <w:sz w:val="20"/>
                      <w:szCs w:val="20"/>
                    </w:rPr>
                    <w:t>LOOK BACK PERIOD (FROM APPLICATION SUBMISSION DATE)</w:t>
                  </w:r>
                  <w:r w:rsidRPr="00955AC1">
                    <w:rPr>
                      <w:rFonts w:ascii="Times New Roman" w:eastAsia="Times New Roman" w:hAnsi="Times New Roman" w:cs="Times New Roman"/>
                      <w:color w:val="000000"/>
                      <w:sz w:val="20"/>
                      <w:szCs w:val="20"/>
                    </w:rPr>
                    <w:t> </w:t>
                  </w:r>
                </w:p>
              </w:tc>
            </w:tr>
            <w:tr w:rsidR="00390F34" w:rsidRPr="00955AC1" w14:paraId="3A217834" w14:textId="77777777" w:rsidTr="00747B98">
              <w:tc>
                <w:tcPr>
                  <w:tcW w:w="5295" w:type="dxa"/>
                  <w:tcBorders>
                    <w:top w:val="nil"/>
                    <w:left w:val="single" w:sz="6" w:space="0" w:color="auto"/>
                    <w:bottom w:val="single" w:sz="6" w:space="0" w:color="auto"/>
                    <w:right w:val="single" w:sz="6" w:space="0" w:color="auto"/>
                  </w:tcBorders>
                  <w:shd w:val="clear" w:color="auto" w:fill="auto"/>
                  <w:hideMark/>
                </w:tcPr>
                <w:p w14:paraId="22C644F4" w14:textId="77777777" w:rsidR="00390F34" w:rsidRPr="00955AC1" w:rsidRDefault="00390F34" w:rsidP="000F6D48">
                  <w:pPr>
                    <w:spacing w:after="0" w:line="240" w:lineRule="auto"/>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i/>
                      <w:iCs/>
                      <w:color w:val="000000"/>
                      <w:sz w:val="20"/>
                      <w:szCs w:val="20"/>
                    </w:rPr>
                    <w:t>A Fair Housing investigation by any government agency on any Affordable Housing property which resulted in a lawsuit (regardless of the outcome), a negotiation for settlement, and/or a settlement agreement</w:t>
                  </w:r>
                  <w:r w:rsidRPr="00955AC1">
                    <w:rPr>
                      <w:rFonts w:ascii="Times New Roman" w:eastAsia="Times New Roman" w:hAnsi="Times New Roman" w:cs="Times New Roman"/>
                      <w:color w:val="000000"/>
                      <w:sz w:val="20"/>
                      <w:szCs w:val="20"/>
                    </w:rPr>
                    <w:t> </w:t>
                  </w:r>
                </w:p>
              </w:tc>
              <w:tc>
                <w:tcPr>
                  <w:tcW w:w="3315" w:type="dxa"/>
                  <w:tcBorders>
                    <w:top w:val="nil"/>
                    <w:left w:val="nil"/>
                    <w:bottom w:val="single" w:sz="6" w:space="0" w:color="auto"/>
                    <w:right w:val="single" w:sz="6" w:space="0" w:color="auto"/>
                  </w:tcBorders>
                  <w:shd w:val="clear" w:color="auto" w:fill="auto"/>
                  <w:vAlign w:val="center"/>
                  <w:hideMark/>
                </w:tcPr>
                <w:p w14:paraId="2B501424" w14:textId="77777777" w:rsidR="00390F34" w:rsidRPr="00955AC1" w:rsidRDefault="00390F34" w:rsidP="000F6D48">
                  <w:pPr>
                    <w:spacing w:after="0" w:line="240" w:lineRule="auto"/>
                    <w:jc w:val="cente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i/>
                      <w:iCs/>
                      <w:color w:val="000000"/>
                      <w:sz w:val="20"/>
                      <w:szCs w:val="20"/>
                    </w:rPr>
                    <w:t>10 Years”</w:t>
                  </w:r>
                  <w:r w:rsidRPr="00955AC1">
                    <w:rPr>
                      <w:rFonts w:ascii="Times New Roman" w:eastAsia="Times New Roman" w:hAnsi="Times New Roman" w:cs="Times New Roman"/>
                      <w:color w:val="000000"/>
                      <w:sz w:val="20"/>
                      <w:szCs w:val="20"/>
                    </w:rPr>
                    <w:t> </w:t>
                  </w:r>
                </w:p>
              </w:tc>
            </w:tr>
          </w:tbl>
          <w:p w14:paraId="310D358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62CBB00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3B2C953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Yes, under the 2022 QAP, the above-described event is considered a Significant Adverse Event and would result in a five point deduction if it occurred within the indicated look back period. </w:t>
            </w:r>
          </w:p>
          <w:p w14:paraId="38646FC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00215CF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To provide feedback regarding this provision for purposes of future QAPs, please submit through the year-round </w:t>
            </w:r>
            <w:hyperlink r:id="rId28" w:tgtFrame="_blank" w:history="1">
              <w:r w:rsidRPr="00955AC1">
                <w:rPr>
                  <w:rFonts w:ascii="Times New Roman" w:eastAsia="Times New Roman" w:hAnsi="Times New Roman" w:cs="Times New Roman"/>
                  <w:color w:val="0563C1"/>
                  <w:sz w:val="20"/>
                  <w:szCs w:val="20"/>
                  <w:u w:val="single"/>
                </w:rPr>
                <w:t>QAP Public Input Survey</w:t>
              </w:r>
            </w:hyperlink>
            <w:r w:rsidRPr="00955AC1">
              <w:rPr>
                <w:rFonts w:ascii="Times New Roman" w:eastAsia="Times New Roman" w:hAnsi="Times New Roman" w:cs="Times New Roman"/>
                <w:sz w:val="20"/>
                <w:szCs w:val="20"/>
              </w:rPr>
              <w:t>.</w:t>
            </w:r>
          </w:p>
        </w:tc>
      </w:tr>
      <w:tr w:rsidR="00390F34" w:rsidRPr="00955AC1" w14:paraId="121807C8" w14:textId="77777777" w:rsidTr="64301FE8">
        <w:trPr>
          <w:jc w:val="center"/>
        </w:trPr>
        <w:tc>
          <w:tcPr>
            <w:tcW w:w="1697" w:type="dxa"/>
            <w:shd w:val="clear" w:color="auto" w:fill="auto"/>
            <w:tcMar>
              <w:top w:w="72" w:type="dxa"/>
              <w:left w:w="115" w:type="dxa"/>
              <w:bottom w:w="72" w:type="dxa"/>
              <w:right w:w="115" w:type="dxa"/>
            </w:tcMar>
            <w:vAlign w:val="center"/>
          </w:tcPr>
          <w:p w14:paraId="20D4D7AF"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20631384"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2.02</w:t>
            </w:r>
          </w:p>
          <w:p w14:paraId="13F0789C"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0B4FC15B"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Project Feasibility, Viability Analysis &amp; Conformance with Plan</w:t>
            </w:r>
          </w:p>
          <w:p w14:paraId="0DB97AE1" w14:textId="77777777" w:rsidR="00390F34" w:rsidRPr="00955AC1" w:rsidRDefault="00390F34" w:rsidP="000F6D48">
            <w:pPr>
              <w:rPr>
                <w:rFonts w:ascii="Times New Roman" w:hAnsi="Times New Roman" w:cs="Times New Roman"/>
                <w:sz w:val="20"/>
                <w:szCs w:val="20"/>
              </w:rPr>
            </w:pPr>
          </w:p>
          <w:p w14:paraId="1FABD3C5" w14:textId="77777777" w:rsidR="00390F34" w:rsidRPr="00955AC1" w:rsidRDefault="00390F34" w:rsidP="000F6D48">
            <w:pPr>
              <w:rPr>
                <w:rFonts w:ascii="Times New Roman" w:hAnsi="Times New Roman" w:cs="Times New Roman"/>
                <w:sz w:val="20"/>
                <w:szCs w:val="20"/>
              </w:rPr>
            </w:pPr>
          </w:p>
          <w:p w14:paraId="1DE7F1BA"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(also 2.14 Threshold; Community Service Facilities)</w:t>
            </w:r>
          </w:p>
        </w:tc>
        <w:tc>
          <w:tcPr>
            <w:tcW w:w="9585" w:type="dxa"/>
            <w:shd w:val="clear" w:color="auto" w:fill="auto"/>
            <w:tcMar>
              <w:top w:w="72" w:type="dxa"/>
              <w:left w:w="115" w:type="dxa"/>
              <w:bottom w:w="72" w:type="dxa"/>
              <w:right w:w="115" w:type="dxa"/>
            </w:tcMar>
            <w:vAlign w:val="center"/>
          </w:tcPr>
          <w:p w14:paraId="6631392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Q22_0525_19 </w:t>
            </w:r>
          </w:p>
          <w:p w14:paraId="096A32B6"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The Revenues &amp; Expenses tab of the Core Application does not have a line for commercial space square footage. How should commercial space square footage be reflected in the Excel Core Application? </w:t>
            </w:r>
          </w:p>
          <w:p w14:paraId="4A2823A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00ED2FC4"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264E211C"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(Threshold Criteria) Project Feasibility</w:t>
            </w:r>
            <w:r w:rsidRPr="00955AC1">
              <w:rPr>
                <w:rFonts w:ascii="Times New Roman" w:eastAsia="Times New Roman" w:hAnsi="Times New Roman" w:cs="Times New Roman"/>
                <w:sz w:val="20"/>
                <w:szCs w:val="20"/>
              </w:rPr>
              <w:t xml:space="preserve"> subsection </w:t>
            </w:r>
            <w:r w:rsidRPr="00955AC1">
              <w:rPr>
                <w:rFonts w:ascii="Times New Roman" w:eastAsia="Times New Roman" w:hAnsi="Times New Roman" w:cs="Times New Roman"/>
                <w:b/>
                <w:bCs/>
                <w:sz w:val="20"/>
                <w:szCs w:val="20"/>
              </w:rPr>
              <w:t>2. Income</w:t>
            </w:r>
            <w:r w:rsidRPr="00955AC1">
              <w:rPr>
                <w:rFonts w:ascii="Times New Roman" w:eastAsia="Times New Roman" w:hAnsi="Times New Roman" w:cs="Times New Roman"/>
                <w:sz w:val="20"/>
                <w:szCs w:val="20"/>
              </w:rPr>
              <w:t xml:space="preserve"> states that for purposes of ancillary income, “income from commercial space…will not be considered.” Therefore, commercial space square footage should not be reflected on the </w:t>
            </w:r>
            <w:r w:rsidRPr="00955AC1">
              <w:rPr>
                <w:rFonts w:ascii="Times New Roman" w:eastAsia="Times New Roman" w:hAnsi="Times New Roman" w:cs="Times New Roman"/>
                <w:i/>
                <w:iCs/>
                <w:sz w:val="20"/>
                <w:szCs w:val="20"/>
              </w:rPr>
              <w:t>Revenues and Expenses</w:t>
            </w:r>
            <w:r w:rsidRPr="00955AC1">
              <w:rPr>
                <w:rFonts w:ascii="Times New Roman" w:eastAsia="Times New Roman" w:hAnsi="Times New Roman" w:cs="Times New Roman"/>
                <w:sz w:val="20"/>
                <w:szCs w:val="20"/>
              </w:rPr>
              <w:t xml:space="preserve"> tab. </w:t>
            </w:r>
          </w:p>
          <w:p w14:paraId="1E58FDC6"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570C68A9"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Applicants proposing a commercial space that qualifies as a Community Service Facility for purposes of </w:t>
            </w:r>
            <w:r w:rsidRPr="00955AC1">
              <w:rPr>
                <w:rFonts w:ascii="Times New Roman" w:eastAsia="Times New Roman" w:hAnsi="Times New Roman" w:cs="Times New Roman"/>
                <w:b/>
                <w:bCs/>
                <w:sz w:val="20"/>
                <w:szCs w:val="20"/>
              </w:rPr>
              <w:t>(Threshold Criteria) Community Service Facilities</w:t>
            </w:r>
            <w:r w:rsidRPr="00955AC1">
              <w:rPr>
                <w:rFonts w:ascii="Times New Roman" w:eastAsia="Times New Roman" w:hAnsi="Times New Roman" w:cs="Times New Roman"/>
                <w:sz w:val="20"/>
                <w:szCs w:val="20"/>
              </w:rPr>
              <w:t xml:space="preserve"> should review the documentation requirements for that section. For all other types of commercial spaces, applicants can detail the square footage and any other relevant information in the “Applicant Comments and Clarifications” box of the </w:t>
            </w:r>
            <w:r w:rsidRPr="00955AC1">
              <w:rPr>
                <w:rFonts w:ascii="Times New Roman" w:eastAsia="Times New Roman" w:hAnsi="Times New Roman" w:cs="Times New Roman"/>
                <w:i/>
                <w:iCs/>
                <w:sz w:val="20"/>
                <w:szCs w:val="20"/>
              </w:rPr>
              <w:t>Uses of Funds</w:t>
            </w:r>
            <w:r w:rsidRPr="00955AC1">
              <w:rPr>
                <w:rFonts w:ascii="Times New Roman" w:eastAsia="Times New Roman" w:hAnsi="Times New Roman" w:cs="Times New Roman"/>
                <w:sz w:val="20"/>
                <w:szCs w:val="20"/>
              </w:rPr>
              <w:t xml:space="preserve"> tab in the Excel Core Application. DCA underwriters may request additional information regarding commercial spaces through the clarifications process.  </w:t>
            </w:r>
          </w:p>
        </w:tc>
      </w:tr>
      <w:tr w:rsidR="00390F34" w:rsidRPr="00955AC1" w14:paraId="21271FA5" w14:textId="77777777" w:rsidTr="64301FE8">
        <w:trPr>
          <w:jc w:val="center"/>
        </w:trPr>
        <w:tc>
          <w:tcPr>
            <w:tcW w:w="1697" w:type="dxa"/>
            <w:shd w:val="clear" w:color="auto" w:fill="auto"/>
            <w:tcMar>
              <w:top w:w="72" w:type="dxa"/>
              <w:left w:w="115" w:type="dxa"/>
              <w:bottom w:w="72" w:type="dxa"/>
              <w:right w:w="115" w:type="dxa"/>
            </w:tcMar>
            <w:vAlign w:val="center"/>
          </w:tcPr>
          <w:p w14:paraId="3EEF4080"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7B8A34DB"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2.02</w:t>
            </w:r>
          </w:p>
          <w:p w14:paraId="001AA4E8"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193508C3"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Project Feasibility, Viability Analysis &amp; Conformance with Plan</w:t>
            </w:r>
          </w:p>
          <w:p w14:paraId="229DE853" w14:textId="77777777" w:rsidR="00390F34" w:rsidRPr="00955AC1" w:rsidRDefault="00390F34" w:rsidP="000F6D48">
            <w:pPr>
              <w:rPr>
                <w:rFonts w:ascii="Times New Roman" w:hAnsi="Times New Roman" w:cs="Times New Roman"/>
                <w:sz w:val="20"/>
                <w:szCs w:val="20"/>
              </w:rPr>
            </w:pPr>
          </w:p>
          <w:p w14:paraId="1EE684F0" w14:textId="77777777" w:rsidR="00390F34" w:rsidRPr="00955AC1" w:rsidRDefault="00390F34" w:rsidP="000F6D48">
            <w:pPr>
              <w:rPr>
                <w:rFonts w:ascii="Times New Roman" w:hAnsi="Times New Roman" w:cs="Times New Roman"/>
                <w:sz w:val="20"/>
                <w:szCs w:val="20"/>
              </w:rPr>
            </w:pPr>
          </w:p>
          <w:p w14:paraId="0C86AD81"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(also 2.06 Threshold; Appraisals)</w:t>
            </w:r>
          </w:p>
        </w:tc>
        <w:tc>
          <w:tcPr>
            <w:tcW w:w="9585" w:type="dxa"/>
            <w:shd w:val="clear" w:color="auto" w:fill="auto"/>
            <w:tcMar>
              <w:top w:w="72" w:type="dxa"/>
              <w:left w:w="115" w:type="dxa"/>
              <w:bottom w:w="72" w:type="dxa"/>
              <w:right w:w="115" w:type="dxa"/>
            </w:tcMar>
            <w:vAlign w:val="center"/>
          </w:tcPr>
          <w:p w14:paraId="25BAD7D3"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Question</w:t>
            </w:r>
            <w:r w:rsidRPr="00955AC1">
              <w:rPr>
                <w:rFonts w:ascii="Times New Roman" w:hAnsi="Times New Roman" w:cs="Times New Roman"/>
                <w:sz w:val="20"/>
                <w:szCs w:val="20"/>
              </w:rPr>
              <w:t>: Q22_0520_05a</w:t>
            </w:r>
          </w:p>
          <w:p w14:paraId="0BF688B5" w14:textId="77777777" w:rsidR="00390F34" w:rsidRPr="00955AC1" w:rsidRDefault="00390F34" w:rsidP="000F6D48">
            <w:pPr>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We are proposing an urban infill/mixed use/mixed-income development with significant commercial space required due to codes - No minimum parking requirement. We have several questions related to the planned parking and commercial components:</w:t>
            </w:r>
            <w:r w:rsidRPr="00955AC1">
              <w:rPr>
                <w:rFonts w:ascii="Times New Roman" w:eastAsia="Times New Roman" w:hAnsi="Times New Roman" w:cs="Times New Roman"/>
                <w:color w:val="000000" w:themeColor="text1"/>
                <w:sz w:val="20"/>
                <w:szCs w:val="20"/>
              </w:rPr>
              <w:br/>
            </w:r>
          </w:p>
          <w:p w14:paraId="0BE72D12" w14:textId="77777777" w:rsidR="00390F34" w:rsidRPr="00955AC1" w:rsidRDefault="00390F34" w:rsidP="000F6D48">
            <w:pPr>
              <w:numPr>
                <w:ilvl w:val="1"/>
                <w:numId w:val="48"/>
              </w:numPr>
              <w:contextualSpacing/>
              <w:rPr>
                <w:rFonts w:ascii="Times New Roman" w:eastAsiaTheme="minorEastAsia"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Non-Required Parking for Affordable Units: We would like to build parking because we think some (but not all) tenants may desire parking. This parking would be available at an additional cost to affordable tenants. Can we include costs or income associated with this parking into our model?</w:t>
            </w:r>
            <w:r w:rsidRPr="00955AC1">
              <w:rPr>
                <w:rFonts w:ascii="Times New Roman" w:eastAsia="Times New Roman" w:hAnsi="Times New Roman" w:cs="Times New Roman"/>
                <w:color w:val="000000" w:themeColor="text1"/>
                <w:sz w:val="20"/>
                <w:szCs w:val="20"/>
              </w:rPr>
              <w:br/>
            </w:r>
          </w:p>
          <w:p w14:paraId="3EB8D08C" w14:textId="77777777" w:rsidR="00390F34" w:rsidRPr="00955AC1" w:rsidRDefault="00390F34" w:rsidP="000F6D48">
            <w:pPr>
              <w:numPr>
                <w:ilvl w:val="1"/>
                <w:numId w:val="48"/>
              </w:numPr>
              <w:contextualSpacing/>
              <w:rPr>
                <w:rFonts w:ascii="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Non-Required Parking for Market Units: To achieve market rents we'd also like to build parking which would be available at an additional cost to market rate tenants. Can we include costs or income associated with this parking into our model?</w:t>
            </w:r>
          </w:p>
          <w:p w14:paraId="53256FDD" w14:textId="77777777" w:rsidR="00390F34" w:rsidRPr="00955AC1" w:rsidRDefault="00390F34" w:rsidP="000F6D48">
            <w:pPr>
              <w:ind w:left="1440"/>
              <w:contextualSpacing/>
              <w:rPr>
                <w:rFonts w:ascii="Times New Roman" w:hAnsi="Times New Roman" w:cs="Times New Roman"/>
                <w:color w:val="000000" w:themeColor="text1"/>
                <w:sz w:val="20"/>
                <w:szCs w:val="20"/>
              </w:rPr>
            </w:pPr>
          </w:p>
          <w:p w14:paraId="5E41456E" w14:textId="77777777" w:rsidR="00390F34" w:rsidRPr="00955AC1" w:rsidRDefault="00390F34" w:rsidP="000F6D48">
            <w:pPr>
              <w:numPr>
                <w:ilvl w:val="1"/>
                <w:numId w:val="48"/>
              </w:numPr>
              <w:contextualSpacing/>
              <w:rPr>
                <w:rFonts w:ascii="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Non-Required Commercial Parking: We expect additional parking demand from the required commercial component of our project (as well as from our urban neighbors). Can we include costs or income associated with this parking into our model?</w:t>
            </w:r>
          </w:p>
          <w:p w14:paraId="09116621" w14:textId="77777777" w:rsidR="00390F34" w:rsidRPr="00955AC1" w:rsidRDefault="00390F34" w:rsidP="000F6D48">
            <w:pPr>
              <w:ind w:left="720"/>
              <w:contextualSpacing/>
              <w:rPr>
                <w:rFonts w:ascii="Times New Roman" w:hAnsi="Times New Roman" w:cs="Times New Roman"/>
                <w:color w:val="000000" w:themeColor="text1"/>
                <w:sz w:val="20"/>
                <w:szCs w:val="20"/>
              </w:rPr>
            </w:pPr>
          </w:p>
          <w:p w14:paraId="7B87B94E" w14:textId="77777777" w:rsidR="00390F34" w:rsidRPr="00955AC1" w:rsidRDefault="00390F34" w:rsidP="000F6D48">
            <w:pPr>
              <w:numPr>
                <w:ilvl w:val="0"/>
                <w:numId w:val="50"/>
              </w:numPr>
              <w:contextualSpacing/>
              <w:rPr>
                <w:rFonts w:ascii="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If we are not allowed to incorporate these components into our application model, can we instead condo these components so that neither the costs nor the income is included in our model?</w:t>
            </w:r>
          </w:p>
          <w:p w14:paraId="20DCE3D1" w14:textId="77777777" w:rsidR="00390F34" w:rsidRPr="00955AC1" w:rsidRDefault="00390F34" w:rsidP="000F6D48">
            <w:pPr>
              <w:rPr>
                <w:rFonts w:ascii="Times New Roman" w:hAnsi="Times New Roman" w:cs="Times New Roman"/>
                <w:color w:val="000000" w:themeColor="text1"/>
                <w:sz w:val="20"/>
                <w:szCs w:val="20"/>
              </w:rPr>
            </w:pPr>
          </w:p>
          <w:p w14:paraId="551C93C7" w14:textId="77777777" w:rsidR="00390F34" w:rsidRPr="00955AC1" w:rsidRDefault="00390F34" w:rsidP="000F6D48">
            <w:pPr>
              <w:numPr>
                <w:ilvl w:val="0"/>
                <w:numId w:val="50"/>
              </w:numPr>
              <w:contextualSpacing/>
              <w:rPr>
                <w:rFonts w:ascii="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If so, what information should we provide on the condoed out components? </w:t>
            </w:r>
          </w:p>
          <w:p w14:paraId="445E24BD" w14:textId="77777777" w:rsidR="00390F34" w:rsidRPr="00955AC1" w:rsidRDefault="00390F34" w:rsidP="000F6D48">
            <w:pPr>
              <w:rPr>
                <w:rFonts w:ascii="Times New Roman" w:hAnsi="Times New Roman" w:cs="Times New Roman"/>
                <w:color w:val="000000" w:themeColor="text1"/>
                <w:sz w:val="20"/>
                <w:szCs w:val="20"/>
              </w:rPr>
            </w:pPr>
          </w:p>
          <w:p w14:paraId="6AB452A1" w14:textId="77777777" w:rsidR="00390F34" w:rsidRPr="00955AC1" w:rsidRDefault="00390F34" w:rsidP="000F6D48">
            <w:pPr>
              <w:numPr>
                <w:ilvl w:val="0"/>
                <w:numId w:val="50"/>
              </w:numPr>
              <w:contextualSpacing/>
              <w:rPr>
                <w:rFonts w:ascii="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Do you have any required method for allocating land costs across the component of the development included in our application and the condoed out component? Is a pro rata allocation based on land area acceptable?</w:t>
            </w:r>
          </w:p>
          <w:p w14:paraId="22D2E0E1" w14:textId="77777777" w:rsidR="00390F34" w:rsidRPr="00955AC1" w:rsidRDefault="00390F34" w:rsidP="000F6D48">
            <w:pPr>
              <w:contextualSpacing/>
              <w:rPr>
                <w:rFonts w:ascii="Times New Roman" w:hAnsi="Times New Roman" w:cs="Times New Roman"/>
                <w:sz w:val="20"/>
                <w:szCs w:val="20"/>
              </w:rPr>
            </w:pPr>
          </w:p>
          <w:p w14:paraId="0F09CAEB"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Answer</w:t>
            </w:r>
            <w:r w:rsidRPr="00955AC1">
              <w:rPr>
                <w:rFonts w:ascii="Times New Roman" w:hAnsi="Times New Roman" w:cs="Times New Roman"/>
                <w:sz w:val="20"/>
                <w:szCs w:val="20"/>
              </w:rPr>
              <w:t xml:space="preserve">:   </w:t>
            </w:r>
          </w:p>
          <w:p w14:paraId="05BA4F2C" w14:textId="77777777" w:rsidR="00390F34" w:rsidRPr="00955AC1" w:rsidRDefault="00390F34" w:rsidP="000F6D48">
            <w:pPr>
              <w:rPr>
                <w:rFonts w:ascii="Times New Roman" w:hAnsi="Times New Roman" w:cs="Times New Roman"/>
                <w:sz w:val="20"/>
                <w:szCs w:val="20"/>
              </w:rPr>
            </w:pPr>
          </w:p>
          <w:p w14:paraId="577C0E7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b/>
                <w:bCs/>
                <w:sz w:val="20"/>
                <w:szCs w:val="20"/>
                <w:u w:val="single"/>
              </w:rPr>
              <w:t>Parking income</w:t>
            </w:r>
            <w:r w:rsidRPr="00955AC1">
              <w:rPr>
                <w:rFonts w:ascii="Times New Roman" w:hAnsi="Times New Roman" w:cs="Times New Roman"/>
                <w:sz w:val="20"/>
                <w:szCs w:val="20"/>
              </w:rPr>
              <w:t xml:space="preserve">: Regarding the inclusion of parking income as a source of revenue in the application’s financial model, </w:t>
            </w:r>
            <w:r w:rsidRPr="00955AC1">
              <w:rPr>
                <w:rFonts w:ascii="Times New Roman" w:hAnsi="Times New Roman" w:cs="Times New Roman"/>
                <w:b/>
                <w:bCs/>
                <w:sz w:val="20"/>
                <w:szCs w:val="20"/>
              </w:rPr>
              <w:t>(Threshold Criteria) Project Feasibility</w:t>
            </w:r>
            <w:r w:rsidRPr="00955AC1">
              <w:rPr>
                <w:rFonts w:ascii="Times New Roman" w:hAnsi="Times New Roman" w:cs="Times New Roman"/>
                <w:sz w:val="20"/>
                <w:szCs w:val="20"/>
              </w:rPr>
              <w:t xml:space="preserve">, subsection </w:t>
            </w:r>
            <w:r w:rsidRPr="00955AC1">
              <w:rPr>
                <w:rFonts w:ascii="Times New Roman" w:hAnsi="Times New Roman" w:cs="Times New Roman"/>
                <w:b/>
                <w:bCs/>
                <w:sz w:val="20"/>
                <w:szCs w:val="20"/>
              </w:rPr>
              <w:t>2. Income</w:t>
            </w:r>
            <w:r w:rsidRPr="00955AC1">
              <w:rPr>
                <w:rFonts w:ascii="Times New Roman" w:hAnsi="Times New Roman" w:cs="Times New Roman"/>
                <w:sz w:val="20"/>
                <w:szCs w:val="20"/>
              </w:rPr>
              <w:t xml:space="preserve"> states that income from fees (including parking fees) cannot be included in the model (“</w:t>
            </w:r>
            <w:r w:rsidRPr="00955AC1">
              <w:rPr>
                <w:rFonts w:ascii="Times New Roman" w:hAnsi="Times New Roman" w:cs="Times New Roman"/>
                <w:i/>
                <w:iCs/>
                <w:sz w:val="20"/>
                <w:szCs w:val="20"/>
              </w:rPr>
              <w:t>[For] Rental income plus ancillary income…income from…fees…will not be considered</w:t>
            </w:r>
            <w:r w:rsidRPr="00955AC1">
              <w:rPr>
                <w:rFonts w:ascii="Times New Roman" w:hAnsi="Times New Roman" w:cs="Times New Roman"/>
                <w:sz w:val="20"/>
                <w:szCs w:val="20"/>
              </w:rPr>
              <w:t xml:space="preserve">”).  </w:t>
            </w:r>
          </w:p>
          <w:p w14:paraId="4D44EADD" w14:textId="77777777" w:rsidR="00390F34" w:rsidRPr="00955AC1" w:rsidRDefault="00390F34" w:rsidP="000F6D48">
            <w:pPr>
              <w:rPr>
                <w:rFonts w:ascii="Times New Roman" w:hAnsi="Times New Roman" w:cs="Times New Roman"/>
                <w:sz w:val="20"/>
                <w:szCs w:val="20"/>
              </w:rPr>
            </w:pPr>
          </w:p>
          <w:p w14:paraId="67F2FA1F"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b/>
                <w:bCs/>
                <w:sz w:val="20"/>
                <w:szCs w:val="20"/>
                <w:u w:val="single"/>
              </w:rPr>
              <w:t>Parking for affordable units</w:t>
            </w:r>
            <w:r w:rsidRPr="00955AC1">
              <w:rPr>
                <w:rFonts w:ascii="Times New Roman" w:hAnsi="Times New Roman" w:cs="Times New Roman"/>
                <w:sz w:val="20"/>
                <w:szCs w:val="20"/>
              </w:rPr>
              <w:t xml:space="preserve">: Regarding the inclusion of development costs for parking intended to serve affordable units, DCA does not have a position that is different from IRC Section 42. </w:t>
            </w:r>
          </w:p>
          <w:p w14:paraId="6F726F4B" w14:textId="77777777" w:rsidR="00390F34" w:rsidRPr="00955AC1" w:rsidRDefault="00390F34" w:rsidP="000F6D48">
            <w:pPr>
              <w:rPr>
                <w:rFonts w:ascii="Times New Roman" w:hAnsi="Times New Roman" w:cs="Times New Roman"/>
                <w:sz w:val="20"/>
                <w:szCs w:val="20"/>
              </w:rPr>
            </w:pPr>
          </w:p>
          <w:p w14:paraId="1424900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b/>
                <w:bCs/>
                <w:sz w:val="20"/>
                <w:szCs w:val="20"/>
                <w:u w:val="single"/>
              </w:rPr>
              <w:t>Parking for commercial and market units</w:t>
            </w:r>
            <w:r w:rsidRPr="00955AC1">
              <w:rPr>
                <w:rFonts w:ascii="Times New Roman" w:hAnsi="Times New Roman" w:cs="Times New Roman"/>
                <w:sz w:val="20"/>
                <w:szCs w:val="20"/>
              </w:rPr>
              <w:t xml:space="preserve">: Regarding the inclusion of development costs for parking intended to serve market units or commercial spaces, these costs should not be included in the development budget. </w:t>
            </w:r>
            <w:r w:rsidRPr="00955AC1">
              <w:rPr>
                <w:rFonts w:ascii="Times New Roman" w:hAnsi="Times New Roman" w:cs="Times New Roman"/>
                <w:sz w:val="20"/>
                <w:szCs w:val="20"/>
              </w:rPr>
              <w:br/>
            </w:r>
          </w:p>
          <w:p w14:paraId="59B51E4C" w14:textId="77777777" w:rsidR="00390F34" w:rsidRPr="00955AC1" w:rsidRDefault="00390F34" w:rsidP="000F6D48">
            <w:pPr>
              <w:numPr>
                <w:ilvl w:val="0"/>
                <w:numId w:val="49"/>
              </w:numPr>
              <w:contextualSpacing/>
              <w:rPr>
                <w:rFonts w:ascii="Times New Roman" w:hAnsi="Times New Roman" w:cs="Times New Roman"/>
                <w:sz w:val="20"/>
                <w:szCs w:val="20"/>
              </w:rPr>
            </w:pPr>
            <w:r w:rsidRPr="00955AC1">
              <w:rPr>
                <w:rFonts w:ascii="Times New Roman" w:hAnsi="Times New Roman" w:cs="Times New Roman"/>
                <w:sz w:val="20"/>
                <w:szCs w:val="20"/>
              </w:rPr>
              <w:t xml:space="preserve">As stated in </w:t>
            </w:r>
            <w:r w:rsidRPr="00955AC1">
              <w:rPr>
                <w:rFonts w:ascii="Times New Roman" w:hAnsi="Times New Roman" w:cs="Times New Roman"/>
                <w:b/>
                <w:bCs/>
                <w:sz w:val="20"/>
                <w:szCs w:val="20"/>
              </w:rPr>
              <w:t>(Threshold Criteria) Project Feasibility</w:t>
            </w:r>
            <w:r w:rsidRPr="00955AC1">
              <w:rPr>
                <w:rFonts w:ascii="Times New Roman" w:hAnsi="Times New Roman" w:cs="Times New Roman"/>
                <w:sz w:val="20"/>
                <w:szCs w:val="20"/>
              </w:rPr>
              <w:t xml:space="preserve">, the intent of DCA staff’s underwriting review is to ensure that the “housing credit dollar amount allocated to a project not exceed the amount that DCA determines is necessary for the financial feasibility of the project and its viability as a qualified low-income housing project through the credit period.” </w:t>
            </w:r>
            <w:r w:rsidRPr="00955AC1">
              <w:rPr>
                <w:rFonts w:ascii="Times New Roman" w:hAnsi="Times New Roman" w:cs="Times New Roman"/>
                <w:sz w:val="20"/>
                <w:szCs w:val="20"/>
              </w:rPr>
              <w:br/>
            </w:r>
          </w:p>
          <w:p w14:paraId="145842B2" w14:textId="77777777" w:rsidR="00390F34" w:rsidRPr="00955AC1" w:rsidRDefault="00390F34" w:rsidP="000F6D48">
            <w:pPr>
              <w:numPr>
                <w:ilvl w:val="0"/>
                <w:numId w:val="49"/>
              </w:numPr>
              <w:contextualSpacing/>
              <w:rPr>
                <w:rFonts w:ascii="Times New Roman" w:hAnsi="Times New Roman" w:cs="Times New Roman"/>
                <w:sz w:val="20"/>
                <w:szCs w:val="20"/>
              </w:rPr>
            </w:pPr>
            <w:r w:rsidRPr="00955AC1">
              <w:rPr>
                <w:rFonts w:ascii="Times New Roman" w:hAnsi="Times New Roman" w:cs="Times New Roman"/>
                <w:sz w:val="20"/>
                <w:szCs w:val="20"/>
              </w:rPr>
              <w:t xml:space="preserve">Therefore, except where the QAP states otherwise (e.g., subsection </w:t>
            </w:r>
            <w:r w:rsidRPr="00955AC1">
              <w:rPr>
                <w:rFonts w:ascii="Times New Roman" w:hAnsi="Times New Roman" w:cs="Times New Roman"/>
                <w:b/>
                <w:bCs/>
                <w:sz w:val="20"/>
                <w:szCs w:val="20"/>
              </w:rPr>
              <w:t xml:space="preserve">10. Market Units </w:t>
            </w:r>
            <w:r w:rsidRPr="00955AC1">
              <w:rPr>
                <w:rFonts w:ascii="Times New Roman" w:hAnsi="Times New Roman" w:cs="Times New Roman"/>
                <w:sz w:val="20"/>
                <w:szCs w:val="20"/>
              </w:rPr>
              <w:t xml:space="preserve">relating to the costs and expenses associated with market units), line items that do not directly support or reflect the development or operations of the low-income housing should not be included in the </w:t>
            </w:r>
            <w:r w:rsidRPr="00955AC1">
              <w:rPr>
                <w:rFonts w:ascii="Times New Roman" w:hAnsi="Times New Roman" w:cs="Times New Roman"/>
                <w:i/>
                <w:iCs/>
                <w:sz w:val="20"/>
                <w:szCs w:val="20"/>
              </w:rPr>
              <w:t>Uses of Funds</w:t>
            </w:r>
            <w:r w:rsidRPr="00955AC1">
              <w:rPr>
                <w:rFonts w:ascii="Times New Roman" w:hAnsi="Times New Roman" w:cs="Times New Roman"/>
                <w:sz w:val="20"/>
                <w:szCs w:val="20"/>
              </w:rPr>
              <w:t xml:space="preserve"> or </w:t>
            </w:r>
            <w:r w:rsidRPr="00955AC1">
              <w:rPr>
                <w:rFonts w:ascii="Times New Roman" w:hAnsi="Times New Roman" w:cs="Times New Roman"/>
                <w:i/>
                <w:iCs/>
                <w:sz w:val="20"/>
                <w:szCs w:val="20"/>
              </w:rPr>
              <w:t>Revenues &amp; Expenses</w:t>
            </w:r>
            <w:r w:rsidRPr="00955AC1">
              <w:rPr>
                <w:rFonts w:ascii="Times New Roman" w:hAnsi="Times New Roman" w:cs="Times New Roman"/>
                <w:sz w:val="20"/>
                <w:szCs w:val="20"/>
              </w:rPr>
              <w:t xml:space="preserve"> tabs of the Excel Core Application. </w:t>
            </w:r>
            <w:r w:rsidRPr="00955AC1">
              <w:rPr>
                <w:rFonts w:ascii="Times New Roman" w:hAnsi="Times New Roman" w:cs="Times New Roman"/>
                <w:sz w:val="20"/>
                <w:szCs w:val="20"/>
              </w:rPr>
              <w:br/>
            </w:r>
          </w:p>
          <w:p w14:paraId="19036E86" w14:textId="77777777" w:rsidR="00390F34" w:rsidRPr="00955AC1" w:rsidRDefault="00390F34" w:rsidP="000F6D48">
            <w:pPr>
              <w:numPr>
                <w:ilvl w:val="0"/>
                <w:numId w:val="49"/>
              </w:numPr>
              <w:contextualSpacing/>
              <w:rPr>
                <w:rFonts w:ascii="Times New Roman" w:hAnsi="Times New Roman" w:cs="Times New Roman"/>
                <w:sz w:val="20"/>
                <w:szCs w:val="20"/>
              </w:rPr>
            </w:pPr>
            <w:r w:rsidRPr="00955AC1">
              <w:rPr>
                <w:rFonts w:ascii="Times New Roman" w:hAnsi="Times New Roman" w:cs="Times New Roman"/>
                <w:sz w:val="20"/>
                <w:szCs w:val="20"/>
              </w:rPr>
              <w:t xml:space="preserve">Please provide a description of the portions of the development not included directly in the budget of the application (e.g., in the comments box of the </w:t>
            </w:r>
            <w:r w:rsidRPr="00955AC1">
              <w:rPr>
                <w:rFonts w:ascii="Times New Roman" w:hAnsi="Times New Roman" w:cs="Times New Roman"/>
                <w:i/>
                <w:iCs/>
                <w:sz w:val="20"/>
                <w:szCs w:val="20"/>
              </w:rPr>
              <w:t>Uses of Funds</w:t>
            </w:r>
            <w:r w:rsidRPr="00955AC1">
              <w:rPr>
                <w:rFonts w:ascii="Times New Roman" w:hAnsi="Times New Roman" w:cs="Times New Roman"/>
                <w:sz w:val="20"/>
                <w:szCs w:val="20"/>
              </w:rPr>
              <w:t xml:space="preserve"> tab). If DCA staff determine that the financial and market feasibility of the low-income housing development is dependent on activities not included in the model (e.g., a commercial space), DCA may request additional information through the clarifications process. </w:t>
            </w:r>
          </w:p>
          <w:p w14:paraId="33B3C593" w14:textId="77777777" w:rsidR="00390F34" w:rsidRPr="00955AC1" w:rsidRDefault="00390F34" w:rsidP="000F6D48">
            <w:pPr>
              <w:rPr>
                <w:rFonts w:ascii="Times New Roman" w:hAnsi="Times New Roman" w:cs="Times New Roman"/>
                <w:sz w:val="20"/>
                <w:szCs w:val="20"/>
              </w:rPr>
            </w:pPr>
          </w:p>
          <w:p w14:paraId="12AF6967"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b/>
                <w:bCs/>
                <w:sz w:val="20"/>
                <w:szCs w:val="20"/>
                <w:u w:val="single"/>
              </w:rPr>
              <w:t>Non-required parking</w:t>
            </w:r>
            <w:r w:rsidRPr="00955AC1">
              <w:rPr>
                <w:rFonts w:ascii="Times New Roman" w:hAnsi="Times New Roman" w:cs="Times New Roman"/>
                <w:sz w:val="20"/>
                <w:szCs w:val="20"/>
              </w:rPr>
              <w:t>: This question includes the statement that the local government does not require any parking. Please note that even if the local government does not require parking for residential units, DCA will assess whether the proposed level of parking for all restricted and unrestricted residential units is appropriate given market feasibility considerations.</w:t>
            </w:r>
          </w:p>
          <w:p w14:paraId="6E6B5574" w14:textId="77777777" w:rsidR="00390F34" w:rsidRPr="00955AC1" w:rsidRDefault="00390F34" w:rsidP="000F6D48">
            <w:pPr>
              <w:rPr>
                <w:rFonts w:ascii="Times New Roman" w:hAnsi="Times New Roman" w:cs="Times New Roman"/>
                <w:sz w:val="20"/>
                <w:szCs w:val="20"/>
              </w:rPr>
            </w:pPr>
          </w:p>
          <w:p w14:paraId="26BA3675"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b/>
                <w:bCs/>
                <w:sz w:val="20"/>
                <w:szCs w:val="20"/>
                <w:u w:val="single"/>
              </w:rPr>
              <w:t>Requirements for allocating land costs</w:t>
            </w:r>
            <w:r w:rsidRPr="00955AC1">
              <w:rPr>
                <w:rFonts w:ascii="Times New Roman" w:hAnsi="Times New Roman" w:cs="Times New Roman"/>
                <w:sz w:val="20"/>
                <w:szCs w:val="20"/>
              </w:rPr>
              <w:t xml:space="preserve">: The answer to this question depends on the specifics of the development. Applicants should allocate costs proportionally and describe the methodology for doing so in detail so that DCA underwriters can replicate it. If DCA staff determine upon reviewing the development information that an adjustment to the methodology is required, DCA staff will reach out to the applicant through the clarifications process. </w:t>
            </w:r>
          </w:p>
          <w:p w14:paraId="50C7EEF5" w14:textId="77777777" w:rsidR="00390F34" w:rsidRPr="00955AC1" w:rsidRDefault="00390F34" w:rsidP="000F6D48">
            <w:pPr>
              <w:pStyle w:val="ListParagraph"/>
              <w:numPr>
                <w:ilvl w:val="0"/>
                <w:numId w:val="51"/>
              </w:numPr>
              <w:rPr>
                <w:rFonts w:ascii="Times New Roman" w:hAnsi="Times New Roman" w:cs="Times New Roman"/>
                <w:sz w:val="20"/>
                <w:szCs w:val="20"/>
              </w:rPr>
            </w:pPr>
            <w:r w:rsidRPr="00955AC1">
              <w:rPr>
                <w:rFonts w:ascii="Times New Roman" w:hAnsi="Times New Roman" w:cs="Times New Roman"/>
                <w:sz w:val="20"/>
                <w:szCs w:val="20"/>
              </w:rPr>
              <w:t xml:space="preserve">Please also note that, per </w:t>
            </w:r>
            <w:r w:rsidRPr="00955AC1">
              <w:rPr>
                <w:rFonts w:ascii="Times New Roman" w:hAnsi="Times New Roman" w:cs="Times New Roman"/>
                <w:b/>
                <w:bCs/>
                <w:sz w:val="20"/>
                <w:szCs w:val="20"/>
              </w:rPr>
              <w:t>(Threshold Criteria) Appraisals</w:t>
            </w:r>
            <w:r w:rsidRPr="00955AC1">
              <w:rPr>
                <w:rFonts w:ascii="Times New Roman" w:hAnsi="Times New Roman" w:cs="Times New Roman"/>
                <w:sz w:val="20"/>
                <w:szCs w:val="20"/>
              </w:rPr>
              <w:t>, “DCA may also commission an appraisal for a tax credit only project in order to confirm that the proposed purchase price is reasonable and the valuation assumptions within the application are valid.”</w:t>
            </w:r>
          </w:p>
        </w:tc>
      </w:tr>
      <w:tr w:rsidR="00390F34" w:rsidRPr="00955AC1" w14:paraId="1977E161" w14:textId="77777777" w:rsidTr="64301FE8">
        <w:trPr>
          <w:jc w:val="center"/>
        </w:trPr>
        <w:tc>
          <w:tcPr>
            <w:tcW w:w="1697" w:type="dxa"/>
            <w:shd w:val="clear" w:color="auto" w:fill="auto"/>
            <w:tcMar>
              <w:top w:w="72" w:type="dxa"/>
              <w:left w:w="115" w:type="dxa"/>
              <w:bottom w:w="72" w:type="dxa"/>
              <w:right w:w="115" w:type="dxa"/>
            </w:tcMar>
            <w:vAlign w:val="center"/>
          </w:tcPr>
          <w:p w14:paraId="74F5D355"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15B94E48"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2.08</w:t>
            </w:r>
          </w:p>
          <w:p w14:paraId="00FCD0F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7DE8442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Site Control</w:t>
            </w:r>
          </w:p>
        </w:tc>
        <w:tc>
          <w:tcPr>
            <w:tcW w:w="9585" w:type="dxa"/>
            <w:shd w:val="clear" w:color="auto" w:fill="auto"/>
            <w:tcMar>
              <w:top w:w="72" w:type="dxa"/>
              <w:left w:w="115" w:type="dxa"/>
              <w:bottom w:w="72" w:type="dxa"/>
              <w:right w:w="115" w:type="dxa"/>
            </w:tcMar>
            <w:vAlign w:val="center"/>
          </w:tcPr>
          <w:p w14:paraId="528C6D01" w14:textId="77777777" w:rsidR="00390F34" w:rsidRPr="00955AC1" w:rsidRDefault="00390F34" w:rsidP="000F6D48">
            <w:pPr>
              <w:jc w:val="center"/>
              <w:rPr>
                <w:rFonts w:ascii="Times New Roman" w:hAnsi="Times New Roman" w:cs="Times New Roman"/>
              </w:rPr>
            </w:pPr>
            <w:r w:rsidRPr="00955AC1">
              <w:rPr>
                <w:rStyle w:val="normaltextrun"/>
                <w:rFonts w:ascii="Times New Roman" w:hAnsi="Times New Roman" w:cs="Times New Roman"/>
                <w:b/>
                <w:bCs/>
                <w:i/>
                <w:iCs/>
                <w:color w:val="FF0000"/>
                <w:sz w:val="20"/>
                <w:szCs w:val="20"/>
              </w:rPr>
              <w:t>This Q&amp;A references the 9% Round but includes information relevant to 4%/Bonds applications.</w:t>
            </w:r>
          </w:p>
          <w:p w14:paraId="703EB213" w14:textId="77777777" w:rsidR="00390F34" w:rsidRPr="00955AC1" w:rsidRDefault="00390F34" w:rsidP="000F6D48">
            <w:pPr>
              <w:textAlignment w:val="baseline"/>
              <w:rPr>
                <w:rFonts w:ascii="Times New Roman" w:eastAsia="Times New Roman" w:hAnsi="Times New Roman" w:cs="Times New Roman"/>
                <w:b/>
                <w:bCs/>
                <w:sz w:val="20"/>
                <w:szCs w:val="20"/>
              </w:rPr>
            </w:pPr>
          </w:p>
          <w:p w14:paraId="304286A1"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Q22_0517_04 </w:t>
            </w:r>
          </w:p>
          <w:p w14:paraId="03338E8E" w14:textId="77777777" w:rsidR="00390F34" w:rsidRPr="00955AC1" w:rsidRDefault="00390F34" w:rsidP="000F6D48">
            <w:pPr>
              <w:textAlignment w:val="baseline"/>
              <w:rPr>
                <w:rFonts w:ascii="Times New Roman" w:eastAsia="Times New Roman" w:hAnsi="Times New Roman" w:cs="Times New Roman"/>
                <w:color w:val="000000"/>
                <w:sz w:val="20"/>
                <w:szCs w:val="20"/>
              </w:rPr>
            </w:pPr>
            <w:r w:rsidRPr="00955AC1">
              <w:rPr>
                <w:rFonts w:ascii="Times New Roman" w:eastAsia="Times New Roman" w:hAnsi="Times New Roman" w:cs="Times New Roman"/>
                <w:color w:val="000000"/>
                <w:sz w:val="20"/>
                <w:szCs w:val="20"/>
              </w:rPr>
              <w:t>Our site control is in the form of a legally binding contract.  Do we also need to include a warranty deed from the current property owner, or does having the legally binding contract fulfill the site control requirement?  </w:t>
            </w:r>
          </w:p>
          <w:p w14:paraId="6BF09CAC" w14:textId="77777777" w:rsidR="00390F34" w:rsidRPr="00955AC1" w:rsidRDefault="00390F34" w:rsidP="000F6D48">
            <w:pPr>
              <w:textAlignment w:val="baseline"/>
              <w:rPr>
                <w:rFonts w:ascii="Times New Roman" w:eastAsia="Times New Roman" w:hAnsi="Times New Roman" w:cs="Times New Roman"/>
                <w:color w:val="000000"/>
                <w:sz w:val="20"/>
                <w:szCs w:val="20"/>
              </w:rPr>
            </w:pPr>
          </w:p>
          <w:p w14:paraId="08B7707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0061767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(May 27, 2022 update) </w:t>
            </w:r>
          </w:p>
          <w:p w14:paraId="360B98A4"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On May 24, 2022, DCA responded to this question, stating that a settlement statement or warranty deed from the current property owner is required. DCA then received a follow-up question, stating that the response was incorrect given the QAP language. Internal discussion covered the following: </w:t>
            </w:r>
          </w:p>
          <w:p w14:paraId="75EB8F63"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68E8BFF3" w14:textId="77777777" w:rsidR="00390F34" w:rsidRPr="00955AC1" w:rsidRDefault="00390F34" w:rsidP="000F6D48">
            <w:pPr>
              <w:pStyle w:val="ListParagraph"/>
              <w:numPr>
                <w:ilvl w:val="0"/>
                <w:numId w:val="51"/>
              </w:num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The original response is consistent with both the language and intent of the Minimum Documentation requirements listed under </w:t>
            </w:r>
            <w:r w:rsidRPr="00955AC1">
              <w:rPr>
                <w:rFonts w:ascii="Times New Roman" w:eastAsia="Times New Roman" w:hAnsi="Times New Roman" w:cs="Times New Roman"/>
                <w:b/>
                <w:bCs/>
                <w:sz w:val="20"/>
                <w:szCs w:val="20"/>
              </w:rPr>
              <w:t>(Threshold Criteria) Site Control</w:t>
            </w:r>
            <w:r w:rsidRPr="00955AC1">
              <w:rPr>
                <w:rFonts w:ascii="Times New Roman" w:eastAsia="Times New Roman" w:hAnsi="Times New Roman" w:cs="Times New Roman"/>
                <w:sz w:val="20"/>
                <w:szCs w:val="20"/>
              </w:rPr>
              <w:t>. </w:t>
            </w:r>
          </w:p>
          <w:p w14:paraId="4418B833" w14:textId="77777777" w:rsidR="00390F34" w:rsidRPr="00955AC1" w:rsidRDefault="00390F34" w:rsidP="000F6D48">
            <w:pPr>
              <w:pStyle w:val="ListParagraph"/>
              <w:numPr>
                <w:ilvl w:val="0"/>
                <w:numId w:val="51"/>
              </w:num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However, in the past applicants have misunderstood this requirement. During the 2021 9% Competitive Round, so many applicants misunderstood this requirement that the requirement was not enforced.  </w:t>
            </w:r>
          </w:p>
          <w:p w14:paraId="035F5E17" w14:textId="77777777" w:rsidR="00390F34" w:rsidRPr="00955AC1" w:rsidRDefault="00390F34" w:rsidP="000F6D48">
            <w:pPr>
              <w:pStyle w:val="ListParagraph"/>
              <w:numPr>
                <w:ilvl w:val="0"/>
                <w:numId w:val="51"/>
              </w:num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The QAP language did not change from the 2021 QAP to the 2022 QAP to clarify this provision. </w:t>
            </w:r>
          </w:p>
          <w:p w14:paraId="7CA9387F" w14:textId="77777777" w:rsidR="00390F34" w:rsidRPr="00955AC1" w:rsidRDefault="00390F34" w:rsidP="000F6D48">
            <w:pPr>
              <w:pStyle w:val="ListParagraph"/>
              <w:numPr>
                <w:ilvl w:val="0"/>
                <w:numId w:val="51"/>
              </w:num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For the many applicants who did not receive a missing documentation notice during the 2021 9% Competitive Round, this is functionally a change in policy that was issued one week before the 2022 9% Competitive Round deadline.  </w:t>
            </w:r>
          </w:p>
          <w:p w14:paraId="02E95D6C"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4DB1A05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Therefore, for purposes of the 2022 9% Competitive Round, DCA will not require a settlement statement or warranty deed by default. Please note that the primary purpose of this requirement is to help DCA underwriters assess how the land should be valued given how long the property has “been in the control of the Applicant or a related party” (see </w:t>
            </w:r>
            <w:r w:rsidRPr="00955AC1">
              <w:rPr>
                <w:rFonts w:ascii="Times New Roman" w:eastAsia="Times New Roman" w:hAnsi="Times New Roman" w:cs="Times New Roman"/>
                <w:b/>
                <w:bCs/>
                <w:sz w:val="20"/>
                <w:szCs w:val="20"/>
              </w:rPr>
              <w:t>(Threshold Criteria) Appraisals</w:t>
            </w:r>
            <w:r w:rsidRPr="00955AC1">
              <w:rPr>
                <w:rFonts w:ascii="Times New Roman" w:eastAsia="Times New Roman" w:hAnsi="Times New Roman" w:cs="Times New Roman"/>
                <w:sz w:val="20"/>
                <w:szCs w:val="20"/>
              </w:rPr>
              <w:t xml:space="preserve"> for more information). DCA reserves the right to request evidence to confirm this through the clarifications process during the 2022 9% Competitive Round.  </w:t>
            </w:r>
          </w:p>
          <w:p w14:paraId="32604A73"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3314F465" w14:textId="77777777" w:rsidR="00390F34" w:rsidRPr="00955AC1" w:rsidRDefault="00390F34" w:rsidP="000F6D48">
            <w:pPr>
              <w:textAlignment w:val="baseline"/>
              <w:rPr>
                <w:rFonts w:ascii="Times New Roman" w:eastAsia="Times New Roman" w:hAnsi="Times New Roman" w:cs="Times New Roman"/>
                <w:i/>
                <w:iCs/>
                <w:sz w:val="20"/>
                <w:szCs w:val="20"/>
              </w:rPr>
            </w:pPr>
          </w:p>
          <w:p w14:paraId="45F09FA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Below is the original answer, posted May 24, 2022:</w:t>
            </w:r>
          </w:p>
          <w:p w14:paraId="3B28D4A1" w14:textId="77777777" w:rsidR="00390F34" w:rsidRPr="00955AC1" w:rsidRDefault="00390F34" w:rsidP="000F6D48">
            <w:pPr>
              <w:textAlignment w:val="baseline"/>
              <w:rPr>
                <w:rFonts w:ascii="Times New Roman" w:eastAsia="Times New Roman" w:hAnsi="Times New Roman" w:cs="Times New Roman"/>
                <w:sz w:val="20"/>
                <w:szCs w:val="20"/>
              </w:rPr>
            </w:pPr>
          </w:p>
          <w:p w14:paraId="287208F8" w14:textId="77777777" w:rsidR="00390F34" w:rsidRPr="00955AC1" w:rsidRDefault="00390F34" w:rsidP="000F6D48">
            <w:pPr>
              <w:textAlignment w:val="baseline"/>
              <w:rPr>
                <w:rFonts w:ascii="Times New Roman" w:eastAsia="Times New Roman" w:hAnsi="Times New Roman" w:cs="Times New Roman"/>
                <w:i/>
                <w:iCs/>
                <w:sz w:val="20"/>
                <w:szCs w:val="20"/>
              </w:rPr>
            </w:pPr>
            <w:r w:rsidRPr="00955AC1">
              <w:rPr>
                <w:rFonts w:ascii="Times New Roman" w:eastAsia="Times New Roman" w:hAnsi="Times New Roman" w:cs="Times New Roman"/>
                <w:i/>
                <w:iCs/>
                <w:sz w:val="20"/>
                <w:szCs w:val="20"/>
              </w:rPr>
              <w:t xml:space="preserve">Per </w:t>
            </w:r>
            <w:r w:rsidRPr="00955AC1">
              <w:rPr>
                <w:rFonts w:ascii="Times New Roman" w:eastAsia="Times New Roman" w:hAnsi="Times New Roman" w:cs="Times New Roman"/>
                <w:b/>
                <w:bCs/>
                <w:i/>
                <w:iCs/>
                <w:sz w:val="20"/>
                <w:szCs w:val="20"/>
              </w:rPr>
              <w:t xml:space="preserve">(Threshold) Site Control, </w:t>
            </w:r>
            <w:r w:rsidRPr="00955AC1">
              <w:rPr>
                <w:rFonts w:ascii="Times New Roman" w:eastAsia="Times New Roman" w:hAnsi="Times New Roman" w:cs="Times New Roman"/>
                <w:i/>
                <w:iCs/>
                <w:sz w:val="20"/>
                <w:szCs w:val="20"/>
              </w:rPr>
              <w:t>in addition to the legally binding contract, a settlement statement or warranty deed from the current property owner must be submitted.   </w:t>
            </w:r>
          </w:p>
          <w:p w14:paraId="39CEDBD3" w14:textId="77777777" w:rsidR="00390F34" w:rsidRPr="00955AC1" w:rsidRDefault="00390F34" w:rsidP="000F6D48">
            <w:pPr>
              <w:textAlignment w:val="baseline"/>
              <w:rPr>
                <w:rFonts w:ascii="Times New Roman" w:eastAsia="Times New Roman" w:hAnsi="Times New Roman" w:cs="Times New Roman"/>
                <w:i/>
                <w:iCs/>
                <w:sz w:val="20"/>
                <w:szCs w:val="20"/>
              </w:rPr>
            </w:pPr>
            <w:r w:rsidRPr="00955AC1">
              <w:rPr>
                <w:rFonts w:ascii="Times New Roman" w:eastAsia="Times New Roman" w:hAnsi="Times New Roman" w:cs="Times New Roman"/>
                <w:i/>
                <w:iCs/>
                <w:sz w:val="20"/>
                <w:szCs w:val="20"/>
              </w:rPr>
              <w:t> </w:t>
            </w:r>
          </w:p>
          <w:p w14:paraId="4FD3FD4D" w14:textId="77777777" w:rsidR="00390F34" w:rsidRPr="00955AC1" w:rsidRDefault="00390F34" w:rsidP="000F6D48">
            <w:pPr>
              <w:textAlignment w:val="baseline"/>
              <w:rPr>
                <w:rFonts w:ascii="Times New Roman" w:eastAsia="Times New Roman" w:hAnsi="Times New Roman" w:cs="Times New Roman"/>
                <w:i/>
                <w:iCs/>
                <w:sz w:val="20"/>
                <w:szCs w:val="20"/>
              </w:rPr>
            </w:pPr>
            <w:r w:rsidRPr="00955AC1">
              <w:rPr>
                <w:rFonts w:ascii="Times New Roman" w:eastAsia="Times New Roman" w:hAnsi="Times New Roman" w:cs="Times New Roman"/>
                <w:i/>
                <w:iCs/>
                <w:sz w:val="20"/>
                <w:szCs w:val="20"/>
              </w:rPr>
              <w:t>Minimum Documentation: </w:t>
            </w:r>
          </w:p>
          <w:p w14:paraId="12A95009" w14:textId="77777777" w:rsidR="00390F34" w:rsidRPr="00955AC1" w:rsidRDefault="00390F34" w:rsidP="000F6D48">
            <w:pPr>
              <w:textAlignment w:val="baseline"/>
              <w:rPr>
                <w:rFonts w:ascii="Times New Roman" w:eastAsia="Times New Roman" w:hAnsi="Times New Roman" w:cs="Times New Roman"/>
                <w:i/>
                <w:iCs/>
                <w:sz w:val="20"/>
                <w:szCs w:val="20"/>
              </w:rPr>
            </w:pPr>
            <w:r w:rsidRPr="00955AC1">
              <w:rPr>
                <w:rFonts w:ascii="Times New Roman" w:eastAsia="Times New Roman" w:hAnsi="Times New Roman" w:cs="Times New Roman"/>
                <w:i/>
                <w:iCs/>
                <w:sz w:val="20"/>
                <w:szCs w:val="20"/>
              </w:rPr>
              <w:t>• Settlement statement or warranty deed from current property owner </w:t>
            </w:r>
          </w:p>
          <w:p w14:paraId="047033AD" w14:textId="77777777" w:rsidR="00390F34" w:rsidRPr="00955AC1" w:rsidRDefault="00390F34" w:rsidP="000F6D48">
            <w:pPr>
              <w:textAlignment w:val="baseline"/>
              <w:rPr>
                <w:rFonts w:ascii="Times New Roman" w:eastAsia="Times New Roman" w:hAnsi="Times New Roman" w:cs="Times New Roman"/>
                <w:i/>
                <w:iCs/>
                <w:sz w:val="20"/>
                <w:szCs w:val="20"/>
              </w:rPr>
            </w:pPr>
            <w:r w:rsidRPr="00955AC1">
              <w:rPr>
                <w:rFonts w:ascii="Times New Roman" w:eastAsia="Times New Roman" w:hAnsi="Times New Roman" w:cs="Times New Roman"/>
                <w:i/>
                <w:iCs/>
                <w:sz w:val="20"/>
                <w:szCs w:val="20"/>
              </w:rPr>
              <w:t>• Warranty Deed; legally binding Contract; or legally binding, long-term Ground Lease or Option </w:t>
            </w:r>
          </w:p>
          <w:p w14:paraId="5F7B357C" w14:textId="77777777" w:rsidR="00390F34" w:rsidRPr="00955AC1" w:rsidRDefault="00390F34" w:rsidP="000F6D48">
            <w:pPr>
              <w:textAlignment w:val="baseline"/>
              <w:rPr>
                <w:rFonts w:ascii="Times New Roman" w:eastAsia="Times New Roman" w:hAnsi="Times New Roman" w:cs="Times New Roman"/>
                <w:i/>
                <w:iCs/>
                <w:sz w:val="20"/>
                <w:szCs w:val="20"/>
              </w:rPr>
            </w:pPr>
            <w:r w:rsidRPr="00955AC1">
              <w:rPr>
                <w:rFonts w:ascii="Times New Roman" w:eastAsia="Times New Roman" w:hAnsi="Times New Roman" w:cs="Times New Roman"/>
                <w:i/>
                <w:iCs/>
                <w:sz w:val="20"/>
                <w:szCs w:val="20"/>
              </w:rPr>
              <w:t>• Legal description </w:t>
            </w:r>
          </w:p>
          <w:p w14:paraId="14BFB46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i/>
                <w:iCs/>
                <w:sz w:val="20"/>
                <w:szCs w:val="20"/>
              </w:rPr>
              <w:t>• Evidence of RFP selection</w:t>
            </w:r>
            <w:r w:rsidRPr="00955AC1">
              <w:rPr>
                <w:rFonts w:ascii="Times New Roman" w:eastAsia="Times New Roman" w:hAnsi="Times New Roman" w:cs="Times New Roman"/>
                <w:sz w:val="20"/>
                <w:szCs w:val="20"/>
              </w:rPr>
              <w:t> </w:t>
            </w:r>
          </w:p>
        </w:tc>
      </w:tr>
      <w:tr w:rsidR="00390F34" w:rsidRPr="00955AC1" w14:paraId="5773343F" w14:textId="77777777" w:rsidTr="64301FE8">
        <w:trPr>
          <w:jc w:val="center"/>
        </w:trPr>
        <w:tc>
          <w:tcPr>
            <w:tcW w:w="1697" w:type="dxa"/>
            <w:shd w:val="clear" w:color="auto" w:fill="auto"/>
            <w:tcMar>
              <w:top w:w="72" w:type="dxa"/>
              <w:left w:w="115" w:type="dxa"/>
              <w:bottom w:w="72" w:type="dxa"/>
              <w:right w:w="115" w:type="dxa"/>
            </w:tcMar>
            <w:vAlign w:val="center"/>
          </w:tcPr>
          <w:p w14:paraId="270E0E8C"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6150CF33"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2.13</w:t>
            </w:r>
          </w:p>
          <w:p w14:paraId="7429B62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7F3E2C8A"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Required Amenities</w:t>
            </w:r>
          </w:p>
        </w:tc>
        <w:tc>
          <w:tcPr>
            <w:tcW w:w="9585" w:type="dxa"/>
            <w:shd w:val="clear" w:color="auto" w:fill="auto"/>
            <w:tcMar>
              <w:top w:w="72" w:type="dxa"/>
              <w:left w:w="115" w:type="dxa"/>
              <w:bottom w:w="72" w:type="dxa"/>
              <w:right w:w="115" w:type="dxa"/>
            </w:tcMar>
            <w:vAlign w:val="center"/>
          </w:tcPr>
          <w:p w14:paraId="0F3FAED6"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Q22_0518_04</w:t>
            </w:r>
            <w:r w:rsidRPr="00955AC1">
              <w:rPr>
                <w:rStyle w:val="eop"/>
                <w:sz w:val="20"/>
                <w:szCs w:val="20"/>
              </w:rPr>
              <w:t> </w:t>
            </w:r>
          </w:p>
          <w:p w14:paraId="1922EF3B"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color w:val="000000"/>
                <w:sz w:val="20"/>
                <w:szCs w:val="20"/>
              </w:rPr>
              <w:t>Regarding appliances, please confirm that a 100% Section 8 covered property would be considered a "HUD property," and therefore not be required to add dishwashers.</w:t>
            </w:r>
            <w:r w:rsidRPr="00955AC1">
              <w:rPr>
                <w:rStyle w:val="eop"/>
                <w:color w:val="000000"/>
                <w:sz w:val="20"/>
                <w:szCs w:val="20"/>
              </w:rPr>
              <w:t> </w:t>
            </w:r>
          </w:p>
          <w:p w14:paraId="6C4079B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0089F557"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4795C353"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For purposes of this subsection, a property for which 100% of units have PBRA originating from HUD would be considered a “HUD property.” </w:t>
            </w:r>
            <w:r w:rsidRPr="00955AC1">
              <w:rPr>
                <w:rStyle w:val="eop"/>
                <w:sz w:val="20"/>
                <w:szCs w:val="20"/>
              </w:rPr>
              <w:t> </w:t>
            </w:r>
          </w:p>
        </w:tc>
      </w:tr>
      <w:tr w:rsidR="00390F34" w:rsidRPr="00955AC1" w14:paraId="3FF62942" w14:textId="77777777" w:rsidTr="64301FE8">
        <w:trPr>
          <w:jc w:val="center"/>
        </w:trPr>
        <w:tc>
          <w:tcPr>
            <w:tcW w:w="1697" w:type="dxa"/>
            <w:shd w:val="clear" w:color="auto" w:fill="auto"/>
            <w:tcMar>
              <w:top w:w="72" w:type="dxa"/>
              <w:left w:w="115" w:type="dxa"/>
              <w:bottom w:w="72" w:type="dxa"/>
              <w:right w:w="115" w:type="dxa"/>
            </w:tcMar>
            <w:vAlign w:val="center"/>
          </w:tcPr>
          <w:p w14:paraId="79A84C2B"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487F146B"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2.25</w:t>
            </w:r>
          </w:p>
          <w:p w14:paraId="4E3F1E05"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666F74CA"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5CE05474"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Q22_0519_09</w:t>
            </w:r>
            <w:r w:rsidRPr="00955AC1">
              <w:rPr>
                <w:rStyle w:val="eop"/>
                <w:sz w:val="20"/>
                <w:szCs w:val="20"/>
              </w:rPr>
              <w:t> </w:t>
            </w:r>
          </w:p>
          <w:p w14:paraId="2514D5A3"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color w:val="000000"/>
                <w:sz w:val="20"/>
                <w:szCs w:val="20"/>
              </w:rPr>
              <w:t xml:space="preserve">We submit our GIN notice at </w:t>
            </w:r>
            <w:r w:rsidRPr="00955AC1">
              <w:rPr>
                <w:rStyle w:val="spellingerror"/>
                <w:rFonts w:eastAsiaTheme="majorEastAsia"/>
                <w:color w:val="000000"/>
                <w:sz w:val="20"/>
                <w:szCs w:val="20"/>
              </w:rPr>
              <w:t>Preapp</w:t>
            </w:r>
            <w:r w:rsidRPr="00955AC1">
              <w:rPr>
                <w:rStyle w:val="normaltextrun"/>
                <w:color w:val="000000"/>
                <w:sz w:val="20"/>
                <w:szCs w:val="20"/>
              </w:rPr>
              <w:t xml:space="preserve"> and got approval by DCA. Since then, the single tenant on a </w:t>
            </w:r>
            <w:r w:rsidRPr="00955AC1">
              <w:rPr>
                <w:rStyle w:val="contextualspellingandgrammarerror"/>
                <w:rFonts w:eastAsiaTheme="majorEastAsia"/>
                <w:color w:val="000000"/>
                <w:sz w:val="20"/>
                <w:szCs w:val="20"/>
              </w:rPr>
              <w:t>month to month</w:t>
            </w:r>
            <w:r w:rsidRPr="00955AC1">
              <w:rPr>
                <w:rStyle w:val="normaltextrun"/>
                <w:color w:val="000000"/>
                <w:sz w:val="20"/>
                <w:szCs w:val="20"/>
              </w:rPr>
              <w:t xml:space="preserve"> lease has moved off the property. Do we still need to submit to DCA for relocation? We are planning too just want </w:t>
            </w:r>
            <w:r w:rsidRPr="00955AC1">
              <w:rPr>
                <w:rStyle w:val="contextualspellingandgrammarerror"/>
                <w:rFonts w:eastAsiaTheme="majorEastAsia"/>
                <w:color w:val="000000"/>
                <w:sz w:val="20"/>
                <w:szCs w:val="20"/>
              </w:rPr>
              <w:t>ask</w:t>
            </w:r>
            <w:r w:rsidRPr="00955AC1">
              <w:rPr>
                <w:rStyle w:val="normaltextrun"/>
                <w:color w:val="000000"/>
                <w:sz w:val="20"/>
                <w:szCs w:val="20"/>
              </w:rPr>
              <w:t xml:space="preserve"> before we do.</w:t>
            </w:r>
            <w:r w:rsidRPr="00955AC1">
              <w:rPr>
                <w:rStyle w:val="eop"/>
                <w:color w:val="000000"/>
                <w:sz w:val="20"/>
                <w:szCs w:val="20"/>
              </w:rPr>
              <w:t> </w:t>
            </w:r>
          </w:p>
          <w:p w14:paraId="2B548C7B"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659E2259"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xml:space="preserve">: </w:t>
            </w:r>
            <w:r w:rsidRPr="00955AC1">
              <w:rPr>
                <w:rStyle w:val="eop"/>
                <w:sz w:val="20"/>
                <w:szCs w:val="20"/>
              </w:rPr>
              <w:t> </w:t>
            </w:r>
          </w:p>
          <w:p w14:paraId="7E989E19"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For properties with 100% proposed tax credit funding, relocation submission and supporting documentation (including move out records) to explain the situation is recommended to ensure passage of </w:t>
            </w:r>
            <w:r w:rsidRPr="00955AC1">
              <w:rPr>
                <w:rStyle w:val="normaltextrun"/>
                <w:b/>
                <w:bCs/>
                <w:sz w:val="20"/>
                <w:szCs w:val="20"/>
              </w:rPr>
              <w:t xml:space="preserve">(Threshold Criteria) Occupied Developments </w:t>
            </w:r>
            <w:r w:rsidRPr="00955AC1">
              <w:rPr>
                <w:rStyle w:val="normaltextrun"/>
                <w:sz w:val="20"/>
                <w:szCs w:val="20"/>
              </w:rPr>
              <w:t>without complication. If the program has Federal Funds on it (</w:t>
            </w:r>
            <w:r w:rsidRPr="00955AC1">
              <w:rPr>
                <w:rStyle w:val="spellingerror"/>
                <w:rFonts w:eastAsiaTheme="majorEastAsia"/>
                <w:sz w:val="20"/>
                <w:szCs w:val="20"/>
              </w:rPr>
              <w:t>ie</w:t>
            </w:r>
            <w:r w:rsidRPr="00955AC1">
              <w:rPr>
                <w:rStyle w:val="normaltextrun"/>
                <w:sz w:val="20"/>
                <w:szCs w:val="20"/>
              </w:rPr>
              <w:t xml:space="preserve">. HOME, PBRA Subsidies, RAD, </w:t>
            </w:r>
            <w:r w:rsidRPr="00955AC1">
              <w:rPr>
                <w:rStyle w:val="spellingerror"/>
                <w:rFonts w:eastAsiaTheme="majorEastAsia"/>
                <w:sz w:val="20"/>
                <w:szCs w:val="20"/>
              </w:rPr>
              <w:t>etc</w:t>
            </w:r>
            <w:r w:rsidRPr="00955AC1">
              <w:rPr>
                <w:rStyle w:val="normaltextrun"/>
                <w:sz w:val="20"/>
                <w:szCs w:val="20"/>
              </w:rPr>
              <w:t>), then a full relocation submission should be submitted to ensure all Uniform Relocation Act (URA) processes were followed.</w:t>
            </w:r>
          </w:p>
        </w:tc>
      </w:tr>
      <w:tr w:rsidR="00390F34" w:rsidRPr="00955AC1" w14:paraId="1C3F97DE" w14:textId="77777777" w:rsidTr="64301FE8">
        <w:trPr>
          <w:jc w:val="center"/>
        </w:trPr>
        <w:tc>
          <w:tcPr>
            <w:tcW w:w="1697" w:type="dxa"/>
            <w:shd w:val="clear" w:color="auto" w:fill="auto"/>
            <w:tcMar>
              <w:top w:w="72" w:type="dxa"/>
              <w:left w:w="115" w:type="dxa"/>
              <w:bottom w:w="72" w:type="dxa"/>
              <w:right w:w="115" w:type="dxa"/>
            </w:tcMar>
            <w:vAlign w:val="center"/>
          </w:tcPr>
          <w:p w14:paraId="61998C56"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5AA9A465"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3.05</w:t>
            </w:r>
          </w:p>
          <w:p w14:paraId="391498C6"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6635B4DA"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3567EFA1"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Q22_0519_01 </w:t>
            </w:r>
          </w:p>
          <w:p w14:paraId="6F60C48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On the Desirable Activities Certification form, Undesirable tab, do we include a site that might fit the description of an undesirable, but will be mitigated?  Even though I indicate that there's supporting documentation that it will be mitigated, and therefore, no point deductions made, the spreadsheet still automatically deducts those points?  Should I just leave that site off (to avoid automatic point deduction) and provide an explanation?  Or partially fill it out (by not including distance), so that it doesn't deduct points?  </w:t>
            </w:r>
          </w:p>
          <w:p w14:paraId="6E619051"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2FEA62B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4DD91676"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In the Undesirable Site Certification, applicants should include and fill out all fields associated with any Undesirable activities/characteristic located within a radius of 0.25 miles of the proposed site. The Undesirable Site Certification will reflect a deduction, but per </w:t>
            </w:r>
            <w:r w:rsidRPr="00955AC1">
              <w:rPr>
                <w:rFonts w:ascii="Times New Roman" w:eastAsia="Times New Roman" w:hAnsi="Times New Roman" w:cs="Times New Roman"/>
                <w:b/>
                <w:bCs/>
                <w:sz w:val="20"/>
                <w:szCs w:val="20"/>
              </w:rPr>
              <w:t xml:space="preserve">(Scoring) Desirable/Undesirable Activities, B. Undesirable/Inefficient Site Activities/Characteristics, 2. Exceptions to Undesirable Deductions, </w:t>
            </w:r>
            <w:r w:rsidRPr="00955AC1">
              <w:rPr>
                <w:rFonts w:ascii="Times New Roman" w:eastAsia="Times New Roman" w:hAnsi="Times New Roman" w:cs="Times New Roman"/>
                <w:sz w:val="20"/>
                <w:szCs w:val="20"/>
              </w:rPr>
              <w:t>“The point deduction will not apply if the Applicant has knowledge at the time of Application that an undesirable activity/characteristic is temporary and that a change or mitigation will remove it as set forth [in the subsection].” Minimum Documentation for this section includes: “Evidence of mitigation of undesirable activity/characteristic from the third party responsible for the mitigation by the date noted [in subsection B.2. Exceptions to Undesirable Deductions].” Documentation submitted should provide sufficient evidence that the requirements of this subsection have been met. </w:t>
            </w:r>
          </w:p>
        </w:tc>
      </w:tr>
      <w:tr w:rsidR="00390F34" w:rsidRPr="00955AC1" w14:paraId="3F72A154" w14:textId="77777777" w:rsidTr="64301FE8">
        <w:trPr>
          <w:jc w:val="center"/>
        </w:trPr>
        <w:tc>
          <w:tcPr>
            <w:tcW w:w="1697" w:type="dxa"/>
            <w:shd w:val="clear" w:color="auto" w:fill="auto"/>
            <w:tcMar>
              <w:top w:w="72" w:type="dxa"/>
              <w:left w:w="115" w:type="dxa"/>
              <w:bottom w:w="72" w:type="dxa"/>
              <w:right w:w="115" w:type="dxa"/>
            </w:tcMar>
            <w:vAlign w:val="center"/>
          </w:tcPr>
          <w:p w14:paraId="4EB1E1CF"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1930AAF4"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3.15</w:t>
            </w:r>
          </w:p>
          <w:p w14:paraId="7B1B0391"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5664C2F7"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Extended Affordability Commitment</w:t>
            </w:r>
          </w:p>
        </w:tc>
        <w:tc>
          <w:tcPr>
            <w:tcW w:w="9585" w:type="dxa"/>
            <w:shd w:val="clear" w:color="auto" w:fill="auto"/>
            <w:tcMar>
              <w:top w:w="72" w:type="dxa"/>
              <w:left w:w="115" w:type="dxa"/>
              <w:bottom w:w="72" w:type="dxa"/>
              <w:right w:w="115" w:type="dxa"/>
            </w:tcMar>
            <w:vAlign w:val="center"/>
          </w:tcPr>
          <w:p w14:paraId="7298702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color w:val="000000"/>
                <w:sz w:val="20"/>
                <w:szCs w:val="20"/>
              </w:rPr>
              <w:t>Question</w:t>
            </w:r>
            <w:r w:rsidRPr="00955AC1">
              <w:rPr>
                <w:rStyle w:val="normaltextrun"/>
                <w:color w:val="000000"/>
                <w:sz w:val="20"/>
                <w:szCs w:val="20"/>
              </w:rPr>
              <w:t>: Q22_0520_08</w:t>
            </w:r>
            <w:r w:rsidRPr="00955AC1">
              <w:rPr>
                <w:rStyle w:val="eop"/>
                <w:color w:val="000000"/>
                <w:sz w:val="20"/>
                <w:szCs w:val="20"/>
              </w:rPr>
              <w:t> </w:t>
            </w:r>
          </w:p>
          <w:p w14:paraId="5D13234A"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color w:val="000000"/>
                <w:sz w:val="20"/>
                <w:szCs w:val="20"/>
              </w:rPr>
              <w:t>The following two questions received are related: </w:t>
            </w:r>
            <w:r w:rsidRPr="00955AC1">
              <w:rPr>
                <w:rStyle w:val="eop"/>
                <w:color w:val="000000"/>
                <w:sz w:val="20"/>
                <w:szCs w:val="20"/>
              </w:rPr>
              <w:t> </w:t>
            </w:r>
          </w:p>
          <w:p w14:paraId="423DC4CB" w14:textId="77777777" w:rsidR="00390F34" w:rsidRPr="00955AC1" w:rsidRDefault="00390F34" w:rsidP="000F6D48">
            <w:pPr>
              <w:pStyle w:val="paragraph"/>
              <w:spacing w:before="0" w:beforeAutospacing="0" w:after="0" w:afterAutospacing="0"/>
              <w:textAlignment w:val="baseline"/>
              <w:rPr>
                <w:rStyle w:val="normaltextrun"/>
                <w:color w:val="000000"/>
                <w:sz w:val="20"/>
                <w:szCs w:val="20"/>
              </w:rPr>
            </w:pPr>
          </w:p>
          <w:p w14:paraId="56B383B3" w14:textId="77777777" w:rsidR="00390F34" w:rsidRPr="00955AC1" w:rsidRDefault="00390F34" w:rsidP="000F6D48">
            <w:pPr>
              <w:pStyle w:val="paragraph"/>
              <w:numPr>
                <w:ilvl w:val="0"/>
                <w:numId w:val="52"/>
              </w:numPr>
              <w:spacing w:before="0" w:beforeAutospacing="0" w:after="0" w:afterAutospacing="0"/>
              <w:textAlignment w:val="baseline"/>
              <w:rPr>
                <w:sz w:val="20"/>
                <w:szCs w:val="20"/>
              </w:rPr>
            </w:pPr>
            <w:r w:rsidRPr="00955AC1">
              <w:rPr>
                <w:rStyle w:val="normaltextrun"/>
                <w:color w:val="000000"/>
                <w:sz w:val="20"/>
                <w:szCs w:val="20"/>
              </w:rPr>
              <w:t xml:space="preserve">With regards to the </w:t>
            </w:r>
            <w:r w:rsidRPr="00955AC1">
              <w:rPr>
                <w:rStyle w:val="normaltextrun"/>
                <w:b/>
                <w:bCs/>
                <w:color w:val="000000"/>
                <w:sz w:val="20"/>
                <w:szCs w:val="20"/>
              </w:rPr>
              <w:t>(Scoring) Extended Affordability Commitment</w:t>
            </w:r>
            <w:r w:rsidRPr="00955AC1">
              <w:rPr>
                <w:rStyle w:val="normaltextrun"/>
                <w:color w:val="000000"/>
                <w:sz w:val="20"/>
                <w:szCs w:val="20"/>
              </w:rPr>
              <w:t>, the checklist notes that a "copy of the strategy documents meeting the QAP requirements" is required as evidence. What strategy documents does this refer to?</w:t>
            </w:r>
            <w:r w:rsidRPr="00955AC1">
              <w:rPr>
                <w:rStyle w:val="eop"/>
                <w:color w:val="000000"/>
                <w:sz w:val="20"/>
                <w:szCs w:val="20"/>
              </w:rPr>
              <w:t> </w:t>
            </w:r>
          </w:p>
          <w:p w14:paraId="3FD04FB5" w14:textId="77777777" w:rsidR="00390F34" w:rsidRPr="00955AC1" w:rsidRDefault="00390F34" w:rsidP="000F6D48">
            <w:pPr>
              <w:pStyle w:val="paragraph"/>
              <w:spacing w:before="0" w:beforeAutospacing="0" w:after="0" w:afterAutospacing="0"/>
              <w:ind w:firstLine="51"/>
              <w:textAlignment w:val="baseline"/>
              <w:rPr>
                <w:sz w:val="20"/>
                <w:szCs w:val="20"/>
              </w:rPr>
            </w:pPr>
          </w:p>
          <w:p w14:paraId="358E98E3" w14:textId="77777777" w:rsidR="00390F34" w:rsidRPr="00955AC1" w:rsidRDefault="00390F34" w:rsidP="000F6D48">
            <w:pPr>
              <w:pStyle w:val="paragraph"/>
              <w:numPr>
                <w:ilvl w:val="0"/>
                <w:numId w:val="52"/>
              </w:numPr>
              <w:spacing w:before="0" w:beforeAutospacing="0" w:after="0" w:afterAutospacing="0"/>
              <w:textAlignment w:val="baseline"/>
              <w:rPr>
                <w:sz w:val="20"/>
                <w:szCs w:val="20"/>
              </w:rPr>
            </w:pPr>
            <w:r w:rsidRPr="00955AC1">
              <w:rPr>
                <w:rStyle w:val="normaltextrun"/>
                <w:color w:val="000000"/>
                <w:sz w:val="20"/>
                <w:szCs w:val="20"/>
              </w:rPr>
              <w:t xml:space="preserve">Under the </w:t>
            </w:r>
            <w:r w:rsidRPr="00955AC1">
              <w:rPr>
                <w:rStyle w:val="normaltextrun"/>
                <w:b/>
                <w:bCs/>
                <w:color w:val="000000"/>
                <w:sz w:val="20"/>
                <w:szCs w:val="20"/>
              </w:rPr>
              <w:t>(Scoring) Extended Affordability Commitment, B. Resident Ownership</w:t>
            </w:r>
            <w:r w:rsidRPr="00955AC1">
              <w:rPr>
                <w:rStyle w:val="normaltextrun"/>
                <w:color w:val="000000"/>
                <w:sz w:val="20"/>
                <w:szCs w:val="20"/>
              </w:rPr>
              <w:t xml:space="preserve"> the minimum documentation says "Documents meeting the above requirements." Is there any specific format that DCA wants to see this in? Does it need to be executed? Are you just looking for a document that states the applicant is willing to do these items?</w:t>
            </w:r>
            <w:r w:rsidRPr="00955AC1">
              <w:rPr>
                <w:rStyle w:val="eop"/>
                <w:color w:val="000000"/>
                <w:sz w:val="20"/>
                <w:szCs w:val="20"/>
              </w:rPr>
              <w:t> </w:t>
            </w:r>
          </w:p>
          <w:p w14:paraId="3A8C16E7"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2B577EFA"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56AEF53E"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color w:val="000000"/>
                <w:sz w:val="20"/>
                <w:szCs w:val="20"/>
              </w:rPr>
              <w:t>This item listed on the Tabs Checklist refers to the Minimum Documentation listed under B. Resident Ownership: “Documents meeting the above requirements.”</w:t>
            </w:r>
            <w:r w:rsidRPr="00955AC1">
              <w:rPr>
                <w:rStyle w:val="eop"/>
                <w:color w:val="000000"/>
                <w:sz w:val="20"/>
                <w:szCs w:val="20"/>
              </w:rPr>
              <w:t> </w:t>
            </w:r>
            <w:r w:rsidRPr="00955AC1">
              <w:rPr>
                <w:rStyle w:val="eop"/>
                <w:color w:val="000000"/>
                <w:sz w:val="20"/>
                <w:szCs w:val="20"/>
              </w:rPr>
              <w:br/>
            </w:r>
          </w:p>
          <w:p w14:paraId="11031CC0"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DCA does not have a required format for this minimum documentation. The submitted documentation does not need to be executed.</w:t>
            </w:r>
          </w:p>
        </w:tc>
      </w:tr>
      <w:tr w:rsidR="00390F34" w:rsidRPr="00955AC1" w14:paraId="72109201" w14:textId="77777777" w:rsidTr="64301FE8">
        <w:trPr>
          <w:jc w:val="center"/>
        </w:trPr>
        <w:tc>
          <w:tcPr>
            <w:tcW w:w="1697" w:type="dxa"/>
            <w:shd w:val="clear" w:color="auto" w:fill="auto"/>
            <w:tcMar>
              <w:top w:w="72" w:type="dxa"/>
              <w:left w:w="115" w:type="dxa"/>
              <w:bottom w:w="72" w:type="dxa"/>
              <w:right w:w="115" w:type="dxa"/>
            </w:tcMar>
            <w:vAlign w:val="center"/>
          </w:tcPr>
          <w:p w14:paraId="2BA3FA78"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4CCC971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3.17</w:t>
            </w:r>
          </w:p>
          <w:p w14:paraId="5FCD7B3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68FBC9DC"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1E7BEC91"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Q22_0519_08</w:t>
            </w:r>
            <w:r w:rsidRPr="00955AC1">
              <w:rPr>
                <w:rStyle w:val="eop"/>
                <w:sz w:val="20"/>
                <w:szCs w:val="20"/>
              </w:rPr>
              <w:t> </w:t>
            </w:r>
          </w:p>
          <w:p w14:paraId="132F42E2"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color w:val="000000"/>
                <w:sz w:val="20"/>
                <w:szCs w:val="20"/>
              </w:rPr>
              <w:t>We are working with a minority business developer to build capacity and remove barriers in line with the objectives of the DCA Minority- and Women-Owned Business Engagement Policy.  The minority business partner applied for MBE/DBE certification; however, the process takes up to 90 days for approval.  Would you temporarily accept an application confirmation in lieu of the certification?  We will submit the actual certification as soon as it is received.  Thank you.  </w:t>
            </w:r>
            <w:r w:rsidRPr="00955AC1">
              <w:rPr>
                <w:rStyle w:val="eop"/>
                <w:color w:val="000000"/>
                <w:sz w:val="20"/>
                <w:szCs w:val="20"/>
              </w:rPr>
              <w:t> </w:t>
            </w:r>
          </w:p>
          <w:p w14:paraId="1725812A"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14D8F06B"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618BE946"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For option </w:t>
            </w:r>
            <w:r w:rsidRPr="00955AC1">
              <w:rPr>
                <w:rStyle w:val="normaltextrun"/>
                <w:b/>
                <w:bCs/>
                <w:sz w:val="20"/>
                <w:szCs w:val="20"/>
              </w:rPr>
              <w:t>B. Project Team Eligibility</w:t>
            </w:r>
            <w:r w:rsidRPr="00955AC1">
              <w:rPr>
                <w:rStyle w:val="normaltextrun"/>
                <w:sz w:val="20"/>
                <w:szCs w:val="20"/>
              </w:rPr>
              <w:t xml:space="preserve">, “Certifications from eligible programs for development team members” is a Minimum Documentation requirement. Therefore, the certification is required for purposes of 2022 Competitive Round application review. Per the </w:t>
            </w:r>
            <w:r w:rsidRPr="00955AC1">
              <w:rPr>
                <w:rStyle w:val="normaltextrun"/>
                <w:i/>
                <w:iCs/>
                <w:sz w:val="20"/>
                <w:szCs w:val="20"/>
              </w:rPr>
              <w:t xml:space="preserve">2022 Minority- and Women-Owned Business Engagement Policy </w:t>
            </w:r>
            <w:r w:rsidRPr="00955AC1">
              <w:rPr>
                <w:rStyle w:val="normaltextrun"/>
                <w:sz w:val="20"/>
                <w:szCs w:val="20"/>
              </w:rPr>
              <w:t>(</w:t>
            </w:r>
            <w:hyperlink r:id="rId29" w:tgtFrame="_blank" w:history="1">
              <w:r w:rsidRPr="00955AC1">
                <w:rPr>
                  <w:rStyle w:val="normaltextrun"/>
                  <w:color w:val="0563C1"/>
                  <w:sz w:val="20"/>
                  <w:szCs w:val="20"/>
                  <w:u w:val="single"/>
                </w:rPr>
                <w:t>click here</w:t>
              </w:r>
            </w:hyperlink>
            <w:r w:rsidRPr="00955AC1">
              <w:rPr>
                <w:rStyle w:val="normaltextrun"/>
                <w:sz w:val="20"/>
                <w:szCs w:val="20"/>
              </w:rPr>
              <w:t>):</w:t>
            </w:r>
            <w:r w:rsidRPr="00955AC1">
              <w:rPr>
                <w:rStyle w:val="eop"/>
                <w:sz w:val="20"/>
                <w:szCs w:val="20"/>
              </w:rPr>
              <w:t> </w:t>
            </w:r>
          </w:p>
          <w:p w14:paraId="4F81094E"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244EDE3D" w14:textId="77777777" w:rsidR="00390F34" w:rsidRPr="00955AC1" w:rsidRDefault="00390F34" w:rsidP="000F6D48">
            <w:pPr>
              <w:pStyle w:val="paragraph"/>
              <w:spacing w:before="0" w:beforeAutospacing="0" w:after="0" w:afterAutospacing="0"/>
              <w:ind w:left="720"/>
              <w:textAlignment w:val="baseline"/>
              <w:rPr>
                <w:sz w:val="20"/>
                <w:szCs w:val="20"/>
              </w:rPr>
            </w:pPr>
            <w:r w:rsidRPr="00955AC1">
              <w:rPr>
                <w:rStyle w:val="normaltextrun"/>
                <w:i/>
                <w:iCs/>
                <w:sz w:val="20"/>
                <w:szCs w:val="20"/>
              </w:rPr>
              <w:t>“A. For purposes of receiving a maximum of (2) points in the Engagement Commitment and Reporting section: All Minority and Women-Owned Businesses included on the report must be certified by Final Allocation Application submission. </w:t>
            </w:r>
            <w:r w:rsidRPr="00955AC1">
              <w:rPr>
                <w:rStyle w:val="eop"/>
                <w:sz w:val="20"/>
                <w:szCs w:val="20"/>
              </w:rPr>
              <w:t> </w:t>
            </w:r>
          </w:p>
          <w:p w14:paraId="00B08907" w14:textId="77777777" w:rsidR="00390F34" w:rsidRPr="00955AC1" w:rsidRDefault="00390F34" w:rsidP="000F6D48">
            <w:pPr>
              <w:pStyle w:val="paragraph"/>
              <w:spacing w:before="0" w:beforeAutospacing="0" w:after="0" w:afterAutospacing="0"/>
              <w:ind w:left="720"/>
              <w:textAlignment w:val="baseline"/>
              <w:rPr>
                <w:sz w:val="20"/>
                <w:szCs w:val="20"/>
              </w:rPr>
            </w:pPr>
            <w:r w:rsidRPr="00955AC1">
              <w:rPr>
                <w:rStyle w:val="eop"/>
                <w:sz w:val="20"/>
                <w:szCs w:val="20"/>
              </w:rPr>
              <w:t> </w:t>
            </w:r>
          </w:p>
          <w:p w14:paraId="0F85943C" w14:textId="77777777" w:rsidR="00390F34" w:rsidRPr="00955AC1" w:rsidRDefault="00390F34" w:rsidP="000F6D48">
            <w:pPr>
              <w:pStyle w:val="paragraph"/>
              <w:spacing w:before="0" w:beforeAutospacing="0" w:after="0" w:afterAutospacing="0"/>
              <w:ind w:left="720"/>
              <w:textAlignment w:val="baseline"/>
              <w:rPr>
                <w:sz w:val="20"/>
                <w:szCs w:val="20"/>
              </w:rPr>
            </w:pPr>
            <w:r w:rsidRPr="00955AC1">
              <w:rPr>
                <w:rStyle w:val="normaltextrun"/>
                <w:i/>
                <w:iCs/>
                <w:sz w:val="20"/>
                <w:szCs w:val="20"/>
              </w:rPr>
              <w:t>B. For purposes of receiving a maximum of (2) points in the Project Team Eligibility section: All Minority and Women-Owned Businesses being confirmed as a part of the Project Team should be certified as of the date of the initial application submission.”</w:t>
            </w:r>
            <w:r w:rsidRPr="00955AC1">
              <w:rPr>
                <w:rStyle w:val="eop"/>
                <w:sz w:val="20"/>
                <w:szCs w:val="20"/>
              </w:rPr>
              <w:t> </w:t>
            </w:r>
          </w:p>
          <w:p w14:paraId="1294683D"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626FB21B"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Minority- and Women-Owned Businesses included in the application for purposes of claiming points under </w:t>
            </w:r>
            <w:r w:rsidRPr="00955AC1">
              <w:rPr>
                <w:rStyle w:val="normaltextrun"/>
                <w:b/>
                <w:bCs/>
                <w:sz w:val="20"/>
                <w:szCs w:val="20"/>
              </w:rPr>
              <w:t>(Scoring) Minority- and Women-Owned Businesses</w:t>
            </w:r>
            <w:r w:rsidRPr="00955AC1">
              <w:rPr>
                <w:rStyle w:val="normaltextrun"/>
                <w:sz w:val="20"/>
                <w:szCs w:val="20"/>
              </w:rPr>
              <w:t xml:space="preserve"> must be certified as of the date indicated in the subsection under which the applicant is claiming points.</w:t>
            </w:r>
          </w:p>
        </w:tc>
      </w:tr>
      <w:tr w:rsidR="00390F34" w:rsidRPr="00955AC1" w14:paraId="03492046" w14:textId="77777777" w:rsidTr="64301FE8">
        <w:trPr>
          <w:jc w:val="center"/>
        </w:trPr>
        <w:tc>
          <w:tcPr>
            <w:tcW w:w="1697" w:type="dxa"/>
            <w:shd w:val="clear" w:color="auto" w:fill="auto"/>
            <w:tcMar>
              <w:top w:w="72" w:type="dxa"/>
              <w:left w:w="115" w:type="dxa"/>
              <w:bottom w:w="72" w:type="dxa"/>
              <w:right w:w="115" w:type="dxa"/>
            </w:tcMar>
            <w:vAlign w:val="center"/>
          </w:tcPr>
          <w:p w14:paraId="00BE30F2"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1B685BB4"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3.21</w:t>
            </w:r>
          </w:p>
          <w:p w14:paraId="0D92CD2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53D612F2"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56A1BD12"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Question</w:t>
            </w:r>
            <w:r w:rsidRPr="00955AC1">
              <w:rPr>
                <w:rFonts w:ascii="Times New Roman" w:hAnsi="Times New Roman" w:cs="Times New Roman"/>
                <w:sz w:val="20"/>
                <w:szCs w:val="20"/>
              </w:rPr>
              <w:t>: Q22_0517_02</w:t>
            </w:r>
          </w:p>
          <w:p w14:paraId="15DF33F5" w14:textId="77777777" w:rsidR="00390F34" w:rsidRPr="00955AC1" w:rsidRDefault="00390F34" w:rsidP="000F6D48">
            <w:pPr>
              <w:rPr>
                <w:rFonts w:ascii="Times New Roman" w:eastAsia="Times New Roman"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We are working on a project for which the local government is providing funds to the local housing authority for all of the costs for the project site acquisition and demolition of the existing building on the project site, and the housing authority will then ground lease the property to the LIHTC partnership at a nominal cost. The housing authority is also a member of the general partner of the LIHTC partnership. </w:t>
            </w:r>
          </w:p>
          <w:p w14:paraId="2ED8FE5E" w14:textId="77777777" w:rsidR="00390F34" w:rsidRPr="00955AC1" w:rsidRDefault="00390F34" w:rsidP="000F6D48">
            <w:pPr>
              <w:pStyle w:val="ListParagraph"/>
              <w:numPr>
                <w:ilvl w:val="0"/>
                <w:numId w:val="47"/>
              </w:numPr>
              <w:rPr>
                <w:rFonts w:ascii="Times New Roman" w:eastAsiaTheme="minorEastAsia" w:hAnsi="Times New Roman" w:cs="Times New Roman"/>
                <w:color w:val="000000" w:themeColor="text1"/>
                <w:sz w:val="20"/>
                <w:szCs w:val="20"/>
              </w:rPr>
            </w:pPr>
            <w:r w:rsidRPr="00955AC1">
              <w:rPr>
                <w:rFonts w:ascii="Times New Roman" w:eastAsia="Times New Roman" w:hAnsi="Times New Roman" w:cs="Times New Roman"/>
                <w:color w:val="000000" w:themeColor="text1"/>
                <w:sz w:val="20"/>
                <w:szCs w:val="20"/>
              </w:rPr>
              <w:t xml:space="preserve">Since the LIHTC partnership will not be paying costs for acquisition and demolition, can you please confirm that these acquisition and demolition costs and the associated sources (funds from the local government) should or should not appear on the Sources and Uses tabs in the Core Application? </w:t>
            </w:r>
          </w:p>
          <w:p w14:paraId="55A3371C" w14:textId="77777777" w:rsidR="00390F34" w:rsidRPr="00955AC1" w:rsidRDefault="00390F34" w:rsidP="000F6D48">
            <w:pPr>
              <w:pStyle w:val="ListParagraph"/>
              <w:numPr>
                <w:ilvl w:val="0"/>
                <w:numId w:val="47"/>
              </w:numPr>
              <w:rPr>
                <w:rFonts w:ascii="Times New Roman" w:hAnsi="Times New Roman" w:cs="Times New Roman"/>
                <w:color w:val="000000"/>
                <w:sz w:val="20"/>
                <w:szCs w:val="20"/>
              </w:rPr>
            </w:pPr>
            <w:r w:rsidRPr="00955AC1">
              <w:rPr>
                <w:rFonts w:ascii="Times New Roman" w:eastAsia="Times New Roman" w:hAnsi="Times New Roman" w:cs="Times New Roman"/>
                <w:color w:val="000000" w:themeColor="text1"/>
                <w:sz w:val="20"/>
                <w:szCs w:val="20"/>
              </w:rPr>
              <w:t>If not, is there somewhere else in the Application that we should describe the local government funds (source) and the acquisition and demolition costs (uses) for the site? We will be claiming these local government funds for points under the Favorable Financing section of the QAP.</w:t>
            </w:r>
          </w:p>
          <w:p w14:paraId="71861AA4" w14:textId="77777777" w:rsidR="00390F34" w:rsidRPr="00955AC1" w:rsidRDefault="00390F34" w:rsidP="000F6D48">
            <w:pPr>
              <w:contextualSpacing/>
              <w:rPr>
                <w:rFonts w:ascii="Times New Roman" w:hAnsi="Times New Roman" w:cs="Times New Roman"/>
                <w:sz w:val="20"/>
                <w:szCs w:val="20"/>
              </w:rPr>
            </w:pPr>
          </w:p>
          <w:p w14:paraId="40B8EDE1"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Answer</w:t>
            </w:r>
            <w:r w:rsidRPr="00955AC1">
              <w:rPr>
                <w:rFonts w:ascii="Times New Roman" w:hAnsi="Times New Roman" w:cs="Times New Roman"/>
                <w:sz w:val="20"/>
                <w:szCs w:val="20"/>
              </w:rPr>
              <w:t xml:space="preserve">: </w:t>
            </w:r>
          </w:p>
          <w:p w14:paraId="118AA496" w14:textId="77777777" w:rsidR="00390F34" w:rsidRPr="00955AC1" w:rsidRDefault="00390F34" w:rsidP="000F6D48">
            <w:pPr>
              <w:pStyle w:val="ListParagraph"/>
              <w:numPr>
                <w:ilvl w:val="0"/>
                <w:numId w:val="46"/>
              </w:numPr>
              <w:rPr>
                <w:rFonts w:ascii="Times New Roman" w:eastAsiaTheme="minorEastAsia" w:hAnsi="Times New Roman" w:cs="Times New Roman"/>
                <w:sz w:val="20"/>
                <w:szCs w:val="20"/>
              </w:rPr>
            </w:pPr>
            <w:r w:rsidRPr="00955AC1">
              <w:rPr>
                <w:rFonts w:ascii="Times New Roman" w:hAnsi="Times New Roman" w:cs="Times New Roman"/>
                <w:sz w:val="20"/>
                <w:szCs w:val="20"/>
              </w:rPr>
              <w:t xml:space="preserve">The nominal cost of the ground lease should be reflected in Part V – Revenues &amp; Expenses Tab (VI. Ground Lease Payment) of the application. </w:t>
            </w:r>
          </w:p>
          <w:p w14:paraId="0ED8CBC9" w14:textId="77777777" w:rsidR="00390F34" w:rsidRPr="00955AC1" w:rsidRDefault="00390F34" w:rsidP="000F6D48">
            <w:pPr>
              <w:pStyle w:val="ListParagraph"/>
              <w:numPr>
                <w:ilvl w:val="0"/>
                <w:numId w:val="46"/>
              </w:numPr>
              <w:rPr>
                <w:rFonts w:ascii="Times New Roman" w:hAnsi="Times New Roman" w:cs="Times New Roman"/>
                <w:sz w:val="20"/>
                <w:szCs w:val="20"/>
              </w:rPr>
            </w:pPr>
            <w:r w:rsidRPr="00955AC1">
              <w:rPr>
                <w:rFonts w:ascii="Times New Roman" w:hAnsi="Times New Roman" w:cs="Times New Roman"/>
                <w:sz w:val="20"/>
                <w:szCs w:val="20"/>
              </w:rPr>
              <w:t xml:space="preserve">Only costs paid by the LIHTC partnership should be reflected in the </w:t>
            </w:r>
            <w:r w:rsidRPr="00955AC1">
              <w:rPr>
                <w:rFonts w:ascii="Times New Roman" w:hAnsi="Times New Roman" w:cs="Times New Roman"/>
                <w:i/>
                <w:iCs/>
                <w:sz w:val="20"/>
                <w:szCs w:val="20"/>
              </w:rPr>
              <w:t xml:space="preserve">Uses of Funds </w:t>
            </w:r>
            <w:r w:rsidRPr="00955AC1">
              <w:rPr>
                <w:rFonts w:ascii="Times New Roman" w:hAnsi="Times New Roman" w:cs="Times New Roman"/>
                <w:sz w:val="20"/>
                <w:szCs w:val="20"/>
              </w:rPr>
              <w:t xml:space="preserve">tab of the application.  </w:t>
            </w:r>
          </w:p>
          <w:p w14:paraId="2E0EA7D3" w14:textId="77777777" w:rsidR="00390F34" w:rsidRPr="00955AC1" w:rsidRDefault="00390F34" w:rsidP="000F6D48">
            <w:pPr>
              <w:pStyle w:val="ListParagraph"/>
              <w:numPr>
                <w:ilvl w:val="0"/>
                <w:numId w:val="46"/>
              </w:numPr>
              <w:rPr>
                <w:rFonts w:ascii="Times New Roman" w:hAnsi="Times New Roman" w:cs="Times New Roman"/>
                <w:sz w:val="20"/>
                <w:szCs w:val="20"/>
              </w:rPr>
            </w:pPr>
            <w:r w:rsidRPr="00955AC1">
              <w:rPr>
                <w:rFonts w:ascii="Times New Roman" w:hAnsi="Times New Roman" w:cs="Times New Roman"/>
                <w:sz w:val="20"/>
                <w:szCs w:val="20"/>
              </w:rPr>
              <w:t xml:space="preserve">All necessary information can be provided in the Favorable Financing section of the Excel Core Application (comments section) and application binder (for documentation).  </w:t>
            </w:r>
          </w:p>
        </w:tc>
      </w:tr>
      <w:tr w:rsidR="00390F34" w:rsidRPr="00955AC1" w14:paraId="42A9184D" w14:textId="77777777" w:rsidTr="64301FE8">
        <w:trPr>
          <w:jc w:val="center"/>
        </w:trPr>
        <w:tc>
          <w:tcPr>
            <w:tcW w:w="1697" w:type="dxa"/>
            <w:shd w:val="clear" w:color="auto" w:fill="auto"/>
            <w:tcMar>
              <w:top w:w="72" w:type="dxa"/>
              <w:left w:w="115" w:type="dxa"/>
              <w:bottom w:w="72" w:type="dxa"/>
              <w:right w:w="115" w:type="dxa"/>
            </w:tcMar>
            <w:vAlign w:val="center"/>
          </w:tcPr>
          <w:p w14:paraId="2767D002"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54A3A782"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2.06</w:t>
            </w:r>
          </w:p>
          <w:p w14:paraId="255DFB5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218045FF"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Appraisals</w:t>
            </w:r>
          </w:p>
          <w:p w14:paraId="510A181C" w14:textId="77777777" w:rsidR="00390F34" w:rsidRPr="00955AC1" w:rsidRDefault="00390F34" w:rsidP="000F6D48">
            <w:pPr>
              <w:rPr>
                <w:rFonts w:ascii="Times New Roman" w:hAnsi="Times New Roman" w:cs="Times New Roman"/>
                <w:sz w:val="20"/>
                <w:szCs w:val="20"/>
              </w:rPr>
            </w:pPr>
          </w:p>
          <w:p w14:paraId="0B4BC729" w14:textId="77777777" w:rsidR="00390F34" w:rsidRPr="00955AC1" w:rsidRDefault="00390F34" w:rsidP="000F6D48">
            <w:pPr>
              <w:rPr>
                <w:rFonts w:ascii="Times New Roman" w:hAnsi="Times New Roman" w:cs="Times New Roman"/>
                <w:sz w:val="20"/>
                <w:szCs w:val="20"/>
              </w:rPr>
            </w:pPr>
          </w:p>
          <w:p w14:paraId="75243354"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(also 2.28 Threshold; DCA Underwriting Policies)</w:t>
            </w:r>
          </w:p>
        </w:tc>
        <w:tc>
          <w:tcPr>
            <w:tcW w:w="9585" w:type="dxa"/>
            <w:shd w:val="clear" w:color="auto" w:fill="auto"/>
            <w:tcMar>
              <w:top w:w="72" w:type="dxa"/>
              <w:left w:w="115" w:type="dxa"/>
              <w:bottom w:w="72" w:type="dxa"/>
              <w:right w:w="115" w:type="dxa"/>
            </w:tcMar>
            <w:vAlign w:val="center"/>
          </w:tcPr>
          <w:p w14:paraId="08D209A4" w14:textId="77777777" w:rsidR="00390F34" w:rsidRPr="00955AC1" w:rsidRDefault="00390F34" w:rsidP="000F6D48">
            <w:pPr>
              <w:jc w:val="center"/>
              <w:rPr>
                <w:rFonts w:ascii="Times New Roman" w:hAnsi="Times New Roman" w:cs="Times New Roman"/>
              </w:rPr>
            </w:pPr>
            <w:r w:rsidRPr="00955AC1">
              <w:rPr>
                <w:rStyle w:val="normaltextrun"/>
                <w:rFonts w:ascii="Times New Roman" w:hAnsi="Times New Roman" w:cs="Times New Roman"/>
                <w:b/>
                <w:bCs/>
                <w:i/>
                <w:iCs/>
                <w:color w:val="FF0000"/>
                <w:sz w:val="20"/>
                <w:szCs w:val="20"/>
              </w:rPr>
              <w:t>This Q&amp;A references the 9% Round but includes information relevant to 4%/Bonds applications.</w:t>
            </w:r>
          </w:p>
          <w:p w14:paraId="7CC8903F" w14:textId="77777777" w:rsidR="00390F34" w:rsidRPr="00955AC1" w:rsidRDefault="00390F34" w:rsidP="000F6D48">
            <w:pPr>
              <w:pStyle w:val="paragraph"/>
              <w:spacing w:before="0" w:beforeAutospacing="0" w:after="0" w:afterAutospacing="0"/>
              <w:textAlignment w:val="baseline"/>
              <w:rPr>
                <w:rStyle w:val="normaltextrun"/>
                <w:b/>
                <w:bCs/>
                <w:sz w:val="20"/>
                <w:szCs w:val="20"/>
              </w:rPr>
            </w:pPr>
          </w:p>
          <w:p w14:paraId="3552BF84"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Q22_0516_01</w:t>
            </w:r>
            <w:r w:rsidRPr="00955AC1">
              <w:rPr>
                <w:rStyle w:val="eop"/>
                <w:sz w:val="20"/>
                <w:szCs w:val="20"/>
              </w:rPr>
              <w:t> </w:t>
            </w:r>
          </w:p>
          <w:p w14:paraId="428A03E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color w:val="000000"/>
                <w:sz w:val="20"/>
                <w:szCs w:val="20"/>
              </w:rPr>
              <w:t>In the Threshold part of the QAP, in Section VI. Appraisals it states that properties controlled by a related party for a period of five (5) years or less will be valued at the acquisition cost at the time the related party obtained initial site control.  Under the DCA Underwriting Policies section of the QAP it states that Properties which have been in the control of the Applicant or a related party for a period of three (3) years or less from Application Submission will be valued at the cost at the time the related party obtained initial site control. </w:t>
            </w:r>
            <w:r w:rsidRPr="00955AC1">
              <w:rPr>
                <w:rStyle w:val="eop"/>
                <w:color w:val="000000"/>
                <w:sz w:val="20"/>
                <w:szCs w:val="20"/>
              </w:rPr>
              <w:t> </w:t>
            </w:r>
          </w:p>
          <w:p w14:paraId="43C432F8"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color w:val="000000"/>
                <w:sz w:val="20"/>
                <w:szCs w:val="20"/>
              </w:rPr>
              <w:t> </w:t>
            </w:r>
          </w:p>
          <w:p w14:paraId="58E43892" w14:textId="77777777" w:rsidR="00390F34" w:rsidRPr="00955AC1" w:rsidRDefault="00390F34" w:rsidP="000F6D48">
            <w:pPr>
              <w:pStyle w:val="paragraph"/>
              <w:numPr>
                <w:ilvl w:val="0"/>
                <w:numId w:val="41"/>
              </w:numPr>
              <w:spacing w:before="0" w:beforeAutospacing="0" w:after="0" w:afterAutospacing="0"/>
              <w:ind w:left="1080" w:firstLine="0"/>
              <w:textAlignment w:val="baseline"/>
              <w:rPr>
                <w:sz w:val="20"/>
                <w:szCs w:val="20"/>
              </w:rPr>
            </w:pPr>
            <w:r w:rsidRPr="00955AC1">
              <w:rPr>
                <w:rStyle w:val="normaltextrun"/>
                <w:color w:val="000000"/>
                <w:sz w:val="20"/>
                <w:szCs w:val="20"/>
              </w:rPr>
              <w:t>Can DCA confirm which time period applies to applications for 9% credits only? </w:t>
            </w:r>
            <w:r w:rsidRPr="00955AC1">
              <w:rPr>
                <w:rStyle w:val="eop"/>
                <w:color w:val="000000"/>
                <w:sz w:val="20"/>
                <w:szCs w:val="20"/>
              </w:rPr>
              <w:t> </w:t>
            </w:r>
          </w:p>
          <w:p w14:paraId="465B2922"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color w:val="000000"/>
                <w:sz w:val="20"/>
                <w:szCs w:val="20"/>
              </w:rPr>
              <w:t> </w:t>
            </w:r>
          </w:p>
          <w:p w14:paraId="3245CD00" w14:textId="77777777" w:rsidR="00390F34" w:rsidRPr="00955AC1" w:rsidRDefault="00390F34" w:rsidP="000F6D48">
            <w:pPr>
              <w:pStyle w:val="paragraph"/>
              <w:numPr>
                <w:ilvl w:val="0"/>
                <w:numId w:val="42"/>
              </w:numPr>
              <w:spacing w:before="0" w:beforeAutospacing="0" w:after="0" w:afterAutospacing="0"/>
              <w:ind w:left="1080" w:firstLine="0"/>
              <w:textAlignment w:val="baseline"/>
              <w:rPr>
                <w:sz w:val="20"/>
                <w:szCs w:val="20"/>
              </w:rPr>
            </w:pPr>
            <w:r w:rsidRPr="00955AC1">
              <w:rPr>
                <w:rStyle w:val="normaltextrun"/>
                <w:color w:val="000000"/>
                <w:sz w:val="20"/>
                <w:szCs w:val="20"/>
              </w:rPr>
              <w:t>Can DCA also confirm that in the case of a phased development where the Applicant obtained site control for all the phases simultaneously and within the appropriate time frame (3 or 5 years, per the answer to the first question) the Applicant does not require an appraisal if it is simply allocating the current phase's share of the acquisition costs paid to the third party?</w:t>
            </w:r>
            <w:r w:rsidRPr="00955AC1">
              <w:rPr>
                <w:rStyle w:val="eop"/>
                <w:color w:val="000000"/>
                <w:sz w:val="20"/>
                <w:szCs w:val="20"/>
              </w:rPr>
              <w:t> </w:t>
            </w:r>
          </w:p>
          <w:p w14:paraId="3AD65610"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4BB06E37"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4A811BFB" w14:textId="77777777" w:rsidR="00390F34" w:rsidRPr="00955AC1" w:rsidRDefault="00390F34" w:rsidP="000F6D48">
            <w:pPr>
              <w:pStyle w:val="paragraph"/>
              <w:numPr>
                <w:ilvl w:val="0"/>
                <w:numId w:val="43"/>
              </w:numPr>
              <w:spacing w:before="0" w:beforeAutospacing="0" w:after="0" w:afterAutospacing="0"/>
              <w:ind w:left="1080" w:firstLine="0"/>
              <w:textAlignment w:val="baseline"/>
              <w:rPr>
                <w:sz w:val="20"/>
                <w:szCs w:val="20"/>
              </w:rPr>
            </w:pPr>
            <w:r w:rsidRPr="00955AC1">
              <w:rPr>
                <w:rStyle w:val="normaltextrun"/>
                <w:sz w:val="20"/>
                <w:szCs w:val="20"/>
              </w:rPr>
              <w:t xml:space="preserve">When there is an identity interest between the buyer and seller, DCA will </w:t>
            </w:r>
            <w:r w:rsidRPr="00955AC1">
              <w:rPr>
                <w:rStyle w:val="advancedproofingissue"/>
                <w:rFonts w:eastAsiaTheme="majorEastAsia"/>
                <w:sz w:val="20"/>
                <w:szCs w:val="20"/>
              </w:rPr>
              <w:t>carefully scrutinize</w:t>
            </w:r>
            <w:r w:rsidRPr="00955AC1">
              <w:rPr>
                <w:rStyle w:val="normaltextrun"/>
                <w:sz w:val="20"/>
                <w:szCs w:val="20"/>
              </w:rPr>
              <w:t xml:space="preserve"> the sales price of land between related parties to ensure that the value has not been inflated.  The provision in </w:t>
            </w:r>
            <w:r w:rsidRPr="00955AC1">
              <w:rPr>
                <w:rStyle w:val="normaltextrun"/>
                <w:b/>
                <w:bCs/>
                <w:sz w:val="20"/>
                <w:szCs w:val="20"/>
              </w:rPr>
              <w:t xml:space="preserve">(Threshold) Appraisals, Applicant-Commissioned Appraisals </w:t>
            </w:r>
            <w:r w:rsidRPr="00955AC1">
              <w:rPr>
                <w:rStyle w:val="normaltextrun"/>
                <w:sz w:val="20"/>
                <w:szCs w:val="20"/>
              </w:rPr>
              <w:t>applies:</w:t>
            </w:r>
            <w:r w:rsidRPr="00955AC1">
              <w:rPr>
                <w:rStyle w:val="normaltextrun"/>
                <w:b/>
                <w:bCs/>
                <w:sz w:val="20"/>
                <w:szCs w:val="20"/>
              </w:rPr>
              <w:t> </w:t>
            </w:r>
            <w:r w:rsidRPr="00955AC1">
              <w:rPr>
                <w:rStyle w:val="eop"/>
                <w:sz w:val="20"/>
                <w:szCs w:val="20"/>
              </w:rPr>
              <w:t> </w:t>
            </w:r>
          </w:p>
          <w:p w14:paraId="561B4A84" w14:textId="77777777" w:rsidR="00390F34" w:rsidRPr="00955AC1" w:rsidRDefault="00390F34" w:rsidP="000F6D48">
            <w:pPr>
              <w:pStyle w:val="paragraph"/>
              <w:spacing w:before="0" w:beforeAutospacing="0" w:after="0" w:afterAutospacing="0"/>
              <w:ind w:left="1440"/>
              <w:textAlignment w:val="baseline"/>
              <w:rPr>
                <w:sz w:val="20"/>
                <w:szCs w:val="20"/>
              </w:rPr>
            </w:pPr>
            <w:r w:rsidRPr="00955AC1">
              <w:rPr>
                <w:rStyle w:val="eop"/>
                <w:sz w:val="20"/>
                <w:szCs w:val="20"/>
              </w:rPr>
              <w:t> </w:t>
            </w:r>
          </w:p>
          <w:p w14:paraId="70069E17" w14:textId="77777777" w:rsidR="00390F34" w:rsidRPr="00955AC1" w:rsidRDefault="00390F34" w:rsidP="000F6D48">
            <w:pPr>
              <w:pStyle w:val="paragraph"/>
              <w:spacing w:before="0" w:beforeAutospacing="0" w:after="0" w:afterAutospacing="0"/>
              <w:ind w:left="1440"/>
              <w:textAlignment w:val="baseline"/>
              <w:rPr>
                <w:sz w:val="20"/>
                <w:szCs w:val="20"/>
              </w:rPr>
            </w:pPr>
            <w:r w:rsidRPr="00955AC1">
              <w:rPr>
                <w:rStyle w:val="normaltextrun"/>
                <w:i/>
                <w:iCs/>
                <w:sz w:val="20"/>
                <w:szCs w:val="20"/>
              </w:rPr>
              <w:t>“For purposes of generating tax credits:</w:t>
            </w:r>
            <w:r w:rsidRPr="00955AC1">
              <w:rPr>
                <w:rStyle w:val="eop"/>
                <w:sz w:val="20"/>
                <w:szCs w:val="20"/>
              </w:rPr>
              <w:t> </w:t>
            </w:r>
          </w:p>
          <w:p w14:paraId="48EBC706" w14:textId="77777777" w:rsidR="00390F34" w:rsidRPr="00955AC1" w:rsidRDefault="00390F34" w:rsidP="000F6D48">
            <w:pPr>
              <w:pStyle w:val="paragraph"/>
              <w:numPr>
                <w:ilvl w:val="0"/>
                <w:numId w:val="44"/>
              </w:numPr>
              <w:spacing w:before="0" w:beforeAutospacing="0" w:after="0" w:afterAutospacing="0"/>
              <w:ind w:left="2520" w:firstLine="0"/>
              <w:textAlignment w:val="baseline"/>
              <w:rPr>
                <w:sz w:val="20"/>
                <w:szCs w:val="20"/>
              </w:rPr>
            </w:pPr>
            <w:r w:rsidRPr="00955AC1">
              <w:rPr>
                <w:rStyle w:val="normaltextrun"/>
                <w:i/>
                <w:iCs/>
                <w:sz w:val="20"/>
                <w:szCs w:val="20"/>
              </w:rPr>
              <w:t>For 9% Credit Applicants, properties which have been in the control of the Applicant or a related party for a period of five (5) years or less will be valued at the acquisition cost at the time the related party obtained initial site control.”</w:t>
            </w:r>
            <w:r w:rsidRPr="00955AC1">
              <w:rPr>
                <w:rStyle w:val="eop"/>
                <w:sz w:val="20"/>
                <w:szCs w:val="20"/>
              </w:rPr>
              <w:t> </w:t>
            </w:r>
          </w:p>
          <w:p w14:paraId="183F15F6" w14:textId="77777777" w:rsidR="00390F34" w:rsidRPr="00955AC1" w:rsidRDefault="00390F34" w:rsidP="000F6D48">
            <w:pPr>
              <w:pStyle w:val="paragraph"/>
              <w:numPr>
                <w:ilvl w:val="0"/>
                <w:numId w:val="44"/>
              </w:numPr>
              <w:spacing w:before="0" w:beforeAutospacing="0" w:after="0" w:afterAutospacing="0"/>
              <w:ind w:left="2520" w:firstLine="0"/>
              <w:textAlignment w:val="baseline"/>
              <w:rPr>
                <w:sz w:val="20"/>
                <w:szCs w:val="20"/>
              </w:rPr>
            </w:pPr>
            <w:r w:rsidRPr="00955AC1">
              <w:rPr>
                <w:rStyle w:val="normaltextrun"/>
                <w:i/>
                <w:iCs/>
                <w:sz w:val="20"/>
                <w:szCs w:val="20"/>
              </w:rPr>
              <w:t>For 4% Credit Applicants, properties which have been in the control of the Applicant or a related party for a period of three (3) years or less will be valued at the acquisition cost at the time the related party obtained initial site control.</w:t>
            </w:r>
            <w:r w:rsidRPr="00955AC1">
              <w:rPr>
                <w:rStyle w:val="eop"/>
                <w:sz w:val="20"/>
                <w:szCs w:val="20"/>
              </w:rPr>
              <w:t> </w:t>
            </w:r>
          </w:p>
          <w:p w14:paraId="473A3D9B" w14:textId="77777777" w:rsidR="00390F34" w:rsidRPr="00955AC1" w:rsidRDefault="00390F34" w:rsidP="000F6D48">
            <w:pPr>
              <w:pStyle w:val="paragraph"/>
              <w:spacing w:before="0" w:beforeAutospacing="0" w:after="0" w:afterAutospacing="0"/>
              <w:ind w:left="1440"/>
              <w:textAlignment w:val="baseline"/>
              <w:rPr>
                <w:sz w:val="20"/>
                <w:szCs w:val="20"/>
              </w:rPr>
            </w:pPr>
            <w:r w:rsidRPr="00955AC1">
              <w:rPr>
                <w:rStyle w:val="eop"/>
                <w:sz w:val="20"/>
                <w:szCs w:val="20"/>
              </w:rPr>
              <w:t> </w:t>
            </w:r>
          </w:p>
          <w:p w14:paraId="205A48D7" w14:textId="77777777" w:rsidR="00390F34" w:rsidRPr="00955AC1" w:rsidRDefault="00390F34" w:rsidP="000F6D48">
            <w:pPr>
              <w:pStyle w:val="paragraph"/>
              <w:numPr>
                <w:ilvl w:val="0"/>
                <w:numId w:val="45"/>
              </w:numPr>
              <w:spacing w:before="0" w:beforeAutospacing="0" w:after="0" w:afterAutospacing="0"/>
              <w:ind w:left="1080" w:firstLine="0"/>
              <w:textAlignment w:val="baseline"/>
              <w:rPr>
                <w:sz w:val="20"/>
                <w:szCs w:val="20"/>
              </w:rPr>
            </w:pPr>
            <w:r w:rsidRPr="00955AC1">
              <w:rPr>
                <w:rStyle w:val="normaltextrun"/>
                <w:sz w:val="20"/>
                <w:szCs w:val="20"/>
              </w:rPr>
              <w:t xml:space="preserve">Please see DCA’s response to question </w:t>
            </w:r>
            <w:r w:rsidRPr="00955AC1">
              <w:rPr>
                <w:rStyle w:val="normaltextrun"/>
                <w:b/>
                <w:bCs/>
                <w:sz w:val="20"/>
                <w:szCs w:val="20"/>
              </w:rPr>
              <w:t>Q22_0404_01</w:t>
            </w:r>
            <w:r w:rsidRPr="00955AC1">
              <w:rPr>
                <w:rStyle w:val="normaltextrun"/>
                <w:sz w:val="20"/>
                <w:szCs w:val="20"/>
              </w:rPr>
              <w:t xml:space="preserve"> posted to the </w:t>
            </w:r>
            <w:r w:rsidRPr="00955AC1">
              <w:rPr>
                <w:rStyle w:val="normaltextrun"/>
                <w:i/>
                <w:iCs/>
                <w:sz w:val="20"/>
                <w:szCs w:val="20"/>
              </w:rPr>
              <w:t>2022 Questions and Answers</w:t>
            </w:r>
            <w:r w:rsidRPr="00955AC1">
              <w:rPr>
                <w:rStyle w:val="normaltextrun"/>
                <w:sz w:val="20"/>
                <w:szCs w:val="20"/>
              </w:rPr>
              <w:t xml:space="preserve"> document on 4/14/22.  An appraisal is not required for phased developments that are allocating the current phase’s share (within 5 years of acquisition) of the acquisition costs paid to the third party.  The site control minimum documentation would be required.</w:t>
            </w:r>
          </w:p>
        </w:tc>
      </w:tr>
      <w:tr w:rsidR="00390F34" w:rsidRPr="00955AC1" w14:paraId="7AADA955" w14:textId="77777777" w:rsidTr="64301FE8">
        <w:trPr>
          <w:jc w:val="center"/>
        </w:trPr>
        <w:tc>
          <w:tcPr>
            <w:tcW w:w="1697" w:type="dxa"/>
            <w:shd w:val="clear" w:color="auto" w:fill="auto"/>
            <w:tcMar>
              <w:top w:w="72" w:type="dxa"/>
              <w:left w:w="115" w:type="dxa"/>
              <w:bottom w:w="72" w:type="dxa"/>
              <w:right w:w="115" w:type="dxa"/>
            </w:tcMar>
            <w:vAlign w:val="center"/>
          </w:tcPr>
          <w:p w14:paraId="6C1624A7"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2888FCFA"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2.09</w:t>
            </w:r>
          </w:p>
          <w:p w14:paraId="2A5DC24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69F33E96"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Site Access</w:t>
            </w:r>
          </w:p>
        </w:tc>
        <w:tc>
          <w:tcPr>
            <w:tcW w:w="9585" w:type="dxa"/>
            <w:shd w:val="clear" w:color="auto" w:fill="auto"/>
            <w:tcMar>
              <w:top w:w="72" w:type="dxa"/>
              <w:left w:w="115" w:type="dxa"/>
              <w:bottom w:w="72" w:type="dxa"/>
              <w:right w:w="115" w:type="dxa"/>
            </w:tcMar>
            <w:vAlign w:val="center"/>
          </w:tcPr>
          <w:p w14:paraId="33B4F90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Q22_0518_02 </w:t>
            </w:r>
          </w:p>
          <w:p w14:paraId="40C34B8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xml:space="preserve">Is the </w:t>
            </w:r>
            <w:r w:rsidRPr="00955AC1">
              <w:rPr>
                <w:rFonts w:ascii="Times New Roman" w:eastAsia="Times New Roman" w:hAnsi="Times New Roman" w:cs="Times New Roman"/>
                <w:b/>
                <w:bCs/>
                <w:color w:val="000000"/>
                <w:sz w:val="20"/>
                <w:szCs w:val="20"/>
              </w:rPr>
              <w:t xml:space="preserve">(Threshold) Site Access </w:t>
            </w:r>
            <w:r w:rsidRPr="00955AC1">
              <w:rPr>
                <w:rFonts w:ascii="Times New Roman" w:eastAsia="Times New Roman" w:hAnsi="Times New Roman" w:cs="Times New Roman"/>
                <w:color w:val="000000"/>
                <w:sz w:val="20"/>
                <w:szCs w:val="20"/>
              </w:rPr>
              <w:t>section applicable to rehabs? </w:t>
            </w:r>
          </w:p>
          <w:p w14:paraId="1F3551C9"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5B8F5A6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258BAE6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Yes, per the QAP: “All sites proposed for development must provide a specified entrance that is legally accessible by paved roads.” </w:t>
            </w:r>
          </w:p>
        </w:tc>
      </w:tr>
      <w:tr w:rsidR="00390F34" w:rsidRPr="00955AC1" w14:paraId="10B02DDE" w14:textId="77777777" w:rsidTr="64301FE8">
        <w:trPr>
          <w:jc w:val="center"/>
        </w:trPr>
        <w:tc>
          <w:tcPr>
            <w:tcW w:w="1697" w:type="dxa"/>
            <w:shd w:val="clear" w:color="auto" w:fill="auto"/>
            <w:tcMar>
              <w:top w:w="72" w:type="dxa"/>
              <w:left w:w="115" w:type="dxa"/>
              <w:bottom w:w="72" w:type="dxa"/>
              <w:right w:w="115" w:type="dxa"/>
            </w:tcMar>
            <w:vAlign w:val="center"/>
          </w:tcPr>
          <w:p w14:paraId="734629DF"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65C143EC"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3.02</w:t>
            </w:r>
          </w:p>
          <w:p w14:paraId="4257B4F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39C52CDC"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5C56CD4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Q22_0520_01 </w:t>
            </w:r>
          </w:p>
          <w:p w14:paraId="090F444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xml:space="preserve">The table in </w:t>
            </w:r>
            <w:r w:rsidRPr="00955AC1">
              <w:rPr>
                <w:rFonts w:ascii="Times New Roman" w:eastAsia="Times New Roman" w:hAnsi="Times New Roman" w:cs="Times New Roman"/>
                <w:b/>
                <w:bCs/>
                <w:color w:val="000000"/>
                <w:sz w:val="20"/>
                <w:szCs w:val="20"/>
              </w:rPr>
              <w:t>(Scoring) Applicability of Scoring Criteria</w:t>
            </w:r>
            <w:r w:rsidRPr="00955AC1">
              <w:rPr>
                <w:rFonts w:ascii="Times New Roman" w:eastAsia="Times New Roman" w:hAnsi="Times New Roman" w:cs="Times New Roman"/>
                <w:color w:val="000000"/>
                <w:sz w:val="20"/>
                <w:szCs w:val="20"/>
              </w:rPr>
              <w:t xml:space="preserve"> shows that preservation projects can't receive any points under sections IV-XIV, even though that is not explicitly stated under each section. Will you please confirm that this is correct and that it also means that no items on the checklist in these sections are required for preservations? </w:t>
            </w:r>
          </w:p>
          <w:p w14:paraId="29BB96A3"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1C8EB73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2A16B3A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(Scoring Criteria) Applicability of Scoring Criteria</w:t>
            </w:r>
            <w:r w:rsidRPr="00955AC1">
              <w:rPr>
                <w:rFonts w:ascii="Times New Roman" w:eastAsia="Times New Roman" w:hAnsi="Times New Roman" w:cs="Times New Roman"/>
                <w:sz w:val="20"/>
                <w:szCs w:val="20"/>
              </w:rPr>
              <w:t xml:space="preserve"> states “Application evaluation will comprise separate competitive rankings based on scoring criteria specific to each of the following,” one separation being “New Supply or Preservation.” </w:t>
            </w:r>
          </w:p>
          <w:p w14:paraId="43F81518"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1F4E0F5D"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Applications are only eligible to receive points in Scoring Criteria applicable to their designated competitive ranking (e.g., New Supply, HUD Preservation Set Aside, etc.), as indicated in the Applicability of Scoring Criteria table. Applicants are not required to complete a form or fulfill Minimum Documentation requirements for sections that do not apply to the competition the application is applying under. </w:t>
            </w:r>
          </w:p>
        </w:tc>
      </w:tr>
      <w:tr w:rsidR="00390F34" w:rsidRPr="00955AC1" w14:paraId="3995619F" w14:textId="77777777" w:rsidTr="64301FE8">
        <w:trPr>
          <w:jc w:val="center"/>
        </w:trPr>
        <w:tc>
          <w:tcPr>
            <w:tcW w:w="1697" w:type="dxa"/>
            <w:shd w:val="clear" w:color="auto" w:fill="auto"/>
            <w:tcMar>
              <w:top w:w="72" w:type="dxa"/>
              <w:left w:w="115" w:type="dxa"/>
              <w:bottom w:w="72" w:type="dxa"/>
              <w:right w:w="115" w:type="dxa"/>
            </w:tcMar>
            <w:vAlign w:val="center"/>
          </w:tcPr>
          <w:p w14:paraId="51DC5146"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0C26CA0B"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3.10</w:t>
            </w:r>
          </w:p>
          <w:p w14:paraId="4721B2C8"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72D471A1"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5B18188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Q22_0518_02 </w:t>
            </w:r>
          </w:p>
          <w:p w14:paraId="46731584"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How can we confirm the Life Expectancy Rate for our 2020 Census Tract? </w:t>
            </w:r>
          </w:p>
          <w:p w14:paraId="480D548D"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427178C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1632E55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There is no Life Expectancy data available for 2020 Census Tracts. The Life Expectancy data has not been updated by the CDC and is therefore based on 2010 Census Tracts. Applicants may claim points based on the data for their site’s 2010 Census Tract. </w:t>
            </w:r>
          </w:p>
        </w:tc>
      </w:tr>
      <w:tr w:rsidR="00390F34" w:rsidRPr="00955AC1" w14:paraId="2CFFF1A3" w14:textId="77777777" w:rsidTr="64301FE8">
        <w:trPr>
          <w:jc w:val="center"/>
        </w:trPr>
        <w:tc>
          <w:tcPr>
            <w:tcW w:w="1697" w:type="dxa"/>
            <w:shd w:val="clear" w:color="auto" w:fill="auto"/>
            <w:tcMar>
              <w:top w:w="72" w:type="dxa"/>
              <w:left w:w="115" w:type="dxa"/>
              <w:bottom w:w="72" w:type="dxa"/>
              <w:right w:w="115" w:type="dxa"/>
            </w:tcMar>
            <w:vAlign w:val="center"/>
          </w:tcPr>
          <w:p w14:paraId="32CEE5E2"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4655CFC4"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2.02</w:t>
            </w:r>
          </w:p>
          <w:p w14:paraId="651062A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40A663D5"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Project Feasibility</w:t>
            </w:r>
          </w:p>
        </w:tc>
        <w:tc>
          <w:tcPr>
            <w:tcW w:w="9585" w:type="dxa"/>
            <w:shd w:val="clear" w:color="auto" w:fill="auto"/>
            <w:tcMar>
              <w:top w:w="72" w:type="dxa"/>
              <w:left w:w="115" w:type="dxa"/>
              <w:bottom w:w="72" w:type="dxa"/>
              <w:right w:w="115" w:type="dxa"/>
            </w:tcMar>
            <w:vAlign w:val="center"/>
          </w:tcPr>
          <w:p w14:paraId="4A50CC2D" w14:textId="77777777" w:rsidR="00390F34" w:rsidRPr="00955AC1" w:rsidRDefault="00390F34" w:rsidP="000F6D48">
            <w:pPr>
              <w:pStyle w:val="paragraph"/>
              <w:spacing w:before="0" w:beforeAutospacing="0" w:after="0" w:afterAutospacing="0"/>
              <w:jc w:val="center"/>
              <w:textAlignment w:val="baseline"/>
              <w:rPr>
                <w:rStyle w:val="normaltextrun"/>
                <w:b/>
                <w:bCs/>
                <w:i/>
                <w:iCs/>
                <w:color w:val="FF0000"/>
                <w:sz w:val="20"/>
                <w:szCs w:val="20"/>
              </w:rPr>
            </w:pPr>
            <w:r w:rsidRPr="00955AC1">
              <w:rPr>
                <w:rStyle w:val="normaltextrun"/>
                <w:b/>
                <w:bCs/>
                <w:i/>
                <w:iCs/>
                <w:color w:val="FF0000"/>
                <w:sz w:val="20"/>
                <w:szCs w:val="20"/>
              </w:rPr>
              <w:t xml:space="preserve">This Q&amp;A references the 9% Round but includes information relevant to 4%/Bonds applications.  </w:t>
            </w:r>
          </w:p>
          <w:p w14:paraId="18B5C679"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br/>
              <w:t>Question</w:t>
            </w:r>
            <w:r w:rsidRPr="00955AC1">
              <w:rPr>
                <w:rStyle w:val="normaltextrun"/>
                <w:sz w:val="20"/>
                <w:szCs w:val="20"/>
              </w:rPr>
              <w:t>: Q0728_01</w:t>
            </w:r>
            <w:r w:rsidRPr="00955AC1">
              <w:rPr>
                <w:rStyle w:val="eop"/>
                <w:sz w:val="20"/>
                <w:szCs w:val="20"/>
              </w:rPr>
              <w:t>  </w:t>
            </w:r>
          </w:p>
          <w:p w14:paraId="108BC78F"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We perform utility allowance studies for clients and were recently asked if we’ve been “approved" by DCA to provide this service, for purposes of </w:t>
            </w:r>
            <w:r w:rsidRPr="00955AC1">
              <w:rPr>
                <w:rStyle w:val="normaltextrun"/>
                <w:b/>
                <w:bCs/>
                <w:sz w:val="20"/>
                <w:szCs w:val="20"/>
              </w:rPr>
              <w:t>(Threshold Criteria) Project Feasibility</w:t>
            </w:r>
            <w:r w:rsidRPr="00955AC1">
              <w:rPr>
                <w:rStyle w:val="normaltextrun"/>
                <w:sz w:val="20"/>
                <w:szCs w:val="20"/>
              </w:rPr>
              <w:t xml:space="preserve">, subsection </w:t>
            </w:r>
            <w:r w:rsidRPr="00955AC1">
              <w:rPr>
                <w:rStyle w:val="normaltextrun"/>
                <w:b/>
                <w:bCs/>
                <w:sz w:val="20"/>
                <w:szCs w:val="20"/>
              </w:rPr>
              <w:t>Operating Utility Allowance (UA)</w:t>
            </w:r>
            <w:r w:rsidRPr="00955AC1">
              <w:rPr>
                <w:rStyle w:val="normaltextrun"/>
                <w:sz w:val="20"/>
                <w:szCs w:val="20"/>
              </w:rPr>
              <w:t>. How can I verify this?</w:t>
            </w:r>
            <w:r w:rsidRPr="00955AC1">
              <w:rPr>
                <w:rStyle w:val="eop"/>
                <w:sz w:val="20"/>
                <w:szCs w:val="20"/>
              </w:rPr>
              <w:t> </w:t>
            </w:r>
          </w:p>
          <w:p w14:paraId="5D7363E2"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2ECBB204"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5778FFEB"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The below excerpts are from DCA’s “Utility Allowance Methodology Change Requests” policy (</w:t>
            </w:r>
            <w:hyperlink r:id="rId30" w:tgtFrame="_blank" w:history="1">
              <w:r w:rsidRPr="00955AC1">
                <w:rPr>
                  <w:rStyle w:val="normaltextrun"/>
                  <w:color w:val="0563C1"/>
                  <w:sz w:val="20"/>
                  <w:szCs w:val="20"/>
                  <w:u w:val="single"/>
                </w:rPr>
                <w:t>click here</w:t>
              </w:r>
            </w:hyperlink>
            <w:r w:rsidRPr="00955AC1">
              <w:rPr>
                <w:rStyle w:val="normaltextrun"/>
                <w:sz w:val="20"/>
                <w:szCs w:val="20"/>
              </w:rPr>
              <w:t>). The below-referenced documents can be submitted with the full application for purposes of the Competitive Round and do not require pre-approval.  </w:t>
            </w:r>
            <w:r w:rsidRPr="00955AC1">
              <w:rPr>
                <w:rStyle w:val="eop"/>
                <w:sz w:val="20"/>
                <w:szCs w:val="20"/>
              </w:rPr>
              <w:t> </w:t>
            </w:r>
          </w:p>
          <w:p w14:paraId="57FECA9D"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64AFC69E" w14:textId="77777777" w:rsidR="00390F34" w:rsidRPr="00955AC1" w:rsidRDefault="00390F34" w:rsidP="000F6D48">
            <w:pPr>
              <w:pStyle w:val="paragraph"/>
              <w:spacing w:before="0" w:beforeAutospacing="0" w:after="0" w:afterAutospacing="0"/>
              <w:ind w:left="720"/>
              <w:textAlignment w:val="baseline"/>
              <w:rPr>
                <w:sz w:val="20"/>
                <w:szCs w:val="20"/>
              </w:rPr>
            </w:pPr>
            <w:r w:rsidRPr="00955AC1">
              <w:rPr>
                <w:rStyle w:val="normaltextrun"/>
                <w:i/>
                <w:iCs/>
                <w:sz w:val="20"/>
                <w:szCs w:val="20"/>
              </w:rPr>
              <w:t xml:space="preserve">“DCA may approve a UA based on an energy and water and sewage consumption and analysis model (ECM) prepared by a properly licensed engineer, or qualified professional. The owner and qualified professional must also certify that the model complies with all requirements and </w:t>
            </w:r>
            <w:r w:rsidRPr="00955AC1">
              <w:rPr>
                <w:rStyle w:val="advancedproofingissue"/>
                <w:i/>
                <w:iCs/>
                <w:sz w:val="20"/>
                <w:szCs w:val="20"/>
              </w:rPr>
              <w:t>takes into account</w:t>
            </w:r>
            <w:r w:rsidRPr="00955AC1">
              <w:rPr>
                <w:rStyle w:val="normaltextrun"/>
                <w:i/>
                <w:iCs/>
                <w:sz w:val="20"/>
                <w:szCs w:val="20"/>
              </w:rPr>
              <w:t xml:space="preserve"> specific factors including, but not limited to, unit size, building orientation, design and materials, mechanical systems, appliances, and characteristics of the building location.</w:t>
            </w:r>
            <w:r w:rsidRPr="00955AC1">
              <w:rPr>
                <w:rStyle w:val="eop"/>
                <w:sz w:val="20"/>
                <w:szCs w:val="20"/>
              </w:rPr>
              <w:t> </w:t>
            </w:r>
          </w:p>
          <w:p w14:paraId="4663969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75949D47" w14:textId="77777777" w:rsidR="00390F34" w:rsidRPr="00955AC1" w:rsidRDefault="00390F34" w:rsidP="000F6D48">
            <w:pPr>
              <w:pStyle w:val="paragraph"/>
              <w:spacing w:before="0" w:beforeAutospacing="0" w:after="0" w:afterAutospacing="0"/>
              <w:ind w:left="720"/>
              <w:textAlignment w:val="baseline"/>
              <w:rPr>
                <w:sz w:val="20"/>
                <w:szCs w:val="20"/>
              </w:rPr>
            </w:pPr>
            <w:r w:rsidRPr="00955AC1">
              <w:rPr>
                <w:rStyle w:val="normaltextrun"/>
                <w:i/>
                <w:iCs/>
                <w:sz w:val="20"/>
                <w:szCs w:val="20"/>
              </w:rPr>
              <w:t>If the ECM report is completed by a qualified professional that is not a properly licensed engineer, the request must include the qualifications and experience of the qualified professional in providing energy consumption utility allowance reports for a minimum of 2 years.</w:t>
            </w:r>
            <w:r w:rsidRPr="00955AC1">
              <w:rPr>
                <w:rStyle w:val="eop"/>
                <w:sz w:val="20"/>
                <w:szCs w:val="20"/>
              </w:rPr>
              <w:t> </w:t>
            </w:r>
          </w:p>
          <w:p w14:paraId="6162B41D" w14:textId="77777777" w:rsidR="00390F34" w:rsidRPr="00955AC1" w:rsidRDefault="00390F34" w:rsidP="000F6D48">
            <w:pPr>
              <w:pStyle w:val="paragraph"/>
              <w:spacing w:before="0" w:beforeAutospacing="0" w:after="0" w:afterAutospacing="0"/>
              <w:ind w:left="720"/>
              <w:textAlignment w:val="baseline"/>
              <w:rPr>
                <w:sz w:val="20"/>
                <w:szCs w:val="20"/>
              </w:rPr>
            </w:pPr>
            <w:r w:rsidRPr="00955AC1">
              <w:rPr>
                <w:rStyle w:val="eop"/>
                <w:sz w:val="20"/>
                <w:szCs w:val="20"/>
              </w:rPr>
              <w:t> </w:t>
            </w:r>
          </w:p>
          <w:p w14:paraId="22A4982D" w14:textId="77777777" w:rsidR="00390F34" w:rsidRPr="00955AC1" w:rsidRDefault="00390F34" w:rsidP="000F6D48">
            <w:pPr>
              <w:pStyle w:val="paragraph"/>
              <w:spacing w:before="0" w:beforeAutospacing="0" w:after="0" w:afterAutospacing="0"/>
              <w:ind w:left="720"/>
              <w:textAlignment w:val="baseline"/>
              <w:rPr>
                <w:sz w:val="20"/>
                <w:szCs w:val="20"/>
              </w:rPr>
            </w:pPr>
            <w:r w:rsidRPr="00955AC1">
              <w:rPr>
                <w:rStyle w:val="normaltextrun"/>
                <w:i/>
                <w:iCs/>
                <w:sz w:val="20"/>
                <w:szCs w:val="20"/>
              </w:rPr>
              <w:t>Required Documents for Unlicensed Engineer or Other Qualified Professional</w:t>
            </w:r>
            <w:r w:rsidRPr="00955AC1">
              <w:rPr>
                <w:rStyle w:val="eop"/>
                <w:sz w:val="20"/>
                <w:szCs w:val="20"/>
              </w:rPr>
              <w:t> </w:t>
            </w:r>
          </w:p>
          <w:p w14:paraId="1F6EAF72" w14:textId="77777777" w:rsidR="00390F34" w:rsidRPr="00955AC1" w:rsidRDefault="00390F34" w:rsidP="000F6D48">
            <w:pPr>
              <w:pStyle w:val="paragraph"/>
              <w:spacing w:before="0" w:beforeAutospacing="0" w:after="0" w:afterAutospacing="0"/>
              <w:ind w:left="720"/>
              <w:textAlignment w:val="baseline"/>
              <w:rPr>
                <w:sz w:val="20"/>
                <w:szCs w:val="20"/>
              </w:rPr>
            </w:pPr>
            <w:r w:rsidRPr="00955AC1">
              <w:rPr>
                <w:rStyle w:val="normaltextrun"/>
                <w:i/>
                <w:iCs/>
                <w:sz w:val="20"/>
                <w:szCs w:val="20"/>
              </w:rPr>
              <w:t xml:space="preserve">Additional Information: </w:t>
            </w:r>
            <w:r w:rsidRPr="00955AC1">
              <w:rPr>
                <w:rStyle w:val="scxw2242163"/>
                <w:sz w:val="20"/>
                <w:szCs w:val="20"/>
              </w:rPr>
              <w:t> </w:t>
            </w:r>
            <w:r w:rsidRPr="00955AC1">
              <w:rPr>
                <w:sz w:val="20"/>
                <w:szCs w:val="20"/>
              </w:rPr>
              <w:br/>
            </w:r>
            <w:r w:rsidRPr="00955AC1">
              <w:rPr>
                <w:rStyle w:val="eop"/>
                <w:sz w:val="20"/>
                <w:szCs w:val="20"/>
              </w:rPr>
              <w:t> </w:t>
            </w:r>
          </w:p>
          <w:p w14:paraId="744D6B9F" w14:textId="77777777" w:rsidR="00390F34" w:rsidRPr="00955AC1" w:rsidRDefault="00390F34" w:rsidP="000F6D48">
            <w:pPr>
              <w:pStyle w:val="paragraph"/>
              <w:numPr>
                <w:ilvl w:val="0"/>
                <w:numId w:val="38"/>
              </w:numPr>
              <w:spacing w:before="0" w:beforeAutospacing="0" w:after="0" w:afterAutospacing="0"/>
              <w:ind w:left="1800" w:firstLine="0"/>
              <w:textAlignment w:val="baseline"/>
              <w:rPr>
                <w:sz w:val="20"/>
                <w:szCs w:val="20"/>
              </w:rPr>
            </w:pPr>
            <w:r w:rsidRPr="00955AC1">
              <w:rPr>
                <w:rStyle w:val="normaltextrun"/>
                <w:i/>
                <w:iCs/>
                <w:sz w:val="20"/>
                <w:szCs w:val="20"/>
              </w:rPr>
              <w:t>Description of the firm’s or energy professional’s experience compiling energy consumption models for use in residential multifamily properties for a minimum of 2 years</w:t>
            </w:r>
            <w:r w:rsidRPr="00955AC1">
              <w:rPr>
                <w:rStyle w:val="eop"/>
                <w:sz w:val="20"/>
                <w:szCs w:val="20"/>
              </w:rPr>
              <w:t> </w:t>
            </w:r>
          </w:p>
          <w:p w14:paraId="5926B057" w14:textId="77777777" w:rsidR="00390F34" w:rsidRPr="00955AC1" w:rsidRDefault="00390F34" w:rsidP="000F6D48">
            <w:pPr>
              <w:pStyle w:val="paragraph"/>
              <w:numPr>
                <w:ilvl w:val="0"/>
                <w:numId w:val="39"/>
              </w:numPr>
              <w:spacing w:before="0" w:beforeAutospacing="0" w:after="0" w:afterAutospacing="0"/>
              <w:ind w:left="1800" w:firstLine="0"/>
              <w:textAlignment w:val="baseline"/>
              <w:rPr>
                <w:sz w:val="20"/>
                <w:szCs w:val="20"/>
              </w:rPr>
            </w:pPr>
            <w:r w:rsidRPr="00955AC1">
              <w:rPr>
                <w:rStyle w:val="normaltextrun"/>
                <w:i/>
                <w:iCs/>
                <w:sz w:val="20"/>
                <w:szCs w:val="20"/>
              </w:rPr>
              <w:t>Resumes of staff responsible for completing the utility report</w:t>
            </w:r>
            <w:r w:rsidRPr="00955AC1">
              <w:rPr>
                <w:rStyle w:val="eop"/>
                <w:sz w:val="20"/>
                <w:szCs w:val="20"/>
              </w:rPr>
              <w:t> </w:t>
            </w:r>
          </w:p>
          <w:p w14:paraId="3C47E3EE" w14:textId="77777777" w:rsidR="00390F34" w:rsidRPr="00955AC1" w:rsidRDefault="00390F34" w:rsidP="000F6D48">
            <w:pPr>
              <w:pStyle w:val="paragraph"/>
              <w:numPr>
                <w:ilvl w:val="0"/>
                <w:numId w:val="40"/>
              </w:numPr>
              <w:spacing w:before="0" w:beforeAutospacing="0" w:after="0" w:afterAutospacing="0"/>
              <w:ind w:left="1800" w:firstLine="0"/>
              <w:textAlignment w:val="baseline"/>
              <w:rPr>
                <w:rStyle w:val="normaltextrun"/>
                <w:sz w:val="20"/>
                <w:szCs w:val="20"/>
              </w:rPr>
            </w:pPr>
            <w:r w:rsidRPr="00955AC1">
              <w:rPr>
                <w:rStyle w:val="normaltextrun"/>
                <w:i/>
                <w:iCs/>
                <w:sz w:val="20"/>
                <w:szCs w:val="20"/>
              </w:rPr>
              <w:t>Certifications and licenses relevant to the development and implementation of an energy consumption model (</w:t>
            </w:r>
            <w:r w:rsidRPr="00955AC1">
              <w:rPr>
                <w:rStyle w:val="contextualspellingandgrammarerror"/>
                <w:i/>
                <w:iCs/>
                <w:sz w:val="20"/>
                <w:szCs w:val="20"/>
              </w:rPr>
              <w:t>e.g.</w:t>
            </w:r>
            <w:r w:rsidRPr="00955AC1">
              <w:rPr>
                <w:rStyle w:val="normaltextrun"/>
                <w:i/>
                <w:iCs/>
                <w:sz w:val="20"/>
                <w:szCs w:val="20"/>
              </w:rPr>
              <w:t xml:space="preserve"> Professional Architect license, Certified Energy Manager or similar designation)</w:t>
            </w:r>
            <w:r w:rsidRPr="00955AC1">
              <w:rPr>
                <w:rStyle w:val="eop"/>
                <w:sz w:val="20"/>
                <w:szCs w:val="20"/>
              </w:rPr>
              <w:t> </w:t>
            </w:r>
          </w:p>
        </w:tc>
      </w:tr>
      <w:tr w:rsidR="00390F34" w:rsidRPr="00955AC1" w14:paraId="7DF107E9" w14:textId="77777777" w:rsidTr="64301FE8">
        <w:trPr>
          <w:jc w:val="center"/>
        </w:trPr>
        <w:tc>
          <w:tcPr>
            <w:tcW w:w="1697" w:type="dxa"/>
            <w:shd w:val="clear" w:color="auto" w:fill="auto"/>
            <w:tcMar>
              <w:top w:w="72" w:type="dxa"/>
              <w:left w:w="115" w:type="dxa"/>
              <w:bottom w:w="72" w:type="dxa"/>
              <w:right w:w="115" w:type="dxa"/>
            </w:tcMar>
            <w:vAlign w:val="center"/>
          </w:tcPr>
          <w:p w14:paraId="71E5BB53"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1550597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2.28</w:t>
            </w:r>
          </w:p>
          <w:p w14:paraId="4683E1F2"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4C7FECF6"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62B2705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Q22_0511_15 </w:t>
            </w:r>
          </w:p>
          <w:p w14:paraId="728D4ED6"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What does the following sentence mean regarding green building consultant fees and developer fee limits? Is this sentence a holdover from a prior QAP that no longer applies, since developer fees are now based on unit count, not costs?  </w:t>
            </w:r>
          </w:p>
          <w:p w14:paraId="32166AA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2105FC02" w14:textId="77777777" w:rsidR="00390F34" w:rsidRPr="00955AC1" w:rsidRDefault="00390F34" w:rsidP="000F6D48">
            <w:pPr>
              <w:ind w:left="72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i/>
                <w:iCs/>
                <w:color w:val="000000"/>
                <w:sz w:val="20"/>
                <w:szCs w:val="20"/>
              </w:rPr>
              <w:t xml:space="preserve">“The maximum allowable Developer fee includes Consultants' fees for each project. </w:t>
            </w:r>
            <w:r w:rsidRPr="00955AC1">
              <w:rPr>
                <w:rFonts w:ascii="Times New Roman" w:eastAsia="Times New Roman" w:hAnsi="Times New Roman" w:cs="Times New Roman"/>
                <w:i/>
                <w:iCs/>
                <w:color w:val="000000"/>
                <w:sz w:val="20"/>
                <w:szCs w:val="20"/>
                <w:u w:val="single"/>
              </w:rPr>
              <w:t>DCA will allow a limited exception and not include Consultant fees for the purpose of obtaining green building certifications in the Developer fee calculation</w:t>
            </w:r>
            <w:r w:rsidRPr="00955AC1">
              <w:rPr>
                <w:rFonts w:ascii="Times New Roman" w:eastAsia="Times New Roman" w:hAnsi="Times New Roman" w:cs="Times New Roman"/>
                <w:i/>
                <w:iCs/>
                <w:color w:val="000000"/>
                <w:sz w:val="20"/>
                <w:szCs w:val="20"/>
              </w:rPr>
              <w:t>.”</w:t>
            </w:r>
            <w:r w:rsidRPr="00955AC1">
              <w:rPr>
                <w:rFonts w:ascii="Times New Roman" w:eastAsia="Times New Roman" w:hAnsi="Times New Roman" w:cs="Times New Roman"/>
                <w:color w:val="000000"/>
                <w:sz w:val="20"/>
                <w:szCs w:val="20"/>
              </w:rPr>
              <w:t> </w:t>
            </w:r>
          </w:p>
          <w:p w14:paraId="7DA197D0"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3B4A0484"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219C22D5" w14:textId="77777777" w:rsidR="00390F34" w:rsidRPr="00955AC1" w:rsidRDefault="00390F34" w:rsidP="000F6D48">
            <w:pPr>
              <w:textAlignment w:val="baseline"/>
              <w:rPr>
                <w:rStyle w:val="normaltextrun"/>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The above referenced policy, from </w:t>
            </w:r>
            <w:r w:rsidRPr="00955AC1">
              <w:rPr>
                <w:rFonts w:ascii="Times New Roman" w:eastAsia="Times New Roman" w:hAnsi="Times New Roman" w:cs="Times New Roman"/>
                <w:b/>
                <w:bCs/>
                <w:sz w:val="20"/>
                <w:szCs w:val="20"/>
              </w:rPr>
              <w:t>(Threshold Criteria) DCA Underwriting Policies</w:t>
            </w:r>
            <w:r w:rsidRPr="00955AC1">
              <w:rPr>
                <w:rFonts w:ascii="Times New Roman" w:eastAsia="Times New Roman" w:hAnsi="Times New Roman" w:cs="Times New Roman"/>
                <w:sz w:val="20"/>
                <w:szCs w:val="20"/>
              </w:rPr>
              <w:t xml:space="preserve">, still holds. It states that green building consultant fees can be disregarded for purposes of confirming that the sum of developer fees, consultant fees, etc. are under the </w:t>
            </w:r>
            <w:r w:rsidRPr="00955AC1">
              <w:rPr>
                <w:rFonts w:ascii="Times New Roman" w:eastAsia="Times New Roman" w:hAnsi="Times New Roman" w:cs="Times New Roman"/>
                <w:b/>
                <w:bCs/>
                <w:sz w:val="20"/>
                <w:szCs w:val="20"/>
              </w:rPr>
              <w:t>Developer Fee Amounts</w:t>
            </w:r>
            <w:r w:rsidRPr="00955AC1">
              <w:rPr>
                <w:rFonts w:ascii="Times New Roman" w:eastAsia="Times New Roman" w:hAnsi="Times New Roman" w:cs="Times New Roman"/>
                <w:sz w:val="20"/>
                <w:szCs w:val="20"/>
              </w:rPr>
              <w:t xml:space="preserve"> listed in this section. This is why in the Core Application, “Green Building Consultant Fees” is listed under “Professional Services,” not contained within the “Consultant’s fee” line item.  </w:t>
            </w:r>
          </w:p>
        </w:tc>
      </w:tr>
      <w:tr w:rsidR="00390F34" w:rsidRPr="00955AC1" w14:paraId="6F6705B1" w14:textId="77777777" w:rsidTr="64301FE8">
        <w:trPr>
          <w:jc w:val="center"/>
        </w:trPr>
        <w:tc>
          <w:tcPr>
            <w:tcW w:w="1697" w:type="dxa"/>
            <w:shd w:val="clear" w:color="auto" w:fill="auto"/>
            <w:tcMar>
              <w:top w:w="72" w:type="dxa"/>
              <w:left w:w="115" w:type="dxa"/>
              <w:bottom w:w="72" w:type="dxa"/>
              <w:right w:w="115" w:type="dxa"/>
            </w:tcMar>
            <w:vAlign w:val="center"/>
          </w:tcPr>
          <w:p w14:paraId="22C9813D"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276FC3EC"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3.04</w:t>
            </w:r>
          </w:p>
          <w:p w14:paraId="05BC0882"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199F198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Deeper Targeting</w:t>
            </w:r>
          </w:p>
        </w:tc>
        <w:tc>
          <w:tcPr>
            <w:tcW w:w="9585" w:type="dxa"/>
            <w:shd w:val="clear" w:color="auto" w:fill="auto"/>
            <w:tcMar>
              <w:top w:w="72" w:type="dxa"/>
              <w:left w:w="115" w:type="dxa"/>
              <w:bottom w:w="72" w:type="dxa"/>
              <w:right w:w="115" w:type="dxa"/>
            </w:tcMar>
            <w:vAlign w:val="center"/>
          </w:tcPr>
          <w:p w14:paraId="07A4042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Q22_0413_15 </w:t>
            </w:r>
          </w:p>
          <w:p w14:paraId="3A3FFC0C"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Deeper Targeting - B. New PBRA: This section states the applicant must provide a Commitment for PBRA executed by authorized regulatory agency.  If the new PBRA is a HUD source administered by a Public Housing Authority, can DCA confirm if a commitment from the Public Housing Authority will suffice, even if final HUD approval will be provided after the application submission deadline? </w:t>
            </w:r>
          </w:p>
          <w:p w14:paraId="43B534D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19B83BAD"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color w:val="000000"/>
                <w:sz w:val="20"/>
                <w:szCs w:val="20"/>
              </w:rPr>
              <w:t>Answer</w:t>
            </w:r>
            <w:r w:rsidRPr="00955AC1">
              <w:rPr>
                <w:rFonts w:ascii="Times New Roman" w:eastAsia="Times New Roman" w:hAnsi="Times New Roman" w:cs="Times New Roman"/>
                <w:color w:val="000000"/>
                <w:sz w:val="20"/>
                <w:szCs w:val="20"/>
              </w:rPr>
              <w:t>:  </w:t>
            </w:r>
          </w:p>
          <w:p w14:paraId="4BD61817" w14:textId="77777777" w:rsidR="00390F34" w:rsidRPr="00955AC1" w:rsidRDefault="00390F34" w:rsidP="000F6D48">
            <w:pPr>
              <w:textAlignment w:val="baseline"/>
              <w:rPr>
                <w:rStyle w:val="normaltextrun"/>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xml:space="preserve">DCA requires evidence of HUD approval where HUD is the authorized regulatory agency for the PBRA. For purposes of RAD/Section 18 blends, applicants can request HUD’s signature for the template letter posted to the DCA website, approved by both HUD and DCA (see </w:t>
            </w:r>
            <w:r w:rsidRPr="00955AC1">
              <w:rPr>
                <w:rFonts w:ascii="Times New Roman" w:eastAsia="Times New Roman" w:hAnsi="Times New Roman" w:cs="Times New Roman"/>
                <w:b/>
                <w:bCs/>
                <w:color w:val="000000"/>
                <w:sz w:val="20"/>
                <w:szCs w:val="20"/>
              </w:rPr>
              <w:t>Q22_0418_15</w:t>
            </w:r>
            <w:r w:rsidRPr="00955AC1">
              <w:rPr>
                <w:rFonts w:ascii="Times New Roman" w:eastAsia="Times New Roman" w:hAnsi="Times New Roman" w:cs="Times New Roman"/>
                <w:color w:val="000000"/>
                <w:sz w:val="20"/>
                <w:szCs w:val="20"/>
              </w:rPr>
              <w:t>).   </w:t>
            </w:r>
          </w:p>
        </w:tc>
      </w:tr>
      <w:tr w:rsidR="00390F34" w:rsidRPr="00955AC1" w14:paraId="560A3E1B" w14:textId="77777777" w:rsidTr="64301FE8">
        <w:trPr>
          <w:jc w:val="center"/>
        </w:trPr>
        <w:tc>
          <w:tcPr>
            <w:tcW w:w="1697" w:type="dxa"/>
            <w:shd w:val="clear" w:color="auto" w:fill="auto"/>
            <w:tcMar>
              <w:top w:w="72" w:type="dxa"/>
              <w:left w:w="115" w:type="dxa"/>
              <w:bottom w:w="72" w:type="dxa"/>
              <w:right w:w="115" w:type="dxa"/>
            </w:tcMar>
            <w:vAlign w:val="center"/>
          </w:tcPr>
          <w:p w14:paraId="5E52413F"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149E081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3.05</w:t>
            </w:r>
          </w:p>
          <w:p w14:paraId="0DA9646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367C80A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616169D4"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Q22_0503_01b </w:t>
            </w:r>
          </w:p>
          <w:p w14:paraId="7125C2F4"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Does a chiropractic clinic qualify as a medical care provider? Our site is serving seniors and we believe the clinic will certainly address some of their medical needs, but we wanted to confirm. </w:t>
            </w:r>
          </w:p>
          <w:p w14:paraId="50B4FBC8"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4A2C0C49"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16E02430"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This question pertains to where</w:t>
            </w:r>
            <w:r w:rsidRPr="00955AC1">
              <w:rPr>
                <w:rFonts w:ascii="Times New Roman" w:eastAsia="Times New Roman" w:hAnsi="Times New Roman" w:cs="Times New Roman"/>
                <w:b/>
                <w:bCs/>
                <w:sz w:val="20"/>
                <w:szCs w:val="20"/>
              </w:rPr>
              <w:t xml:space="preserve"> (Scoring Criteria) Desirable/Undesirable Activities</w:t>
            </w:r>
            <w:r w:rsidRPr="00955AC1">
              <w:rPr>
                <w:rFonts w:ascii="Times New Roman" w:eastAsia="Times New Roman" w:hAnsi="Times New Roman" w:cs="Times New Roman"/>
                <w:sz w:val="20"/>
                <w:szCs w:val="20"/>
              </w:rPr>
              <w:t xml:space="preserve">, subsection </w:t>
            </w:r>
            <w:r w:rsidRPr="00955AC1">
              <w:rPr>
                <w:rFonts w:ascii="Times New Roman" w:eastAsia="Times New Roman" w:hAnsi="Times New Roman" w:cs="Times New Roman"/>
                <w:b/>
                <w:bCs/>
                <w:sz w:val="20"/>
                <w:szCs w:val="20"/>
              </w:rPr>
              <w:t>A. Desirable Activities</w:t>
            </w:r>
            <w:r w:rsidRPr="00955AC1">
              <w:rPr>
                <w:rFonts w:ascii="Times New Roman" w:eastAsia="Times New Roman" w:hAnsi="Times New Roman" w:cs="Times New Roman"/>
                <w:sz w:val="20"/>
                <w:szCs w:val="20"/>
              </w:rPr>
              <w:t xml:space="preserve"> lists “Medical care provider (e.g. clinic, physician/dental office)” as an option under “Medical Care.” </w:t>
            </w:r>
          </w:p>
          <w:p w14:paraId="2FD90CD8"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Health care professions that are licensed under the Georgia Medical Board or a board associated with the Secretary of State will qualify (</w:t>
            </w:r>
            <w:hyperlink r:id="rId31" w:tgtFrame="_blank" w:history="1">
              <w:r w:rsidRPr="00955AC1">
                <w:rPr>
                  <w:rFonts w:ascii="Times New Roman" w:eastAsia="Times New Roman" w:hAnsi="Times New Roman" w:cs="Times New Roman"/>
                  <w:color w:val="0563C1"/>
                  <w:sz w:val="20"/>
                  <w:szCs w:val="20"/>
                  <w:u w:val="single"/>
                </w:rPr>
                <w:t>click here</w:t>
              </w:r>
            </w:hyperlink>
            <w:r w:rsidRPr="00955AC1">
              <w:rPr>
                <w:rFonts w:ascii="Times New Roman" w:eastAsia="Times New Roman" w:hAnsi="Times New Roman" w:cs="Times New Roman"/>
                <w:sz w:val="20"/>
                <w:szCs w:val="20"/>
              </w:rPr>
              <w:t xml:space="preserve"> to view health care professions licensed under each). This list is intended to be a safe harbor, not all encompassing, for purposes of this Desirable Activities option.  </w:t>
            </w:r>
            <w:r w:rsidRPr="00955AC1">
              <w:rPr>
                <w:rFonts w:ascii="Times New Roman" w:eastAsia="Times New Roman" w:hAnsi="Times New Roman" w:cs="Times New Roman"/>
                <w:sz w:val="20"/>
                <w:szCs w:val="20"/>
              </w:rPr>
              <w:br/>
            </w:r>
          </w:p>
          <w:p w14:paraId="34CE9848"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“Chiropractors” is on the Secretary of State list, so a chiropractic clinic would qualify.  </w:t>
            </w:r>
            <w:r w:rsidRPr="00955AC1">
              <w:rPr>
                <w:rFonts w:ascii="Times New Roman" w:eastAsia="Times New Roman" w:hAnsi="Times New Roman" w:cs="Times New Roman"/>
                <w:sz w:val="20"/>
                <w:szCs w:val="20"/>
              </w:rPr>
              <w:br/>
            </w:r>
          </w:p>
          <w:p w14:paraId="74B4C584" w14:textId="77777777" w:rsidR="00390F34" w:rsidRPr="00955AC1" w:rsidRDefault="00390F34" w:rsidP="000F6D48">
            <w:pPr>
              <w:textAlignment w:val="baseline"/>
              <w:rPr>
                <w:rStyle w:val="normaltextrun"/>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Please note that the QAP uses the term “clinic” under this option, and thus an establishment associated with a profession on the above lists would only qualify if it is accessible by residents directly for health care services. For example, an emergency medical technicians training facility would not qualify, even though the profession is on the above-referenced list.</w:t>
            </w:r>
          </w:p>
        </w:tc>
      </w:tr>
      <w:tr w:rsidR="00390F34" w:rsidRPr="00955AC1" w14:paraId="46130308" w14:textId="77777777" w:rsidTr="64301FE8">
        <w:trPr>
          <w:jc w:val="center"/>
        </w:trPr>
        <w:tc>
          <w:tcPr>
            <w:tcW w:w="1697" w:type="dxa"/>
            <w:shd w:val="clear" w:color="auto" w:fill="auto"/>
            <w:tcMar>
              <w:top w:w="72" w:type="dxa"/>
              <w:left w:w="115" w:type="dxa"/>
              <w:bottom w:w="72" w:type="dxa"/>
              <w:right w:w="115" w:type="dxa"/>
            </w:tcMar>
            <w:vAlign w:val="center"/>
          </w:tcPr>
          <w:p w14:paraId="61FD740A"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5359827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3.16</w:t>
            </w:r>
          </w:p>
          <w:p w14:paraId="2BEFF3F7"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2F6F1C8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54A7348C"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Q22_0317_01 </w:t>
            </w:r>
            <w:r w:rsidRPr="00955AC1">
              <w:rPr>
                <w:rStyle w:val="eop"/>
                <w:sz w:val="20"/>
                <w:szCs w:val="20"/>
              </w:rPr>
              <w:t> </w:t>
            </w:r>
          </w:p>
          <w:p w14:paraId="2D97CB3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color w:val="000000"/>
                <w:sz w:val="20"/>
                <w:szCs w:val="20"/>
              </w:rPr>
              <w:t xml:space="preserve">In the section </w:t>
            </w:r>
            <w:r w:rsidRPr="00955AC1">
              <w:rPr>
                <w:rStyle w:val="normaltextrun"/>
                <w:b/>
                <w:bCs/>
                <w:color w:val="000000"/>
                <w:sz w:val="20"/>
                <w:szCs w:val="20"/>
              </w:rPr>
              <w:t>(Scoring) Internet Access</w:t>
            </w:r>
            <w:r w:rsidRPr="00955AC1">
              <w:rPr>
                <w:rStyle w:val="normaltextrun"/>
                <w:color w:val="000000"/>
                <w:sz w:val="20"/>
                <w:szCs w:val="20"/>
              </w:rPr>
              <w:t xml:space="preserve">, it states that 1 point could be awarded for high-speed internet/broadband service for each unit or 2 points for high-speed internet/broadband service for each unit if the service will be Wi-Fi. Does this mean that each unit </w:t>
            </w:r>
            <w:r w:rsidRPr="00955AC1">
              <w:rPr>
                <w:rStyle w:val="advancedproofingissue"/>
                <w:rFonts w:eastAsiaTheme="majorEastAsia"/>
                <w:color w:val="000000"/>
                <w:sz w:val="20"/>
                <w:szCs w:val="20"/>
              </w:rPr>
              <w:t>has to</w:t>
            </w:r>
            <w:r w:rsidRPr="00955AC1">
              <w:rPr>
                <w:rStyle w:val="normaltextrun"/>
                <w:color w:val="000000"/>
                <w:sz w:val="20"/>
                <w:szCs w:val="20"/>
              </w:rPr>
              <w:t xml:space="preserve"> be wired for the capability to access free high-speed internet/broadband or </w:t>
            </w:r>
            <w:r w:rsidRPr="00955AC1">
              <w:rPr>
                <w:rStyle w:val="spellingerror"/>
                <w:rFonts w:eastAsiaTheme="majorEastAsia"/>
                <w:color w:val="000000"/>
                <w:sz w:val="20"/>
                <w:szCs w:val="20"/>
              </w:rPr>
              <w:t>WiFi</w:t>
            </w:r>
            <w:r w:rsidRPr="00955AC1">
              <w:rPr>
                <w:rStyle w:val="normaltextrun"/>
                <w:color w:val="000000"/>
                <w:sz w:val="20"/>
                <w:szCs w:val="20"/>
              </w:rPr>
              <w:t>? Please provide the specifications for what is expected out of this scoring item. </w:t>
            </w:r>
            <w:r w:rsidRPr="00955AC1">
              <w:rPr>
                <w:rStyle w:val="eop"/>
                <w:color w:val="000000"/>
                <w:sz w:val="20"/>
                <w:szCs w:val="20"/>
              </w:rPr>
              <w:t> </w:t>
            </w:r>
          </w:p>
          <w:p w14:paraId="335B7CC2"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57CDE369"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109A112F"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Applicants claiming points in this section are making a commitment to fully subsidize the cost of high-speed internet/broadband service for residents in all units, which is defined in </w:t>
            </w:r>
            <w:r w:rsidRPr="00955AC1">
              <w:rPr>
                <w:rStyle w:val="normaltextrun"/>
                <w:b/>
                <w:bCs/>
                <w:sz w:val="20"/>
                <w:szCs w:val="20"/>
              </w:rPr>
              <w:t>(Threshold) Architectural Design and Quality Standards</w:t>
            </w:r>
            <w:r w:rsidRPr="00955AC1">
              <w:rPr>
                <w:rStyle w:val="normaltextrun"/>
                <w:sz w:val="20"/>
                <w:szCs w:val="20"/>
              </w:rPr>
              <w:t xml:space="preserve"> as having “the capability to transmit at a rate of not less than 25 megabits per second in the downstream direction and at least 3 megabits per second in the upstream direction to end users.” </w:t>
            </w:r>
            <w:r w:rsidRPr="00955AC1">
              <w:rPr>
                <w:rStyle w:val="scxw158413129"/>
                <w:sz w:val="20"/>
                <w:szCs w:val="20"/>
              </w:rPr>
              <w:t> </w:t>
            </w:r>
            <w:r w:rsidRPr="00955AC1">
              <w:rPr>
                <w:sz w:val="20"/>
                <w:szCs w:val="20"/>
              </w:rPr>
              <w:br/>
            </w:r>
            <w:r w:rsidRPr="00955AC1">
              <w:rPr>
                <w:rStyle w:val="eop"/>
                <w:sz w:val="20"/>
                <w:szCs w:val="20"/>
              </w:rPr>
              <w:t> </w:t>
            </w:r>
          </w:p>
          <w:p w14:paraId="0191E9FB"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This requires applicants to:</w:t>
            </w:r>
            <w:r w:rsidRPr="00955AC1">
              <w:rPr>
                <w:rStyle w:val="scxw158413129"/>
                <w:sz w:val="20"/>
                <w:szCs w:val="20"/>
              </w:rPr>
              <w:t> </w:t>
            </w:r>
            <w:r w:rsidRPr="00955AC1">
              <w:rPr>
                <w:sz w:val="20"/>
                <w:szCs w:val="20"/>
              </w:rPr>
              <w:br/>
            </w:r>
            <w:r w:rsidRPr="00955AC1">
              <w:rPr>
                <w:rStyle w:val="eop"/>
                <w:sz w:val="20"/>
                <w:szCs w:val="20"/>
              </w:rPr>
              <w:t> </w:t>
            </w:r>
          </w:p>
          <w:p w14:paraId="55C9F49C" w14:textId="77777777" w:rsidR="00390F34" w:rsidRPr="00955AC1" w:rsidRDefault="00390F34" w:rsidP="000F6D48">
            <w:pPr>
              <w:pStyle w:val="paragraph"/>
              <w:numPr>
                <w:ilvl w:val="0"/>
                <w:numId w:val="34"/>
              </w:numPr>
              <w:spacing w:before="0" w:beforeAutospacing="0" w:after="0" w:afterAutospacing="0"/>
              <w:ind w:left="1080" w:firstLine="0"/>
              <w:textAlignment w:val="baseline"/>
              <w:rPr>
                <w:rFonts w:eastAsia="MS Mincho"/>
                <w:sz w:val="20"/>
                <w:szCs w:val="20"/>
              </w:rPr>
            </w:pPr>
            <w:r w:rsidRPr="00955AC1">
              <w:rPr>
                <w:rStyle w:val="normaltextrun"/>
                <w:rFonts w:eastAsia="MS Mincho"/>
                <w:sz w:val="20"/>
                <w:szCs w:val="20"/>
              </w:rPr>
              <w:t>Ensure each unit has the capability to access high-speed internet/broadband service (Wi-Fi if claiming 2 points); and </w:t>
            </w:r>
            <w:r w:rsidRPr="00955AC1">
              <w:rPr>
                <w:rStyle w:val="eop"/>
                <w:rFonts w:eastAsia="MS Mincho"/>
                <w:sz w:val="20"/>
                <w:szCs w:val="20"/>
              </w:rPr>
              <w:t> </w:t>
            </w:r>
          </w:p>
          <w:p w14:paraId="3FB9E7E1" w14:textId="77777777" w:rsidR="00390F34" w:rsidRPr="00955AC1" w:rsidRDefault="00390F34" w:rsidP="000F6D48">
            <w:pPr>
              <w:pStyle w:val="paragraph"/>
              <w:numPr>
                <w:ilvl w:val="0"/>
                <w:numId w:val="35"/>
              </w:numPr>
              <w:spacing w:before="0" w:beforeAutospacing="0" w:after="0" w:afterAutospacing="0"/>
              <w:ind w:left="1080" w:firstLine="0"/>
              <w:textAlignment w:val="baseline"/>
              <w:rPr>
                <w:sz w:val="20"/>
                <w:szCs w:val="20"/>
              </w:rPr>
            </w:pPr>
            <w:r w:rsidRPr="00955AC1">
              <w:rPr>
                <w:rStyle w:val="normaltextrun"/>
                <w:sz w:val="20"/>
                <w:szCs w:val="20"/>
              </w:rPr>
              <w:t>Pay for the operating costs of residents having free access to high-speed internet/broadband service in each unit.</w:t>
            </w:r>
            <w:r w:rsidRPr="00955AC1">
              <w:rPr>
                <w:rStyle w:val="eop"/>
                <w:sz w:val="20"/>
                <w:szCs w:val="20"/>
              </w:rPr>
              <w:t> </w:t>
            </w:r>
          </w:p>
          <w:p w14:paraId="5A01748F"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04E17947"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The Core Application prompts applicants claiming points in this section as follows: </w:t>
            </w:r>
            <w:r w:rsidRPr="00955AC1">
              <w:rPr>
                <w:rStyle w:val="eop"/>
                <w:sz w:val="20"/>
                <w:szCs w:val="20"/>
              </w:rPr>
              <w:t> </w:t>
            </w:r>
          </w:p>
          <w:p w14:paraId="58F65EC6"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7E9EC4CB" w14:textId="77777777" w:rsidR="00390F34" w:rsidRPr="00955AC1" w:rsidRDefault="00390F34" w:rsidP="000F6D48">
            <w:pPr>
              <w:pStyle w:val="paragraph"/>
              <w:numPr>
                <w:ilvl w:val="0"/>
                <w:numId w:val="36"/>
              </w:numPr>
              <w:spacing w:before="0" w:beforeAutospacing="0" w:after="0" w:afterAutospacing="0"/>
              <w:ind w:left="1080" w:firstLine="0"/>
              <w:textAlignment w:val="baseline"/>
              <w:rPr>
                <w:sz w:val="20"/>
                <w:szCs w:val="20"/>
              </w:rPr>
            </w:pPr>
            <w:r w:rsidRPr="00955AC1">
              <w:rPr>
                <w:rStyle w:val="normaltextrun"/>
                <w:sz w:val="20"/>
                <w:szCs w:val="20"/>
              </w:rPr>
              <w:t>Revenues &amp; Expenses tab: input the projected expenses of paying for internet </w:t>
            </w:r>
            <w:r w:rsidRPr="00955AC1">
              <w:rPr>
                <w:rStyle w:val="eop"/>
                <w:sz w:val="20"/>
                <w:szCs w:val="20"/>
              </w:rPr>
              <w:t> </w:t>
            </w:r>
          </w:p>
          <w:p w14:paraId="2BF08B0C" w14:textId="77777777" w:rsidR="00390F34" w:rsidRPr="00955AC1" w:rsidRDefault="00390F34" w:rsidP="000F6D48">
            <w:pPr>
              <w:pStyle w:val="paragraph"/>
              <w:numPr>
                <w:ilvl w:val="0"/>
                <w:numId w:val="37"/>
              </w:numPr>
              <w:spacing w:before="0" w:beforeAutospacing="0" w:after="0" w:afterAutospacing="0"/>
              <w:ind w:left="1080" w:firstLine="0"/>
              <w:textAlignment w:val="baseline"/>
              <w:rPr>
                <w:rStyle w:val="normaltextrun"/>
                <w:sz w:val="20"/>
                <w:szCs w:val="20"/>
              </w:rPr>
            </w:pPr>
            <w:r w:rsidRPr="00955AC1">
              <w:rPr>
                <w:rStyle w:val="normaltextrun"/>
                <w:sz w:val="20"/>
                <w:szCs w:val="20"/>
              </w:rPr>
              <w:t>Scoring Criteria tab: Describe how the estimate was derived and reference any supporting documentation</w:t>
            </w:r>
            <w:r w:rsidRPr="00955AC1">
              <w:rPr>
                <w:rStyle w:val="eop"/>
                <w:sz w:val="20"/>
                <w:szCs w:val="20"/>
              </w:rPr>
              <w:t> </w:t>
            </w:r>
          </w:p>
        </w:tc>
      </w:tr>
      <w:tr w:rsidR="00390F34" w:rsidRPr="00955AC1" w14:paraId="1FB2CF68" w14:textId="77777777" w:rsidTr="64301FE8">
        <w:trPr>
          <w:jc w:val="center"/>
        </w:trPr>
        <w:tc>
          <w:tcPr>
            <w:tcW w:w="1697" w:type="dxa"/>
            <w:shd w:val="clear" w:color="auto" w:fill="auto"/>
            <w:tcMar>
              <w:top w:w="72" w:type="dxa"/>
              <w:left w:w="115" w:type="dxa"/>
              <w:bottom w:w="72" w:type="dxa"/>
              <w:right w:w="115" w:type="dxa"/>
            </w:tcMar>
            <w:vAlign w:val="center"/>
          </w:tcPr>
          <w:p w14:paraId="6268222C"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4FF3CAC6"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2.17</w:t>
            </w:r>
          </w:p>
          <w:p w14:paraId="56B6F122"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434D9213"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11E9ABE3"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Q22_0510_02</w:t>
            </w:r>
            <w:r w:rsidRPr="00955AC1">
              <w:rPr>
                <w:rStyle w:val="eop"/>
                <w:sz w:val="20"/>
                <w:szCs w:val="20"/>
              </w:rPr>
              <w:t> </w:t>
            </w:r>
          </w:p>
          <w:p w14:paraId="4C73D3CB"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color w:val="000000"/>
                <w:sz w:val="20"/>
                <w:szCs w:val="20"/>
              </w:rPr>
              <w:t>Can you confirm that the minimum standards listed below are applicable for both new construction and rehabilitation projects? </w:t>
            </w:r>
            <w:r w:rsidRPr="00955AC1">
              <w:rPr>
                <w:rStyle w:val="eop"/>
                <w:color w:val="000000"/>
                <w:sz w:val="20"/>
                <w:szCs w:val="20"/>
              </w:rPr>
              <w:t> </w:t>
            </w:r>
          </w:p>
          <w:p w14:paraId="1290F2A8" w14:textId="77777777" w:rsidR="00390F34" w:rsidRPr="00955AC1" w:rsidRDefault="00390F34" w:rsidP="000F6D48">
            <w:pPr>
              <w:pStyle w:val="paragraph"/>
              <w:numPr>
                <w:ilvl w:val="0"/>
                <w:numId w:val="32"/>
              </w:numPr>
              <w:spacing w:before="0" w:beforeAutospacing="0" w:after="0" w:afterAutospacing="0"/>
              <w:ind w:left="1080" w:firstLine="0"/>
              <w:textAlignment w:val="baseline"/>
              <w:rPr>
                <w:sz w:val="20"/>
                <w:szCs w:val="20"/>
              </w:rPr>
            </w:pPr>
            <w:r w:rsidRPr="00955AC1">
              <w:rPr>
                <w:rStyle w:val="normaltextrun"/>
                <w:color w:val="000000"/>
                <w:sz w:val="20"/>
                <w:szCs w:val="20"/>
              </w:rPr>
              <w:t>Obtain a sustainable building certification</w:t>
            </w:r>
            <w:r w:rsidRPr="00955AC1">
              <w:rPr>
                <w:rStyle w:val="eop"/>
                <w:color w:val="000000"/>
                <w:sz w:val="20"/>
                <w:szCs w:val="20"/>
              </w:rPr>
              <w:t> </w:t>
            </w:r>
          </w:p>
          <w:p w14:paraId="5DB9DDB0" w14:textId="77777777" w:rsidR="00390F34" w:rsidRPr="00955AC1" w:rsidRDefault="00390F34" w:rsidP="000F6D48">
            <w:pPr>
              <w:pStyle w:val="paragraph"/>
              <w:numPr>
                <w:ilvl w:val="0"/>
                <w:numId w:val="32"/>
              </w:numPr>
              <w:spacing w:before="0" w:beforeAutospacing="0" w:after="0" w:afterAutospacing="0"/>
              <w:ind w:left="1080" w:firstLine="0"/>
              <w:textAlignment w:val="baseline"/>
              <w:rPr>
                <w:sz w:val="20"/>
                <w:szCs w:val="20"/>
              </w:rPr>
            </w:pPr>
            <w:r w:rsidRPr="00955AC1">
              <w:rPr>
                <w:rStyle w:val="normaltextrun"/>
                <w:color w:val="000000"/>
                <w:sz w:val="20"/>
                <w:szCs w:val="20"/>
              </w:rPr>
              <w:t>Low VOC interior wall/ceiling/finishing</w:t>
            </w:r>
            <w:r w:rsidRPr="00955AC1">
              <w:rPr>
                <w:rStyle w:val="eop"/>
                <w:color w:val="000000"/>
                <w:sz w:val="20"/>
                <w:szCs w:val="20"/>
              </w:rPr>
              <w:t> </w:t>
            </w:r>
          </w:p>
          <w:p w14:paraId="3E7A8DCB" w14:textId="77777777" w:rsidR="00390F34" w:rsidRPr="00955AC1" w:rsidRDefault="00390F34" w:rsidP="000F6D48">
            <w:pPr>
              <w:pStyle w:val="paragraph"/>
              <w:numPr>
                <w:ilvl w:val="0"/>
                <w:numId w:val="33"/>
              </w:numPr>
              <w:spacing w:before="0" w:beforeAutospacing="0" w:after="0" w:afterAutospacing="0"/>
              <w:ind w:left="1080" w:firstLine="0"/>
              <w:textAlignment w:val="baseline"/>
              <w:rPr>
                <w:sz w:val="20"/>
                <w:szCs w:val="20"/>
              </w:rPr>
            </w:pPr>
            <w:r w:rsidRPr="00955AC1">
              <w:rPr>
                <w:rStyle w:val="normaltextrun"/>
                <w:color w:val="000000"/>
                <w:sz w:val="20"/>
                <w:szCs w:val="20"/>
              </w:rPr>
              <w:t>Energy STAR certified appliances</w:t>
            </w:r>
            <w:r w:rsidRPr="00955AC1">
              <w:rPr>
                <w:rStyle w:val="eop"/>
                <w:color w:val="000000"/>
                <w:sz w:val="20"/>
                <w:szCs w:val="20"/>
              </w:rPr>
              <w:t> </w:t>
            </w:r>
          </w:p>
          <w:p w14:paraId="7E9E6AF3"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1E79F40D"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47944F4B"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(Threshold) Building Sustainability, Sustainability Standards</w:t>
            </w:r>
            <w:r w:rsidRPr="00955AC1">
              <w:rPr>
                <w:rStyle w:val="normaltextrun"/>
                <w:sz w:val="20"/>
                <w:szCs w:val="20"/>
              </w:rPr>
              <w:t xml:space="preserve"> states that “all dwelling units at all projects must comply with the requirements of this section. Historic properties may apply for a waiver when compliance means loss of historic character-defining features and finishes.”</w:t>
            </w:r>
            <w:r w:rsidRPr="00955AC1">
              <w:rPr>
                <w:rStyle w:val="eop"/>
                <w:sz w:val="20"/>
                <w:szCs w:val="20"/>
              </w:rPr>
              <w:t> </w:t>
            </w:r>
          </w:p>
        </w:tc>
      </w:tr>
      <w:tr w:rsidR="00390F34" w:rsidRPr="00955AC1" w14:paraId="5CB2B58C" w14:textId="77777777" w:rsidTr="64301FE8">
        <w:trPr>
          <w:jc w:val="center"/>
        </w:trPr>
        <w:tc>
          <w:tcPr>
            <w:tcW w:w="1697" w:type="dxa"/>
            <w:shd w:val="clear" w:color="auto" w:fill="auto"/>
            <w:tcMar>
              <w:top w:w="72" w:type="dxa"/>
              <w:left w:w="115" w:type="dxa"/>
              <w:bottom w:w="72" w:type="dxa"/>
              <w:right w:w="115" w:type="dxa"/>
            </w:tcMar>
            <w:vAlign w:val="center"/>
          </w:tcPr>
          <w:p w14:paraId="29CB967C"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0258D463"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3.05</w:t>
            </w:r>
          </w:p>
          <w:p w14:paraId="24D89C6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24F5DFD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0799D8BC" w14:textId="77777777" w:rsidR="00390F34" w:rsidRPr="00955AC1" w:rsidRDefault="00390F34" w:rsidP="000F6D48">
            <w:pPr>
              <w:jc w:val="center"/>
              <w:rPr>
                <w:rFonts w:ascii="Times New Roman" w:hAnsi="Times New Roman" w:cs="Times New Roman"/>
              </w:rPr>
            </w:pPr>
            <w:r w:rsidRPr="00955AC1">
              <w:rPr>
                <w:rStyle w:val="normaltextrun"/>
                <w:rFonts w:ascii="Times New Roman" w:hAnsi="Times New Roman" w:cs="Times New Roman"/>
                <w:b/>
                <w:bCs/>
                <w:i/>
                <w:iCs/>
                <w:color w:val="FF0000"/>
                <w:sz w:val="20"/>
                <w:szCs w:val="20"/>
              </w:rPr>
              <w:t>This Q&amp;A references the 9% Round but includes information relevant to 4%/Bonds applications.</w:t>
            </w:r>
          </w:p>
          <w:p w14:paraId="341C67A9" w14:textId="77777777" w:rsidR="00390F34" w:rsidRPr="00955AC1" w:rsidRDefault="00390F34" w:rsidP="000F6D48">
            <w:pPr>
              <w:contextualSpacing/>
              <w:rPr>
                <w:rFonts w:ascii="Times New Roman" w:hAnsi="Times New Roman" w:cs="Times New Roman"/>
                <w:b/>
                <w:bCs/>
                <w:sz w:val="20"/>
                <w:szCs w:val="20"/>
              </w:rPr>
            </w:pPr>
          </w:p>
          <w:p w14:paraId="40C17D2F"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Question</w:t>
            </w:r>
            <w:r w:rsidRPr="00955AC1">
              <w:rPr>
                <w:rFonts w:ascii="Times New Roman" w:hAnsi="Times New Roman" w:cs="Times New Roman"/>
                <w:sz w:val="20"/>
                <w:szCs w:val="20"/>
              </w:rPr>
              <w:t>: Q22_0503_01a</w:t>
            </w:r>
          </w:p>
          <w:p w14:paraId="59EC5627" w14:textId="77777777" w:rsidR="00390F34" w:rsidRPr="00955AC1" w:rsidRDefault="00390F34" w:rsidP="000F6D48">
            <w:pPr>
              <w:rPr>
                <w:rFonts w:ascii="Times New Roman" w:eastAsia="Times New Roman" w:hAnsi="Times New Roman" w:cs="Times New Roman"/>
                <w:color w:val="000000"/>
                <w:sz w:val="20"/>
                <w:szCs w:val="20"/>
              </w:rPr>
            </w:pPr>
            <w:r w:rsidRPr="00955AC1">
              <w:rPr>
                <w:rFonts w:ascii="Times New Roman" w:eastAsia="Times New Roman" w:hAnsi="Times New Roman" w:cs="Times New Roman"/>
                <w:color w:val="000000"/>
                <w:sz w:val="20"/>
                <w:szCs w:val="20"/>
              </w:rPr>
              <w:t>Can applicants submit evidence of more than one business that would qualify for points in a particular category? For example, if there are two restaurants within a similar radius of our site, can we submit information for each? We realize only one could ultimately be counted, but in this current environment we are concerned about the possibility that one would have to shut its doors by the time DCA conducted its review.</w:t>
            </w:r>
          </w:p>
          <w:p w14:paraId="5AB20D74" w14:textId="77777777" w:rsidR="00390F34" w:rsidRPr="00955AC1" w:rsidRDefault="00390F34" w:rsidP="000F6D48">
            <w:pPr>
              <w:rPr>
                <w:rFonts w:ascii="Times New Roman" w:eastAsia="Times New Roman" w:hAnsi="Times New Roman" w:cs="Times New Roman"/>
                <w:color w:val="000000"/>
                <w:sz w:val="20"/>
                <w:szCs w:val="20"/>
              </w:rPr>
            </w:pPr>
          </w:p>
          <w:p w14:paraId="7BBAFB92"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Answer</w:t>
            </w:r>
            <w:r w:rsidRPr="00955AC1">
              <w:rPr>
                <w:rFonts w:ascii="Times New Roman" w:hAnsi="Times New Roman" w:cs="Times New Roman"/>
                <w:sz w:val="20"/>
                <w:szCs w:val="20"/>
              </w:rPr>
              <w:t xml:space="preserve">: </w:t>
            </w:r>
          </w:p>
          <w:p w14:paraId="4F520779" w14:textId="77777777" w:rsidR="00390F34" w:rsidRPr="00955AC1" w:rsidRDefault="00390F34" w:rsidP="000F6D48">
            <w:pPr>
              <w:contextualSpacing/>
              <w:rPr>
                <w:rFonts w:ascii="Times New Roman" w:hAnsi="Times New Roman" w:cs="Times New Roman"/>
                <w:b/>
                <w:bCs/>
                <w:sz w:val="20"/>
                <w:szCs w:val="20"/>
              </w:rPr>
            </w:pPr>
            <w:r w:rsidRPr="00955AC1">
              <w:rPr>
                <w:rFonts w:ascii="Times New Roman" w:hAnsi="Times New Roman" w:cs="Times New Roman"/>
                <w:sz w:val="20"/>
                <w:szCs w:val="20"/>
              </w:rPr>
              <w:t xml:space="preserve">DCA provided the following guidance for a similar question during the 2021 9% Competitive Round (see 2021 Q&amp;A </w:t>
            </w:r>
            <w:r w:rsidRPr="00955AC1">
              <w:rPr>
                <w:rFonts w:ascii="Times New Roman" w:hAnsi="Times New Roman" w:cs="Times New Roman"/>
                <w:b/>
                <w:bCs/>
                <w:sz w:val="20"/>
                <w:szCs w:val="20"/>
              </w:rPr>
              <w:t>Q0201_06</w:t>
            </w:r>
            <w:r w:rsidRPr="00955AC1">
              <w:rPr>
                <w:rFonts w:ascii="Times New Roman" w:hAnsi="Times New Roman" w:cs="Times New Roman"/>
                <w:sz w:val="20"/>
                <w:szCs w:val="20"/>
              </w:rPr>
              <w:t>). This guidance still holds for purposes of the 2022 9% Competitive Round:</w:t>
            </w:r>
          </w:p>
          <w:p w14:paraId="18F59B7B" w14:textId="77777777" w:rsidR="00390F34" w:rsidRPr="00955AC1" w:rsidRDefault="00390F34" w:rsidP="000F6D48">
            <w:pPr>
              <w:contextualSpacing/>
              <w:rPr>
                <w:rFonts w:ascii="Times New Roman" w:hAnsi="Times New Roman" w:cs="Times New Roman"/>
                <w:b/>
                <w:bCs/>
                <w:sz w:val="20"/>
                <w:szCs w:val="20"/>
              </w:rPr>
            </w:pPr>
          </w:p>
          <w:p w14:paraId="215A6E17" w14:textId="77777777" w:rsidR="00390F34" w:rsidRPr="00955AC1" w:rsidRDefault="00390F34" w:rsidP="000F6D48">
            <w:pPr>
              <w:ind w:left="720"/>
              <w:rPr>
                <w:rFonts w:ascii="Times New Roman" w:hAnsi="Times New Roman" w:cs="Times New Roman"/>
                <w:sz w:val="20"/>
                <w:szCs w:val="20"/>
              </w:rPr>
            </w:pPr>
            <w:r w:rsidRPr="00955AC1">
              <w:rPr>
                <w:rFonts w:ascii="Times New Roman" w:hAnsi="Times New Roman" w:cs="Times New Roman"/>
                <w:sz w:val="20"/>
                <w:szCs w:val="20"/>
              </w:rPr>
              <w:t>“An establishment that an applicant certifies is operational as of the Application Submission deadline...will qualify for points under this section. This certification is covered by the relevant clauses in the “Applicant Certification Letter” required for all applications and requires no separate actions specific to this section. Relevant clauses are below:</w:t>
            </w:r>
          </w:p>
          <w:p w14:paraId="253E28DF" w14:textId="77777777" w:rsidR="00390F34" w:rsidRPr="00955AC1" w:rsidRDefault="00390F34" w:rsidP="000F6D48">
            <w:pPr>
              <w:ind w:left="720"/>
              <w:rPr>
                <w:rFonts w:ascii="Times New Roman" w:hAnsi="Times New Roman" w:cs="Times New Roman"/>
                <w:i/>
                <w:sz w:val="20"/>
                <w:szCs w:val="20"/>
              </w:rPr>
            </w:pPr>
            <w:r w:rsidRPr="00955AC1">
              <w:rPr>
                <w:rFonts w:ascii="Times New Roman" w:hAnsi="Times New Roman" w:cs="Times New Roman"/>
                <w:i/>
                <w:iCs/>
                <w:sz w:val="20"/>
                <w:szCs w:val="20"/>
              </w:rPr>
              <w:br/>
              <w:t>‘I understand that, in the event an allocation (or an allowance) for LIHTCs was obtained with false information supplied to the Georgia Department of Community Affairs ("DCA"), DCA will recapture the LIHTCs or request that the IRS deny tax credits to the Applicant entity.   Also, a supplier, including the developer or owner, who knowingly provides false information will be barred by DCA from program participation for a period of five (5) years from the date the false information was discovered, in accordance with a Memorandum of Understanding between the Internal Revenue Service and the Georgia Housing and Finance Authority.’</w:t>
            </w:r>
            <w:r w:rsidRPr="00955AC1">
              <w:rPr>
                <w:rFonts w:ascii="Times New Roman" w:hAnsi="Times New Roman" w:cs="Times New Roman"/>
                <w:i/>
                <w:iCs/>
                <w:sz w:val="20"/>
                <w:szCs w:val="20"/>
              </w:rPr>
              <w:br/>
            </w:r>
            <w:r w:rsidRPr="00955AC1">
              <w:rPr>
                <w:rFonts w:ascii="Times New Roman" w:hAnsi="Times New Roman" w:cs="Times New Roman"/>
                <w:i/>
                <w:iCs/>
                <w:sz w:val="20"/>
                <w:szCs w:val="20"/>
              </w:rPr>
              <w:br/>
              <w:t>‘I understand that any misrepresentations, which includes fraudulent, negligent, and/or innocent, in this Application or supporting documentation may result in a withdrawal of tax credits and/or HOME loan by DCA, my (and related parties) being barred from future program participation, and notification of the Internal Revenue Service and/or HUD.’</w:t>
            </w:r>
          </w:p>
        </w:tc>
      </w:tr>
      <w:tr w:rsidR="00390F34" w:rsidRPr="00955AC1" w14:paraId="727B1D56" w14:textId="77777777" w:rsidTr="64301FE8">
        <w:trPr>
          <w:jc w:val="center"/>
        </w:trPr>
        <w:tc>
          <w:tcPr>
            <w:tcW w:w="1697" w:type="dxa"/>
            <w:shd w:val="clear" w:color="auto" w:fill="auto"/>
            <w:tcMar>
              <w:top w:w="72" w:type="dxa"/>
              <w:left w:w="115" w:type="dxa"/>
              <w:bottom w:w="72" w:type="dxa"/>
              <w:right w:w="115" w:type="dxa"/>
            </w:tcMar>
            <w:vAlign w:val="center"/>
          </w:tcPr>
          <w:p w14:paraId="4EEBA116"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408FB20B"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3.10</w:t>
            </w:r>
          </w:p>
          <w:p w14:paraId="63AE1CCC"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29939EEB"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1F446AED"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xml:space="preserve">: </w:t>
            </w:r>
            <w:r w:rsidRPr="00955AC1">
              <w:rPr>
                <w:rFonts w:ascii="Times New Roman" w:eastAsia="Times New Roman" w:hAnsi="Times New Roman" w:cs="Times New Roman"/>
                <w:b/>
                <w:bCs/>
                <w:sz w:val="20"/>
                <w:szCs w:val="20"/>
              </w:rPr>
              <w:t>Q22_0510_15</w:t>
            </w:r>
            <w:r w:rsidRPr="00955AC1">
              <w:rPr>
                <w:rFonts w:ascii="Times New Roman" w:eastAsia="Times New Roman" w:hAnsi="Times New Roman" w:cs="Times New Roman"/>
                <w:sz w:val="20"/>
                <w:szCs w:val="20"/>
              </w:rPr>
              <w:t> </w:t>
            </w:r>
          </w:p>
          <w:p w14:paraId="1EC6B980"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242424"/>
                <w:sz w:val="20"/>
                <w:szCs w:val="20"/>
                <w:shd w:val="clear" w:color="auto" w:fill="FFFFFF"/>
              </w:rPr>
              <w:t>I am having trouble figuring out how to get scoring information for a specific census tract. How can I get assistance for this? </w:t>
            </w:r>
            <w:r w:rsidRPr="00955AC1">
              <w:rPr>
                <w:rFonts w:ascii="Times New Roman" w:eastAsia="Times New Roman" w:hAnsi="Times New Roman" w:cs="Times New Roman"/>
                <w:color w:val="242424"/>
                <w:sz w:val="20"/>
                <w:szCs w:val="20"/>
              </w:rPr>
              <w:t> </w:t>
            </w:r>
          </w:p>
          <w:p w14:paraId="48C72E34"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1C445E6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05E66346"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242424"/>
                <w:sz w:val="20"/>
                <w:szCs w:val="20"/>
                <w:shd w:val="clear" w:color="auto" w:fill="FFFFFF"/>
              </w:rPr>
              <w:t>Please review </w:t>
            </w:r>
            <w:r w:rsidRPr="00955AC1">
              <w:rPr>
                <w:rFonts w:ascii="Times New Roman" w:eastAsia="Times New Roman" w:hAnsi="Times New Roman" w:cs="Times New Roman"/>
                <w:b/>
                <w:bCs/>
                <w:color w:val="242424"/>
                <w:sz w:val="20"/>
                <w:szCs w:val="20"/>
                <w:shd w:val="clear" w:color="auto" w:fill="FFFFFF"/>
              </w:rPr>
              <w:t>Q22_0419_03</w:t>
            </w:r>
            <w:r w:rsidRPr="00955AC1">
              <w:rPr>
                <w:rFonts w:ascii="Times New Roman" w:eastAsia="Times New Roman" w:hAnsi="Times New Roman" w:cs="Times New Roman"/>
                <w:color w:val="242424"/>
                <w:sz w:val="20"/>
                <w:szCs w:val="20"/>
                <w:shd w:val="clear" w:color="auto" w:fill="FFFFFF"/>
              </w:rPr>
              <w:t>. If you still are unable to confirm the information you're seeking for a specific census tract, please feel free to submit the census tract through our Q&amp;A survey (</w:t>
            </w:r>
            <w:hyperlink r:id="rId32" w:tgtFrame="_blank" w:history="1">
              <w:r w:rsidRPr="00955AC1">
                <w:rPr>
                  <w:rFonts w:ascii="Times New Roman" w:eastAsia="Times New Roman" w:hAnsi="Times New Roman" w:cs="Times New Roman"/>
                  <w:color w:val="0563C1"/>
                  <w:sz w:val="20"/>
                  <w:szCs w:val="20"/>
                  <w:u w:val="single"/>
                  <w:shd w:val="clear" w:color="auto" w:fill="FFFFFF"/>
                </w:rPr>
                <w:t>click here</w:t>
              </w:r>
            </w:hyperlink>
            <w:r w:rsidRPr="00955AC1">
              <w:rPr>
                <w:rFonts w:ascii="Times New Roman" w:eastAsia="Times New Roman" w:hAnsi="Times New Roman" w:cs="Times New Roman"/>
                <w:color w:val="242424"/>
                <w:sz w:val="20"/>
                <w:szCs w:val="20"/>
                <w:shd w:val="clear" w:color="auto" w:fill="FFFFFF"/>
              </w:rPr>
              <w:t>) with the issue you're having.</w:t>
            </w:r>
            <w:r w:rsidRPr="00955AC1">
              <w:rPr>
                <w:rFonts w:ascii="Times New Roman" w:eastAsia="Times New Roman" w:hAnsi="Times New Roman" w:cs="Times New Roman"/>
                <w:color w:val="242424"/>
                <w:sz w:val="20"/>
                <w:szCs w:val="20"/>
              </w:rPr>
              <w:t> </w:t>
            </w:r>
          </w:p>
        </w:tc>
      </w:tr>
      <w:tr w:rsidR="00390F34" w:rsidRPr="00955AC1" w14:paraId="26A593FD" w14:textId="77777777" w:rsidTr="64301FE8">
        <w:trPr>
          <w:jc w:val="center"/>
        </w:trPr>
        <w:tc>
          <w:tcPr>
            <w:tcW w:w="1697" w:type="dxa"/>
            <w:shd w:val="clear" w:color="auto" w:fill="auto"/>
            <w:tcMar>
              <w:top w:w="72" w:type="dxa"/>
              <w:left w:w="115" w:type="dxa"/>
              <w:bottom w:w="72" w:type="dxa"/>
              <w:right w:w="115" w:type="dxa"/>
            </w:tcMar>
            <w:vAlign w:val="center"/>
          </w:tcPr>
          <w:p w14:paraId="7821732F"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364CD786"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3.10</w:t>
            </w:r>
          </w:p>
          <w:p w14:paraId="3CF4F67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1CA0E5D7"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639E271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Q22_0429_02 </w:t>
            </w:r>
          </w:p>
          <w:p w14:paraId="454DBFB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xml:space="preserve">If my application’s 2010 Census Tract is associated with multiple 2020 Census Tracts according to the </w:t>
            </w:r>
            <w:r w:rsidRPr="00955AC1">
              <w:rPr>
                <w:rFonts w:ascii="Times New Roman" w:eastAsia="Times New Roman" w:hAnsi="Times New Roman" w:cs="Times New Roman"/>
                <w:i/>
                <w:iCs/>
                <w:color w:val="000000"/>
                <w:sz w:val="20"/>
                <w:szCs w:val="20"/>
              </w:rPr>
              <w:t>2010 to 2020 Census Tract Relationship File</w:t>
            </w:r>
            <w:r w:rsidRPr="00955AC1">
              <w:rPr>
                <w:rFonts w:ascii="Times New Roman" w:eastAsia="Times New Roman" w:hAnsi="Times New Roman" w:cs="Times New Roman"/>
                <w:color w:val="000000"/>
                <w:sz w:val="20"/>
                <w:szCs w:val="20"/>
              </w:rPr>
              <w:t xml:space="preserve"> posted to the DCA website on 4/20/22, may I claim points using any of the associated 2020 Census Tracts? </w:t>
            </w:r>
          </w:p>
          <w:p w14:paraId="52BFE78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27230EE6"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06FF5F01"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No, applicants will not receive points related to a Census Tract that does not include the proposed development. Applicants are responsible for identifying their proposed development’s 2010 Census Tracts (where applicant is using 2018 or 2019 data) and 2020 Census Tracts (where applicable is using 2020 data). </w:t>
            </w:r>
          </w:p>
          <w:p w14:paraId="0DEC6DD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423EF86C"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xml:space="preserve">A 2010 Tract may be associated with multiple 2020 Tracts, and vice versa, as some 2010 Tracts were split into multiple 2020 Tracts, and other 2010 Tracts were combined into one 2020 Tract. The </w:t>
            </w:r>
            <w:r w:rsidRPr="00955AC1">
              <w:rPr>
                <w:rFonts w:ascii="Times New Roman" w:eastAsia="Times New Roman" w:hAnsi="Times New Roman" w:cs="Times New Roman"/>
                <w:i/>
                <w:iCs/>
                <w:color w:val="000000"/>
                <w:sz w:val="20"/>
                <w:szCs w:val="20"/>
              </w:rPr>
              <w:t>2010 to 2020 Census Tract Relationship File</w:t>
            </w:r>
            <w:r w:rsidRPr="00955AC1">
              <w:rPr>
                <w:rFonts w:ascii="Times New Roman" w:eastAsia="Times New Roman" w:hAnsi="Times New Roman" w:cs="Times New Roman"/>
                <w:color w:val="000000"/>
                <w:sz w:val="20"/>
                <w:szCs w:val="20"/>
              </w:rPr>
              <w:t xml:space="preserve"> is solely intended to assist applicants in understanding how Census Tracts have changed from 2010 to 2020 and may not be used to claim points for a Census Tract which does not include the proposed development. </w:t>
            </w:r>
          </w:p>
          <w:p w14:paraId="04CD11D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w:t>
            </w:r>
          </w:p>
          <w:p w14:paraId="4A3321D4"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color w:val="000000"/>
                <w:sz w:val="20"/>
                <w:szCs w:val="20"/>
              </w:rPr>
              <w:t xml:space="preserve">DCA has also added “2010 Census Tracts” and “2020 Census Tracts” layers to the </w:t>
            </w:r>
            <w:r w:rsidRPr="00955AC1">
              <w:rPr>
                <w:rFonts w:ascii="Times New Roman" w:eastAsia="Times New Roman" w:hAnsi="Times New Roman" w:cs="Times New Roman"/>
                <w:i/>
                <w:iCs/>
                <w:color w:val="000000"/>
                <w:sz w:val="20"/>
                <w:szCs w:val="20"/>
              </w:rPr>
              <w:t xml:space="preserve">Housing Tax Credit Properties Map </w:t>
            </w:r>
            <w:r w:rsidRPr="00955AC1">
              <w:rPr>
                <w:rFonts w:ascii="Times New Roman" w:eastAsia="Times New Roman" w:hAnsi="Times New Roman" w:cs="Times New Roman"/>
                <w:color w:val="000000"/>
                <w:sz w:val="20"/>
                <w:szCs w:val="20"/>
              </w:rPr>
              <w:t>posted to the 2022 QAP Scoring Documents and Data page of the DCA website (</w:t>
            </w:r>
            <w:hyperlink r:id="rId33" w:tgtFrame="_blank" w:history="1">
              <w:r w:rsidRPr="00955AC1">
                <w:rPr>
                  <w:rFonts w:ascii="Times New Roman" w:eastAsia="Times New Roman" w:hAnsi="Times New Roman" w:cs="Times New Roman"/>
                  <w:color w:val="0563C1"/>
                  <w:sz w:val="20"/>
                  <w:szCs w:val="20"/>
                  <w:u w:val="single"/>
                </w:rPr>
                <w:t>click here</w:t>
              </w:r>
            </w:hyperlink>
            <w:r w:rsidRPr="00955AC1">
              <w:rPr>
                <w:rFonts w:ascii="Times New Roman" w:eastAsia="Times New Roman" w:hAnsi="Times New Roman" w:cs="Times New Roman"/>
                <w:color w:val="000000"/>
                <w:sz w:val="20"/>
                <w:szCs w:val="20"/>
              </w:rPr>
              <w:t xml:space="preserve">), allowing applicants to identify their proposed development’s Census Tract by entering the property location in the search bar. See the response to question </w:t>
            </w:r>
            <w:r w:rsidRPr="00955AC1">
              <w:rPr>
                <w:rFonts w:ascii="Times New Roman" w:eastAsia="Times New Roman" w:hAnsi="Times New Roman" w:cs="Times New Roman"/>
                <w:b/>
                <w:bCs/>
                <w:color w:val="000000"/>
                <w:sz w:val="20"/>
                <w:szCs w:val="20"/>
              </w:rPr>
              <w:t>Q22_0419_03</w:t>
            </w:r>
            <w:r w:rsidRPr="00955AC1">
              <w:rPr>
                <w:rFonts w:ascii="Times New Roman" w:eastAsia="Times New Roman" w:hAnsi="Times New Roman" w:cs="Times New Roman"/>
                <w:color w:val="000000"/>
                <w:sz w:val="20"/>
                <w:szCs w:val="20"/>
              </w:rPr>
              <w:t xml:space="preserve"> added to the </w:t>
            </w:r>
            <w:r w:rsidRPr="00955AC1">
              <w:rPr>
                <w:rFonts w:ascii="Times New Roman" w:eastAsia="Times New Roman" w:hAnsi="Times New Roman" w:cs="Times New Roman"/>
                <w:i/>
                <w:iCs/>
                <w:color w:val="000000"/>
                <w:sz w:val="20"/>
                <w:szCs w:val="20"/>
              </w:rPr>
              <w:t>Q&amp;A Instructions and DCA Responses</w:t>
            </w:r>
            <w:r w:rsidRPr="00955AC1">
              <w:rPr>
                <w:rFonts w:ascii="Times New Roman" w:eastAsia="Times New Roman" w:hAnsi="Times New Roman" w:cs="Times New Roman"/>
                <w:color w:val="000000"/>
                <w:sz w:val="20"/>
                <w:szCs w:val="20"/>
              </w:rPr>
              <w:t xml:space="preserve"> document on 4/21/22 for detailed instructions. </w:t>
            </w:r>
          </w:p>
        </w:tc>
      </w:tr>
      <w:tr w:rsidR="00390F34" w:rsidRPr="00955AC1" w14:paraId="7BDF8F2D" w14:textId="77777777" w:rsidTr="64301FE8">
        <w:trPr>
          <w:jc w:val="center"/>
        </w:trPr>
        <w:tc>
          <w:tcPr>
            <w:tcW w:w="1697" w:type="dxa"/>
            <w:shd w:val="clear" w:color="auto" w:fill="auto"/>
            <w:tcMar>
              <w:top w:w="72" w:type="dxa"/>
              <w:left w:w="115" w:type="dxa"/>
              <w:bottom w:w="72" w:type="dxa"/>
              <w:right w:w="115" w:type="dxa"/>
            </w:tcMar>
            <w:vAlign w:val="center"/>
          </w:tcPr>
          <w:p w14:paraId="392B1FCF"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46702C4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2.02</w:t>
            </w:r>
          </w:p>
          <w:p w14:paraId="58607996"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082553C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1B0AA194"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Q22_0426_03</w:t>
            </w:r>
            <w:r w:rsidRPr="00955AC1">
              <w:rPr>
                <w:rStyle w:val="eop"/>
                <w:sz w:val="20"/>
                <w:szCs w:val="20"/>
              </w:rPr>
              <w:t> </w:t>
            </w:r>
          </w:p>
          <w:p w14:paraId="01E5606B"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How/where do we find the DCA published utility allowances that should be used in the 2022 applications? </w:t>
            </w:r>
            <w:r w:rsidRPr="00955AC1">
              <w:rPr>
                <w:rStyle w:val="eop"/>
                <w:sz w:val="20"/>
                <w:szCs w:val="20"/>
              </w:rPr>
              <w:t> </w:t>
            </w:r>
          </w:p>
          <w:p w14:paraId="57B09E72"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2DBB5063"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0607AFB3"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See </w:t>
            </w:r>
            <w:r w:rsidRPr="00955AC1">
              <w:rPr>
                <w:rStyle w:val="normaltextrun"/>
                <w:b/>
                <w:bCs/>
                <w:sz w:val="20"/>
                <w:szCs w:val="20"/>
              </w:rPr>
              <w:t xml:space="preserve">(Threshold) Project Feasibility, Viability Analysis &amp; Conformance with Plan, Operating Utility Allowance (UA) </w:t>
            </w:r>
            <w:r w:rsidRPr="00955AC1">
              <w:rPr>
                <w:rStyle w:val="normaltextrun"/>
                <w:sz w:val="20"/>
                <w:szCs w:val="20"/>
              </w:rPr>
              <w:t xml:space="preserve">and the </w:t>
            </w:r>
            <w:r w:rsidRPr="00955AC1">
              <w:rPr>
                <w:rStyle w:val="normaltextrun"/>
                <w:i/>
                <w:iCs/>
                <w:sz w:val="20"/>
                <w:szCs w:val="20"/>
              </w:rPr>
              <w:t>DCA Utility Allowance Map</w:t>
            </w:r>
            <w:r w:rsidRPr="00955AC1">
              <w:rPr>
                <w:rStyle w:val="normaltextrun"/>
                <w:sz w:val="20"/>
                <w:szCs w:val="20"/>
              </w:rPr>
              <w:t xml:space="preserve"> to determine which method(s) and Utility Allowance schedule(s) applies to your application. </w:t>
            </w:r>
            <w:r w:rsidRPr="00955AC1">
              <w:rPr>
                <w:rStyle w:val="eop"/>
                <w:sz w:val="20"/>
                <w:szCs w:val="20"/>
              </w:rPr>
              <w:t> </w:t>
            </w:r>
          </w:p>
          <w:p w14:paraId="6FEC0F4F"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4E144D1F" w14:textId="77777777" w:rsidR="00390F34" w:rsidRPr="00955AC1" w:rsidRDefault="00390F34" w:rsidP="000F6D48">
            <w:pPr>
              <w:pStyle w:val="paragraph"/>
              <w:spacing w:before="0" w:beforeAutospacing="0" w:after="0" w:afterAutospacing="0"/>
              <w:textAlignment w:val="baseline"/>
              <w:rPr>
                <w:rStyle w:val="normaltextrun"/>
                <w:sz w:val="20"/>
                <w:szCs w:val="20"/>
              </w:rPr>
            </w:pPr>
            <w:r w:rsidRPr="00955AC1">
              <w:rPr>
                <w:rStyle w:val="normaltextrun"/>
                <w:sz w:val="20"/>
                <w:szCs w:val="20"/>
              </w:rPr>
              <w:t xml:space="preserve">The </w:t>
            </w:r>
            <w:r w:rsidRPr="00955AC1">
              <w:rPr>
                <w:rStyle w:val="normaltextrun"/>
                <w:i/>
                <w:iCs/>
                <w:sz w:val="20"/>
                <w:szCs w:val="20"/>
              </w:rPr>
              <w:t>DCA Utility Allowance Map</w:t>
            </w:r>
            <w:r w:rsidRPr="00955AC1">
              <w:rPr>
                <w:rStyle w:val="normaltextrun"/>
                <w:sz w:val="20"/>
                <w:szCs w:val="20"/>
              </w:rPr>
              <w:t xml:space="preserve"> and </w:t>
            </w:r>
            <w:r w:rsidRPr="00955AC1">
              <w:rPr>
                <w:rStyle w:val="normaltextrun"/>
                <w:i/>
                <w:iCs/>
                <w:sz w:val="20"/>
                <w:szCs w:val="20"/>
              </w:rPr>
              <w:t>DCA Utility Allowance Schedule</w:t>
            </w:r>
            <w:r w:rsidRPr="00955AC1">
              <w:rPr>
                <w:rStyle w:val="normaltextrun"/>
                <w:sz w:val="20"/>
                <w:szCs w:val="20"/>
              </w:rPr>
              <w:t xml:space="preserve"> are posted to the Rental Housing Development – Compliance Monitoring page of the DCA website (</w:t>
            </w:r>
            <w:hyperlink r:id="rId34" w:history="1">
              <w:r w:rsidRPr="00955AC1">
                <w:rPr>
                  <w:rStyle w:val="Hyperlink"/>
                  <w:sz w:val="20"/>
                  <w:szCs w:val="20"/>
                </w:rPr>
                <w:t>click here</w:t>
              </w:r>
            </w:hyperlink>
            <w:r w:rsidRPr="00955AC1">
              <w:rPr>
                <w:rStyle w:val="normaltextrun"/>
                <w:sz w:val="20"/>
                <w:szCs w:val="20"/>
              </w:rPr>
              <w:t>).</w:t>
            </w:r>
          </w:p>
        </w:tc>
      </w:tr>
      <w:tr w:rsidR="00390F34" w:rsidRPr="00955AC1" w14:paraId="11B2A6EF" w14:textId="77777777" w:rsidTr="64301FE8">
        <w:trPr>
          <w:jc w:val="center"/>
        </w:trPr>
        <w:tc>
          <w:tcPr>
            <w:tcW w:w="1697" w:type="dxa"/>
            <w:shd w:val="clear" w:color="auto" w:fill="auto"/>
            <w:tcMar>
              <w:top w:w="72" w:type="dxa"/>
              <w:left w:w="115" w:type="dxa"/>
              <w:bottom w:w="72" w:type="dxa"/>
              <w:right w:w="115" w:type="dxa"/>
            </w:tcMar>
            <w:vAlign w:val="center"/>
          </w:tcPr>
          <w:p w14:paraId="4A84A749"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5E1271C3"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2.02</w:t>
            </w:r>
          </w:p>
          <w:p w14:paraId="04A3224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0167C35C"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Project Feasibility, Viability Analysis &amp; Conformance with Plan</w:t>
            </w:r>
          </w:p>
          <w:p w14:paraId="04BE5CAB" w14:textId="77777777" w:rsidR="00390F34" w:rsidRPr="00955AC1" w:rsidRDefault="00390F34" w:rsidP="000F6D48">
            <w:pPr>
              <w:rPr>
                <w:rFonts w:ascii="Times New Roman" w:hAnsi="Times New Roman" w:cs="Times New Roman"/>
                <w:sz w:val="20"/>
                <w:szCs w:val="20"/>
              </w:rPr>
            </w:pPr>
          </w:p>
          <w:p w14:paraId="15F5C119" w14:textId="77777777" w:rsidR="00390F34" w:rsidRPr="00955AC1" w:rsidRDefault="00390F34" w:rsidP="000F6D48">
            <w:pPr>
              <w:rPr>
                <w:rFonts w:ascii="Times New Roman" w:hAnsi="Times New Roman" w:cs="Times New Roman"/>
                <w:sz w:val="20"/>
                <w:szCs w:val="20"/>
              </w:rPr>
            </w:pPr>
          </w:p>
          <w:p w14:paraId="0FFDAB2B"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(also 3.04 Scoring; Deeper Targeting)</w:t>
            </w:r>
          </w:p>
        </w:tc>
        <w:tc>
          <w:tcPr>
            <w:tcW w:w="9585" w:type="dxa"/>
            <w:shd w:val="clear" w:color="auto" w:fill="auto"/>
            <w:tcMar>
              <w:top w:w="72" w:type="dxa"/>
              <w:left w:w="115" w:type="dxa"/>
              <w:bottom w:w="72" w:type="dxa"/>
              <w:right w:w="115" w:type="dxa"/>
            </w:tcMar>
            <w:vAlign w:val="center"/>
          </w:tcPr>
          <w:p w14:paraId="119C44FB" w14:textId="77777777" w:rsidR="00390F34" w:rsidRPr="00955AC1" w:rsidRDefault="00390F34" w:rsidP="000F6D48">
            <w:pPr>
              <w:pStyle w:val="paragraph"/>
              <w:spacing w:before="0" w:beforeAutospacing="0" w:after="0" w:afterAutospacing="0"/>
              <w:textAlignment w:val="baseline"/>
              <w:rPr>
                <w:rFonts w:eastAsia="MS Mincho"/>
                <w:sz w:val="20"/>
                <w:szCs w:val="20"/>
              </w:rPr>
            </w:pPr>
            <w:r w:rsidRPr="00955AC1">
              <w:rPr>
                <w:rStyle w:val="normaltextrun"/>
                <w:rFonts w:eastAsia="MS Mincho"/>
                <w:b/>
                <w:bCs/>
                <w:sz w:val="20"/>
                <w:szCs w:val="20"/>
              </w:rPr>
              <w:t>Question</w:t>
            </w:r>
            <w:r w:rsidRPr="00955AC1">
              <w:rPr>
                <w:rStyle w:val="normaltextrun"/>
                <w:rFonts w:eastAsia="MS Mincho"/>
                <w:sz w:val="20"/>
                <w:szCs w:val="20"/>
              </w:rPr>
              <w:t xml:space="preserve">: </w:t>
            </w:r>
            <w:r w:rsidRPr="00955AC1">
              <w:rPr>
                <w:rStyle w:val="normaltextrun"/>
                <w:rFonts w:eastAsia="MS Mincho"/>
                <w:b/>
                <w:bCs/>
                <w:sz w:val="20"/>
                <w:szCs w:val="20"/>
              </w:rPr>
              <w:t>Q22_0418_15</w:t>
            </w:r>
            <w:r w:rsidRPr="00955AC1">
              <w:rPr>
                <w:rStyle w:val="eop"/>
                <w:rFonts w:eastAsia="MS Mincho"/>
                <w:sz w:val="20"/>
                <w:szCs w:val="20"/>
              </w:rPr>
              <w:t> </w:t>
            </w:r>
          </w:p>
          <w:p w14:paraId="330F0B3C" w14:textId="77777777" w:rsidR="00390F34" w:rsidRPr="00955AC1" w:rsidRDefault="00390F34" w:rsidP="000F6D48">
            <w:pPr>
              <w:pStyle w:val="paragraph"/>
              <w:spacing w:before="0" w:beforeAutospacing="0" w:after="0" w:afterAutospacing="0"/>
              <w:textAlignment w:val="baseline"/>
              <w:rPr>
                <w:rFonts w:eastAsia="MS Mincho"/>
                <w:sz w:val="20"/>
                <w:szCs w:val="20"/>
              </w:rPr>
            </w:pPr>
            <w:r w:rsidRPr="00955AC1">
              <w:rPr>
                <w:rStyle w:val="normaltextrun"/>
                <w:rFonts w:eastAsia="MS Mincho"/>
                <w:sz w:val="20"/>
                <w:szCs w:val="20"/>
              </w:rPr>
              <w:t>Our proposed development plans to utilize the RAD/Section 18 blends opportunity for our rent structure. HUD does not provide a commitment for the non-RAD PBV HAP contract until all other financing is in place, including the tax credit award.</w:t>
            </w:r>
            <w:r w:rsidRPr="00955AC1">
              <w:rPr>
                <w:rStyle w:val="eop"/>
                <w:rFonts w:eastAsia="MS Mincho"/>
                <w:sz w:val="20"/>
                <w:szCs w:val="20"/>
              </w:rPr>
              <w:t> </w:t>
            </w:r>
          </w:p>
          <w:p w14:paraId="632ED5B7" w14:textId="77777777" w:rsidR="00390F34" w:rsidRPr="00955AC1" w:rsidRDefault="00390F34" w:rsidP="000F6D48">
            <w:pPr>
              <w:pStyle w:val="paragraph"/>
              <w:spacing w:before="0" w:beforeAutospacing="0" w:after="0" w:afterAutospacing="0"/>
              <w:textAlignment w:val="baseline"/>
              <w:rPr>
                <w:rFonts w:eastAsia="MS Mincho"/>
                <w:sz w:val="20"/>
                <w:szCs w:val="20"/>
              </w:rPr>
            </w:pPr>
            <w:r w:rsidRPr="00955AC1">
              <w:rPr>
                <w:rStyle w:val="eop"/>
                <w:rFonts w:eastAsia="MS Mincho"/>
                <w:sz w:val="20"/>
                <w:szCs w:val="20"/>
              </w:rPr>
              <w:t> </w:t>
            </w:r>
          </w:p>
          <w:p w14:paraId="16C9C67E" w14:textId="77777777" w:rsidR="00390F34" w:rsidRPr="00955AC1" w:rsidRDefault="00390F34" w:rsidP="000F6D48">
            <w:pPr>
              <w:pStyle w:val="paragraph"/>
              <w:spacing w:before="0" w:beforeAutospacing="0" w:after="0" w:afterAutospacing="0"/>
              <w:textAlignment w:val="baseline"/>
              <w:rPr>
                <w:rFonts w:eastAsia="MS Mincho"/>
                <w:sz w:val="20"/>
                <w:szCs w:val="20"/>
              </w:rPr>
            </w:pPr>
            <w:r w:rsidRPr="00955AC1">
              <w:rPr>
                <w:rStyle w:val="normaltextrun"/>
                <w:rFonts w:eastAsia="MS Mincho"/>
                <w:sz w:val="20"/>
                <w:szCs w:val="20"/>
              </w:rPr>
              <w:t xml:space="preserve">How can applicants meet documentation requirements under the QAP for </w:t>
            </w:r>
            <w:r w:rsidRPr="00955AC1">
              <w:rPr>
                <w:rStyle w:val="normaltextrun"/>
                <w:rFonts w:eastAsia="MS Mincho"/>
                <w:b/>
                <w:bCs/>
                <w:sz w:val="20"/>
                <w:szCs w:val="20"/>
              </w:rPr>
              <w:t>(Threshold Criteria) Project Feasibility</w:t>
            </w:r>
            <w:r w:rsidRPr="00955AC1">
              <w:rPr>
                <w:rStyle w:val="normaltextrun"/>
                <w:rFonts w:eastAsia="MS Mincho"/>
                <w:sz w:val="20"/>
                <w:szCs w:val="20"/>
              </w:rPr>
              <w:t xml:space="preserve"> and </w:t>
            </w:r>
            <w:r w:rsidRPr="00955AC1">
              <w:rPr>
                <w:rStyle w:val="normaltextrun"/>
                <w:rFonts w:eastAsia="MS Mincho"/>
                <w:b/>
                <w:bCs/>
                <w:sz w:val="20"/>
                <w:szCs w:val="20"/>
              </w:rPr>
              <w:t>(Scoring Criteria) Deeper Targeting</w:t>
            </w:r>
            <w:r w:rsidRPr="00955AC1">
              <w:rPr>
                <w:rStyle w:val="normaltextrun"/>
                <w:rFonts w:eastAsia="MS Mincho"/>
                <w:sz w:val="20"/>
                <w:szCs w:val="20"/>
              </w:rPr>
              <w:t xml:space="preserve"> in this circumstance?</w:t>
            </w:r>
            <w:r w:rsidRPr="00955AC1">
              <w:rPr>
                <w:rStyle w:val="eop"/>
                <w:rFonts w:eastAsia="MS Mincho"/>
                <w:sz w:val="20"/>
                <w:szCs w:val="20"/>
              </w:rPr>
              <w:t> </w:t>
            </w:r>
          </w:p>
          <w:p w14:paraId="55D090A9" w14:textId="77777777" w:rsidR="00390F34" w:rsidRPr="00955AC1" w:rsidRDefault="00390F34" w:rsidP="000F6D48">
            <w:pPr>
              <w:pStyle w:val="paragraph"/>
              <w:spacing w:before="0" w:beforeAutospacing="0" w:after="0" w:afterAutospacing="0"/>
              <w:textAlignment w:val="baseline"/>
              <w:rPr>
                <w:rFonts w:eastAsia="MS Mincho"/>
                <w:sz w:val="20"/>
                <w:szCs w:val="20"/>
              </w:rPr>
            </w:pPr>
            <w:r w:rsidRPr="00955AC1">
              <w:rPr>
                <w:rStyle w:val="eop"/>
                <w:rFonts w:eastAsia="MS Mincho"/>
                <w:sz w:val="20"/>
                <w:szCs w:val="20"/>
              </w:rPr>
              <w:t> </w:t>
            </w:r>
          </w:p>
          <w:p w14:paraId="3D4A88C6" w14:textId="77777777" w:rsidR="00390F34" w:rsidRPr="00955AC1" w:rsidRDefault="00390F34" w:rsidP="000F6D48">
            <w:pPr>
              <w:pStyle w:val="paragraph"/>
              <w:spacing w:before="0" w:beforeAutospacing="0" w:after="0" w:afterAutospacing="0"/>
              <w:textAlignment w:val="baseline"/>
              <w:rPr>
                <w:rFonts w:eastAsia="MS Mincho"/>
                <w:sz w:val="20"/>
                <w:szCs w:val="20"/>
              </w:rPr>
            </w:pPr>
            <w:r w:rsidRPr="00955AC1">
              <w:rPr>
                <w:rStyle w:val="normaltextrun"/>
                <w:rFonts w:eastAsia="MS Mincho"/>
                <w:b/>
                <w:bCs/>
                <w:sz w:val="20"/>
                <w:szCs w:val="20"/>
              </w:rPr>
              <w:t>Answer</w:t>
            </w:r>
            <w:r w:rsidRPr="00955AC1">
              <w:rPr>
                <w:rStyle w:val="normaltextrun"/>
                <w:rFonts w:eastAsia="MS Mincho"/>
                <w:sz w:val="20"/>
                <w:szCs w:val="20"/>
              </w:rPr>
              <w:t>: </w:t>
            </w:r>
            <w:r w:rsidRPr="00955AC1">
              <w:rPr>
                <w:rStyle w:val="eop"/>
                <w:rFonts w:eastAsia="MS Mincho"/>
                <w:sz w:val="20"/>
                <w:szCs w:val="20"/>
              </w:rPr>
              <w:t> </w:t>
            </w:r>
          </w:p>
          <w:p w14:paraId="6F6DE48D" w14:textId="77777777" w:rsidR="00390F34" w:rsidRPr="00955AC1" w:rsidRDefault="00390F34" w:rsidP="000F6D48">
            <w:pPr>
              <w:pStyle w:val="paragraph"/>
              <w:spacing w:before="0" w:beforeAutospacing="0" w:after="0" w:afterAutospacing="0"/>
              <w:textAlignment w:val="baseline"/>
              <w:rPr>
                <w:rFonts w:eastAsia="MS Mincho"/>
                <w:sz w:val="20"/>
                <w:szCs w:val="20"/>
              </w:rPr>
            </w:pPr>
            <w:r w:rsidRPr="00955AC1">
              <w:rPr>
                <w:rStyle w:val="normaltextrun"/>
                <w:rFonts w:eastAsia="MS Mincho"/>
                <w:sz w:val="20"/>
                <w:szCs w:val="20"/>
              </w:rPr>
              <w:t xml:space="preserve">Applicants can submit the following documentation for purposes of both </w:t>
            </w:r>
            <w:r w:rsidRPr="00955AC1">
              <w:rPr>
                <w:rStyle w:val="normaltextrun"/>
                <w:rFonts w:eastAsia="MS Mincho"/>
                <w:b/>
                <w:bCs/>
                <w:sz w:val="20"/>
                <w:szCs w:val="20"/>
              </w:rPr>
              <w:t>Threshold</w:t>
            </w:r>
            <w:r w:rsidRPr="00955AC1">
              <w:rPr>
                <w:rStyle w:val="normaltextrun"/>
                <w:rFonts w:eastAsia="MS Mincho"/>
                <w:sz w:val="20"/>
                <w:szCs w:val="20"/>
              </w:rPr>
              <w:t xml:space="preserve"> and </w:t>
            </w:r>
            <w:r w:rsidRPr="00955AC1">
              <w:rPr>
                <w:rStyle w:val="normaltextrun"/>
                <w:rFonts w:eastAsia="MS Mincho"/>
                <w:b/>
                <w:bCs/>
                <w:sz w:val="20"/>
                <w:szCs w:val="20"/>
              </w:rPr>
              <w:t>Scoring</w:t>
            </w:r>
            <w:r w:rsidRPr="00955AC1">
              <w:rPr>
                <w:rStyle w:val="normaltextrun"/>
                <w:rFonts w:eastAsia="MS Mincho"/>
                <w:sz w:val="20"/>
                <w:szCs w:val="20"/>
              </w:rPr>
              <w:t>:</w:t>
            </w:r>
            <w:r w:rsidRPr="00955AC1">
              <w:rPr>
                <w:rStyle w:val="scxw127031168"/>
                <w:rFonts w:eastAsia="MS Mincho"/>
                <w:sz w:val="20"/>
                <w:szCs w:val="20"/>
              </w:rPr>
              <w:t> </w:t>
            </w:r>
            <w:r w:rsidRPr="00955AC1">
              <w:rPr>
                <w:rFonts w:eastAsia="MS Mincho"/>
                <w:sz w:val="20"/>
                <w:szCs w:val="20"/>
              </w:rPr>
              <w:br/>
            </w:r>
            <w:r w:rsidRPr="00955AC1">
              <w:rPr>
                <w:rStyle w:val="eop"/>
                <w:rFonts w:eastAsia="MS Mincho"/>
                <w:sz w:val="20"/>
                <w:szCs w:val="20"/>
              </w:rPr>
              <w:t> </w:t>
            </w:r>
          </w:p>
          <w:p w14:paraId="65E5E025" w14:textId="77777777" w:rsidR="00390F34" w:rsidRPr="00955AC1" w:rsidRDefault="00390F34" w:rsidP="000F6D48">
            <w:pPr>
              <w:pStyle w:val="paragraph"/>
              <w:numPr>
                <w:ilvl w:val="0"/>
                <w:numId w:val="28"/>
              </w:numPr>
              <w:spacing w:before="0" w:beforeAutospacing="0" w:after="0" w:afterAutospacing="0"/>
              <w:ind w:left="1080" w:firstLine="0"/>
              <w:textAlignment w:val="baseline"/>
              <w:rPr>
                <w:rFonts w:eastAsia="MS Mincho"/>
                <w:sz w:val="20"/>
                <w:szCs w:val="20"/>
              </w:rPr>
            </w:pPr>
            <w:r w:rsidRPr="00955AC1">
              <w:rPr>
                <w:rStyle w:val="normaltextrun"/>
                <w:rFonts w:eastAsia="MS Mincho"/>
                <w:sz w:val="20"/>
                <w:szCs w:val="20"/>
              </w:rPr>
              <w:t>A signed letter from HUD confirming that the development will be eligible for the RAD/Section 18 blends rent structure, pending a review of the overall financing plan.</w:t>
            </w:r>
            <w:r w:rsidRPr="00955AC1">
              <w:rPr>
                <w:rStyle w:val="eop"/>
                <w:rFonts w:eastAsia="MS Mincho"/>
                <w:sz w:val="20"/>
                <w:szCs w:val="20"/>
              </w:rPr>
              <w:t> </w:t>
            </w:r>
          </w:p>
          <w:p w14:paraId="3ED4CD13" w14:textId="77777777" w:rsidR="00390F34" w:rsidRPr="00955AC1" w:rsidRDefault="00390F34" w:rsidP="000F6D48">
            <w:pPr>
              <w:pStyle w:val="paragraph"/>
              <w:numPr>
                <w:ilvl w:val="0"/>
                <w:numId w:val="29"/>
              </w:numPr>
              <w:spacing w:before="0" w:beforeAutospacing="0" w:after="0" w:afterAutospacing="0"/>
              <w:ind w:left="1800" w:firstLine="0"/>
              <w:textAlignment w:val="baseline"/>
              <w:rPr>
                <w:rFonts w:eastAsia="MS Mincho"/>
                <w:sz w:val="20"/>
                <w:szCs w:val="20"/>
              </w:rPr>
            </w:pPr>
            <w:r w:rsidRPr="00955AC1">
              <w:rPr>
                <w:rStyle w:val="normaltextrun"/>
                <w:rFonts w:eastAsia="MS Mincho"/>
                <w:sz w:val="20"/>
                <w:szCs w:val="20"/>
              </w:rPr>
              <w:t>HUD has provided to DCA a template letter that applicants can send to HUD for signature confirming HUD’s approval of the development, the PHA’s and Owner’s decision regarding how many years the anticipated PBV contract will last, etc. This letter can be submitted as documentation in the application. </w:t>
            </w:r>
            <w:r w:rsidRPr="00955AC1">
              <w:rPr>
                <w:rStyle w:val="eop"/>
                <w:rFonts w:eastAsia="MS Mincho"/>
                <w:sz w:val="20"/>
                <w:szCs w:val="20"/>
              </w:rPr>
              <w:t> </w:t>
            </w:r>
          </w:p>
          <w:p w14:paraId="04CC1F62" w14:textId="77777777" w:rsidR="00390F34" w:rsidRPr="00955AC1" w:rsidRDefault="00390F34" w:rsidP="000F6D48">
            <w:pPr>
              <w:pStyle w:val="paragraph"/>
              <w:numPr>
                <w:ilvl w:val="0"/>
                <w:numId w:val="29"/>
              </w:numPr>
              <w:spacing w:before="0" w:beforeAutospacing="0" w:after="0" w:afterAutospacing="0"/>
              <w:ind w:left="1800" w:firstLine="0"/>
              <w:textAlignment w:val="baseline"/>
              <w:rPr>
                <w:rFonts w:eastAsia="MS Mincho"/>
                <w:sz w:val="20"/>
                <w:szCs w:val="20"/>
              </w:rPr>
            </w:pPr>
            <w:r w:rsidRPr="00955AC1">
              <w:rPr>
                <w:rStyle w:val="normaltextrun"/>
                <w:rFonts w:eastAsia="MS Mincho"/>
                <w:sz w:val="20"/>
                <w:szCs w:val="20"/>
              </w:rPr>
              <w:t>The template HUD letter is posted to the DCA website under: “Application Manuals, Forms, and Scoring Documents” / “Other Manuals and forms” / “Template HUD Letter for RAD-Section 18 Blends” (</w:t>
            </w:r>
            <w:hyperlink r:id="rId35" w:tgtFrame="_blank" w:history="1">
              <w:r w:rsidRPr="00955AC1">
                <w:rPr>
                  <w:rStyle w:val="normaltextrun"/>
                  <w:rFonts w:eastAsia="MS Mincho"/>
                  <w:color w:val="0563C1"/>
                  <w:sz w:val="20"/>
                  <w:szCs w:val="20"/>
                  <w:u w:val="single"/>
                </w:rPr>
                <w:t>click here</w:t>
              </w:r>
            </w:hyperlink>
            <w:r w:rsidRPr="00955AC1">
              <w:rPr>
                <w:rStyle w:val="normaltextrun"/>
                <w:rFonts w:eastAsia="MS Mincho"/>
                <w:sz w:val="20"/>
                <w:szCs w:val="20"/>
              </w:rPr>
              <w:t>). </w:t>
            </w:r>
            <w:r w:rsidRPr="00955AC1">
              <w:rPr>
                <w:rStyle w:val="eop"/>
                <w:rFonts w:eastAsia="MS Mincho"/>
                <w:sz w:val="20"/>
                <w:szCs w:val="20"/>
              </w:rPr>
              <w:t> </w:t>
            </w:r>
          </w:p>
          <w:p w14:paraId="25DC9F09" w14:textId="77777777" w:rsidR="00390F34" w:rsidRPr="00955AC1" w:rsidRDefault="00390F34" w:rsidP="000F6D48">
            <w:pPr>
              <w:pStyle w:val="paragraph"/>
              <w:numPr>
                <w:ilvl w:val="0"/>
                <w:numId w:val="29"/>
              </w:numPr>
              <w:spacing w:before="0" w:beforeAutospacing="0" w:after="0" w:afterAutospacing="0"/>
              <w:ind w:left="1800" w:firstLine="0"/>
              <w:textAlignment w:val="baseline"/>
              <w:rPr>
                <w:rFonts w:eastAsia="MS Mincho"/>
                <w:sz w:val="20"/>
                <w:szCs w:val="20"/>
              </w:rPr>
            </w:pPr>
            <w:r w:rsidRPr="00955AC1">
              <w:rPr>
                <w:rStyle w:val="normaltextrun"/>
                <w:rFonts w:eastAsia="MS Mincho"/>
                <w:sz w:val="20"/>
                <w:szCs w:val="20"/>
              </w:rPr>
              <w:t>Please note that HUD requires at least 7 business days to sign and return a PDF copy of the letter. </w:t>
            </w:r>
            <w:r w:rsidRPr="00955AC1">
              <w:rPr>
                <w:rStyle w:val="eop"/>
                <w:rFonts w:eastAsia="MS Mincho"/>
                <w:sz w:val="20"/>
                <w:szCs w:val="20"/>
              </w:rPr>
              <w:t> </w:t>
            </w:r>
          </w:p>
          <w:p w14:paraId="1BCDEB19" w14:textId="77777777" w:rsidR="00390F34" w:rsidRPr="00955AC1" w:rsidRDefault="00390F34" w:rsidP="000F6D48">
            <w:pPr>
              <w:pStyle w:val="paragraph"/>
              <w:numPr>
                <w:ilvl w:val="0"/>
                <w:numId w:val="30"/>
              </w:numPr>
              <w:spacing w:before="0" w:beforeAutospacing="0" w:after="0" w:afterAutospacing="0"/>
              <w:ind w:left="1080" w:firstLine="0"/>
              <w:textAlignment w:val="baseline"/>
              <w:rPr>
                <w:rFonts w:eastAsia="MS Mincho"/>
                <w:sz w:val="20"/>
                <w:szCs w:val="20"/>
              </w:rPr>
            </w:pPr>
            <w:r w:rsidRPr="00955AC1">
              <w:rPr>
                <w:rStyle w:val="normaltextrun"/>
                <w:rFonts w:eastAsia="MS Mincho"/>
                <w:sz w:val="20"/>
                <w:szCs w:val="20"/>
              </w:rPr>
              <w:t>Evidence from HUD’s website substantiating which Fair Market Rents (FMRs) are applicable to the proposed development. </w:t>
            </w:r>
            <w:r w:rsidRPr="00955AC1">
              <w:rPr>
                <w:rStyle w:val="eop"/>
                <w:rFonts w:eastAsia="MS Mincho"/>
                <w:sz w:val="20"/>
                <w:szCs w:val="20"/>
              </w:rPr>
              <w:t> </w:t>
            </w:r>
          </w:p>
          <w:p w14:paraId="45C0D4DB" w14:textId="77777777" w:rsidR="00390F34" w:rsidRPr="00955AC1" w:rsidRDefault="00390F34" w:rsidP="000F6D48">
            <w:pPr>
              <w:pStyle w:val="paragraph"/>
              <w:numPr>
                <w:ilvl w:val="0"/>
                <w:numId w:val="31"/>
              </w:numPr>
              <w:spacing w:before="0" w:beforeAutospacing="0" w:after="0" w:afterAutospacing="0"/>
              <w:ind w:left="1080" w:firstLine="0"/>
              <w:textAlignment w:val="baseline"/>
              <w:rPr>
                <w:rStyle w:val="normaltextrun"/>
                <w:rFonts w:eastAsia="MS Mincho"/>
                <w:sz w:val="20"/>
                <w:szCs w:val="20"/>
              </w:rPr>
            </w:pPr>
            <w:r w:rsidRPr="00955AC1">
              <w:rPr>
                <w:rStyle w:val="normaltextrun"/>
                <w:rFonts w:eastAsia="MS Mincho"/>
                <w:sz w:val="20"/>
                <w:szCs w:val="20"/>
              </w:rPr>
              <w:t>A brief description of how the rents in the Core Application are derived from the FMRs (e.g., the following statement would suffice: “Non-RAD PBV rents are based on 110% of the FMRs”). </w:t>
            </w:r>
            <w:r w:rsidRPr="00955AC1">
              <w:rPr>
                <w:rStyle w:val="eop"/>
                <w:rFonts w:eastAsia="MS Mincho"/>
                <w:sz w:val="20"/>
                <w:szCs w:val="20"/>
              </w:rPr>
              <w:t> </w:t>
            </w:r>
          </w:p>
        </w:tc>
      </w:tr>
      <w:tr w:rsidR="00390F34" w:rsidRPr="00955AC1" w14:paraId="2F763012" w14:textId="77777777" w:rsidTr="64301FE8">
        <w:trPr>
          <w:jc w:val="center"/>
        </w:trPr>
        <w:tc>
          <w:tcPr>
            <w:tcW w:w="1697" w:type="dxa"/>
            <w:shd w:val="clear" w:color="auto" w:fill="auto"/>
            <w:tcMar>
              <w:top w:w="72" w:type="dxa"/>
              <w:left w:w="115" w:type="dxa"/>
              <w:bottom w:w="72" w:type="dxa"/>
              <w:right w:w="115" w:type="dxa"/>
            </w:tcMar>
            <w:vAlign w:val="center"/>
          </w:tcPr>
          <w:p w14:paraId="0DBADC58"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54A3D45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2.12</w:t>
            </w:r>
          </w:p>
          <w:p w14:paraId="2C14F1A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3A887A47"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Public Water/Sanitary Sewer</w:t>
            </w:r>
          </w:p>
        </w:tc>
        <w:tc>
          <w:tcPr>
            <w:tcW w:w="9585" w:type="dxa"/>
            <w:shd w:val="clear" w:color="auto" w:fill="auto"/>
            <w:tcMar>
              <w:top w:w="72" w:type="dxa"/>
              <w:left w:w="115" w:type="dxa"/>
              <w:bottom w:w="72" w:type="dxa"/>
              <w:right w:w="115" w:type="dxa"/>
            </w:tcMar>
            <w:vAlign w:val="center"/>
          </w:tcPr>
          <w:p w14:paraId="20C7B602"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Q22_0419_01</w:t>
            </w:r>
            <w:r w:rsidRPr="00955AC1">
              <w:rPr>
                <w:rStyle w:val="eop"/>
                <w:sz w:val="20"/>
                <w:szCs w:val="20"/>
              </w:rPr>
              <w:t> </w:t>
            </w:r>
          </w:p>
          <w:p w14:paraId="289E37C1"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In PUBLIC WATER/SANITARY SEWER under minimum documentation </w:t>
            </w:r>
            <w:r w:rsidRPr="00955AC1">
              <w:rPr>
                <w:rStyle w:val="contextualspellingandgrammarerror"/>
                <w:rFonts w:eastAsiaTheme="majorEastAsia"/>
                <w:sz w:val="20"/>
                <w:szCs w:val="20"/>
              </w:rPr>
              <w:t>states :</w:t>
            </w:r>
            <w:r w:rsidRPr="00955AC1">
              <w:rPr>
                <w:rStyle w:val="normaltextrun"/>
                <w:sz w:val="20"/>
                <w:szCs w:val="20"/>
              </w:rPr>
              <w:t xml:space="preserve"> ""Letter(s) of commitment from verifiable public water/sanitary sewer authority that includes project name, address, or parcel ID and confirms that utilities will be available.""||The 2022 QAP was modified to add ""of commitment"" implying that DCA is now requiring a commitment of water/sanitary sewer (W/S) availability from local W/S authorities.  Local W/S authorities, especially larger ones will not issue a ""commitment"" of availability of W/S services due to the time lag between the issuance of the letter and the issuance of building permits which can be 18-24 months.  ||A commitment is asking the local W/S authority to commit to availability at some point in the future which most authorities will not </w:t>
            </w:r>
            <w:r w:rsidRPr="00955AC1">
              <w:rPr>
                <w:rStyle w:val="contextualspellingandgrammarerror"/>
                <w:rFonts w:eastAsiaTheme="majorEastAsia"/>
                <w:sz w:val="20"/>
                <w:szCs w:val="20"/>
              </w:rPr>
              <w:t>do.|</w:t>
            </w:r>
            <w:r w:rsidRPr="00955AC1">
              <w:rPr>
                <w:rStyle w:val="normaltextrun"/>
                <w:sz w:val="20"/>
                <w:szCs w:val="20"/>
              </w:rPr>
              <w:t xml:space="preserve">|Historically, DCA has required W/S sewer availability letters which state required W/S infrastructure is available to the development </w:t>
            </w:r>
            <w:r w:rsidRPr="00955AC1">
              <w:rPr>
                <w:rStyle w:val="contextualspellingandgrammarerror"/>
                <w:rFonts w:eastAsiaTheme="majorEastAsia"/>
                <w:sz w:val="20"/>
                <w:szCs w:val="20"/>
              </w:rPr>
              <w:t>site.|</w:t>
            </w:r>
            <w:r w:rsidRPr="00955AC1">
              <w:rPr>
                <w:rStyle w:val="normaltextrun"/>
                <w:sz w:val="20"/>
                <w:szCs w:val="20"/>
              </w:rPr>
              <w:t xml:space="preserve">|Will letters that confirm W/S availability without language stating the letter is a commitment pass threshold in this </w:t>
            </w:r>
            <w:r w:rsidRPr="00955AC1">
              <w:rPr>
                <w:rStyle w:val="contextualspellingandgrammarerror"/>
                <w:rFonts w:eastAsiaTheme="majorEastAsia"/>
                <w:sz w:val="20"/>
                <w:szCs w:val="20"/>
              </w:rPr>
              <w:t>section?|</w:t>
            </w:r>
            <w:r w:rsidRPr="00955AC1">
              <w:rPr>
                <w:rStyle w:val="eop"/>
                <w:sz w:val="20"/>
                <w:szCs w:val="20"/>
              </w:rPr>
              <w:t> </w:t>
            </w:r>
          </w:p>
          <w:p w14:paraId="58CDB676"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66DDB46B"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625F47C2"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The above-referenced edit, to include the word “commitment,” was not intended to substantively change this documentation requirement. </w:t>
            </w:r>
            <w:r w:rsidRPr="00955AC1">
              <w:rPr>
                <w:rStyle w:val="eop"/>
                <w:sz w:val="20"/>
                <w:szCs w:val="20"/>
              </w:rPr>
              <w:t> </w:t>
            </w:r>
          </w:p>
          <w:p w14:paraId="7C50C3FA"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417B3A3E" w14:textId="77777777" w:rsidR="00390F34" w:rsidRPr="00955AC1" w:rsidRDefault="00390F34" w:rsidP="000F6D48">
            <w:pPr>
              <w:pStyle w:val="paragraph"/>
              <w:spacing w:before="0" w:beforeAutospacing="0" w:after="0" w:afterAutospacing="0"/>
              <w:textAlignment w:val="baseline"/>
              <w:rPr>
                <w:rStyle w:val="normaltextrun"/>
                <w:sz w:val="20"/>
                <w:szCs w:val="20"/>
              </w:rPr>
            </w:pPr>
            <w:r w:rsidRPr="00955AC1">
              <w:rPr>
                <w:rStyle w:val="normaltextrun"/>
                <w:b/>
                <w:bCs/>
                <w:sz w:val="20"/>
                <w:szCs w:val="20"/>
              </w:rPr>
              <w:t>(Threshold) Public Water/Sanitary Sewer</w:t>
            </w:r>
            <w:r w:rsidRPr="00955AC1">
              <w:rPr>
                <w:rStyle w:val="normaltextrun"/>
                <w:sz w:val="20"/>
                <w:szCs w:val="20"/>
              </w:rPr>
              <w:t xml:space="preserve"> provides the following examples of the type of “letter(s) of commitment” that should be requested from the verifiable public water/sanitary sewer authority: “letters from public water/sanitary sewer authority, copies of easements necessary for water and sewer authorities to extend water and sewer to the property.”  Per this QAP section, “letters from the local public water and sewer authorities must document the availability of the existing public water and sewer service to the site”.  Therefore the “Letter(s) of commitment” as requested in minimum documentation refers to the documentation of the availability of existing public water and sanitary sewer.</w:t>
            </w:r>
          </w:p>
        </w:tc>
      </w:tr>
      <w:tr w:rsidR="00390F34" w:rsidRPr="00955AC1" w14:paraId="48566633" w14:textId="77777777" w:rsidTr="64301FE8">
        <w:trPr>
          <w:jc w:val="center"/>
        </w:trPr>
        <w:tc>
          <w:tcPr>
            <w:tcW w:w="1697" w:type="dxa"/>
            <w:shd w:val="clear" w:color="auto" w:fill="auto"/>
            <w:tcMar>
              <w:top w:w="72" w:type="dxa"/>
              <w:left w:w="115" w:type="dxa"/>
              <w:bottom w:w="72" w:type="dxa"/>
              <w:right w:w="115" w:type="dxa"/>
            </w:tcMar>
            <w:vAlign w:val="center"/>
          </w:tcPr>
          <w:p w14:paraId="641EEA52"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11102615"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2.17</w:t>
            </w:r>
          </w:p>
          <w:p w14:paraId="3391A263"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750F70A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6C60A0F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Q22_0129_01</w:t>
            </w:r>
            <w:r w:rsidRPr="00955AC1">
              <w:rPr>
                <w:rStyle w:val="eop"/>
                <w:sz w:val="20"/>
                <w:szCs w:val="20"/>
              </w:rPr>
              <w:t> </w:t>
            </w:r>
          </w:p>
          <w:p w14:paraId="520BDA81"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Regarding (</w:t>
            </w:r>
            <w:r w:rsidRPr="00955AC1">
              <w:rPr>
                <w:rStyle w:val="normaltextrun"/>
                <w:b/>
                <w:bCs/>
                <w:sz w:val="20"/>
                <w:szCs w:val="20"/>
              </w:rPr>
              <w:t>Threshold) Building Sustainability, A. Sustainability Standards, 2. Measured duct and building envelope leakage</w:t>
            </w:r>
            <w:r w:rsidRPr="00955AC1">
              <w:rPr>
                <w:rStyle w:val="normaltextrun"/>
                <w:sz w:val="20"/>
                <w:szCs w:val="20"/>
              </w:rPr>
              <w:t xml:space="preserve">, the QAP states that performance testing must be performed on a </w:t>
            </w:r>
            <w:r w:rsidRPr="00955AC1">
              <w:rPr>
                <w:rStyle w:val="normaltextrun"/>
                <w:i/>
                <w:iCs/>
                <w:sz w:val="20"/>
                <w:szCs w:val="20"/>
              </w:rPr>
              <w:t>"sampling of units...utilizing RESNET-approved performance testing methodologies..."</w:t>
            </w:r>
            <w:r w:rsidRPr="00955AC1">
              <w:rPr>
                <w:rStyle w:val="normaltextrun"/>
                <w:sz w:val="20"/>
                <w:szCs w:val="20"/>
              </w:rPr>
              <w:t>.</w:t>
            </w:r>
            <w:r w:rsidRPr="00955AC1">
              <w:rPr>
                <w:rStyle w:val="eop"/>
                <w:sz w:val="20"/>
                <w:szCs w:val="20"/>
              </w:rPr>
              <w:t> </w:t>
            </w:r>
          </w:p>
          <w:p w14:paraId="2BCA5850"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0CAAB98D"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Does this mean the RESNET sampling procedures must be followed or just the procedures for individual unit testing?</w:t>
            </w:r>
            <w:r w:rsidRPr="00955AC1">
              <w:rPr>
                <w:rStyle w:val="eop"/>
                <w:sz w:val="20"/>
                <w:szCs w:val="20"/>
              </w:rPr>
              <w:t> </w:t>
            </w:r>
          </w:p>
          <w:p w14:paraId="0C9D0A73"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7FA6A867"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37977453" w14:textId="77777777" w:rsidR="00390F34" w:rsidRPr="00955AC1" w:rsidRDefault="00390F34" w:rsidP="000F6D48">
            <w:pPr>
              <w:pStyle w:val="paragraph"/>
              <w:spacing w:before="0" w:beforeAutospacing="0" w:after="0" w:afterAutospacing="0"/>
              <w:textAlignment w:val="baseline"/>
              <w:rPr>
                <w:rStyle w:val="normaltextrun"/>
                <w:sz w:val="20"/>
                <w:szCs w:val="20"/>
              </w:rPr>
            </w:pPr>
            <w:r w:rsidRPr="00955AC1">
              <w:rPr>
                <w:rStyle w:val="normaltextrun"/>
                <w:sz w:val="20"/>
                <w:szCs w:val="20"/>
              </w:rPr>
              <w:t>RESNET procedures must be followed for individual unit testing.  In the parenthesis within the same sentence, DCA defines the “sampling of units” to use as including “one of each unit type in its various configurations within the property”.</w:t>
            </w:r>
            <w:r w:rsidRPr="00955AC1">
              <w:rPr>
                <w:rStyle w:val="eop"/>
                <w:sz w:val="20"/>
                <w:szCs w:val="20"/>
              </w:rPr>
              <w:t> </w:t>
            </w:r>
          </w:p>
        </w:tc>
      </w:tr>
      <w:tr w:rsidR="00390F34" w:rsidRPr="00955AC1" w14:paraId="7CAAAADF" w14:textId="77777777" w:rsidTr="64301FE8">
        <w:trPr>
          <w:jc w:val="center"/>
        </w:trPr>
        <w:tc>
          <w:tcPr>
            <w:tcW w:w="1697" w:type="dxa"/>
            <w:shd w:val="clear" w:color="auto" w:fill="auto"/>
            <w:tcMar>
              <w:top w:w="72" w:type="dxa"/>
              <w:left w:w="115" w:type="dxa"/>
              <w:bottom w:w="72" w:type="dxa"/>
              <w:right w:w="115" w:type="dxa"/>
            </w:tcMar>
            <w:vAlign w:val="center"/>
          </w:tcPr>
          <w:p w14:paraId="359B8865"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2ACC6AA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3.05</w:t>
            </w:r>
          </w:p>
          <w:p w14:paraId="7F253C78"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528DCEB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253F22F6"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Question</w:t>
            </w:r>
            <w:r w:rsidRPr="00955AC1">
              <w:rPr>
                <w:rFonts w:ascii="Times New Roman" w:hAnsi="Times New Roman" w:cs="Times New Roman"/>
                <w:sz w:val="20"/>
                <w:szCs w:val="20"/>
              </w:rPr>
              <w:t>: Q22_0504_01</w:t>
            </w:r>
          </w:p>
          <w:p w14:paraId="022CF5DD"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In </w:t>
            </w:r>
            <w:r w:rsidRPr="00955AC1">
              <w:rPr>
                <w:rFonts w:ascii="Times New Roman" w:eastAsia="Times New Roman" w:hAnsi="Times New Roman" w:cs="Times New Roman"/>
                <w:b/>
                <w:bCs/>
                <w:sz w:val="20"/>
                <w:szCs w:val="20"/>
              </w:rPr>
              <w:t>(Scoring) Desirable/Undesirable Activities, Undesirable/Inefficient Site Activities/Characteristics, Exceptions to Undesirable Deductions</w:t>
            </w:r>
            <w:r w:rsidRPr="00955AC1">
              <w:rPr>
                <w:rFonts w:ascii="Times New Roman" w:eastAsia="Times New Roman" w:hAnsi="Times New Roman" w:cs="Times New Roman"/>
                <w:sz w:val="20"/>
                <w:szCs w:val="20"/>
              </w:rPr>
              <w:t>, what is the definition of the word “site control” in the below bullet point?</w:t>
            </w:r>
          </w:p>
          <w:p w14:paraId="11E0BF22" w14:textId="77777777" w:rsidR="00390F34" w:rsidRPr="00955AC1" w:rsidRDefault="00390F34" w:rsidP="000F6D48">
            <w:pPr>
              <w:rPr>
                <w:rFonts w:ascii="Times New Roman" w:eastAsia="Times New Roman" w:hAnsi="Times New Roman" w:cs="Times New Roman"/>
                <w:sz w:val="20"/>
                <w:szCs w:val="20"/>
              </w:rPr>
            </w:pPr>
          </w:p>
          <w:p w14:paraId="76113665" w14:textId="77777777" w:rsidR="00390F34" w:rsidRPr="00955AC1" w:rsidRDefault="00390F34" w:rsidP="000F6D48">
            <w:pPr>
              <w:pStyle w:val="ListParagraph"/>
              <w:numPr>
                <w:ilvl w:val="0"/>
                <w:numId w:val="27"/>
              </w:numPr>
              <w:rPr>
                <w:rFonts w:ascii="Times New Roman" w:eastAsia="Times New Roman" w:hAnsi="Times New Roman" w:cs="Times New Roman"/>
                <w:i/>
                <w:iCs/>
                <w:sz w:val="20"/>
                <w:szCs w:val="20"/>
              </w:rPr>
            </w:pPr>
            <w:r w:rsidRPr="00955AC1">
              <w:rPr>
                <w:rFonts w:ascii="Times New Roman" w:eastAsia="Times New Roman" w:hAnsi="Times New Roman" w:cs="Times New Roman"/>
                <w:i/>
                <w:iCs/>
                <w:sz w:val="20"/>
                <w:szCs w:val="20"/>
              </w:rPr>
              <w:t>Mitigation by the Applicant or a Local Government must be completed by the placed in-service date.</w:t>
            </w:r>
          </w:p>
          <w:p w14:paraId="0D60B6A2" w14:textId="77777777" w:rsidR="00390F34" w:rsidRPr="00955AC1" w:rsidRDefault="00390F34" w:rsidP="000F6D48">
            <w:pPr>
              <w:pStyle w:val="ListParagraph"/>
              <w:numPr>
                <w:ilvl w:val="1"/>
                <w:numId w:val="27"/>
              </w:numPr>
              <w:rPr>
                <w:rFonts w:ascii="Times New Roman" w:eastAsia="Times New Roman" w:hAnsi="Times New Roman" w:cs="Times New Roman"/>
                <w:sz w:val="20"/>
                <w:szCs w:val="20"/>
              </w:rPr>
            </w:pPr>
            <w:r w:rsidRPr="00955AC1">
              <w:rPr>
                <w:rFonts w:ascii="Times New Roman" w:eastAsia="Times New Roman" w:hAnsi="Times New Roman" w:cs="Times New Roman"/>
                <w:i/>
                <w:sz w:val="20"/>
                <w:szCs w:val="20"/>
              </w:rPr>
              <w:t>Applicants must provide documentation of the site control and resources to complete the mitigation.</w:t>
            </w:r>
          </w:p>
          <w:p w14:paraId="524B14BB" w14:textId="77777777" w:rsidR="00390F34" w:rsidRPr="00955AC1" w:rsidRDefault="00390F34" w:rsidP="000F6D48">
            <w:pPr>
              <w:rPr>
                <w:rFonts w:ascii="Times New Roman" w:eastAsia="Times New Roman" w:hAnsi="Times New Roman" w:cs="Times New Roman"/>
                <w:sz w:val="20"/>
                <w:szCs w:val="20"/>
              </w:rPr>
            </w:pPr>
          </w:p>
          <w:p w14:paraId="25672666"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Answer</w:t>
            </w:r>
            <w:r w:rsidRPr="00955AC1">
              <w:rPr>
                <w:rFonts w:ascii="Times New Roman" w:hAnsi="Times New Roman" w:cs="Times New Roman"/>
                <w:sz w:val="20"/>
                <w:szCs w:val="20"/>
              </w:rPr>
              <w:t xml:space="preserve">: </w:t>
            </w:r>
          </w:p>
          <w:p w14:paraId="0138D014" w14:textId="77777777" w:rsidR="00390F34" w:rsidRPr="00955AC1" w:rsidRDefault="00390F34" w:rsidP="000F6D48">
            <w:pPr>
              <w:rPr>
                <w:rFonts w:ascii="Times New Roman" w:eastAsia="Segoe UI" w:hAnsi="Times New Roman" w:cs="Times New Roman"/>
                <w:sz w:val="20"/>
                <w:szCs w:val="20"/>
              </w:rPr>
            </w:pPr>
            <w:r w:rsidRPr="00955AC1">
              <w:rPr>
                <w:rFonts w:ascii="Times New Roman" w:eastAsia="Segoe UI" w:hAnsi="Times New Roman" w:cs="Times New Roman"/>
                <w:sz w:val="20"/>
                <w:szCs w:val="20"/>
              </w:rPr>
              <w:t xml:space="preserve">Documentation of site control to complete the mitigation of an undesirable activity/characteristic should show either of the following: </w:t>
            </w:r>
          </w:p>
          <w:p w14:paraId="7B934B81" w14:textId="77777777" w:rsidR="00390F34" w:rsidRPr="00955AC1" w:rsidRDefault="00390F34" w:rsidP="000F6D48">
            <w:pPr>
              <w:pStyle w:val="ListParagraph"/>
              <w:numPr>
                <w:ilvl w:val="0"/>
                <w:numId w:val="27"/>
              </w:numPr>
              <w:rPr>
                <w:rFonts w:ascii="Times New Roman" w:eastAsia="Segoe UI" w:hAnsi="Times New Roman" w:cs="Times New Roman"/>
                <w:sz w:val="20"/>
                <w:szCs w:val="20"/>
              </w:rPr>
            </w:pPr>
            <w:r w:rsidRPr="00955AC1">
              <w:rPr>
                <w:rFonts w:ascii="Times New Roman" w:eastAsia="Segoe UI" w:hAnsi="Times New Roman" w:cs="Times New Roman"/>
                <w:sz w:val="20"/>
                <w:szCs w:val="20"/>
              </w:rPr>
              <w:t xml:space="preserve">there is explicit authorization from the owner of the undesirable to perform the mitigation, or </w:t>
            </w:r>
          </w:p>
          <w:p w14:paraId="5CC49590" w14:textId="77777777" w:rsidR="00390F34" w:rsidRPr="00955AC1" w:rsidRDefault="00390F34" w:rsidP="000F6D48">
            <w:pPr>
              <w:pStyle w:val="ListParagraph"/>
              <w:numPr>
                <w:ilvl w:val="0"/>
                <w:numId w:val="27"/>
              </w:numPr>
              <w:rPr>
                <w:rStyle w:val="normaltextrun"/>
                <w:rFonts w:ascii="Times New Roman" w:eastAsia="Segoe UI" w:hAnsi="Times New Roman" w:cs="Times New Roman"/>
                <w:sz w:val="20"/>
                <w:szCs w:val="20"/>
              </w:rPr>
            </w:pPr>
            <w:r w:rsidRPr="00955AC1">
              <w:rPr>
                <w:rFonts w:ascii="Times New Roman" w:eastAsia="Segoe UI" w:hAnsi="Times New Roman" w:cs="Times New Roman"/>
                <w:sz w:val="20"/>
                <w:szCs w:val="20"/>
              </w:rPr>
              <w:t>there is a legal right for the entity performing the mitigation (e.g., Applicant, owner of the undesirable) to perform mitigation by the date(s) indicated in the QAP.</w:t>
            </w:r>
          </w:p>
        </w:tc>
      </w:tr>
      <w:tr w:rsidR="00390F34" w:rsidRPr="00955AC1" w14:paraId="6CD8AB1A" w14:textId="77777777" w:rsidTr="64301FE8">
        <w:trPr>
          <w:jc w:val="center"/>
        </w:trPr>
        <w:tc>
          <w:tcPr>
            <w:tcW w:w="1697" w:type="dxa"/>
            <w:shd w:val="clear" w:color="auto" w:fill="auto"/>
            <w:tcMar>
              <w:top w:w="72" w:type="dxa"/>
              <w:left w:w="115" w:type="dxa"/>
              <w:bottom w:w="72" w:type="dxa"/>
              <w:right w:w="115" w:type="dxa"/>
            </w:tcMar>
            <w:vAlign w:val="center"/>
          </w:tcPr>
          <w:p w14:paraId="3A6A2CFD"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164CC90B"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3.07</w:t>
            </w:r>
          </w:p>
          <w:p w14:paraId="1AC96A63"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3C032511"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5FB1D37E"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Q22_0427_01</w:t>
            </w:r>
            <w:r w:rsidRPr="00955AC1">
              <w:rPr>
                <w:rStyle w:val="eop"/>
                <w:sz w:val="20"/>
                <w:szCs w:val="20"/>
              </w:rPr>
              <w:t> </w:t>
            </w:r>
          </w:p>
          <w:p w14:paraId="440B6C34"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In </w:t>
            </w:r>
            <w:r w:rsidRPr="00955AC1">
              <w:rPr>
                <w:rStyle w:val="normaltextrun"/>
                <w:b/>
                <w:bCs/>
                <w:sz w:val="20"/>
                <w:szCs w:val="20"/>
              </w:rPr>
              <w:t>(Scoring)</w:t>
            </w:r>
            <w:r w:rsidRPr="00955AC1">
              <w:rPr>
                <w:rStyle w:val="normaltextrun"/>
                <w:sz w:val="20"/>
                <w:szCs w:val="20"/>
              </w:rPr>
              <w:t xml:space="preserve"> </w:t>
            </w:r>
            <w:r w:rsidRPr="00955AC1">
              <w:rPr>
                <w:rStyle w:val="normaltextrun"/>
                <w:b/>
                <w:bCs/>
                <w:sz w:val="20"/>
                <w:szCs w:val="20"/>
              </w:rPr>
              <w:t>Quality Education Areas</w:t>
            </w:r>
            <w:r w:rsidRPr="00955AC1">
              <w:rPr>
                <w:rStyle w:val="normaltextrun"/>
                <w:sz w:val="20"/>
                <w:szCs w:val="20"/>
              </w:rPr>
              <w:t>, school district maps showing the site location and full attendance zone boundaries, published by an official school district source, are required.  In past years for this scoring category, we provided attendance zone maps obtained from greatschools.org.  Is it acceptable to use the attendance zone boundary maps from greatschools.org?</w:t>
            </w:r>
            <w:r w:rsidRPr="00955AC1">
              <w:rPr>
                <w:rStyle w:val="eop"/>
                <w:sz w:val="20"/>
                <w:szCs w:val="20"/>
              </w:rPr>
              <w:t> </w:t>
            </w:r>
          </w:p>
          <w:p w14:paraId="0542E228"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71EAD52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58FFEA9F" w14:textId="77777777" w:rsidR="00390F34" w:rsidRPr="00955AC1" w:rsidRDefault="00390F34" w:rsidP="000F6D48">
            <w:pPr>
              <w:pStyle w:val="paragraph"/>
              <w:spacing w:before="0" w:beforeAutospacing="0" w:after="0" w:afterAutospacing="0"/>
              <w:textAlignment w:val="baseline"/>
              <w:rPr>
                <w:rStyle w:val="normaltextrun"/>
                <w:sz w:val="20"/>
                <w:szCs w:val="20"/>
              </w:rPr>
            </w:pPr>
            <w:r w:rsidRPr="00955AC1">
              <w:rPr>
                <w:rStyle w:val="normaltextrun"/>
                <w:sz w:val="20"/>
                <w:szCs w:val="20"/>
              </w:rPr>
              <w:t>Per this section in the 2022 QAP, “Maps must be published by official school district source.” Maps from greatschools.org will not qualify. However, per the QAP, “If the school district map is unavailable or unobtainable, a letter from a school district representative evidencing that the proposed site is within the school district boundaries (must include the project location).”</w:t>
            </w:r>
          </w:p>
        </w:tc>
      </w:tr>
      <w:tr w:rsidR="00390F34" w:rsidRPr="00955AC1" w14:paraId="4CFFD611" w14:textId="77777777" w:rsidTr="64301FE8">
        <w:trPr>
          <w:jc w:val="center"/>
        </w:trPr>
        <w:tc>
          <w:tcPr>
            <w:tcW w:w="1697" w:type="dxa"/>
            <w:shd w:val="clear" w:color="auto" w:fill="auto"/>
            <w:tcMar>
              <w:top w:w="72" w:type="dxa"/>
              <w:left w:w="115" w:type="dxa"/>
              <w:bottom w:w="72" w:type="dxa"/>
              <w:right w:w="115" w:type="dxa"/>
            </w:tcMar>
            <w:vAlign w:val="center"/>
          </w:tcPr>
          <w:p w14:paraId="4F290060"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73004D7F"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2.06</w:t>
            </w:r>
          </w:p>
          <w:p w14:paraId="6DA9ED2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2AFCFB38"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463E5069"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Question</w:t>
            </w:r>
            <w:r w:rsidRPr="00955AC1">
              <w:rPr>
                <w:rFonts w:ascii="Times New Roman" w:hAnsi="Times New Roman" w:cs="Times New Roman"/>
                <w:sz w:val="20"/>
                <w:szCs w:val="20"/>
              </w:rPr>
              <w:t>: Q22_0422_01</w:t>
            </w:r>
          </w:p>
          <w:p w14:paraId="5F9FA768"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For our proposed project, the Applicant will enter into an Option for a Ground Lease at a nominal value with the local housing authority, which owns the land and will also serve as one of the General Partners and developers in the project. Although there is an identity-of-interest, the ground lease will be conveyed at a nominal value, so in previous years DCA has not required an appraisal to justify the land value. Could DCA please confirm that this still holds true for 2022? </w:t>
            </w:r>
          </w:p>
          <w:p w14:paraId="0AE623C4" w14:textId="77777777" w:rsidR="00390F34" w:rsidRPr="00955AC1" w:rsidRDefault="00390F34" w:rsidP="000F6D48">
            <w:pPr>
              <w:contextualSpacing/>
              <w:rPr>
                <w:rFonts w:ascii="Times New Roman" w:hAnsi="Times New Roman" w:cs="Times New Roman"/>
                <w:sz w:val="20"/>
                <w:szCs w:val="20"/>
              </w:rPr>
            </w:pPr>
          </w:p>
          <w:p w14:paraId="39F6C7A8"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Answer</w:t>
            </w:r>
            <w:r w:rsidRPr="00955AC1">
              <w:rPr>
                <w:rFonts w:ascii="Times New Roman" w:hAnsi="Times New Roman" w:cs="Times New Roman"/>
                <w:sz w:val="20"/>
                <w:szCs w:val="20"/>
              </w:rPr>
              <w:t xml:space="preserve">: </w:t>
            </w:r>
          </w:p>
          <w:p w14:paraId="4B564D6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The 2022 Appraisal Manual states (</w:t>
            </w:r>
            <w:hyperlink r:id="rId36" w:history="1">
              <w:r w:rsidRPr="00955AC1">
                <w:rPr>
                  <w:rStyle w:val="Hyperlink"/>
                  <w:rFonts w:ascii="Times New Roman" w:hAnsi="Times New Roman" w:cs="Times New Roman"/>
                  <w:color w:val="auto"/>
                  <w:sz w:val="20"/>
                  <w:szCs w:val="20"/>
                </w:rPr>
                <w:t>click here</w:t>
              </w:r>
            </w:hyperlink>
            <w:r w:rsidRPr="00955AC1">
              <w:rPr>
                <w:rFonts w:ascii="Times New Roman" w:hAnsi="Times New Roman" w:cs="Times New Roman"/>
                <w:sz w:val="20"/>
                <w:szCs w:val="20"/>
              </w:rPr>
              <w:t>):</w:t>
            </w:r>
          </w:p>
          <w:p w14:paraId="48E33171" w14:textId="77777777" w:rsidR="00390F34" w:rsidRPr="00955AC1" w:rsidRDefault="00390F34" w:rsidP="000F6D48">
            <w:pPr>
              <w:rPr>
                <w:rFonts w:ascii="Times New Roman" w:hAnsi="Times New Roman" w:cs="Times New Roman"/>
                <w:sz w:val="20"/>
                <w:szCs w:val="20"/>
              </w:rPr>
            </w:pPr>
          </w:p>
          <w:p w14:paraId="4EECA686" w14:textId="77777777" w:rsidR="00390F34" w:rsidRPr="00955AC1" w:rsidRDefault="00390F34" w:rsidP="000F6D48">
            <w:pPr>
              <w:ind w:left="720"/>
              <w:rPr>
                <w:rFonts w:ascii="Times New Roman" w:eastAsia="Calibri" w:hAnsi="Times New Roman" w:cs="Times New Roman"/>
                <w:i/>
                <w:iCs/>
                <w:sz w:val="20"/>
                <w:szCs w:val="20"/>
              </w:rPr>
            </w:pPr>
            <w:r w:rsidRPr="00955AC1">
              <w:rPr>
                <w:rFonts w:ascii="Times New Roman" w:hAnsi="Times New Roman" w:cs="Times New Roman"/>
                <w:i/>
                <w:iCs/>
                <w:sz w:val="20"/>
                <w:szCs w:val="20"/>
              </w:rPr>
              <w:t>“</w:t>
            </w:r>
            <w:r w:rsidRPr="00955AC1">
              <w:rPr>
                <w:rFonts w:ascii="Times New Roman" w:eastAsia="Calibri" w:hAnsi="Times New Roman" w:cs="Times New Roman"/>
                <w:i/>
                <w:iCs/>
                <w:sz w:val="20"/>
                <w:szCs w:val="20"/>
              </w:rPr>
              <w:t>Land values are required for all appraisals except when a ground lease will be in place and the rent will be a nominal amount of $100 or less. If there is an upfront payment, the land value will be required.”</w:t>
            </w:r>
          </w:p>
          <w:p w14:paraId="67BD40CA" w14:textId="77777777" w:rsidR="00390F34" w:rsidRPr="00955AC1" w:rsidRDefault="00390F34" w:rsidP="000F6D48">
            <w:pPr>
              <w:ind w:left="720"/>
              <w:rPr>
                <w:rFonts w:ascii="Times New Roman" w:eastAsia="Calibri" w:hAnsi="Times New Roman" w:cs="Times New Roman"/>
                <w:i/>
                <w:iCs/>
                <w:sz w:val="20"/>
                <w:szCs w:val="20"/>
              </w:rPr>
            </w:pPr>
          </w:p>
          <w:p w14:paraId="626B649D" w14:textId="77777777" w:rsidR="00390F34" w:rsidRPr="00955AC1" w:rsidRDefault="00390F34" w:rsidP="000F6D48">
            <w:pPr>
              <w:rPr>
                <w:rStyle w:val="normaltextrun"/>
                <w:rFonts w:ascii="Times New Roman" w:eastAsia="Calibri" w:hAnsi="Times New Roman" w:cs="Times New Roman"/>
                <w:i/>
                <w:iCs/>
                <w:sz w:val="20"/>
                <w:szCs w:val="20"/>
              </w:rPr>
            </w:pPr>
            <w:r w:rsidRPr="00955AC1">
              <w:rPr>
                <w:rFonts w:ascii="Times New Roman" w:eastAsia="Calibri" w:hAnsi="Times New Roman" w:cs="Times New Roman"/>
                <w:sz w:val="20"/>
                <w:szCs w:val="20"/>
              </w:rPr>
              <w:t xml:space="preserve">DCA will not require an appraisal to justify the land value where a ground lease will be in place and the rent will be $100 or less. Also please note that if the ground lease is structured such that a large upfront payment is required, then it will be considered similar to acquisition and an appraisal will be required. Applications without an appraisal that include an upfront payment greater than the nominal amount may fail </w:t>
            </w:r>
            <w:r w:rsidRPr="00955AC1">
              <w:rPr>
                <w:rFonts w:ascii="Times New Roman" w:eastAsia="Calibri" w:hAnsi="Times New Roman" w:cs="Times New Roman"/>
                <w:b/>
                <w:bCs/>
                <w:sz w:val="20"/>
                <w:szCs w:val="20"/>
              </w:rPr>
              <w:t>(Threshold Criteria) Appraisals</w:t>
            </w:r>
            <w:r w:rsidRPr="00955AC1">
              <w:rPr>
                <w:rFonts w:ascii="Times New Roman" w:eastAsia="Calibri" w:hAnsi="Times New Roman" w:cs="Times New Roman"/>
                <w:sz w:val="20"/>
                <w:szCs w:val="20"/>
              </w:rPr>
              <w:t>.</w:t>
            </w:r>
          </w:p>
        </w:tc>
      </w:tr>
      <w:tr w:rsidR="00390F34" w:rsidRPr="00955AC1" w14:paraId="05102070" w14:textId="77777777" w:rsidTr="64301FE8">
        <w:trPr>
          <w:jc w:val="center"/>
        </w:trPr>
        <w:tc>
          <w:tcPr>
            <w:tcW w:w="1697" w:type="dxa"/>
            <w:shd w:val="clear" w:color="auto" w:fill="auto"/>
            <w:tcMar>
              <w:top w:w="72" w:type="dxa"/>
              <w:left w:w="115" w:type="dxa"/>
              <w:bottom w:w="72" w:type="dxa"/>
              <w:right w:w="115" w:type="dxa"/>
            </w:tcMar>
            <w:vAlign w:val="center"/>
          </w:tcPr>
          <w:p w14:paraId="0DC42DC2"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3A1C2E5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2.15</w:t>
            </w:r>
          </w:p>
          <w:p w14:paraId="66298DCC"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6331CA0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0820AFF0" w14:textId="77777777" w:rsidR="00390F34" w:rsidRPr="00955AC1" w:rsidRDefault="00390F34" w:rsidP="000F6D48">
            <w:pPr>
              <w:pStyle w:val="paragraph"/>
              <w:spacing w:before="0" w:beforeAutospacing="0" w:after="0" w:afterAutospacing="0"/>
              <w:textAlignment w:val="baseline"/>
              <w:rPr>
                <w:rStyle w:val="normaltextrun"/>
                <w:sz w:val="20"/>
                <w:szCs w:val="20"/>
              </w:rPr>
            </w:pPr>
            <w:r w:rsidRPr="00955AC1">
              <w:rPr>
                <w:rStyle w:val="normaltextrun"/>
                <w:b/>
                <w:bCs/>
                <w:sz w:val="20"/>
                <w:szCs w:val="20"/>
              </w:rPr>
              <w:t>Question</w:t>
            </w:r>
            <w:r w:rsidRPr="00955AC1">
              <w:rPr>
                <w:rStyle w:val="normaltextrun"/>
                <w:sz w:val="20"/>
                <w:szCs w:val="20"/>
              </w:rPr>
              <w:t>: Q22_0414_01</w:t>
            </w:r>
          </w:p>
          <w:p w14:paraId="690A368B" w14:textId="77777777" w:rsidR="00390F34" w:rsidRPr="00955AC1" w:rsidRDefault="00390F34" w:rsidP="000F6D48">
            <w:pPr>
              <w:pStyle w:val="paragraph"/>
              <w:spacing w:before="0" w:beforeAutospacing="0" w:after="0" w:afterAutospacing="0"/>
              <w:textAlignment w:val="baseline"/>
              <w:rPr>
                <w:rStyle w:val="normaltextrun"/>
                <w:sz w:val="20"/>
                <w:szCs w:val="20"/>
              </w:rPr>
            </w:pPr>
            <w:r w:rsidRPr="00955AC1">
              <w:rPr>
                <w:rStyle w:val="normaltextrun"/>
                <w:sz w:val="20"/>
                <w:szCs w:val="20"/>
              </w:rPr>
              <w:t>The 2021 Application Tabs Checklist included an item for "Architect Rehab Work Scope Certification Statement" in the Rehab Standards Tab. Will this be included in the 2022 Application Tabs Checklist for submittal with the Tax Credit Application?  If so, is there a form document that the applicant should use, or should the project architect simply draft his own statement on his own letterhead indicating review of the Work Scope?</w:t>
            </w:r>
          </w:p>
          <w:p w14:paraId="47DB60B7" w14:textId="77777777" w:rsidR="00390F34" w:rsidRPr="00955AC1" w:rsidRDefault="00390F34" w:rsidP="000F6D48">
            <w:pPr>
              <w:pStyle w:val="paragraph"/>
              <w:spacing w:before="0" w:beforeAutospacing="0" w:after="0" w:afterAutospacing="0"/>
              <w:textAlignment w:val="baseline"/>
              <w:rPr>
                <w:rStyle w:val="normaltextrun"/>
                <w:sz w:val="20"/>
                <w:szCs w:val="20"/>
              </w:rPr>
            </w:pPr>
          </w:p>
          <w:p w14:paraId="461A2DBD" w14:textId="77777777" w:rsidR="00390F34" w:rsidRPr="00955AC1" w:rsidRDefault="00390F34" w:rsidP="000F6D48">
            <w:pPr>
              <w:pStyle w:val="paragraph"/>
              <w:spacing w:before="0" w:beforeAutospacing="0" w:after="0" w:afterAutospacing="0"/>
              <w:textAlignment w:val="baseline"/>
              <w:rPr>
                <w:rStyle w:val="normaltextrun"/>
                <w:sz w:val="20"/>
                <w:szCs w:val="20"/>
              </w:rPr>
            </w:pPr>
            <w:r w:rsidRPr="00955AC1">
              <w:rPr>
                <w:rStyle w:val="normaltextrun"/>
                <w:b/>
                <w:bCs/>
                <w:sz w:val="20"/>
                <w:szCs w:val="20"/>
              </w:rPr>
              <w:t>Answer</w:t>
            </w:r>
            <w:r w:rsidRPr="00955AC1">
              <w:rPr>
                <w:rStyle w:val="normaltextrun"/>
                <w:sz w:val="20"/>
                <w:szCs w:val="20"/>
              </w:rPr>
              <w:t xml:space="preserve">: </w:t>
            </w:r>
          </w:p>
          <w:p w14:paraId="75597CA8" w14:textId="77777777" w:rsidR="00390F34" w:rsidRPr="00955AC1" w:rsidRDefault="00390F34" w:rsidP="000F6D48">
            <w:pPr>
              <w:pStyle w:val="paragraph"/>
              <w:spacing w:before="0" w:beforeAutospacing="0" w:after="0" w:afterAutospacing="0"/>
              <w:textAlignment w:val="baseline"/>
              <w:rPr>
                <w:rStyle w:val="normaltextrun"/>
                <w:b/>
                <w:bCs/>
                <w:sz w:val="20"/>
                <w:szCs w:val="20"/>
              </w:rPr>
            </w:pPr>
            <w:r w:rsidRPr="00955AC1">
              <w:rPr>
                <w:rStyle w:val="normaltextrun"/>
                <w:sz w:val="20"/>
                <w:szCs w:val="20"/>
              </w:rPr>
              <w:t xml:space="preserve">Yes, the Architect Rehab Work Scope Certification Statement is a Minimum Document under </w:t>
            </w:r>
            <w:r w:rsidRPr="00955AC1">
              <w:rPr>
                <w:rStyle w:val="normaltextrun"/>
                <w:b/>
                <w:bCs/>
                <w:sz w:val="20"/>
                <w:szCs w:val="20"/>
              </w:rPr>
              <w:t>(Threshold Criteria) Rehabilitation Standards</w:t>
            </w:r>
            <w:r w:rsidRPr="00955AC1">
              <w:rPr>
                <w:rStyle w:val="normaltextrun"/>
                <w:sz w:val="20"/>
                <w:szCs w:val="20"/>
              </w:rPr>
              <w:t xml:space="preserve"> and is included in the 2022 Application Tabs Checklist for submittal with the 2022 application. At this time, DCA does not have an official form or document for the applicant to use and requires the project Architect to draft his or her own statement on letterhead.</w:t>
            </w:r>
          </w:p>
        </w:tc>
      </w:tr>
      <w:tr w:rsidR="00390F34" w:rsidRPr="00955AC1" w14:paraId="71E60ECD" w14:textId="77777777" w:rsidTr="64301FE8">
        <w:trPr>
          <w:jc w:val="center"/>
        </w:trPr>
        <w:tc>
          <w:tcPr>
            <w:tcW w:w="1697" w:type="dxa"/>
            <w:shd w:val="clear" w:color="auto" w:fill="auto"/>
            <w:tcMar>
              <w:top w:w="72" w:type="dxa"/>
              <w:left w:w="115" w:type="dxa"/>
              <w:bottom w:w="72" w:type="dxa"/>
              <w:right w:w="115" w:type="dxa"/>
            </w:tcMar>
            <w:vAlign w:val="center"/>
          </w:tcPr>
          <w:p w14:paraId="56B90F46"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148BDF2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3.17</w:t>
            </w:r>
          </w:p>
          <w:p w14:paraId="54FD86A8"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1D23B58C"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7DF87F84"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Q22_0221_08</w:t>
            </w:r>
            <w:r w:rsidRPr="00955AC1">
              <w:rPr>
                <w:rStyle w:val="eop"/>
                <w:sz w:val="20"/>
                <w:szCs w:val="20"/>
              </w:rPr>
              <w:t> </w:t>
            </w:r>
          </w:p>
          <w:p w14:paraId="4140EBFB"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XVII. Minority and Women Owned Business </w:t>
            </w:r>
            <w:r w:rsidRPr="00955AC1">
              <w:rPr>
                <w:rStyle w:val="contextualspellingandgrammarerror"/>
                <w:rFonts w:eastAsiaTheme="majorEastAsia"/>
                <w:sz w:val="20"/>
                <w:szCs w:val="20"/>
              </w:rPr>
              <w:t>Engagement.|</w:t>
            </w:r>
            <w:r w:rsidRPr="00955AC1">
              <w:rPr>
                <w:rStyle w:val="normaltextrun"/>
                <w:sz w:val="20"/>
                <w:szCs w:val="20"/>
              </w:rPr>
              <w:t xml:space="preserve">|DCA has a separate policy document about this scoring item that references multiple NAICS codes that can be listed on </w:t>
            </w:r>
            <w:r w:rsidRPr="00955AC1">
              <w:rPr>
                <w:rStyle w:val="contextualspellingandgrammarerror"/>
                <w:rFonts w:eastAsiaTheme="majorEastAsia"/>
                <w:sz w:val="20"/>
                <w:szCs w:val="20"/>
              </w:rPr>
              <w:t>a</w:t>
            </w:r>
            <w:r w:rsidRPr="00955AC1">
              <w:rPr>
                <w:rStyle w:val="normaltextrun"/>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development, affordable housing and property management industry by listing at least one of the following NAICS codes on the certification when the application is submitted. </w:t>
            </w:r>
            <w:r w:rsidRPr="00955AC1">
              <w:rPr>
                <w:rStyle w:val="eop"/>
                <w:sz w:val="20"/>
                <w:szCs w:val="20"/>
              </w:rPr>
              <w:t> </w:t>
            </w:r>
          </w:p>
          <w:p w14:paraId="72A9CDED"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774E03D1"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These statements seem to conflict with one another (something the QB must do vs something the QB intends to do).  Could you provide more clarity regarding this issue?</w:t>
            </w:r>
            <w:r w:rsidRPr="00955AC1">
              <w:rPr>
                <w:rStyle w:val="eop"/>
                <w:sz w:val="20"/>
                <w:szCs w:val="20"/>
              </w:rPr>
              <w:t> </w:t>
            </w:r>
          </w:p>
          <w:p w14:paraId="06F5598C"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0D7903A3"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768D4B6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The language comparison referred to in this question is the following:</w:t>
            </w:r>
            <w:r w:rsidRPr="00955AC1">
              <w:rPr>
                <w:rStyle w:val="eop"/>
                <w:sz w:val="20"/>
                <w:szCs w:val="20"/>
              </w:rPr>
              <w:t> </w:t>
            </w:r>
          </w:p>
          <w:p w14:paraId="259250F6"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7938BD2A" w14:textId="77777777" w:rsidR="00390F34" w:rsidRPr="00955AC1" w:rsidRDefault="00390F34" w:rsidP="000F6D48">
            <w:pPr>
              <w:pStyle w:val="paragraph"/>
              <w:numPr>
                <w:ilvl w:val="0"/>
                <w:numId w:val="26"/>
              </w:numPr>
              <w:spacing w:before="0" w:beforeAutospacing="0" w:after="0" w:afterAutospacing="0"/>
              <w:ind w:left="1080" w:firstLine="0"/>
              <w:textAlignment w:val="baseline"/>
              <w:rPr>
                <w:sz w:val="20"/>
                <w:szCs w:val="20"/>
              </w:rPr>
            </w:pPr>
            <w:r w:rsidRPr="00955AC1">
              <w:rPr>
                <w:rStyle w:val="normaltextrun"/>
                <w:sz w:val="20"/>
                <w:szCs w:val="20"/>
              </w:rPr>
              <w:t>(QAP) “QB conducts business in housing or real estate”</w:t>
            </w:r>
            <w:r w:rsidRPr="00955AC1">
              <w:rPr>
                <w:rStyle w:val="eop"/>
                <w:sz w:val="20"/>
                <w:szCs w:val="20"/>
              </w:rPr>
              <w:t> </w:t>
            </w:r>
          </w:p>
          <w:p w14:paraId="10BDDF42" w14:textId="77777777" w:rsidR="00390F34" w:rsidRPr="00955AC1" w:rsidRDefault="00390F34" w:rsidP="000F6D48">
            <w:pPr>
              <w:pStyle w:val="paragraph"/>
              <w:numPr>
                <w:ilvl w:val="0"/>
                <w:numId w:val="26"/>
              </w:numPr>
              <w:spacing w:before="0" w:beforeAutospacing="0" w:after="0" w:afterAutospacing="0"/>
              <w:ind w:left="1080" w:firstLine="0"/>
              <w:textAlignment w:val="baseline"/>
              <w:rPr>
                <w:sz w:val="20"/>
                <w:szCs w:val="20"/>
              </w:rPr>
            </w:pPr>
            <w:r w:rsidRPr="00955AC1">
              <w:rPr>
                <w:rStyle w:val="normaltextrun"/>
                <w:sz w:val="20"/>
                <w:szCs w:val="20"/>
              </w:rPr>
              <w:t xml:space="preserve">(Policy Statement, </w:t>
            </w:r>
            <w:hyperlink r:id="rId37" w:tgtFrame="_blank" w:history="1">
              <w:r w:rsidRPr="00955AC1">
                <w:rPr>
                  <w:rStyle w:val="normaltextrun"/>
                  <w:sz w:val="20"/>
                  <w:szCs w:val="20"/>
                  <w:u w:val="single"/>
                </w:rPr>
                <w:t>click here</w:t>
              </w:r>
            </w:hyperlink>
            <w:r w:rsidRPr="00955AC1">
              <w:rPr>
                <w:rStyle w:val="normaltextrun"/>
                <w:sz w:val="20"/>
                <w:szCs w:val="20"/>
              </w:rPr>
              <w:t xml:space="preserve">) “[QB] must show intent to regularly conduct business related to [housing or real </w:t>
            </w:r>
            <w:r w:rsidRPr="00955AC1">
              <w:rPr>
                <w:rStyle w:val="contextualspellingandgrammarerror"/>
                <w:rFonts w:eastAsiaTheme="majorEastAsia"/>
                <w:sz w:val="20"/>
                <w:szCs w:val="20"/>
              </w:rPr>
              <w:t>estate]…</w:t>
            </w:r>
            <w:r w:rsidRPr="00955AC1">
              <w:rPr>
                <w:rStyle w:val="normaltextrun"/>
                <w:sz w:val="20"/>
                <w:szCs w:val="20"/>
              </w:rPr>
              <w:t>”</w:t>
            </w:r>
            <w:r w:rsidRPr="00955AC1">
              <w:rPr>
                <w:rStyle w:val="eop"/>
                <w:sz w:val="20"/>
                <w:szCs w:val="20"/>
              </w:rPr>
              <w:t> </w:t>
            </w:r>
          </w:p>
          <w:p w14:paraId="5F2AA923"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02A78C78"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955AC1">
              <w:rPr>
                <w:rStyle w:val="eop"/>
                <w:sz w:val="20"/>
                <w:szCs w:val="20"/>
              </w:rPr>
              <w:t> </w:t>
            </w:r>
          </w:p>
          <w:p w14:paraId="70C4888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3EB6479C"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Regardless of which sentence is referenced, both documents convey that what DCA staff will be confirming is the NAICS code. Specifically, as stated in the Policy Statement, that the QB “</w:t>
            </w:r>
            <w:r w:rsidRPr="00955AC1">
              <w:rPr>
                <w:rStyle w:val="normaltextrun"/>
                <w:i/>
                <w:iCs/>
                <w:sz w:val="20"/>
                <w:szCs w:val="20"/>
              </w:rPr>
              <w:t>[listed] at least (1) of the following North American Industry Classification System (NAICS) codes on the certification when the application is submitted…</w:t>
            </w:r>
            <w:r w:rsidRPr="00955AC1">
              <w:rPr>
                <w:rStyle w:val="normaltextrun"/>
                <w:sz w:val="20"/>
                <w:szCs w:val="20"/>
              </w:rPr>
              <w:t>”</w:t>
            </w:r>
            <w:r w:rsidRPr="00955AC1">
              <w:rPr>
                <w:rStyle w:val="eop"/>
                <w:sz w:val="20"/>
                <w:szCs w:val="20"/>
              </w:rPr>
              <w:t> </w:t>
            </w:r>
          </w:p>
        </w:tc>
      </w:tr>
      <w:tr w:rsidR="00390F34" w:rsidRPr="00955AC1" w14:paraId="3E8A0A5F" w14:textId="77777777" w:rsidTr="64301FE8">
        <w:trPr>
          <w:jc w:val="center"/>
        </w:trPr>
        <w:tc>
          <w:tcPr>
            <w:tcW w:w="1697" w:type="dxa"/>
            <w:shd w:val="clear" w:color="auto" w:fill="auto"/>
            <w:tcMar>
              <w:top w:w="72" w:type="dxa"/>
              <w:left w:w="115" w:type="dxa"/>
              <w:bottom w:w="72" w:type="dxa"/>
              <w:right w:w="115" w:type="dxa"/>
            </w:tcMar>
            <w:vAlign w:val="center"/>
          </w:tcPr>
          <w:p w14:paraId="21D2B43A"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2B58E253"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3.17</w:t>
            </w:r>
          </w:p>
          <w:p w14:paraId="0BEF480C"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75ABA92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5864C16"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Q22_0411_15 </w:t>
            </w:r>
          </w:p>
          <w:p w14:paraId="1C21C3E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5666566E" w14:textId="77777777" w:rsidR="00390F34" w:rsidRPr="00955AC1" w:rsidRDefault="00390F34" w:rsidP="000F6D48">
            <w:pPr>
              <w:textAlignment w:val="baseline"/>
              <w:rPr>
                <w:rFonts w:ascii="Times New Roman" w:eastAsia="Times New Roman" w:hAnsi="Times New Roman" w:cs="Times New Roman"/>
                <w:sz w:val="20"/>
                <w:szCs w:val="20"/>
              </w:rPr>
            </w:pPr>
          </w:p>
          <w:p w14:paraId="2F0E930D"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5D2C3270"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The QAP states that the project team must “Engage QBs in the development or operation of the proposed property in amounts equal to approximately 5% of total construction hard costs…” </w:t>
            </w:r>
          </w:p>
          <w:p w14:paraId="0397CEE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71EA2493"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  </w:t>
            </w:r>
          </w:p>
        </w:tc>
      </w:tr>
      <w:tr w:rsidR="00390F34" w:rsidRPr="00955AC1" w14:paraId="34F3531B" w14:textId="77777777" w:rsidTr="64301FE8">
        <w:trPr>
          <w:jc w:val="center"/>
        </w:trPr>
        <w:tc>
          <w:tcPr>
            <w:tcW w:w="1697" w:type="dxa"/>
            <w:shd w:val="clear" w:color="auto" w:fill="auto"/>
            <w:tcMar>
              <w:top w:w="72" w:type="dxa"/>
              <w:left w:w="115" w:type="dxa"/>
              <w:bottom w:w="72" w:type="dxa"/>
              <w:right w:w="115" w:type="dxa"/>
            </w:tcMar>
            <w:vAlign w:val="center"/>
          </w:tcPr>
          <w:p w14:paraId="50BCB8CD"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730A6597"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3.17</w:t>
            </w:r>
          </w:p>
          <w:p w14:paraId="70E838E1"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17DB06A7"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89AF25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Q22_0425_15 </w:t>
            </w:r>
          </w:p>
          <w:p w14:paraId="7B4F9386"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The QAP states under </w:t>
            </w:r>
            <w:r w:rsidRPr="00955AC1">
              <w:rPr>
                <w:rFonts w:ascii="Times New Roman" w:eastAsia="Times New Roman" w:hAnsi="Times New Roman" w:cs="Times New Roman"/>
                <w:b/>
                <w:bCs/>
                <w:sz w:val="20"/>
                <w:szCs w:val="20"/>
              </w:rPr>
              <w:t>(Scoring Criteria) Minority- and Women-Owned Business Engagement</w:t>
            </w:r>
            <w:r w:rsidRPr="00955AC1">
              <w:rPr>
                <w:rFonts w:ascii="Times New Roman" w:eastAsia="Times New Roman" w:hAnsi="Times New Roman" w:cs="Times New Roman"/>
                <w:sz w:val="20"/>
                <w:szCs w:val="20"/>
              </w:rPr>
              <w:t xml:space="preserve">, subsection </w:t>
            </w:r>
            <w:r w:rsidRPr="00955AC1">
              <w:rPr>
                <w:rFonts w:ascii="Times New Roman" w:eastAsia="Times New Roman" w:hAnsi="Times New Roman" w:cs="Times New Roman"/>
                <w:b/>
                <w:bCs/>
                <w:sz w:val="20"/>
                <w:szCs w:val="20"/>
              </w:rPr>
              <w:t>A. Engagement Commitment and Reporting</w:t>
            </w:r>
            <w:r w:rsidRPr="00955AC1">
              <w:rPr>
                <w:rFonts w:ascii="Times New Roman" w:eastAsia="Times New Roman" w:hAnsi="Times New Roman" w:cs="Times New Roman"/>
                <w:sz w:val="20"/>
                <w:szCs w:val="20"/>
              </w:rPr>
              <w:t xml:space="preserve"> that owners can “Engage QBs in the development </w:t>
            </w:r>
            <w:r w:rsidRPr="00955AC1">
              <w:rPr>
                <w:rFonts w:ascii="Times New Roman" w:eastAsia="Times New Roman" w:hAnsi="Times New Roman" w:cs="Times New Roman"/>
                <w:sz w:val="20"/>
                <w:szCs w:val="20"/>
                <w:u w:val="single"/>
              </w:rPr>
              <w:t>or operation</w:t>
            </w:r>
            <w:r w:rsidRPr="00955AC1">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36DB640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199A47F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Operational expenses will not be included in the baseline independent auditor report, since it is not a development cost. Are contracts to QB management companies for operational expenses eligible under this section?  </w:t>
            </w:r>
          </w:p>
          <w:p w14:paraId="4EC801F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6A00006C"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1D1D291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For any expense that is allowable under this section but not by default included in the baseline independent auditor report included with the Final Allocation Application for 8609s, applicants can have the expense verified by an independent auditor and include that evidence in the Final Allocation Application. Such expenses to management companies are eligible.  </w:t>
            </w:r>
          </w:p>
          <w:p w14:paraId="02BD585B" w14:textId="77777777" w:rsidR="00390F34" w:rsidRPr="00955AC1" w:rsidRDefault="00390F34" w:rsidP="000F6D48">
            <w:pPr>
              <w:textAlignment w:val="baseline"/>
              <w:rPr>
                <w:rFonts w:ascii="Times New Roman" w:eastAsia="Times New Roman" w:hAnsi="Times New Roman" w:cs="Times New Roman"/>
                <w:b/>
                <w:bCs/>
                <w:sz w:val="20"/>
                <w:szCs w:val="20"/>
              </w:rPr>
            </w:pPr>
          </w:p>
        </w:tc>
      </w:tr>
      <w:tr w:rsidR="00390F34" w:rsidRPr="00955AC1" w14:paraId="43A0496F" w14:textId="77777777" w:rsidTr="64301FE8">
        <w:trPr>
          <w:jc w:val="center"/>
        </w:trPr>
        <w:tc>
          <w:tcPr>
            <w:tcW w:w="1697" w:type="dxa"/>
            <w:shd w:val="clear" w:color="auto" w:fill="auto"/>
            <w:tcMar>
              <w:top w:w="72" w:type="dxa"/>
              <w:left w:w="115" w:type="dxa"/>
              <w:bottom w:w="72" w:type="dxa"/>
              <w:right w:w="115" w:type="dxa"/>
            </w:tcMar>
            <w:vAlign w:val="center"/>
          </w:tcPr>
          <w:p w14:paraId="75C8078D"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4/22/22</w:t>
            </w:r>
          </w:p>
        </w:tc>
        <w:tc>
          <w:tcPr>
            <w:tcW w:w="2663" w:type="dxa"/>
            <w:shd w:val="clear" w:color="auto" w:fill="auto"/>
            <w:tcMar>
              <w:top w:w="72" w:type="dxa"/>
              <w:left w:w="115" w:type="dxa"/>
              <w:bottom w:w="72" w:type="dxa"/>
              <w:right w:w="115" w:type="dxa"/>
            </w:tcMar>
            <w:vAlign w:val="center"/>
          </w:tcPr>
          <w:p w14:paraId="15D6ADC7"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3.17</w:t>
            </w:r>
          </w:p>
          <w:p w14:paraId="67D56104"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7FF7B95B"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D8ECF4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Q22_0408_01 </w:t>
            </w:r>
          </w:p>
          <w:p w14:paraId="4AB2639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38A40D79"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08A59E79"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Air-Conditioning Contractors. None of these codes are currently listed in DCA's Minority-and Women-Owned Business Engagement Policy, therefore, we want to make sure we understand what is allowed. </w:t>
            </w:r>
          </w:p>
          <w:p w14:paraId="54BD2E5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78A6D9A0"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33F7C729"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The </w:t>
            </w:r>
            <w:r w:rsidRPr="00955AC1">
              <w:rPr>
                <w:rFonts w:ascii="Times New Roman" w:eastAsia="Times New Roman" w:hAnsi="Times New Roman" w:cs="Times New Roman"/>
                <w:i/>
                <w:iCs/>
                <w:sz w:val="20"/>
                <w:szCs w:val="20"/>
              </w:rPr>
              <w:t>DCA Minority- and Women-Owned Business Engagement Policy</w:t>
            </w:r>
            <w:r w:rsidRPr="00955AC1">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38" w:tgtFrame="_blank" w:history="1">
              <w:r w:rsidRPr="00955AC1">
                <w:rPr>
                  <w:rFonts w:ascii="Times New Roman" w:eastAsia="Times New Roman" w:hAnsi="Times New Roman" w:cs="Times New Roman"/>
                  <w:sz w:val="20"/>
                  <w:szCs w:val="20"/>
                  <w:u w:val="single"/>
                </w:rPr>
                <w:t>click here</w:t>
              </w:r>
            </w:hyperlink>
            <w:r w:rsidRPr="00955AC1">
              <w:rPr>
                <w:rFonts w:ascii="Times New Roman" w:eastAsia="Times New Roman" w:hAnsi="Times New Roman" w:cs="Times New Roman"/>
                <w:sz w:val="20"/>
                <w:szCs w:val="20"/>
              </w:rPr>
              <w:t>). </w:t>
            </w:r>
          </w:p>
        </w:tc>
      </w:tr>
      <w:tr w:rsidR="00390F34" w:rsidRPr="00955AC1" w14:paraId="1ED7802E" w14:textId="77777777" w:rsidTr="64301FE8">
        <w:trPr>
          <w:jc w:val="center"/>
        </w:trPr>
        <w:tc>
          <w:tcPr>
            <w:tcW w:w="1697" w:type="dxa"/>
            <w:shd w:val="clear" w:color="auto" w:fill="auto"/>
            <w:tcMar>
              <w:top w:w="72" w:type="dxa"/>
              <w:left w:w="115" w:type="dxa"/>
              <w:bottom w:w="72" w:type="dxa"/>
              <w:right w:w="115" w:type="dxa"/>
            </w:tcMar>
            <w:vAlign w:val="center"/>
          </w:tcPr>
          <w:p w14:paraId="772E037C"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3B4895EC"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3.06</w:t>
            </w:r>
          </w:p>
          <w:p w14:paraId="6AAC4B8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6EDAA793"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Community Transportation Options </w:t>
            </w:r>
          </w:p>
        </w:tc>
        <w:tc>
          <w:tcPr>
            <w:tcW w:w="9585" w:type="dxa"/>
            <w:shd w:val="clear" w:color="auto" w:fill="auto"/>
            <w:tcMar>
              <w:top w:w="72" w:type="dxa"/>
              <w:left w:w="115" w:type="dxa"/>
              <w:bottom w:w="72" w:type="dxa"/>
              <w:right w:w="115" w:type="dxa"/>
            </w:tcMar>
            <w:vAlign w:val="center"/>
          </w:tcPr>
          <w:p w14:paraId="555BA651"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Question</w:t>
            </w:r>
            <w:r w:rsidRPr="00955AC1">
              <w:rPr>
                <w:rFonts w:ascii="Times New Roman" w:hAnsi="Times New Roman" w:cs="Times New Roman"/>
                <w:sz w:val="20"/>
                <w:szCs w:val="20"/>
              </w:rPr>
              <w:t>: Q22_0330_02</w:t>
            </w:r>
          </w:p>
          <w:p w14:paraId="38084B44"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(e.g.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313C4160" w14:textId="77777777" w:rsidR="00390F34" w:rsidRPr="00955AC1" w:rsidRDefault="00390F34" w:rsidP="000F6D48">
            <w:pPr>
              <w:rPr>
                <w:rFonts w:ascii="Times New Roman" w:eastAsia="Times New Roman" w:hAnsi="Times New Roman" w:cs="Times New Roman"/>
                <w:sz w:val="20"/>
                <w:szCs w:val="20"/>
              </w:rPr>
            </w:pPr>
          </w:p>
          <w:p w14:paraId="6FA4D943"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QUESTION: Could a series of bus stops in very close proximity constitute a station? For example, a series of 3 distinct MARTA bus stops in downtown Hapeville are within a ~725 foot walk of each other. Compare the proximity of these stops to MARTA's Lindbergh Center Transit Station in Atlanta. Lindbergh's two bus loops are separated by an ~825 foot walk (~100 feet farther apart than the series of bus stops in Hapeville). Could the series of bus stops in downtown Hapeville constitute a station/transit hub, given that they are in closer proximity than the bus loops of Lindbergh Station? </w:t>
            </w:r>
          </w:p>
          <w:p w14:paraId="222FD3EE" w14:textId="77777777" w:rsidR="00390F34" w:rsidRPr="00955AC1" w:rsidRDefault="00390F34" w:rsidP="000F6D48">
            <w:pPr>
              <w:contextualSpacing/>
              <w:rPr>
                <w:rFonts w:ascii="Times New Roman" w:hAnsi="Times New Roman" w:cs="Times New Roman"/>
                <w:sz w:val="20"/>
                <w:szCs w:val="20"/>
              </w:rPr>
            </w:pPr>
          </w:p>
          <w:p w14:paraId="1FE21D37"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Answer</w:t>
            </w:r>
            <w:r w:rsidRPr="00955AC1">
              <w:rPr>
                <w:rFonts w:ascii="Times New Roman" w:hAnsi="Times New Roman" w:cs="Times New Roman"/>
                <w:sz w:val="20"/>
                <w:szCs w:val="20"/>
              </w:rPr>
              <w:t>:</w:t>
            </w:r>
          </w:p>
          <w:p w14:paraId="408792F5" w14:textId="77777777" w:rsidR="00390F34" w:rsidRPr="00955AC1" w:rsidRDefault="00390F34" w:rsidP="000F6D48">
            <w:pPr>
              <w:contextualSpacing/>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Section VI. Community Transportation Options, </w:t>
            </w:r>
            <w:r w:rsidRPr="00955AC1">
              <w:rPr>
                <w:rFonts w:ascii="Times New Roman" w:eastAsia="Times New Roman" w:hAnsi="Times New Roman" w:cs="Times New Roman"/>
                <w:b/>
                <w:bCs/>
                <w:sz w:val="20"/>
                <w:szCs w:val="20"/>
              </w:rPr>
              <w:t>subsection A</w:t>
            </w:r>
            <w:r w:rsidRPr="00955AC1">
              <w:rPr>
                <w:rFonts w:ascii="Times New Roman" w:eastAsia="Times New Roman" w:hAnsi="Times New Roman" w:cs="Times New Roman"/>
                <w:sz w:val="20"/>
                <w:szCs w:val="20"/>
              </w:rPr>
              <w:t xml:space="preserve"> defines a transit hub as “a station that has three or more bus routes, rail options, and/or other affordable mass transit options.” </w:t>
            </w:r>
          </w:p>
          <w:p w14:paraId="2C1DA1E3" w14:textId="77777777" w:rsidR="00390F34" w:rsidRPr="00955AC1" w:rsidRDefault="00390F34" w:rsidP="000F6D48">
            <w:pPr>
              <w:contextualSpacing/>
              <w:rPr>
                <w:rFonts w:ascii="Times New Roman" w:eastAsia="Times New Roman" w:hAnsi="Times New Roman" w:cs="Times New Roman"/>
                <w:sz w:val="20"/>
                <w:szCs w:val="20"/>
              </w:rPr>
            </w:pPr>
          </w:p>
          <w:p w14:paraId="07D855FD" w14:textId="77777777" w:rsidR="00390F34" w:rsidRPr="00955AC1" w:rsidRDefault="00390F34" w:rsidP="000F6D48">
            <w:pPr>
              <w:pStyle w:val="ListParagraph"/>
              <w:numPr>
                <w:ilvl w:val="0"/>
                <w:numId w:val="19"/>
              </w:num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“A station” refers to a single location. </w:t>
            </w:r>
          </w:p>
          <w:p w14:paraId="11677A31" w14:textId="77777777" w:rsidR="00390F34" w:rsidRPr="00955AC1" w:rsidRDefault="00390F34" w:rsidP="000F6D48">
            <w:pPr>
              <w:pStyle w:val="ListParagraph"/>
              <w:numPr>
                <w:ilvl w:val="1"/>
                <w:numId w:val="19"/>
              </w:num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49C774E1" w14:textId="77777777" w:rsidR="00390F34" w:rsidRPr="00955AC1" w:rsidRDefault="00390F34" w:rsidP="000F6D48">
            <w:pPr>
              <w:pStyle w:val="ListParagraph"/>
              <w:numPr>
                <w:ilvl w:val="1"/>
                <w:numId w:val="19"/>
              </w:num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A series of bus stops in close proximity do not operate at a single location and therefore do not constitute a transit hub.</w:t>
            </w:r>
            <w:r w:rsidRPr="00955AC1">
              <w:rPr>
                <w:rFonts w:ascii="Times New Roman" w:eastAsia="Times New Roman" w:hAnsi="Times New Roman" w:cs="Times New Roman"/>
                <w:sz w:val="20"/>
                <w:szCs w:val="20"/>
              </w:rPr>
              <w:br/>
            </w:r>
          </w:p>
          <w:p w14:paraId="03DBB5BB" w14:textId="77777777" w:rsidR="00390F34" w:rsidRPr="00955AC1" w:rsidRDefault="00390F34" w:rsidP="000F6D48">
            <w:pPr>
              <w:pStyle w:val="ListParagraph"/>
              <w:numPr>
                <w:ilvl w:val="0"/>
                <w:numId w:val="19"/>
              </w:num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390F34" w:rsidRPr="00955AC1" w14:paraId="10189EBE" w14:textId="77777777" w:rsidTr="64301FE8">
        <w:trPr>
          <w:jc w:val="center"/>
        </w:trPr>
        <w:tc>
          <w:tcPr>
            <w:tcW w:w="1697" w:type="dxa"/>
            <w:shd w:val="clear" w:color="auto" w:fill="auto"/>
            <w:tcMar>
              <w:top w:w="72" w:type="dxa"/>
              <w:left w:w="115" w:type="dxa"/>
              <w:bottom w:w="72" w:type="dxa"/>
              <w:right w:w="115" w:type="dxa"/>
            </w:tcMar>
            <w:vAlign w:val="center"/>
          </w:tcPr>
          <w:p w14:paraId="4C5D35DC"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2EE807E6"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3.10</w:t>
            </w:r>
          </w:p>
          <w:p w14:paraId="1683C744"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588044D5"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4BDD8402"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Question</w:t>
            </w:r>
            <w:r w:rsidRPr="00955AC1">
              <w:rPr>
                <w:rFonts w:ascii="Times New Roman" w:hAnsi="Times New Roman" w:cs="Times New Roman"/>
                <w:sz w:val="20"/>
                <w:szCs w:val="20"/>
              </w:rPr>
              <w:t>: Q22_0419_03</w:t>
            </w:r>
          </w:p>
          <w:p w14:paraId="0C1E1865"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799AA218" w14:textId="77777777" w:rsidR="00390F34" w:rsidRPr="00955AC1" w:rsidRDefault="00390F34" w:rsidP="000F6D48">
            <w:pPr>
              <w:contextualSpacing/>
              <w:rPr>
                <w:rFonts w:ascii="Times New Roman" w:hAnsi="Times New Roman" w:cs="Times New Roman"/>
                <w:sz w:val="20"/>
                <w:szCs w:val="20"/>
              </w:rPr>
            </w:pPr>
          </w:p>
          <w:p w14:paraId="3C4976E5"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Answer</w:t>
            </w:r>
            <w:r w:rsidRPr="00955AC1">
              <w:rPr>
                <w:rFonts w:ascii="Times New Roman" w:hAnsi="Times New Roman" w:cs="Times New Roman"/>
                <w:sz w:val="20"/>
                <w:szCs w:val="20"/>
              </w:rPr>
              <w:t xml:space="preserve">: </w:t>
            </w:r>
          </w:p>
          <w:p w14:paraId="6962F28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39" w:history="1">
              <w:r w:rsidRPr="00955AC1">
                <w:rPr>
                  <w:rStyle w:val="Hyperlink"/>
                  <w:rFonts w:ascii="Times New Roman" w:hAnsi="Times New Roman" w:cs="Times New Roman"/>
                  <w:color w:val="auto"/>
                  <w:sz w:val="20"/>
                  <w:szCs w:val="20"/>
                </w:rPr>
                <w:t>click here</w:t>
              </w:r>
            </w:hyperlink>
            <w:r w:rsidRPr="00955AC1">
              <w:rPr>
                <w:rFonts w:ascii="Times New Roman" w:hAnsi="Times New Roman" w:cs="Times New Roman"/>
                <w:sz w:val="20"/>
                <w:szCs w:val="20"/>
              </w:rPr>
              <w:t>).</w:t>
            </w:r>
          </w:p>
          <w:p w14:paraId="13FFF061" w14:textId="77777777" w:rsidR="00390F34" w:rsidRPr="00955AC1" w:rsidRDefault="00390F34" w:rsidP="000F6D48">
            <w:pPr>
              <w:rPr>
                <w:rFonts w:ascii="Times New Roman" w:hAnsi="Times New Roman" w:cs="Times New Roman"/>
                <w:sz w:val="20"/>
                <w:szCs w:val="20"/>
              </w:rPr>
            </w:pPr>
          </w:p>
          <w:p w14:paraId="5CB574F4"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3854ABED" w14:textId="77777777" w:rsidR="00390F34" w:rsidRPr="00955AC1" w:rsidRDefault="00390F34" w:rsidP="000F6D48">
            <w:pPr>
              <w:pStyle w:val="ListParagraph"/>
              <w:numPr>
                <w:ilvl w:val="0"/>
                <w:numId w:val="24"/>
              </w:numPr>
              <w:rPr>
                <w:rFonts w:ascii="Times New Roman" w:hAnsi="Times New Roman" w:cs="Times New Roman"/>
                <w:sz w:val="20"/>
                <w:szCs w:val="20"/>
              </w:rPr>
            </w:pPr>
            <w:r w:rsidRPr="00955AC1">
              <w:rPr>
                <w:rFonts w:ascii="Times New Roman" w:hAnsi="Times New Roman" w:cs="Times New Roman"/>
                <w:sz w:val="20"/>
                <w:szCs w:val="20"/>
              </w:rPr>
              <w:t>Open the Housing Tax Credit Properties Map (</w:t>
            </w:r>
            <w:hyperlink r:id="rId40" w:history="1">
              <w:r w:rsidRPr="00955AC1">
                <w:rPr>
                  <w:rStyle w:val="Hyperlink"/>
                  <w:rFonts w:ascii="Times New Roman" w:hAnsi="Times New Roman" w:cs="Times New Roman"/>
                  <w:color w:val="auto"/>
                  <w:sz w:val="20"/>
                  <w:szCs w:val="20"/>
                </w:rPr>
                <w:t>click here</w:t>
              </w:r>
            </w:hyperlink>
            <w:r w:rsidRPr="00955AC1">
              <w:rPr>
                <w:rFonts w:ascii="Times New Roman" w:hAnsi="Times New Roman" w:cs="Times New Roman"/>
                <w:sz w:val="20"/>
                <w:szCs w:val="20"/>
              </w:rPr>
              <w:t>)</w:t>
            </w:r>
          </w:p>
          <w:p w14:paraId="23548388" w14:textId="77777777" w:rsidR="00390F34" w:rsidRPr="00955AC1" w:rsidRDefault="00390F34" w:rsidP="000F6D48">
            <w:pPr>
              <w:pStyle w:val="ListParagraph"/>
              <w:numPr>
                <w:ilvl w:val="0"/>
                <w:numId w:val="24"/>
              </w:numPr>
              <w:rPr>
                <w:rFonts w:ascii="Times New Roman" w:hAnsi="Times New Roman" w:cs="Times New Roman"/>
                <w:sz w:val="20"/>
                <w:szCs w:val="20"/>
              </w:rPr>
            </w:pPr>
            <w:r w:rsidRPr="00955AC1">
              <w:rPr>
                <w:rFonts w:ascii="Times New Roman" w:hAnsi="Times New Roman" w:cs="Times New Roman"/>
                <w:sz w:val="20"/>
                <w:szCs w:val="20"/>
              </w:rPr>
              <w:t>Enter your site’s address or coordinates in the search bar</w:t>
            </w:r>
          </w:p>
          <w:p w14:paraId="7C46C97A" w14:textId="77777777" w:rsidR="00390F34" w:rsidRPr="00955AC1" w:rsidRDefault="00390F34" w:rsidP="000F6D48">
            <w:pPr>
              <w:pStyle w:val="ListParagraph"/>
              <w:rPr>
                <w:rFonts w:ascii="Times New Roman" w:hAnsi="Times New Roman" w:cs="Times New Roman"/>
                <w:sz w:val="20"/>
                <w:szCs w:val="20"/>
              </w:rPr>
            </w:pPr>
            <w:r w:rsidRPr="00955AC1">
              <w:rPr>
                <w:rFonts w:ascii="Times New Roman" w:hAnsi="Times New Roman" w:cs="Times New Roman"/>
                <w:noProof/>
                <w:sz w:val="20"/>
                <w:szCs w:val="20"/>
              </w:rPr>
              <w:drawing>
                <wp:inline distT="0" distB="0" distL="0" distR="0" wp14:anchorId="602FECB4" wp14:editId="29989693">
                  <wp:extent cx="4710989" cy="208924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33639" cy="2099288"/>
                          </a:xfrm>
                          <a:prstGeom prst="rect">
                            <a:avLst/>
                          </a:prstGeom>
                        </pic:spPr>
                      </pic:pic>
                    </a:graphicData>
                  </a:graphic>
                </wp:inline>
              </w:drawing>
            </w:r>
          </w:p>
          <w:p w14:paraId="42AC3BB1" w14:textId="77777777" w:rsidR="00390F34" w:rsidRPr="00955AC1" w:rsidRDefault="00390F34" w:rsidP="000F6D48">
            <w:pPr>
              <w:pStyle w:val="ListParagraph"/>
              <w:numPr>
                <w:ilvl w:val="0"/>
                <w:numId w:val="24"/>
              </w:numPr>
              <w:rPr>
                <w:rFonts w:ascii="Times New Roman" w:hAnsi="Times New Roman" w:cs="Times New Roman"/>
                <w:sz w:val="20"/>
                <w:szCs w:val="20"/>
              </w:rPr>
            </w:pPr>
            <w:r w:rsidRPr="00955AC1">
              <w:rPr>
                <w:rFonts w:ascii="Times New Roman" w:hAnsi="Times New Roman" w:cs="Times New Roman"/>
                <w:sz w:val="20"/>
                <w:szCs w:val="20"/>
              </w:rPr>
              <w:t>Click on the site location</w:t>
            </w:r>
          </w:p>
          <w:p w14:paraId="647ABE34" w14:textId="77777777" w:rsidR="00390F34" w:rsidRPr="00955AC1" w:rsidRDefault="00390F34" w:rsidP="000F6D48">
            <w:pPr>
              <w:pStyle w:val="ListParagraph"/>
              <w:keepNext/>
              <w:numPr>
                <w:ilvl w:val="0"/>
                <w:numId w:val="24"/>
              </w:numPr>
              <w:rPr>
                <w:rFonts w:ascii="Times New Roman" w:hAnsi="Times New Roman" w:cs="Times New Roman"/>
                <w:sz w:val="20"/>
                <w:szCs w:val="20"/>
              </w:rPr>
            </w:pPr>
            <w:r w:rsidRPr="00955AC1">
              <w:rPr>
                <w:rFonts w:ascii="Times New Roman" w:hAnsi="Times New Roman" w:cs="Times New Roman"/>
                <w:sz w:val="20"/>
                <w:szCs w:val="20"/>
              </w:rPr>
              <w:t>Click the arrows in the pop-up box to find the 2020 Census Tract number</w:t>
            </w:r>
          </w:p>
          <w:p w14:paraId="53DFC6FA" w14:textId="77777777" w:rsidR="00390F34" w:rsidRPr="00955AC1" w:rsidRDefault="00390F34" w:rsidP="000F6D48">
            <w:pPr>
              <w:pStyle w:val="ListParagraph"/>
              <w:keepNext/>
              <w:rPr>
                <w:rFonts w:ascii="Times New Roman" w:hAnsi="Times New Roman" w:cs="Times New Roman"/>
                <w:sz w:val="20"/>
                <w:szCs w:val="20"/>
              </w:rPr>
            </w:pPr>
            <w:r w:rsidRPr="00955AC1">
              <w:rPr>
                <w:rFonts w:ascii="Times New Roman" w:hAnsi="Times New Roman" w:cs="Times New Roman"/>
                <w:noProof/>
                <w:sz w:val="20"/>
                <w:szCs w:val="20"/>
              </w:rPr>
              <w:drawing>
                <wp:inline distT="0" distB="0" distL="0" distR="0" wp14:anchorId="5DD54F6E" wp14:editId="5B551A7B">
                  <wp:extent cx="4564684" cy="28231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5191" cy="2829677"/>
                          </a:xfrm>
                          <a:prstGeom prst="rect">
                            <a:avLst/>
                          </a:prstGeom>
                        </pic:spPr>
                      </pic:pic>
                    </a:graphicData>
                  </a:graphic>
                </wp:inline>
              </w:drawing>
            </w:r>
          </w:p>
          <w:p w14:paraId="4AE148D9" w14:textId="77777777" w:rsidR="00390F34" w:rsidRPr="00955AC1" w:rsidRDefault="00390F34" w:rsidP="000F6D48">
            <w:pPr>
              <w:pStyle w:val="ListParagraph"/>
              <w:numPr>
                <w:ilvl w:val="0"/>
                <w:numId w:val="24"/>
              </w:numPr>
              <w:rPr>
                <w:rFonts w:ascii="Times New Roman" w:hAnsi="Times New Roman" w:cs="Times New Roman"/>
                <w:sz w:val="20"/>
                <w:szCs w:val="20"/>
              </w:rPr>
            </w:pPr>
            <w:r w:rsidRPr="00955AC1">
              <w:rPr>
                <w:rFonts w:ascii="Times New Roman" w:hAnsi="Times New Roman" w:cs="Times New Roman"/>
                <w:sz w:val="20"/>
                <w:szCs w:val="20"/>
              </w:rPr>
              <w:t>Click the arrows to find 2020 Stable Communities data</w:t>
            </w:r>
          </w:p>
          <w:p w14:paraId="3FB4997A" w14:textId="77777777" w:rsidR="00390F34" w:rsidRPr="00955AC1" w:rsidRDefault="00390F34" w:rsidP="000F6D48">
            <w:pPr>
              <w:pStyle w:val="ListParagraph"/>
              <w:rPr>
                <w:rFonts w:ascii="Times New Roman" w:hAnsi="Times New Roman" w:cs="Times New Roman"/>
                <w:sz w:val="20"/>
                <w:szCs w:val="20"/>
              </w:rPr>
            </w:pPr>
            <w:r w:rsidRPr="00955AC1">
              <w:rPr>
                <w:rFonts w:ascii="Times New Roman" w:hAnsi="Times New Roman" w:cs="Times New Roman"/>
                <w:noProof/>
                <w:sz w:val="20"/>
                <w:szCs w:val="20"/>
              </w:rPr>
              <w:drawing>
                <wp:inline distT="0" distB="0" distL="0" distR="0" wp14:anchorId="6AE5D39F" wp14:editId="0DF46D08">
                  <wp:extent cx="4198924" cy="30778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12342" cy="3087702"/>
                          </a:xfrm>
                          <a:prstGeom prst="rect">
                            <a:avLst/>
                          </a:prstGeom>
                        </pic:spPr>
                      </pic:pic>
                    </a:graphicData>
                  </a:graphic>
                </wp:inline>
              </w:drawing>
            </w:r>
          </w:p>
          <w:p w14:paraId="0E70C5B3" w14:textId="77777777" w:rsidR="00390F34" w:rsidRPr="00955AC1" w:rsidRDefault="00390F34" w:rsidP="000F6D48">
            <w:pPr>
              <w:rPr>
                <w:rFonts w:ascii="Times New Roman" w:hAnsi="Times New Roman" w:cs="Times New Roman"/>
                <w:sz w:val="20"/>
                <w:szCs w:val="20"/>
              </w:rPr>
            </w:pPr>
          </w:p>
          <w:p w14:paraId="175D187B"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6980DFDA" w14:textId="77777777" w:rsidR="00390F34" w:rsidRPr="00955AC1" w:rsidRDefault="00390F34" w:rsidP="000F6D48">
            <w:pPr>
              <w:textAlignment w:val="baseline"/>
              <w:rPr>
                <w:rFonts w:ascii="Times New Roman" w:eastAsia="Times New Roman" w:hAnsi="Times New Roman" w:cs="Times New Roman"/>
                <w:b/>
                <w:bCs/>
                <w:sz w:val="20"/>
                <w:szCs w:val="20"/>
              </w:rPr>
            </w:pPr>
          </w:p>
        </w:tc>
      </w:tr>
      <w:tr w:rsidR="00390F34" w:rsidRPr="00955AC1" w14:paraId="09F9D37A" w14:textId="77777777" w:rsidTr="64301FE8">
        <w:trPr>
          <w:jc w:val="center"/>
        </w:trPr>
        <w:tc>
          <w:tcPr>
            <w:tcW w:w="1697" w:type="dxa"/>
            <w:shd w:val="clear" w:color="auto" w:fill="auto"/>
            <w:tcMar>
              <w:top w:w="72" w:type="dxa"/>
              <w:left w:w="115" w:type="dxa"/>
              <w:bottom w:w="72" w:type="dxa"/>
              <w:right w:w="115" w:type="dxa"/>
            </w:tcMar>
            <w:vAlign w:val="center"/>
          </w:tcPr>
          <w:p w14:paraId="1B8E8BC2"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469455D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3.17</w:t>
            </w:r>
          </w:p>
          <w:p w14:paraId="43ACD937"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5915E5DA"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381FB1FD"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Q22_0221_06</w:t>
            </w:r>
            <w:r w:rsidRPr="00955AC1">
              <w:rPr>
                <w:rStyle w:val="eop"/>
                <w:sz w:val="20"/>
                <w:szCs w:val="20"/>
              </w:rPr>
              <w:t> </w:t>
            </w:r>
          </w:p>
          <w:p w14:paraId="32FC0FED"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If Applicant takes points for </w:t>
            </w:r>
            <w:r w:rsidRPr="00955AC1">
              <w:rPr>
                <w:rStyle w:val="normaltextrun"/>
                <w:b/>
                <w:bCs/>
                <w:sz w:val="20"/>
                <w:szCs w:val="20"/>
              </w:rPr>
              <w:t>Scoring, Minority- and Women-Owned Business Engagement, A. Engagement Commitment and Reporting</w:t>
            </w:r>
            <w:r w:rsidRPr="00955AC1">
              <w:rPr>
                <w:rStyle w:val="normaltextrun"/>
                <w:sz w:val="20"/>
                <w:szCs w:val="20"/>
              </w:rPr>
              <w:t xml:space="preserve">, and </w:t>
            </w:r>
            <w:r w:rsidRPr="00955AC1">
              <w:rPr>
                <w:rStyle w:val="advancedproofingissue"/>
                <w:rFonts w:eastAsiaTheme="majorEastAsia"/>
                <w:sz w:val="20"/>
                <w:szCs w:val="20"/>
              </w:rPr>
              <w:t>is able to</w:t>
            </w:r>
            <w:r w:rsidRPr="00955AC1">
              <w:rPr>
                <w:rStyle w:val="normaltextrun"/>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955AC1">
              <w:rPr>
                <w:rStyle w:val="advancedproofingissue"/>
                <w:rFonts w:eastAsiaTheme="majorEastAsia"/>
                <w:sz w:val="20"/>
                <w:szCs w:val="20"/>
              </w:rPr>
              <w:t>as long as</w:t>
            </w:r>
            <w:r w:rsidRPr="00955AC1">
              <w:rPr>
                <w:rStyle w:val="normaltextrun"/>
                <w:sz w:val="20"/>
                <w:szCs w:val="20"/>
              </w:rPr>
              <w:t xml:space="preserve"> this is explained in a report at Final Allocation Application?</w:t>
            </w:r>
            <w:r w:rsidRPr="00955AC1">
              <w:rPr>
                <w:rStyle w:val="eop"/>
                <w:sz w:val="20"/>
                <w:szCs w:val="20"/>
              </w:rPr>
              <w:t> </w:t>
            </w:r>
          </w:p>
          <w:p w14:paraId="0AFBC8D9"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7854E6D3"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6C281D1E"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Yes. DCA will assess compliance with this commitment based on meaningful attempts to reach the 5% threshold and a complete, detailed report submitted with the 8609 </w:t>
            </w:r>
            <w:r w:rsidRPr="00955AC1">
              <w:rPr>
                <w:rStyle w:val="contextualspellingandgrammarerror"/>
                <w:rFonts w:eastAsiaTheme="majorEastAsia"/>
                <w:sz w:val="20"/>
                <w:szCs w:val="20"/>
              </w:rPr>
              <w:t>application</w:t>
            </w:r>
            <w:r w:rsidRPr="00955AC1">
              <w:rPr>
                <w:rStyle w:val="normaltextrun"/>
                <w:sz w:val="20"/>
                <w:szCs w:val="20"/>
              </w:rPr>
              <w:t>. </w:t>
            </w:r>
            <w:r w:rsidRPr="00955AC1">
              <w:rPr>
                <w:rStyle w:val="eop"/>
                <w:sz w:val="20"/>
                <w:szCs w:val="20"/>
              </w:rPr>
              <w:t> </w:t>
            </w:r>
          </w:p>
          <w:p w14:paraId="59F1FA76"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332276BB"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Examples of how DCA will assess “meaningful attempts” include, but are not limited to: </w:t>
            </w:r>
            <w:r w:rsidRPr="00955AC1">
              <w:rPr>
                <w:rStyle w:val="eop"/>
                <w:sz w:val="20"/>
                <w:szCs w:val="20"/>
              </w:rPr>
              <w:t> </w:t>
            </w:r>
          </w:p>
          <w:p w14:paraId="4C31B30F" w14:textId="77777777" w:rsidR="00390F34" w:rsidRPr="00955AC1" w:rsidRDefault="00390F34" w:rsidP="000F6D48">
            <w:pPr>
              <w:pStyle w:val="paragraph"/>
              <w:numPr>
                <w:ilvl w:val="0"/>
                <w:numId w:val="25"/>
              </w:numPr>
              <w:spacing w:before="0" w:beforeAutospacing="0" w:after="0" w:afterAutospacing="0"/>
              <w:ind w:left="1080" w:firstLine="0"/>
              <w:textAlignment w:val="baseline"/>
              <w:rPr>
                <w:sz w:val="20"/>
                <w:szCs w:val="20"/>
              </w:rPr>
            </w:pPr>
            <w:r w:rsidRPr="00955AC1">
              <w:rPr>
                <w:rStyle w:val="normaltextrun"/>
                <w:sz w:val="20"/>
                <w:szCs w:val="20"/>
              </w:rPr>
              <w:t xml:space="preserve">the extent of outreach efforts to engage QBs described and evidence substantiating these </w:t>
            </w:r>
            <w:r w:rsidRPr="00955AC1">
              <w:rPr>
                <w:rStyle w:val="contextualspellingandgrammarerror"/>
                <w:rFonts w:eastAsiaTheme="majorEastAsia"/>
                <w:sz w:val="20"/>
                <w:szCs w:val="20"/>
              </w:rPr>
              <w:t>efforts;</w:t>
            </w:r>
            <w:r w:rsidRPr="00955AC1">
              <w:rPr>
                <w:rStyle w:val="eop"/>
                <w:sz w:val="20"/>
                <w:szCs w:val="20"/>
              </w:rPr>
              <w:t> </w:t>
            </w:r>
          </w:p>
          <w:p w14:paraId="29AF1919" w14:textId="77777777" w:rsidR="00390F34" w:rsidRPr="00955AC1" w:rsidRDefault="00390F34" w:rsidP="000F6D48">
            <w:pPr>
              <w:pStyle w:val="paragraph"/>
              <w:numPr>
                <w:ilvl w:val="0"/>
                <w:numId w:val="25"/>
              </w:numPr>
              <w:spacing w:before="0" w:beforeAutospacing="0" w:after="0" w:afterAutospacing="0"/>
              <w:ind w:left="1080" w:firstLine="0"/>
              <w:textAlignment w:val="baseline"/>
              <w:rPr>
                <w:sz w:val="20"/>
                <w:szCs w:val="20"/>
              </w:rPr>
            </w:pPr>
            <w:r w:rsidRPr="00955AC1">
              <w:rPr>
                <w:rStyle w:val="normaltextrun"/>
                <w:sz w:val="20"/>
                <w:szCs w:val="20"/>
              </w:rPr>
              <w:t>comparison of successes between Engagement Reports submitted within the same geographic area. </w:t>
            </w:r>
            <w:r w:rsidRPr="00955AC1">
              <w:rPr>
                <w:rStyle w:val="eop"/>
                <w:sz w:val="20"/>
                <w:szCs w:val="20"/>
              </w:rPr>
              <w:t> </w:t>
            </w:r>
          </w:p>
          <w:p w14:paraId="3D6294F8" w14:textId="77777777" w:rsidR="00390F34" w:rsidRPr="00955AC1" w:rsidRDefault="00390F34" w:rsidP="000F6D48">
            <w:pPr>
              <w:textAlignment w:val="baseline"/>
              <w:rPr>
                <w:rFonts w:ascii="Times New Roman" w:eastAsia="Times New Roman" w:hAnsi="Times New Roman" w:cs="Times New Roman"/>
                <w:b/>
                <w:bCs/>
                <w:sz w:val="20"/>
                <w:szCs w:val="20"/>
              </w:rPr>
            </w:pPr>
          </w:p>
        </w:tc>
      </w:tr>
      <w:tr w:rsidR="00390F34" w:rsidRPr="00955AC1" w14:paraId="3B9E65A1" w14:textId="77777777" w:rsidTr="64301FE8">
        <w:trPr>
          <w:jc w:val="center"/>
        </w:trPr>
        <w:tc>
          <w:tcPr>
            <w:tcW w:w="1697" w:type="dxa"/>
            <w:shd w:val="clear" w:color="auto" w:fill="auto"/>
            <w:tcMar>
              <w:top w:w="72" w:type="dxa"/>
              <w:left w:w="115" w:type="dxa"/>
              <w:bottom w:w="72" w:type="dxa"/>
              <w:right w:w="115" w:type="dxa"/>
            </w:tcMar>
            <w:vAlign w:val="center"/>
          </w:tcPr>
          <w:p w14:paraId="50329994"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403AADB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2.06</w:t>
            </w:r>
          </w:p>
          <w:p w14:paraId="26261A7F"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1ED340A6"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2963D0DC" w14:textId="77777777" w:rsidR="00390F34" w:rsidRPr="00955AC1" w:rsidRDefault="00390F34" w:rsidP="000F6D48">
            <w:pPr>
              <w:jc w:val="center"/>
              <w:rPr>
                <w:rFonts w:ascii="Times New Roman" w:hAnsi="Times New Roman" w:cs="Times New Roman"/>
              </w:rPr>
            </w:pPr>
            <w:r w:rsidRPr="00955AC1">
              <w:rPr>
                <w:rStyle w:val="normaltextrun"/>
                <w:rFonts w:ascii="Times New Roman" w:hAnsi="Times New Roman" w:cs="Times New Roman"/>
                <w:b/>
                <w:bCs/>
                <w:i/>
                <w:iCs/>
                <w:color w:val="FF0000"/>
                <w:sz w:val="20"/>
                <w:szCs w:val="20"/>
              </w:rPr>
              <w:t>This Q&amp;A references the 9% Round but includes information relevant to 4%/Bonds applications.</w:t>
            </w:r>
          </w:p>
          <w:p w14:paraId="7550565E" w14:textId="77777777" w:rsidR="00390F34" w:rsidRPr="00955AC1" w:rsidRDefault="00390F34" w:rsidP="000F6D48">
            <w:pPr>
              <w:textAlignment w:val="baseline"/>
              <w:rPr>
                <w:rFonts w:ascii="Times New Roman" w:eastAsia="Times New Roman" w:hAnsi="Times New Roman" w:cs="Times New Roman"/>
                <w:b/>
                <w:bCs/>
                <w:sz w:val="20"/>
                <w:szCs w:val="20"/>
              </w:rPr>
            </w:pPr>
          </w:p>
          <w:p w14:paraId="260E5B2C"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Q22_0404_01 </w:t>
            </w:r>
          </w:p>
          <w:p w14:paraId="0FCC66C0"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Can you please clarify if an appraisal is required to be submitted with Application Submission for a 9% new construction submittal or is an appraisal required if our project receives an award? </w:t>
            </w:r>
          </w:p>
          <w:p w14:paraId="2F8E9D5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0D368798"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7FFC9128"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(Threshold) Appraisals</w:t>
            </w:r>
            <w:r w:rsidRPr="00955AC1">
              <w:rPr>
                <w:rFonts w:ascii="Times New Roman" w:eastAsia="Times New Roman" w:hAnsi="Times New Roman" w:cs="Times New Roman"/>
                <w:sz w:val="20"/>
                <w:szCs w:val="20"/>
              </w:rPr>
              <w:t xml:space="preserve"> indicates the following instances in which Applicants must submit an appraisal at Application Submission: </w:t>
            </w:r>
          </w:p>
          <w:p w14:paraId="17599B8D" w14:textId="77777777" w:rsidR="00390F34" w:rsidRPr="00955AC1" w:rsidRDefault="00390F34" w:rsidP="000F6D48">
            <w:pPr>
              <w:numPr>
                <w:ilvl w:val="0"/>
                <w:numId w:val="20"/>
              </w:numPr>
              <w:ind w:left="1080" w:firstLine="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Application is claiming acquisition credits for existing structures </w:t>
            </w:r>
          </w:p>
          <w:p w14:paraId="63B138FA" w14:textId="77777777" w:rsidR="00390F34" w:rsidRPr="00955AC1" w:rsidRDefault="00390F34" w:rsidP="000F6D48">
            <w:pPr>
              <w:numPr>
                <w:ilvl w:val="0"/>
                <w:numId w:val="20"/>
              </w:numPr>
              <w:ind w:left="1080" w:firstLine="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Application has an Identity of Interest between the buyer and seller </w:t>
            </w:r>
          </w:p>
          <w:p w14:paraId="20E3B6F9" w14:textId="77777777" w:rsidR="00390F34" w:rsidRPr="00955AC1" w:rsidRDefault="00390F34" w:rsidP="000F6D48">
            <w:pPr>
              <w:numPr>
                <w:ilvl w:val="0"/>
                <w:numId w:val="21"/>
              </w:numPr>
              <w:ind w:left="1800" w:firstLine="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Includes seller that is a member of the proposed Project Team, including a limited partner </w:t>
            </w:r>
          </w:p>
          <w:p w14:paraId="5AEF345D"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25B8BFAF" w14:textId="77777777" w:rsidR="00390F34" w:rsidRPr="00955AC1" w:rsidRDefault="00390F34" w:rsidP="000F6D48">
            <w:pPr>
              <w:textAlignment w:val="baseline"/>
              <w:rPr>
                <w:rStyle w:val="normaltextrun"/>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390F34" w:rsidRPr="00955AC1" w14:paraId="52097C40" w14:textId="77777777" w:rsidTr="64301FE8">
        <w:trPr>
          <w:jc w:val="center"/>
        </w:trPr>
        <w:tc>
          <w:tcPr>
            <w:tcW w:w="1697" w:type="dxa"/>
            <w:shd w:val="clear" w:color="auto" w:fill="auto"/>
            <w:tcMar>
              <w:top w:w="72" w:type="dxa"/>
              <w:left w:w="115" w:type="dxa"/>
              <w:bottom w:w="72" w:type="dxa"/>
              <w:right w:w="115" w:type="dxa"/>
            </w:tcMar>
            <w:vAlign w:val="center"/>
          </w:tcPr>
          <w:p w14:paraId="46ADAF26"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10252098"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2.15</w:t>
            </w:r>
          </w:p>
          <w:p w14:paraId="7B602E3F"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33DB2E95"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7A96E22B"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Question</w:t>
            </w:r>
            <w:r w:rsidRPr="00955AC1">
              <w:rPr>
                <w:rFonts w:ascii="Times New Roman" w:hAnsi="Times New Roman" w:cs="Times New Roman"/>
                <w:sz w:val="20"/>
                <w:szCs w:val="20"/>
              </w:rPr>
              <w:t>: Q22_0314_01</w:t>
            </w:r>
          </w:p>
          <w:p w14:paraId="096F75E0"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Paragraph B of </w:t>
            </w:r>
            <w:r w:rsidRPr="00955AC1">
              <w:rPr>
                <w:rFonts w:ascii="Times New Roman" w:eastAsia="Times New Roman" w:hAnsi="Times New Roman" w:cs="Times New Roman"/>
                <w:b/>
                <w:bCs/>
                <w:sz w:val="20"/>
                <w:szCs w:val="20"/>
              </w:rPr>
              <w:t>(Threshold) Rehabilitation Standards</w:t>
            </w:r>
            <w:r w:rsidRPr="00955AC1">
              <w:rPr>
                <w:rFonts w:ascii="Times New Roman" w:eastAsia="Times New Roman" w:hAnsi="Times New Roman" w:cs="Times New Roman"/>
                <w:sz w:val="20"/>
                <w:szCs w:val="20"/>
              </w:rPr>
              <w:t xml:space="preserve"> requires a Physical Needs Assessment and Capital Reserve Study completed by a DCA-qualified consultant.  Can you please direct me to a list of the qualified consultants posted on the DCA website?</w:t>
            </w:r>
          </w:p>
          <w:p w14:paraId="1409B55F" w14:textId="77777777" w:rsidR="00390F34" w:rsidRPr="00955AC1" w:rsidRDefault="00390F34" w:rsidP="000F6D48">
            <w:pPr>
              <w:contextualSpacing/>
              <w:rPr>
                <w:rFonts w:ascii="Times New Roman" w:hAnsi="Times New Roman" w:cs="Times New Roman"/>
                <w:sz w:val="20"/>
                <w:szCs w:val="20"/>
              </w:rPr>
            </w:pPr>
          </w:p>
          <w:p w14:paraId="537FAA51" w14:textId="77777777" w:rsidR="00390F34" w:rsidRPr="00955AC1" w:rsidRDefault="00390F34" w:rsidP="000F6D48">
            <w:pPr>
              <w:rPr>
                <w:rFonts w:ascii="Times New Roman" w:hAnsi="Times New Roman" w:cs="Times New Roman"/>
                <w:b/>
                <w:bCs/>
                <w:sz w:val="20"/>
                <w:szCs w:val="20"/>
              </w:rPr>
            </w:pPr>
            <w:r w:rsidRPr="00955AC1">
              <w:rPr>
                <w:rFonts w:ascii="Times New Roman" w:hAnsi="Times New Roman" w:cs="Times New Roman"/>
                <w:b/>
                <w:bCs/>
                <w:sz w:val="20"/>
                <w:szCs w:val="20"/>
              </w:rPr>
              <w:t>Answer:</w:t>
            </w:r>
          </w:p>
          <w:p w14:paraId="63B5D717" w14:textId="77777777" w:rsidR="00390F34" w:rsidRPr="00955AC1" w:rsidRDefault="00390F34" w:rsidP="000F6D48">
            <w:pPr>
              <w:rPr>
                <w:rStyle w:val="normaltextrun"/>
                <w:rFonts w:ascii="Times New Roman" w:eastAsia="MS Mincho" w:hAnsi="Times New Roman" w:cs="Times New Roman"/>
                <w:b/>
                <w:bCs/>
                <w:sz w:val="20"/>
                <w:szCs w:val="20"/>
              </w:rPr>
            </w:pPr>
            <w:r w:rsidRPr="00955AC1">
              <w:rPr>
                <w:rFonts w:ascii="Times New Roman" w:eastAsia="Times New Roman" w:hAnsi="Times New Roman" w:cs="Times New Roman"/>
                <w:sz w:val="20"/>
                <w:szCs w:val="20"/>
              </w:rPr>
              <w:t xml:space="preserve">DCA does not have a list of qualified consultants posted to our website. </w:t>
            </w:r>
            <w:r w:rsidRPr="00955AC1">
              <w:rPr>
                <w:rFonts w:ascii="Times New Roman" w:hAnsi="Times New Roman" w:cs="Times New Roman"/>
                <w:sz w:val="20"/>
                <w:szCs w:val="20"/>
              </w:rPr>
              <w:t xml:space="preserve">Per the 2022 QAP, </w:t>
            </w:r>
            <w:r w:rsidRPr="00955AC1">
              <w:rPr>
                <w:rFonts w:ascii="Times New Roman" w:eastAsia="Calibri" w:hAnsi="Times New Roman" w:cs="Times New Roman"/>
                <w:sz w:val="20"/>
                <w:szCs w:val="20"/>
              </w:rPr>
              <w:t xml:space="preserve">a “Qualified Consultant” is any individual who meets the experience requirements and qualifications as notated in the </w:t>
            </w:r>
            <w:r w:rsidRPr="00955AC1">
              <w:rPr>
                <w:rFonts w:ascii="Times New Roman" w:eastAsia="Calibri" w:hAnsi="Times New Roman" w:cs="Times New Roman"/>
                <w:b/>
                <w:bCs/>
                <w:sz w:val="20"/>
                <w:szCs w:val="20"/>
              </w:rPr>
              <w:t>2022 Rehabilitation Guide</w:t>
            </w:r>
            <w:r w:rsidRPr="00955AC1">
              <w:rPr>
                <w:rFonts w:ascii="Times New Roman" w:eastAsia="Calibri" w:hAnsi="Times New Roman" w:cs="Times New Roman"/>
                <w:sz w:val="20"/>
                <w:szCs w:val="20"/>
              </w:rPr>
              <w:t xml:space="preserve">, section </w:t>
            </w:r>
            <w:r w:rsidRPr="00955AC1">
              <w:rPr>
                <w:rFonts w:ascii="Times New Roman" w:eastAsia="Calibri" w:hAnsi="Times New Roman" w:cs="Times New Roman"/>
                <w:b/>
                <w:bCs/>
                <w:sz w:val="20"/>
                <w:szCs w:val="20"/>
              </w:rPr>
              <w:t>5. Physical Needs Assessments</w:t>
            </w:r>
            <w:r w:rsidRPr="00955AC1">
              <w:rPr>
                <w:rFonts w:ascii="Times New Roman" w:eastAsia="Calibri" w:hAnsi="Times New Roman" w:cs="Times New Roman"/>
                <w:sz w:val="20"/>
                <w:szCs w:val="20"/>
              </w:rPr>
              <w:t xml:space="preserve">, subsection </w:t>
            </w:r>
            <w:r w:rsidRPr="00955AC1">
              <w:rPr>
                <w:rFonts w:ascii="Times New Roman" w:eastAsia="Calibri" w:hAnsi="Times New Roman" w:cs="Times New Roman"/>
                <w:b/>
                <w:bCs/>
                <w:sz w:val="20"/>
                <w:szCs w:val="20"/>
              </w:rPr>
              <w:t xml:space="preserve">A. “Qualified Consultant.” </w:t>
            </w:r>
            <w:r w:rsidRPr="00955AC1">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390F34" w:rsidRPr="00955AC1" w14:paraId="3433BDED" w14:textId="77777777" w:rsidTr="64301FE8">
        <w:trPr>
          <w:jc w:val="center"/>
        </w:trPr>
        <w:tc>
          <w:tcPr>
            <w:tcW w:w="1697" w:type="dxa"/>
            <w:shd w:val="clear" w:color="auto" w:fill="auto"/>
            <w:tcMar>
              <w:top w:w="72" w:type="dxa"/>
              <w:left w:w="115" w:type="dxa"/>
              <w:bottom w:w="72" w:type="dxa"/>
              <w:right w:w="115" w:type="dxa"/>
            </w:tcMar>
            <w:vAlign w:val="center"/>
          </w:tcPr>
          <w:p w14:paraId="50F0767F"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33FEB86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2.17</w:t>
            </w:r>
          </w:p>
          <w:p w14:paraId="4DF5588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58531334"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0614A702"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Q1221_01</w:t>
            </w:r>
            <w:r w:rsidRPr="00955AC1">
              <w:rPr>
                <w:rStyle w:val="eop"/>
                <w:sz w:val="20"/>
                <w:szCs w:val="20"/>
              </w:rPr>
              <w:t> </w:t>
            </w:r>
          </w:p>
          <w:p w14:paraId="6157A787"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 xml:space="preserve">(Threshold) Building Sustainability, C. DCA Building Sustainability </w:t>
            </w:r>
            <w:r w:rsidRPr="00955AC1">
              <w:rPr>
                <w:rStyle w:val="normaltextrun"/>
                <w:sz w:val="20"/>
                <w:szCs w:val="20"/>
              </w:rPr>
              <w:t>requires applicants to complete DCA’s virtual Building Sustainability training. Who is required to obtain the training and certificate, and how can that person obtain the training and certificate?</w:t>
            </w:r>
            <w:r w:rsidRPr="00955AC1">
              <w:rPr>
                <w:rStyle w:val="eop"/>
                <w:sz w:val="20"/>
                <w:szCs w:val="20"/>
              </w:rPr>
              <w:t> </w:t>
            </w:r>
          </w:p>
          <w:p w14:paraId="7AC2E1E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21611810"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24E4D9AF"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Applicants (defined as “the General Partner” in the QAP) must complete DCA’s virtual Building Sustainability training.</w:t>
            </w:r>
            <w:r w:rsidRPr="00955AC1">
              <w:rPr>
                <w:rStyle w:val="eop"/>
                <w:sz w:val="20"/>
                <w:szCs w:val="20"/>
              </w:rPr>
              <w:t> </w:t>
            </w:r>
          </w:p>
          <w:p w14:paraId="7A7FC711"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1304D5BC" w14:textId="77777777" w:rsidR="00390F34" w:rsidRPr="00955AC1" w:rsidRDefault="00390F34" w:rsidP="000F6D48">
            <w:pPr>
              <w:pStyle w:val="paragraph"/>
              <w:spacing w:before="0" w:beforeAutospacing="0" w:after="0" w:afterAutospacing="0"/>
              <w:textAlignment w:val="baseline"/>
              <w:rPr>
                <w:sz w:val="20"/>
                <w:szCs w:val="20"/>
              </w:rPr>
            </w:pPr>
            <w:r w:rsidRPr="00955AC1">
              <w:rPr>
                <w:sz w:val="20"/>
                <w:szCs w:val="20"/>
              </w:rPr>
              <w:t>The training is posted to the DCA YouTube page (</w:t>
            </w:r>
            <w:hyperlink r:id="rId44" w:tgtFrame="_blank" w:history="1">
              <w:r w:rsidRPr="00955AC1">
                <w:rPr>
                  <w:rStyle w:val="normaltextrun"/>
                  <w:sz w:val="20"/>
                  <w:szCs w:val="20"/>
                  <w:u w:val="single"/>
                </w:rPr>
                <w:t>click here</w:t>
              </w:r>
            </w:hyperlink>
            <w:r w:rsidRPr="00955AC1">
              <w:rPr>
                <w:sz w:val="20"/>
                <w:szCs w:val="20"/>
              </w:rPr>
              <w:t>).</w:t>
            </w:r>
          </w:p>
          <w:p w14:paraId="3B8838D5" w14:textId="77777777" w:rsidR="00390F34" w:rsidRPr="00955AC1" w:rsidRDefault="00390F34" w:rsidP="000F6D48">
            <w:pPr>
              <w:pStyle w:val="paragraph"/>
              <w:spacing w:before="0" w:beforeAutospacing="0" w:after="0" w:afterAutospacing="0"/>
              <w:textAlignment w:val="baseline"/>
              <w:rPr>
                <w:rStyle w:val="normaltextrun"/>
                <w:b/>
                <w:bCs/>
                <w:sz w:val="20"/>
                <w:szCs w:val="20"/>
              </w:rPr>
            </w:pPr>
          </w:p>
          <w:p w14:paraId="73F90B4F" w14:textId="77777777" w:rsidR="00390F34" w:rsidRPr="00955AC1" w:rsidRDefault="00390F34" w:rsidP="000F6D48">
            <w:pPr>
              <w:pStyle w:val="paragraph"/>
              <w:spacing w:before="0" w:beforeAutospacing="0" w:after="0" w:afterAutospacing="0"/>
              <w:textAlignment w:val="baseline"/>
              <w:rPr>
                <w:rStyle w:val="normaltextrun"/>
                <w:b/>
                <w:bCs/>
                <w:sz w:val="20"/>
                <w:szCs w:val="20"/>
              </w:rPr>
            </w:pPr>
            <w:r w:rsidRPr="00955AC1">
              <w:rPr>
                <w:rStyle w:val="normaltextrun"/>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390F34" w:rsidRPr="00955AC1" w14:paraId="6D050177" w14:textId="77777777" w:rsidTr="64301FE8">
        <w:trPr>
          <w:jc w:val="center"/>
        </w:trPr>
        <w:tc>
          <w:tcPr>
            <w:tcW w:w="1697" w:type="dxa"/>
            <w:shd w:val="clear" w:color="auto" w:fill="auto"/>
            <w:tcMar>
              <w:top w:w="72" w:type="dxa"/>
              <w:left w:w="115" w:type="dxa"/>
              <w:bottom w:w="72" w:type="dxa"/>
              <w:right w:w="115" w:type="dxa"/>
            </w:tcMar>
            <w:vAlign w:val="center"/>
          </w:tcPr>
          <w:p w14:paraId="4009FA0D"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59CA8D1A"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3.17</w:t>
            </w:r>
          </w:p>
          <w:p w14:paraId="4A940A1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2C54FB6A"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33DD52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Q22_0221_05 </w:t>
            </w:r>
          </w:p>
          <w:p w14:paraId="0627AD4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In DCA's </w:t>
            </w:r>
            <w:r w:rsidRPr="00955AC1">
              <w:rPr>
                <w:rFonts w:ascii="Times New Roman" w:eastAsia="Times New Roman" w:hAnsi="Times New Roman" w:cs="Times New Roman"/>
                <w:i/>
                <w:iCs/>
                <w:sz w:val="20"/>
                <w:szCs w:val="20"/>
              </w:rPr>
              <w:t>DCA Minority- and Women-Owned Business Engagement Policy</w:t>
            </w:r>
            <w:r w:rsidRPr="00955AC1">
              <w:rPr>
                <w:rFonts w:ascii="Times New Roman" w:eastAsia="Times New Roman" w:hAnsi="Times New Roman" w:cs="Times New Roman"/>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3B2F9B1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2C5EA05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45393C23"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3FC4D618"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7D562637" w14:textId="77777777" w:rsidR="00390F34" w:rsidRPr="00955AC1" w:rsidRDefault="00390F34" w:rsidP="000F6D48">
            <w:pPr>
              <w:textAlignment w:val="baseline"/>
              <w:rPr>
                <w:rStyle w:val="normaltextrun"/>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955AC1">
              <w:rPr>
                <w:rFonts w:ascii="Times New Roman" w:eastAsia="Times New Roman" w:hAnsi="Times New Roman" w:cs="Times New Roman"/>
                <w:i/>
                <w:iCs/>
                <w:sz w:val="20"/>
                <w:szCs w:val="20"/>
              </w:rPr>
              <w:t>DCA Minority- and Women-Owned Business Engagement Policy</w:t>
            </w:r>
            <w:r w:rsidRPr="00955AC1">
              <w:rPr>
                <w:rFonts w:ascii="Times New Roman" w:eastAsia="Times New Roman" w:hAnsi="Times New Roman" w:cs="Times New Roman"/>
                <w:sz w:val="20"/>
                <w:szCs w:val="20"/>
              </w:rPr>
              <w:t xml:space="preserve"> (</w:t>
            </w:r>
            <w:hyperlink r:id="rId45" w:tgtFrame="_blank" w:history="1">
              <w:r w:rsidRPr="00955AC1">
                <w:rPr>
                  <w:rFonts w:ascii="Times New Roman" w:eastAsia="Times New Roman" w:hAnsi="Times New Roman" w:cs="Times New Roman"/>
                  <w:sz w:val="20"/>
                  <w:szCs w:val="20"/>
                  <w:u w:val="single"/>
                </w:rPr>
                <w:t>click here</w:t>
              </w:r>
            </w:hyperlink>
            <w:r w:rsidRPr="00955AC1">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390F34" w:rsidRPr="00955AC1" w14:paraId="1F322BD9" w14:textId="77777777" w:rsidTr="64301FE8">
        <w:trPr>
          <w:jc w:val="center"/>
        </w:trPr>
        <w:tc>
          <w:tcPr>
            <w:tcW w:w="1697" w:type="dxa"/>
            <w:shd w:val="clear" w:color="auto" w:fill="auto"/>
            <w:tcMar>
              <w:top w:w="72" w:type="dxa"/>
              <w:left w:w="115" w:type="dxa"/>
              <w:bottom w:w="72" w:type="dxa"/>
              <w:right w:w="115" w:type="dxa"/>
            </w:tcMar>
            <w:vAlign w:val="center"/>
          </w:tcPr>
          <w:p w14:paraId="74162B3D"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1185AA7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3.21</w:t>
            </w:r>
          </w:p>
          <w:p w14:paraId="4FEA4378"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692B261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37601AFD"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Q22_0304_08 </w:t>
            </w:r>
          </w:p>
          <w:p w14:paraId="7CF83A51"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If a City agrees to sell a property it owns to a developer for less than the appraised value of the property, can the difference between sale price and appraised value be counted as a City government grant to the project? </w:t>
            </w:r>
          </w:p>
          <w:p w14:paraId="59E23088"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556CBC0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4776449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No. Reducing the cost of a line item in the development budget does not constitute a grant. </w:t>
            </w:r>
          </w:p>
        </w:tc>
      </w:tr>
      <w:tr w:rsidR="00390F34" w:rsidRPr="00955AC1" w14:paraId="5E97E9CA" w14:textId="77777777" w:rsidTr="64301FE8">
        <w:trPr>
          <w:jc w:val="center"/>
        </w:trPr>
        <w:tc>
          <w:tcPr>
            <w:tcW w:w="1697" w:type="dxa"/>
            <w:shd w:val="clear" w:color="auto" w:fill="auto"/>
            <w:tcMar>
              <w:top w:w="72" w:type="dxa"/>
              <w:left w:w="115" w:type="dxa"/>
              <w:bottom w:w="72" w:type="dxa"/>
              <w:right w:w="115" w:type="dxa"/>
            </w:tcMar>
            <w:vAlign w:val="center"/>
          </w:tcPr>
          <w:p w14:paraId="62C8F940"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530EE8C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3.24</w:t>
            </w:r>
          </w:p>
          <w:p w14:paraId="7E054D5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2C7613FF"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Integrated Supportive Housing</w:t>
            </w:r>
          </w:p>
        </w:tc>
        <w:tc>
          <w:tcPr>
            <w:tcW w:w="9585" w:type="dxa"/>
            <w:shd w:val="clear" w:color="auto" w:fill="auto"/>
            <w:tcMar>
              <w:top w:w="72" w:type="dxa"/>
              <w:left w:w="115" w:type="dxa"/>
              <w:bottom w:w="72" w:type="dxa"/>
              <w:right w:w="115" w:type="dxa"/>
            </w:tcMar>
            <w:vAlign w:val="center"/>
          </w:tcPr>
          <w:p w14:paraId="48E9F96C"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Q1124_01 </w:t>
            </w:r>
          </w:p>
          <w:p w14:paraId="531291A1"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At the 2022 QAP Workshop, DCA indicated that </w:t>
            </w:r>
            <w:r w:rsidRPr="00955AC1">
              <w:rPr>
                <w:rFonts w:ascii="Times New Roman" w:eastAsia="Times New Roman" w:hAnsi="Times New Roman" w:cs="Times New Roman"/>
                <w:b/>
                <w:bCs/>
                <w:sz w:val="20"/>
                <w:szCs w:val="20"/>
              </w:rPr>
              <w:t>(Scoring) Integrated Supportive Housing</w:t>
            </w:r>
            <w:r w:rsidRPr="00955AC1">
              <w:rPr>
                <w:rFonts w:ascii="Times New Roman" w:eastAsia="Times New Roman" w:hAnsi="Times New Roman" w:cs="Times New Roman"/>
                <w:sz w:val="20"/>
                <w:szCs w:val="20"/>
              </w:rPr>
              <w:t xml:space="preserve">, option </w:t>
            </w:r>
            <w:r w:rsidRPr="00955AC1">
              <w:rPr>
                <w:rFonts w:ascii="Times New Roman" w:eastAsia="Times New Roman" w:hAnsi="Times New Roman" w:cs="Times New Roman"/>
                <w:b/>
                <w:bCs/>
                <w:sz w:val="20"/>
                <w:szCs w:val="20"/>
              </w:rPr>
              <w:t>D. DCA Section 811 Commitments: Prior Performance</w:t>
            </w:r>
            <w:r w:rsidRPr="00955AC1">
              <w:rPr>
                <w:rFonts w:ascii="Times New Roman" w:eastAsia="Times New Roman" w:hAnsi="Times New Roman" w:cs="Times New Roman"/>
                <w:sz w:val="20"/>
                <w:szCs w:val="20"/>
              </w:rPr>
              <w:t xml:space="preserve"> would be scored such that everybody gets the 2 points by default, and only if there was a prior performance issue related to the “Property requirements” bullets listed in the QAP under this section would DCA deduct the two points. </w:t>
            </w:r>
          </w:p>
          <w:p w14:paraId="0A69AED3"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13648642" w14:textId="77777777" w:rsidR="00390F34" w:rsidRPr="00955AC1" w:rsidRDefault="00390F34" w:rsidP="000F6D48">
            <w:pPr>
              <w:numPr>
                <w:ilvl w:val="0"/>
                <w:numId w:val="22"/>
              </w:numPr>
              <w:ind w:left="1080" w:firstLine="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127F4EE5" w14:textId="77777777" w:rsidR="00390F34" w:rsidRPr="00955AC1" w:rsidRDefault="00390F34" w:rsidP="000F6D48">
            <w:pPr>
              <w:ind w:left="72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39027485" w14:textId="77777777" w:rsidR="00390F34" w:rsidRPr="00955AC1" w:rsidRDefault="00390F34" w:rsidP="000F6D48">
            <w:pPr>
              <w:numPr>
                <w:ilvl w:val="0"/>
                <w:numId w:val="23"/>
              </w:numPr>
              <w:ind w:left="1080" w:firstLine="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DCA also stated at the Workshop that if staff identified any issues, they would communicate these issues to the owners during the Pre-Application phase and owners would have the opportunity to correct these issues before a point penalty is applied. Since this was conveyed verbally at the Workshop, I’m confirming that this is in fact the case.  </w:t>
            </w:r>
          </w:p>
          <w:p w14:paraId="2E3CD72D"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6F17B069"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7AD7AEE4"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To the first question: yes, all applicants will receive the 2 points under option D. by default.  </w:t>
            </w:r>
          </w:p>
          <w:p w14:paraId="3F5D5FA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7C2C83F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52D011F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134F2700" w14:textId="77777777" w:rsidR="00390F34" w:rsidRPr="00955AC1" w:rsidRDefault="00390F34" w:rsidP="000F6D48">
            <w:pPr>
              <w:textAlignment w:val="baseline"/>
              <w:rPr>
                <w:rStyle w:val="normaltextrun"/>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390F34" w:rsidRPr="00955AC1" w14:paraId="156A4B7E" w14:textId="77777777" w:rsidTr="64301FE8">
        <w:trPr>
          <w:jc w:val="center"/>
        </w:trPr>
        <w:tc>
          <w:tcPr>
            <w:tcW w:w="1697" w:type="dxa"/>
            <w:shd w:val="clear" w:color="auto" w:fill="auto"/>
            <w:tcMar>
              <w:top w:w="72" w:type="dxa"/>
              <w:left w:w="115" w:type="dxa"/>
              <w:bottom w:w="72" w:type="dxa"/>
              <w:right w:w="115" w:type="dxa"/>
            </w:tcMar>
            <w:vAlign w:val="center"/>
          </w:tcPr>
          <w:p w14:paraId="04F0CC78"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24E0C228"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3.26</w:t>
            </w:r>
          </w:p>
          <w:p w14:paraId="5D85329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59F30F04"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Affordability Loss Risk</w:t>
            </w:r>
          </w:p>
        </w:tc>
        <w:tc>
          <w:tcPr>
            <w:tcW w:w="9585" w:type="dxa"/>
            <w:shd w:val="clear" w:color="auto" w:fill="auto"/>
            <w:tcMar>
              <w:top w:w="72" w:type="dxa"/>
              <w:left w:w="115" w:type="dxa"/>
              <w:bottom w:w="72" w:type="dxa"/>
              <w:right w:w="115" w:type="dxa"/>
            </w:tcMar>
            <w:vAlign w:val="center"/>
          </w:tcPr>
          <w:p w14:paraId="5C93FAD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Q22_1119_01 </w:t>
            </w:r>
          </w:p>
          <w:p w14:paraId="340A397C"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I have a question regarding the requirement that if we are to use HUD PBRA rents, it needs to have at least 10 years remaining and how it may affect the scoring section under </w:t>
            </w:r>
            <w:r w:rsidRPr="00955AC1">
              <w:rPr>
                <w:rFonts w:ascii="Times New Roman" w:eastAsia="Times New Roman" w:hAnsi="Times New Roman" w:cs="Times New Roman"/>
                <w:b/>
                <w:bCs/>
                <w:sz w:val="20"/>
                <w:szCs w:val="20"/>
              </w:rPr>
              <w:t>(Scoring) Affordability Loss Risk</w:t>
            </w:r>
            <w:r w:rsidRPr="00955AC1">
              <w:rPr>
                <w:rFonts w:ascii="Times New Roman" w:eastAsia="Times New Roman" w:hAnsi="Times New Roman" w:cs="Times New Roman"/>
                <w:sz w:val="20"/>
                <w:szCs w:val="20"/>
              </w:rPr>
              <w:t>. </w:t>
            </w:r>
          </w:p>
          <w:p w14:paraId="074C12C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0C7A2AA0"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45C20208"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3ED4D8C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068E1FE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The </w:t>
            </w:r>
            <w:r w:rsidRPr="00955AC1">
              <w:rPr>
                <w:rFonts w:ascii="Times New Roman" w:eastAsia="Times New Roman" w:hAnsi="Times New Roman" w:cs="Times New Roman"/>
                <w:i/>
                <w:iCs/>
                <w:sz w:val="20"/>
                <w:szCs w:val="20"/>
              </w:rPr>
              <w:t>Affordability Loss Risk Form</w:t>
            </w:r>
            <w:r w:rsidRPr="00955AC1">
              <w:rPr>
                <w:rFonts w:ascii="Times New Roman" w:eastAsia="Times New Roman" w:hAnsi="Times New Roman" w:cs="Times New Roman"/>
                <w:sz w:val="20"/>
                <w:szCs w:val="20"/>
              </w:rPr>
              <w:t xml:space="preserve"> (under Scoring Documents and Data, </w:t>
            </w:r>
            <w:hyperlink r:id="rId46" w:tgtFrame="_blank" w:history="1">
              <w:r w:rsidRPr="00955AC1">
                <w:rPr>
                  <w:rFonts w:ascii="Times New Roman" w:eastAsia="Times New Roman" w:hAnsi="Times New Roman" w:cs="Times New Roman"/>
                  <w:sz w:val="20"/>
                  <w:szCs w:val="20"/>
                  <w:u w:val="single"/>
                </w:rPr>
                <w:t>click here</w:t>
              </w:r>
            </w:hyperlink>
            <w:r w:rsidRPr="00955AC1">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390F34" w:rsidRPr="00955AC1" w14:paraId="49F3976B" w14:textId="77777777" w:rsidTr="64301FE8">
        <w:trPr>
          <w:jc w:val="center"/>
        </w:trPr>
        <w:tc>
          <w:tcPr>
            <w:tcW w:w="1697" w:type="dxa"/>
            <w:shd w:val="clear" w:color="auto" w:fill="auto"/>
            <w:tcMar>
              <w:top w:w="72" w:type="dxa"/>
              <w:left w:w="115" w:type="dxa"/>
              <w:bottom w:w="72" w:type="dxa"/>
              <w:right w:w="115" w:type="dxa"/>
            </w:tcMar>
            <w:vAlign w:val="center"/>
          </w:tcPr>
          <w:p w14:paraId="29DED633"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64CC298F"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2.07</w:t>
            </w:r>
          </w:p>
          <w:p w14:paraId="0763344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03D98620"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xml:space="preserve">: Q22_0330_01a </w:t>
            </w:r>
          </w:p>
          <w:p w14:paraId="4AFB368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22683FD3" w14:textId="77777777" w:rsidR="00390F34" w:rsidRPr="00955AC1" w:rsidRDefault="00390F34" w:rsidP="000F6D48">
            <w:pPr>
              <w:textAlignment w:val="baseline"/>
              <w:rPr>
                <w:rFonts w:ascii="Times New Roman" w:eastAsia="Times New Roman" w:hAnsi="Times New Roman" w:cs="Times New Roman"/>
                <w:sz w:val="20"/>
                <w:szCs w:val="20"/>
              </w:rPr>
            </w:pPr>
          </w:p>
          <w:p w14:paraId="14654684"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xml:space="preserve">: </w:t>
            </w:r>
          </w:p>
          <w:p w14:paraId="0C4EE6A9"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00390F34" w:rsidRPr="00955AC1" w14:paraId="3CE9415E" w14:textId="77777777" w:rsidTr="64301FE8">
        <w:trPr>
          <w:jc w:val="center"/>
        </w:trPr>
        <w:tc>
          <w:tcPr>
            <w:tcW w:w="1697" w:type="dxa"/>
            <w:shd w:val="clear" w:color="auto" w:fill="auto"/>
            <w:tcMar>
              <w:top w:w="72" w:type="dxa"/>
              <w:left w:w="115" w:type="dxa"/>
              <w:bottom w:w="72" w:type="dxa"/>
              <w:right w:w="115" w:type="dxa"/>
            </w:tcMar>
            <w:vAlign w:val="center"/>
          </w:tcPr>
          <w:p w14:paraId="2104BC4A"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4DB8233F"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2.20</w:t>
            </w:r>
          </w:p>
          <w:p w14:paraId="2C2D02DA"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55D32C4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21576E46"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Q22_0323_01 </w:t>
            </w:r>
          </w:p>
          <w:p w14:paraId="322E474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I am hoping to get clarity on the Certifying Entity responsible for meeting </w:t>
            </w:r>
            <w:r w:rsidRPr="00955AC1">
              <w:rPr>
                <w:rFonts w:ascii="Times New Roman" w:eastAsia="Times New Roman" w:hAnsi="Times New Roman" w:cs="Times New Roman"/>
                <w:b/>
                <w:bCs/>
                <w:sz w:val="20"/>
                <w:szCs w:val="20"/>
              </w:rPr>
              <w:t>(Threshold Criteria) Experience, Capacity and Performance Requirements for General Partner and Developer Entities, C. Requirements for Experience</w:t>
            </w:r>
            <w:r w:rsidRPr="00955AC1">
              <w:rPr>
                <w:rFonts w:ascii="Times New Roman" w:eastAsia="Times New Roman" w:hAnsi="Times New Roman" w:cs="Times New Roman"/>
                <w:sz w:val="20"/>
                <w:szCs w:val="20"/>
              </w:rPr>
              <w:t>.” Can qualifying projects be outside of Georgia? </w:t>
            </w:r>
          </w:p>
          <w:p w14:paraId="34712C16"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74B511C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617895B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6A14D982" w14:textId="77777777" w:rsidR="00390F34" w:rsidRPr="00955AC1" w:rsidRDefault="00390F34" w:rsidP="000F6D48">
            <w:pPr>
              <w:textAlignment w:val="baseline"/>
              <w:rPr>
                <w:rFonts w:ascii="Times New Roman" w:eastAsia="Times New Roman" w:hAnsi="Times New Roman" w:cs="Times New Roman"/>
                <w:b/>
                <w:bCs/>
                <w:sz w:val="20"/>
                <w:szCs w:val="20"/>
              </w:rPr>
            </w:pPr>
          </w:p>
        </w:tc>
      </w:tr>
      <w:tr w:rsidR="00390F34" w:rsidRPr="00955AC1" w14:paraId="303EC0CB" w14:textId="77777777" w:rsidTr="64301FE8">
        <w:trPr>
          <w:jc w:val="center"/>
        </w:trPr>
        <w:tc>
          <w:tcPr>
            <w:tcW w:w="1697" w:type="dxa"/>
            <w:shd w:val="clear" w:color="auto" w:fill="auto"/>
            <w:tcMar>
              <w:top w:w="72" w:type="dxa"/>
              <w:left w:w="115" w:type="dxa"/>
              <w:bottom w:w="72" w:type="dxa"/>
              <w:right w:w="115" w:type="dxa"/>
            </w:tcMar>
            <w:vAlign w:val="center"/>
          </w:tcPr>
          <w:p w14:paraId="5B7D97A0"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7C2EC537"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3.17</w:t>
            </w:r>
          </w:p>
          <w:p w14:paraId="2950C4FF"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1AA2216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8E88A84"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Q22_0216_08</w:t>
            </w:r>
            <w:r w:rsidRPr="00955AC1">
              <w:rPr>
                <w:rStyle w:val="eop"/>
                <w:sz w:val="20"/>
                <w:szCs w:val="20"/>
              </w:rPr>
              <w:t>  </w:t>
            </w:r>
          </w:p>
          <w:p w14:paraId="6C16CDD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The QAP states in </w:t>
            </w:r>
            <w:r w:rsidRPr="00955AC1">
              <w:rPr>
                <w:rStyle w:val="normaltextrun"/>
                <w:b/>
                <w:bCs/>
                <w:sz w:val="20"/>
                <w:szCs w:val="20"/>
              </w:rPr>
              <w:t>Scoring, Minority- and Women-Owned Business Engagement, A. Engagement Commitment and Reporting</w:t>
            </w:r>
            <w:r w:rsidRPr="00955AC1">
              <w:rPr>
                <w:rStyle w:val="normaltextrun"/>
                <w:sz w:val="20"/>
                <w:szCs w:val="20"/>
              </w:rPr>
              <w:t>:</w:t>
            </w:r>
            <w:r w:rsidRPr="00955AC1">
              <w:rPr>
                <w:rStyle w:val="eop"/>
                <w:sz w:val="20"/>
                <w:szCs w:val="20"/>
              </w:rPr>
              <w:t> </w:t>
            </w:r>
          </w:p>
          <w:p w14:paraId="41E34317"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4691939C" w14:textId="77777777" w:rsidR="00390F34" w:rsidRPr="00955AC1" w:rsidRDefault="00390F34" w:rsidP="000F6D48">
            <w:pPr>
              <w:pStyle w:val="paragraph"/>
              <w:spacing w:before="0" w:beforeAutospacing="0" w:after="0" w:afterAutospacing="0"/>
              <w:ind w:left="360"/>
              <w:textAlignment w:val="baseline"/>
              <w:rPr>
                <w:sz w:val="20"/>
                <w:szCs w:val="20"/>
              </w:rPr>
            </w:pPr>
            <w:r w:rsidRPr="00955AC1">
              <w:rPr>
                <w:rStyle w:val="normaltextrun"/>
                <w:i/>
                <w:iCs/>
                <w:sz w:val="20"/>
                <w:szCs w:val="20"/>
              </w:rPr>
              <w:t>“Applicant commits to:</w:t>
            </w:r>
            <w:r w:rsidRPr="00955AC1">
              <w:rPr>
                <w:rStyle w:val="eop"/>
                <w:sz w:val="20"/>
                <w:szCs w:val="20"/>
              </w:rPr>
              <w:t> </w:t>
            </w:r>
          </w:p>
          <w:p w14:paraId="59D8A1BC" w14:textId="77777777" w:rsidR="00390F34" w:rsidRPr="00955AC1" w:rsidRDefault="00390F34" w:rsidP="000F6D48">
            <w:pPr>
              <w:pStyle w:val="paragraph"/>
              <w:numPr>
                <w:ilvl w:val="0"/>
                <w:numId w:val="18"/>
              </w:numPr>
              <w:spacing w:before="0" w:beforeAutospacing="0" w:after="0" w:afterAutospacing="0"/>
              <w:ind w:left="1080" w:firstLine="0"/>
              <w:textAlignment w:val="baseline"/>
              <w:rPr>
                <w:sz w:val="20"/>
                <w:szCs w:val="20"/>
              </w:rPr>
            </w:pPr>
            <w:r w:rsidRPr="00955AC1">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955AC1">
              <w:rPr>
                <w:rStyle w:val="eop"/>
                <w:sz w:val="20"/>
                <w:szCs w:val="20"/>
              </w:rPr>
              <w:t> </w:t>
            </w:r>
          </w:p>
          <w:p w14:paraId="66C18FDF"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2AB95167"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955AC1">
              <w:rPr>
                <w:rStyle w:val="eop"/>
                <w:sz w:val="20"/>
                <w:szCs w:val="20"/>
              </w:rPr>
              <w:t> </w:t>
            </w:r>
          </w:p>
          <w:p w14:paraId="2274ABC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70EE65C0"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w:t>
            </w:r>
            <w:r w:rsidRPr="00955AC1">
              <w:rPr>
                <w:rStyle w:val="normaltextrun"/>
                <w:strike/>
                <w:sz w:val="20"/>
                <w:szCs w:val="20"/>
              </w:rPr>
              <w:t> </w:t>
            </w:r>
            <w:r w:rsidRPr="00955AC1">
              <w:rPr>
                <w:rStyle w:val="eop"/>
                <w:sz w:val="20"/>
                <w:szCs w:val="20"/>
              </w:rPr>
              <w:t> </w:t>
            </w:r>
          </w:p>
          <w:p w14:paraId="04C27801"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955AC1">
              <w:rPr>
                <w:rStyle w:val="eop"/>
                <w:sz w:val="20"/>
                <w:szCs w:val="20"/>
              </w:rPr>
              <w:t> </w:t>
            </w:r>
          </w:p>
          <w:p w14:paraId="33827E94" w14:textId="77777777" w:rsidR="00390F34" w:rsidRPr="00955AC1" w:rsidRDefault="00390F34" w:rsidP="000F6D48">
            <w:pPr>
              <w:textAlignment w:val="baseline"/>
              <w:rPr>
                <w:rFonts w:ascii="Times New Roman" w:eastAsia="Times New Roman" w:hAnsi="Times New Roman" w:cs="Times New Roman"/>
                <w:b/>
                <w:bCs/>
                <w:sz w:val="20"/>
                <w:szCs w:val="20"/>
              </w:rPr>
            </w:pPr>
          </w:p>
        </w:tc>
      </w:tr>
      <w:tr w:rsidR="00390F34" w:rsidRPr="00955AC1" w14:paraId="13C56D18" w14:textId="77777777" w:rsidTr="64301FE8">
        <w:trPr>
          <w:jc w:val="center"/>
        </w:trPr>
        <w:tc>
          <w:tcPr>
            <w:tcW w:w="1697" w:type="dxa"/>
            <w:shd w:val="clear" w:color="auto" w:fill="auto"/>
            <w:tcMar>
              <w:top w:w="72" w:type="dxa"/>
              <w:left w:w="115" w:type="dxa"/>
              <w:bottom w:w="72" w:type="dxa"/>
              <w:right w:w="115" w:type="dxa"/>
            </w:tcMar>
            <w:vAlign w:val="center"/>
          </w:tcPr>
          <w:p w14:paraId="7276FB18"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598BAF45"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3.17</w:t>
            </w:r>
          </w:p>
          <w:p w14:paraId="5ECFC51A"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63C96AE2"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1164448"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Q22_0223_05 </w:t>
            </w:r>
          </w:p>
          <w:p w14:paraId="0E465261"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Can non-profits qualify as a WBE/MBE? </w:t>
            </w:r>
          </w:p>
          <w:p w14:paraId="3AD30D0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4DA6E14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161DAC60"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955AC1">
              <w:rPr>
                <w:rFonts w:ascii="Times New Roman" w:eastAsia="Times New Roman" w:hAnsi="Times New Roman" w:cs="Times New Roman"/>
                <w:i/>
                <w:iCs/>
                <w:sz w:val="20"/>
                <w:szCs w:val="20"/>
              </w:rPr>
              <w:t>Scoring Documents and Data</w:t>
            </w:r>
            <w:r w:rsidRPr="00955AC1">
              <w:rPr>
                <w:rFonts w:ascii="Times New Roman" w:eastAsia="Times New Roman" w:hAnsi="Times New Roman" w:cs="Times New Roman"/>
                <w:sz w:val="20"/>
                <w:szCs w:val="20"/>
              </w:rPr>
              <w:t xml:space="preserve"> (</w:t>
            </w:r>
            <w:hyperlink r:id="rId47" w:tgtFrame="_blank" w:history="1">
              <w:r w:rsidRPr="00955AC1">
                <w:rPr>
                  <w:rFonts w:ascii="Times New Roman" w:eastAsia="Times New Roman" w:hAnsi="Times New Roman" w:cs="Times New Roman"/>
                  <w:sz w:val="20"/>
                  <w:szCs w:val="20"/>
                  <w:u w:val="single"/>
                </w:rPr>
                <w:t>click here</w:t>
              </w:r>
            </w:hyperlink>
            <w:r w:rsidRPr="00955AC1">
              <w:rPr>
                <w:rFonts w:ascii="Times New Roman" w:eastAsia="Times New Roman" w:hAnsi="Times New Roman" w:cs="Times New Roman"/>
                <w:sz w:val="20"/>
                <w:szCs w:val="20"/>
              </w:rPr>
              <w:t>).  </w:t>
            </w:r>
          </w:p>
          <w:p w14:paraId="0B6AA636"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15771619"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14978491" w14:textId="77777777" w:rsidR="00390F34" w:rsidRPr="00955AC1" w:rsidRDefault="00390F34" w:rsidP="000F6D48">
            <w:pPr>
              <w:textAlignment w:val="baseline"/>
              <w:rPr>
                <w:rFonts w:ascii="Times New Roman" w:eastAsia="Times New Roman" w:hAnsi="Times New Roman" w:cs="Times New Roman"/>
                <w:b/>
                <w:bCs/>
                <w:sz w:val="20"/>
                <w:szCs w:val="20"/>
              </w:rPr>
            </w:pPr>
          </w:p>
        </w:tc>
      </w:tr>
      <w:tr w:rsidR="00390F34" w:rsidRPr="00955AC1" w14:paraId="16732D5A" w14:textId="77777777" w:rsidTr="64301FE8">
        <w:trPr>
          <w:jc w:val="center"/>
        </w:trPr>
        <w:tc>
          <w:tcPr>
            <w:tcW w:w="1697" w:type="dxa"/>
            <w:shd w:val="clear" w:color="auto" w:fill="auto"/>
            <w:tcMar>
              <w:top w:w="72" w:type="dxa"/>
              <w:left w:w="115" w:type="dxa"/>
              <w:bottom w:w="72" w:type="dxa"/>
              <w:right w:w="115" w:type="dxa"/>
            </w:tcMar>
            <w:vAlign w:val="center"/>
          </w:tcPr>
          <w:p w14:paraId="17F6F0F6"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7786CC87"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2.07</w:t>
            </w:r>
          </w:p>
          <w:p w14:paraId="09615BF8"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7711F58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Q22_0329_02 </w:t>
            </w:r>
          </w:p>
          <w:p w14:paraId="07065F3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We are working on an acquisition rehabilitation, and we received Phase I ESA, dated 5/13/21. We are engaging an update for the report since it will exceed 6 months prior to the firm application. Does DCA require that we also receive an updated noise assessment and STC Calculation &amp; STraCAT Analysis? </w:t>
            </w:r>
          </w:p>
          <w:p w14:paraId="1A7EB88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0A7A428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0F56F7F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Per the DCA 2022 Environmental Manual, Noise Assessment must be completed within one hundred eighty (180) days before Application submission (P.27). An updated complete noise assessment including STC Calculation, STraCAT Analysis &amp; 10-year roadway projections is required. </w:t>
            </w:r>
          </w:p>
        </w:tc>
      </w:tr>
      <w:tr w:rsidR="00390F34" w:rsidRPr="00955AC1" w14:paraId="76A2F63C" w14:textId="77777777" w:rsidTr="64301FE8">
        <w:trPr>
          <w:jc w:val="center"/>
        </w:trPr>
        <w:tc>
          <w:tcPr>
            <w:tcW w:w="1697" w:type="dxa"/>
            <w:shd w:val="clear" w:color="auto" w:fill="auto"/>
            <w:tcMar>
              <w:top w:w="72" w:type="dxa"/>
              <w:left w:w="115" w:type="dxa"/>
              <w:bottom w:w="72" w:type="dxa"/>
              <w:right w:w="115" w:type="dxa"/>
            </w:tcMar>
            <w:vAlign w:val="center"/>
          </w:tcPr>
          <w:p w14:paraId="5B9F83C6"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118F37F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2.07</w:t>
            </w:r>
          </w:p>
          <w:p w14:paraId="3E62F44B"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Threshold Criteria; Environmental Requirements </w:t>
            </w:r>
          </w:p>
        </w:tc>
        <w:tc>
          <w:tcPr>
            <w:tcW w:w="9585" w:type="dxa"/>
            <w:shd w:val="clear" w:color="auto" w:fill="auto"/>
            <w:tcMar>
              <w:top w:w="72" w:type="dxa"/>
              <w:left w:w="115" w:type="dxa"/>
              <w:bottom w:w="72" w:type="dxa"/>
              <w:right w:w="115" w:type="dxa"/>
            </w:tcMar>
            <w:vAlign w:val="center"/>
          </w:tcPr>
          <w:p w14:paraId="7542BAD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Q22_0330_01b </w:t>
            </w:r>
          </w:p>
          <w:p w14:paraId="1C076D0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63EF718C" w14:textId="77777777" w:rsidR="00390F34" w:rsidRPr="00955AC1" w:rsidRDefault="00390F34" w:rsidP="000F6D48">
            <w:pPr>
              <w:textAlignment w:val="baseline"/>
              <w:rPr>
                <w:rFonts w:ascii="Times New Roman" w:eastAsia="Times New Roman" w:hAnsi="Times New Roman" w:cs="Times New Roman"/>
                <w:sz w:val="20"/>
                <w:szCs w:val="20"/>
              </w:rPr>
            </w:pPr>
          </w:p>
          <w:p w14:paraId="73E4024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Since this is part of the Historical Section, would you please confirm that this only applies to properties that are over 50 years old? In our case, we are preparing to renovate an existing project placed in service in 2008 with no new construction proposed. </w:t>
            </w:r>
          </w:p>
          <w:p w14:paraId="0D38C97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5694D7E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272CA42C" w14:textId="77777777" w:rsidR="00390F34" w:rsidRPr="00955AC1" w:rsidRDefault="00390F34" w:rsidP="000F6D48">
            <w:pPr>
              <w:textAlignment w:val="baseline"/>
              <w:rPr>
                <w:rStyle w:val="normaltextrun"/>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No, the Cultural Resources Survey is a minimum document required for the S106 and GEPA review process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390F34" w:rsidRPr="00955AC1" w14:paraId="578C08FC" w14:textId="77777777" w:rsidTr="64301FE8">
        <w:trPr>
          <w:jc w:val="center"/>
        </w:trPr>
        <w:tc>
          <w:tcPr>
            <w:tcW w:w="1697" w:type="dxa"/>
            <w:shd w:val="clear" w:color="auto" w:fill="auto"/>
            <w:tcMar>
              <w:top w:w="72" w:type="dxa"/>
              <w:left w:w="115" w:type="dxa"/>
              <w:bottom w:w="72" w:type="dxa"/>
              <w:right w:w="115" w:type="dxa"/>
            </w:tcMar>
            <w:vAlign w:val="center"/>
          </w:tcPr>
          <w:p w14:paraId="64CD5C39"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3557DD6F"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3.07</w:t>
            </w:r>
          </w:p>
          <w:p w14:paraId="06D6C64A"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Scoring Criteria; </w:t>
            </w:r>
          </w:p>
          <w:p w14:paraId="7881CBF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267B9136"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Q22_0318_01</w:t>
            </w:r>
            <w:r w:rsidRPr="00955AC1">
              <w:rPr>
                <w:rStyle w:val="eop"/>
                <w:sz w:val="20"/>
                <w:szCs w:val="20"/>
              </w:rPr>
              <w:t> </w:t>
            </w:r>
          </w:p>
          <w:p w14:paraId="6D7E9876"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955AC1">
              <w:rPr>
                <w:rStyle w:val="eop"/>
                <w:sz w:val="20"/>
                <w:szCs w:val="20"/>
              </w:rPr>
              <w:t> </w:t>
            </w:r>
          </w:p>
          <w:p w14:paraId="2CABCA86"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558540A2"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740D6B67"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955AC1">
              <w:rPr>
                <w:rStyle w:val="eop"/>
                <w:sz w:val="20"/>
                <w:szCs w:val="20"/>
              </w:rPr>
              <w:t> </w:t>
            </w:r>
            <w:r w:rsidRPr="00955AC1">
              <w:rPr>
                <w:rStyle w:val="eop"/>
                <w:sz w:val="20"/>
                <w:szCs w:val="20"/>
              </w:rPr>
              <w:br/>
            </w:r>
          </w:p>
          <w:p w14:paraId="41DE457B" w14:textId="77777777" w:rsidR="00390F34" w:rsidRPr="00955AC1" w:rsidRDefault="00390F34" w:rsidP="000F6D48">
            <w:pPr>
              <w:pStyle w:val="paragraph"/>
              <w:numPr>
                <w:ilvl w:val="0"/>
                <w:numId w:val="14"/>
              </w:numPr>
              <w:spacing w:before="0" w:beforeAutospacing="0" w:after="0" w:afterAutospacing="0"/>
              <w:ind w:left="1080" w:firstLine="0"/>
              <w:textAlignment w:val="baseline"/>
              <w:rPr>
                <w:sz w:val="20"/>
                <w:szCs w:val="20"/>
              </w:rPr>
            </w:pPr>
            <w:r w:rsidRPr="00955AC1">
              <w:rPr>
                <w:rStyle w:val="normaltextrun"/>
                <w:sz w:val="20"/>
                <w:szCs w:val="20"/>
              </w:rPr>
              <w:t>Confirm the score for each year by referencing the original DOE data for a given year.</w:t>
            </w:r>
            <w:r w:rsidRPr="00955AC1">
              <w:rPr>
                <w:rStyle w:val="eop"/>
                <w:sz w:val="20"/>
                <w:szCs w:val="20"/>
              </w:rPr>
              <w:t> </w:t>
            </w:r>
          </w:p>
          <w:p w14:paraId="071C4B4A" w14:textId="77777777" w:rsidR="00390F34" w:rsidRPr="00955AC1" w:rsidRDefault="000B4E67" w:rsidP="000F6D48">
            <w:pPr>
              <w:pStyle w:val="paragraph"/>
              <w:numPr>
                <w:ilvl w:val="0"/>
                <w:numId w:val="15"/>
              </w:numPr>
              <w:spacing w:before="0" w:beforeAutospacing="0" w:after="0" w:afterAutospacing="0"/>
              <w:ind w:left="1800" w:firstLine="0"/>
              <w:textAlignment w:val="baseline"/>
              <w:rPr>
                <w:sz w:val="20"/>
                <w:szCs w:val="20"/>
              </w:rPr>
            </w:pPr>
            <w:hyperlink r:id="rId48" w:tgtFrame="_blank" w:history="1">
              <w:r w:rsidR="00390F34" w:rsidRPr="00955AC1">
                <w:rPr>
                  <w:rStyle w:val="normaltextrun"/>
                  <w:sz w:val="20"/>
                  <w:szCs w:val="20"/>
                  <w:u w:val="single"/>
                </w:rPr>
                <w:t>(2018 and 2019 data) “College and Career Ready Performance Index”</w:t>
              </w:r>
            </w:hyperlink>
            <w:r w:rsidR="00390F34" w:rsidRPr="00955AC1">
              <w:rPr>
                <w:rStyle w:val="eop"/>
                <w:sz w:val="20"/>
                <w:szCs w:val="20"/>
              </w:rPr>
              <w:t> </w:t>
            </w:r>
          </w:p>
          <w:p w14:paraId="638113EC" w14:textId="77777777" w:rsidR="00390F34" w:rsidRPr="00955AC1" w:rsidRDefault="000B4E67" w:rsidP="000F6D48">
            <w:pPr>
              <w:pStyle w:val="paragraph"/>
              <w:numPr>
                <w:ilvl w:val="0"/>
                <w:numId w:val="16"/>
              </w:numPr>
              <w:spacing w:before="0" w:beforeAutospacing="0" w:after="0" w:afterAutospacing="0"/>
              <w:ind w:left="1800" w:firstLine="0"/>
              <w:textAlignment w:val="baseline"/>
              <w:rPr>
                <w:sz w:val="20"/>
                <w:szCs w:val="20"/>
              </w:rPr>
            </w:pPr>
            <w:hyperlink r:id="rId49" w:tgtFrame="_blank" w:history="1">
              <w:r w:rsidR="00390F34" w:rsidRPr="00955AC1">
                <w:rPr>
                  <w:rStyle w:val="normaltextrun"/>
                  <w:sz w:val="20"/>
                  <w:szCs w:val="20"/>
                  <w:u w:val="single"/>
                </w:rPr>
                <w:t>(2015 through 2017 data) “Archived CCRPI Data Files”</w:t>
              </w:r>
            </w:hyperlink>
            <w:r w:rsidR="00390F34" w:rsidRPr="00955AC1">
              <w:rPr>
                <w:rStyle w:val="eop"/>
                <w:sz w:val="20"/>
                <w:szCs w:val="20"/>
              </w:rPr>
              <w:t> </w:t>
            </w:r>
          </w:p>
          <w:p w14:paraId="69E62DDB" w14:textId="77777777" w:rsidR="00390F34" w:rsidRPr="00955AC1" w:rsidRDefault="00390F34" w:rsidP="000F6D48">
            <w:pPr>
              <w:pStyle w:val="paragraph"/>
              <w:numPr>
                <w:ilvl w:val="0"/>
                <w:numId w:val="17"/>
              </w:numPr>
              <w:spacing w:before="0" w:beforeAutospacing="0" w:after="0" w:afterAutospacing="0"/>
              <w:ind w:left="1080" w:firstLine="0"/>
              <w:textAlignment w:val="baseline"/>
              <w:rPr>
                <w:sz w:val="20"/>
                <w:szCs w:val="20"/>
              </w:rPr>
            </w:pPr>
            <w:r w:rsidRPr="00955AC1">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955AC1">
              <w:rPr>
                <w:rStyle w:val="eop"/>
                <w:sz w:val="20"/>
                <w:szCs w:val="20"/>
              </w:rPr>
              <w:t> </w:t>
            </w:r>
          </w:p>
          <w:p w14:paraId="3E7A24B1" w14:textId="77777777" w:rsidR="00390F34" w:rsidRPr="00955AC1" w:rsidRDefault="00390F34" w:rsidP="000F6D48">
            <w:pPr>
              <w:pStyle w:val="paragraph"/>
              <w:numPr>
                <w:ilvl w:val="0"/>
                <w:numId w:val="17"/>
              </w:numPr>
              <w:spacing w:before="0" w:beforeAutospacing="0" w:after="0" w:afterAutospacing="0"/>
              <w:ind w:left="1080" w:firstLine="0"/>
              <w:textAlignment w:val="baseline"/>
              <w:rPr>
                <w:sz w:val="20"/>
                <w:szCs w:val="20"/>
              </w:rPr>
            </w:pPr>
            <w:r w:rsidRPr="00955AC1">
              <w:rPr>
                <w:rStyle w:val="normaltextrun"/>
                <w:sz w:val="20"/>
                <w:szCs w:val="20"/>
              </w:rPr>
              <w:t>Submit evidence with your tax credit application for any year(s) that a CCRPI score is incorrectly or inconsistently represented in “Option C-Scoring Data.xlsx”.</w:t>
            </w:r>
            <w:r w:rsidRPr="00955AC1">
              <w:rPr>
                <w:rStyle w:val="eop"/>
                <w:sz w:val="20"/>
                <w:szCs w:val="20"/>
              </w:rPr>
              <w:t> </w:t>
            </w:r>
          </w:p>
          <w:p w14:paraId="6EDE76FC"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678795D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The above instructions are from </w:t>
            </w:r>
            <w:r w:rsidRPr="00955AC1">
              <w:rPr>
                <w:rStyle w:val="normaltextrun"/>
                <w:i/>
                <w:iCs/>
                <w:sz w:val="20"/>
                <w:szCs w:val="20"/>
              </w:rPr>
              <w:t xml:space="preserve">Quality Education Areas, Scoring Instructions </w:t>
            </w:r>
            <w:r w:rsidRPr="00955AC1">
              <w:rPr>
                <w:rStyle w:val="normaltextrun"/>
                <w:sz w:val="20"/>
                <w:szCs w:val="20"/>
              </w:rPr>
              <w:t>posted previously to the DCA website (</w:t>
            </w:r>
            <w:hyperlink r:id="rId50" w:tgtFrame="_blank" w:history="1">
              <w:r w:rsidRPr="00955AC1">
                <w:rPr>
                  <w:rStyle w:val="normaltextrun"/>
                  <w:sz w:val="20"/>
                  <w:szCs w:val="20"/>
                  <w:u w:val="single"/>
                </w:rPr>
                <w:t>click here</w:t>
              </w:r>
            </w:hyperlink>
            <w:r w:rsidRPr="00955AC1">
              <w:rPr>
                <w:rStyle w:val="normaltextrun"/>
                <w:sz w:val="20"/>
                <w:szCs w:val="20"/>
              </w:rPr>
              <w:t>).</w:t>
            </w:r>
            <w:r w:rsidRPr="00955AC1">
              <w:rPr>
                <w:rStyle w:val="eop"/>
                <w:sz w:val="20"/>
                <w:szCs w:val="20"/>
              </w:rPr>
              <w:t> </w:t>
            </w:r>
          </w:p>
        </w:tc>
      </w:tr>
      <w:tr w:rsidR="00390F34" w:rsidRPr="00955AC1" w14:paraId="34510B49" w14:textId="77777777" w:rsidTr="64301FE8">
        <w:trPr>
          <w:jc w:val="center"/>
        </w:trPr>
        <w:tc>
          <w:tcPr>
            <w:tcW w:w="1697" w:type="dxa"/>
            <w:shd w:val="clear" w:color="auto" w:fill="auto"/>
            <w:tcMar>
              <w:top w:w="72" w:type="dxa"/>
              <w:left w:w="115" w:type="dxa"/>
              <w:bottom w:w="72" w:type="dxa"/>
              <w:right w:w="115" w:type="dxa"/>
            </w:tcMar>
            <w:vAlign w:val="center"/>
          </w:tcPr>
          <w:p w14:paraId="32418802"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170B941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3.21</w:t>
            </w:r>
          </w:p>
          <w:p w14:paraId="323DD8C7"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09B225A2"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125A7B71"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Q22_0331_01</w:t>
            </w:r>
            <w:r w:rsidRPr="00955AC1">
              <w:rPr>
                <w:rStyle w:val="eop"/>
                <w:sz w:val="20"/>
                <w:szCs w:val="20"/>
              </w:rPr>
              <w:t> </w:t>
            </w:r>
          </w:p>
          <w:p w14:paraId="343E4B62" w14:textId="77777777" w:rsidR="00390F34" w:rsidRPr="00955AC1" w:rsidRDefault="00390F34" w:rsidP="000F6D48">
            <w:pPr>
              <w:pStyle w:val="paragraph"/>
              <w:spacing w:before="0" w:beforeAutospacing="0" w:after="0" w:afterAutospacing="0"/>
              <w:textAlignment w:val="baseline"/>
              <w:rPr>
                <w:rStyle w:val="normaltextrun"/>
                <w:sz w:val="20"/>
                <w:szCs w:val="20"/>
              </w:rPr>
            </w:pPr>
            <w:r w:rsidRPr="00955AC1">
              <w:rPr>
                <w:rStyle w:val="normaltextrun"/>
                <w:sz w:val="20"/>
                <w:szCs w:val="20"/>
              </w:rPr>
              <w:t xml:space="preserve">Project Specific Question:  Will the following qualify for the 4 Favorable Financing Points under 2022 QAP Scoring Section </w:t>
            </w:r>
            <w:r w:rsidRPr="00955AC1">
              <w:rPr>
                <w:rStyle w:val="contextualspellingandgrammarerror"/>
                <w:rFonts w:eastAsiaTheme="majorEastAsia"/>
                <w:sz w:val="20"/>
                <w:szCs w:val="20"/>
              </w:rPr>
              <w:t>XXI?|</w:t>
            </w:r>
            <w:r w:rsidRPr="00955AC1">
              <w:rPr>
                <w:rStyle w:val="normaltextrun"/>
                <w:sz w:val="20"/>
                <w:szCs w:val="20"/>
              </w:rPr>
              <w:t>|1. City grants/loans [_____________] to the City Housing Authority for the purpose of lending the funds to the Applicant under Scoring Section XXI.A. The City Housing Authority would serve as the conduit lender since the actual City is limited under Georgia law on its ability to make loans directly (whereas the City can make loans through its authorities)…</w:t>
            </w:r>
            <w:r w:rsidRPr="00955AC1">
              <w:rPr>
                <w:rStyle w:val="normaltextrun"/>
                <w:i/>
                <w:iCs/>
                <w:sz w:val="20"/>
                <w:szCs w:val="20"/>
              </w:rPr>
              <w:t>[remainder of question removed]</w:t>
            </w:r>
            <w:r w:rsidRPr="00955AC1">
              <w:rPr>
                <w:rStyle w:val="normaltextrun"/>
                <w:sz w:val="20"/>
                <w:szCs w:val="20"/>
              </w:rPr>
              <w:t xml:space="preserve"> </w:t>
            </w:r>
          </w:p>
          <w:p w14:paraId="54DEC452" w14:textId="77777777" w:rsidR="00390F34" w:rsidRPr="00955AC1" w:rsidRDefault="00390F34" w:rsidP="000F6D48">
            <w:pPr>
              <w:pStyle w:val="paragraph"/>
              <w:spacing w:before="0" w:beforeAutospacing="0" w:after="0" w:afterAutospacing="0"/>
              <w:textAlignment w:val="baseline"/>
              <w:rPr>
                <w:sz w:val="20"/>
                <w:szCs w:val="20"/>
              </w:rPr>
            </w:pPr>
          </w:p>
          <w:p w14:paraId="011E4FD7"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02E99A9D" w14:textId="77777777" w:rsidR="00390F34" w:rsidRPr="00955AC1" w:rsidRDefault="00390F34" w:rsidP="000F6D48">
            <w:pPr>
              <w:pStyle w:val="paragraph"/>
              <w:spacing w:before="0" w:beforeAutospacing="0" w:after="0" w:afterAutospacing="0"/>
              <w:textAlignment w:val="baseline"/>
              <w:rPr>
                <w:rStyle w:val="eop"/>
                <w:sz w:val="20"/>
                <w:szCs w:val="20"/>
              </w:rPr>
            </w:pPr>
            <w:r w:rsidRPr="00955AC1">
              <w:rPr>
                <w:rStyle w:val="normaltextrun"/>
                <w:b/>
                <w:bCs/>
                <w:sz w:val="20"/>
                <w:szCs w:val="20"/>
              </w:rPr>
              <w:t>Answer</w:t>
            </w:r>
            <w:r w:rsidRPr="00955AC1">
              <w:rPr>
                <w:rStyle w:val="normaltextrun"/>
                <w:sz w:val="20"/>
                <w:szCs w:val="20"/>
              </w:rPr>
              <w:t>:</w:t>
            </w:r>
            <w:r w:rsidRPr="00955AC1">
              <w:rPr>
                <w:rStyle w:val="eop"/>
                <w:sz w:val="20"/>
                <w:szCs w:val="20"/>
              </w:rPr>
              <w:t> </w:t>
            </w:r>
          </w:p>
          <w:p w14:paraId="56DD32A8" w14:textId="77777777" w:rsidR="00390F34" w:rsidRPr="00955AC1" w:rsidRDefault="00390F34" w:rsidP="000F6D48">
            <w:pPr>
              <w:pStyle w:val="paragraph"/>
              <w:spacing w:before="0" w:beforeAutospacing="0" w:after="0" w:afterAutospacing="0"/>
              <w:textAlignment w:val="baseline"/>
              <w:rPr>
                <w:sz w:val="20"/>
                <w:szCs w:val="20"/>
              </w:rPr>
            </w:pPr>
            <w:r w:rsidRPr="00955AC1">
              <w:rPr>
                <w:sz w:val="20"/>
                <w:szCs w:val="20"/>
              </w:rPr>
              <w:t xml:space="preserve">First, please note that per </w:t>
            </w:r>
            <w:r w:rsidRPr="00955AC1">
              <w:rPr>
                <w:i/>
                <w:iCs/>
                <w:sz w:val="20"/>
                <w:szCs w:val="20"/>
              </w:rPr>
              <w:t>Part I: Overview</w:t>
            </w:r>
            <w:r w:rsidRPr="00955AC1">
              <w:rPr>
                <w:sz w:val="20"/>
                <w:szCs w:val="20"/>
              </w:rPr>
              <w:t xml:space="preserve"> of this Q&amp;A document, DCA does not have a separate process for project-specific questions. All questions are addressed publicly. </w:t>
            </w:r>
          </w:p>
          <w:p w14:paraId="7EED3027" w14:textId="77777777" w:rsidR="00390F34" w:rsidRPr="00955AC1" w:rsidRDefault="00390F34" w:rsidP="000F6D48">
            <w:pPr>
              <w:pStyle w:val="paragraph"/>
              <w:spacing w:before="0" w:beforeAutospacing="0" w:after="0" w:afterAutospacing="0"/>
              <w:textAlignment w:val="baseline"/>
              <w:rPr>
                <w:sz w:val="20"/>
                <w:szCs w:val="20"/>
              </w:rPr>
            </w:pPr>
            <w:r w:rsidRPr="00955AC1">
              <w:rPr>
                <w:sz w:val="20"/>
                <w:szCs w:val="20"/>
              </w:rPr>
              <w:t xml:space="preserve"> </w:t>
            </w:r>
          </w:p>
          <w:p w14:paraId="6C5D46F2" w14:textId="77777777" w:rsidR="00390F34" w:rsidRPr="00955AC1" w:rsidRDefault="00390F34" w:rsidP="000F6D48">
            <w:pPr>
              <w:pStyle w:val="paragraph"/>
              <w:spacing w:before="0" w:beforeAutospacing="0" w:after="0" w:afterAutospacing="0"/>
              <w:textAlignment w:val="baseline"/>
              <w:rPr>
                <w:rStyle w:val="eop"/>
                <w:sz w:val="20"/>
                <w:szCs w:val="20"/>
              </w:rPr>
            </w:pPr>
            <w:r w:rsidRPr="00955AC1">
              <w:rPr>
                <w:rStyle w:val="normaltextrun"/>
                <w:sz w:val="20"/>
                <w:szCs w:val="20"/>
              </w:rPr>
              <w:t xml:space="preserve">We have included the portion of the question above that asks: “Do Public Housing Authorities qualify as a ‘local’ entity for purposes of subsection </w:t>
            </w:r>
            <w:r w:rsidRPr="00955AC1">
              <w:rPr>
                <w:rStyle w:val="normaltextrun"/>
                <w:b/>
                <w:bCs/>
                <w:sz w:val="20"/>
                <w:szCs w:val="20"/>
              </w:rPr>
              <w:t>A. Qualifying Sources for Favorable Financing</w:t>
            </w:r>
            <w:r w:rsidRPr="00955AC1">
              <w:rPr>
                <w:rStyle w:val="normaltextrun"/>
                <w:sz w:val="20"/>
                <w:szCs w:val="20"/>
              </w:rPr>
              <w:t>, option 11. Other Federal, State, or local grant funds or loans?” </w:t>
            </w:r>
            <w:r w:rsidRPr="00955AC1">
              <w:rPr>
                <w:rStyle w:val="eop"/>
                <w:sz w:val="20"/>
                <w:szCs w:val="20"/>
              </w:rPr>
              <w:t> </w:t>
            </w:r>
          </w:p>
          <w:p w14:paraId="517798A4" w14:textId="77777777" w:rsidR="00390F34" w:rsidRPr="00955AC1" w:rsidRDefault="00390F34" w:rsidP="000F6D48">
            <w:pPr>
              <w:pStyle w:val="paragraph"/>
              <w:numPr>
                <w:ilvl w:val="0"/>
                <w:numId w:val="4"/>
              </w:numPr>
              <w:spacing w:before="0" w:beforeAutospacing="0" w:after="0" w:afterAutospacing="0"/>
              <w:textAlignment w:val="baseline"/>
              <w:rPr>
                <w:sz w:val="20"/>
                <w:szCs w:val="20"/>
              </w:rPr>
            </w:pPr>
            <w:r w:rsidRPr="00955AC1">
              <w:rPr>
                <w:rStyle w:val="normaltextrun"/>
                <w:sz w:val="20"/>
                <w:szCs w:val="20"/>
              </w:rPr>
              <w:t>The answer to this question is, “Yes. PHAs qualify as a ‘local’ entity for purposes of option 11.” </w:t>
            </w:r>
            <w:r w:rsidRPr="00955AC1">
              <w:rPr>
                <w:rStyle w:val="eop"/>
                <w:sz w:val="20"/>
                <w:szCs w:val="20"/>
              </w:rPr>
              <w:t> </w:t>
            </w:r>
          </w:p>
          <w:p w14:paraId="7427A69D"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302FC97A"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955AC1">
              <w:rPr>
                <w:rStyle w:val="eop"/>
                <w:sz w:val="20"/>
                <w:szCs w:val="20"/>
              </w:rPr>
              <w:t> </w:t>
            </w:r>
          </w:p>
        </w:tc>
      </w:tr>
      <w:tr w:rsidR="00390F34" w:rsidRPr="00955AC1" w14:paraId="53935280" w14:textId="77777777" w:rsidTr="64301FE8">
        <w:trPr>
          <w:jc w:val="center"/>
        </w:trPr>
        <w:tc>
          <w:tcPr>
            <w:tcW w:w="1697" w:type="dxa"/>
            <w:shd w:val="clear" w:color="auto" w:fill="auto"/>
            <w:tcMar>
              <w:top w:w="72" w:type="dxa"/>
              <w:left w:w="115" w:type="dxa"/>
              <w:bottom w:w="72" w:type="dxa"/>
              <w:right w:w="115" w:type="dxa"/>
            </w:tcMar>
            <w:vAlign w:val="center"/>
          </w:tcPr>
          <w:p w14:paraId="242AD1AD"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19BAB1B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3.05</w:t>
            </w:r>
          </w:p>
          <w:p w14:paraId="2A417BF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2D3DD0E8"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rFonts w:eastAsia="MS Mincho"/>
                <w:sz w:val="20"/>
                <w:szCs w:val="20"/>
              </w:rPr>
              <w:t xml:space="preserve">: </w:t>
            </w:r>
            <w:r w:rsidRPr="00955AC1">
              <w:rPr>
                <w:rStyle w:val="normaltextrun"/>
                <w:sz w:val="20"/>
                <w:szCs w:val="20"/>
              </w:rPr>
              <w:t>Q22_0107_01</w:t>
            </w:r>
            <w:r w:rsidRPr="00955AC1">
              <w:rPr>
                <w:rStyle w:val="eop"/>
                <w:sz w:val="20"/>
                <w:szCs w:val="20"/>
              </w:rPr>
              <w:t> </w:t>
            </w:r>
          </w:p>
          <w:p w14:paraId="378418C4"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Regarding </w:t>
            </w:r>
            <w:r w:rsidRPr="00955AC1">
              <w:rPr>
                <w:rStyle w:val="normaltextrun"/>
                <w:rFonts w:eastAsia="MS Mincho"/>
                <w:sz w:val="20"/>
                <w:szCs w:val="20"/>
              </w:rPr>
              <w:t>(</w:t>
            </w:r>
            <w:r w:rsidRPr="00955AC1">
              <w:rPr>
                <w:rStyle w:val="normaltextrun"/>
                <w:b/>
                <w:bCs/>
                <w:sz w:val="20"/>
                <w:szCs w:val="20"/>
              </w:rPr>
              <w:t>Scoring Criteria) Desirable/Undesirable Activities</w:t>
            </w:r>
            <w:r w:rsidRPr="00955AC1">
              <w:rPr>
                <w:rStyle w:val="normaltextrun"/>
                <w:sz w:val="20"/>
                <w:szCs w:val="20"/>
              </w:rPr>
              <w:t>, subsection</w:t>
            </w:r>
            <w:r w:rsidRPr="00955AC1">
              <w:rPr>
                <w:rStyle w:val="normaltextrun"/>
                <w:rFonts w:eastAsia="MS Mincho"/>
                <w:b/>
                <w:bCs/>
                <w:sz w:val="20"/>
                <w:szCs w:val="20"/>
              </w:rPr>
              <w:t xml:space="preserve"> </w:t>
            </w:r>
            <w:r w:rsidRPr="00955AC1">
              <w:rPr>
                <w:rStyle w:val="normaltextrun"/>
                <w:b/>
                <w:bCs/>
                <w:sz w:val="20"/>
                <w:szCs w:val="20"/>
              </w:rPr>
              <w:t>A. Desirable Activities, 2. Eligibility</w:t>
            </w:r>
            <w:r w:rsidRPr="00955AC1">
              <w:rPr>
                <w:rStyle w:val="normaltextrun"/>
                <w:rFonts w:eastAsia="MS Mincho"/>
                <w:sz w:val="20"/>
                <w:szCs w:val="20"/>
              </w:rPr>
              <w:t xml:space="preserve"> </w:t>
            </w:r>
            <w:r w:rsidRPr="00955AC1">
              <w:rPr>
                <w:rStyle w:val="normaltextrun"/>
                <w:sz w:val="20"/>
                <w:szCs w:val="20"/>
              </w:rPr>
              <w:t>option (b): “Retail/clothing/department store (full range of clothing/household items)</w:t>
            </w:r>
            <w:r w:rsidRPr="00955AC1">
              <w:rPr>
                <w:rStyle w:val="normaltextrun"/>
                <w:rFonts w:eastAsia="MS Mincho"/>
                <w:sz w:val="20"/>
                <w:szCs w:val="20"/>
              </w:rPr>
              <w:t>.” </w:t>
            </w:r>
            <w:r w:rsidRPr="00955AC1">
              <w:rPr>
                <w:rStyle w:val="eop"/>
                <w:rFonts w:eastAsia="MS Mincho"/>
                <w:sz w:val="20"/>
                <w:szCs w:val="20"/>
              </w:rPr>
              <w:t> </w:t>
            </w:r>
          </w:p>
          <w:p w14:paraId="61B6F1CA"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rFonts w:eastAsia="MS Mincho"/>
                <w:sz w:val="20"/>
                <w:szCs w:val="20"/>
              </w:rPr>
              <w:t> </w:t>
            </w:r>
          </w:p>
          <w:p w14:paraId="4266C360"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What is defined as a </w:t>
            </w:r>
            <w:r w:rsidRPr="00955AC1">
              <w:rPr>
                <w:rStyle w:val="normaltextrun"/>
                <w:rFonts w:eastAsia="MS Mincho"/>
                <w:sz w:val="20"/>
                <w:szCs w:val="20"/>
              </w:rPr>
              <w:t>“</w:t>
            </w:r>
            <w:r w:rsidRPr="00955AC1">
              <w:rPr>
                <w:rStyle w:val="normaltextrun"/>
                <w:sz w:val="20"/>
                <w:szCs w:val="20"/>
              </w:rPr>
              <w:t>household item?</w:t>
            </w:r>
            <w:r w:rsidRPr="00955AC1">
              <w:rPr>
                <w:rStyle w:val="normaltextrun"/>
                <w:rFonts w:eastAsia="MS Mincho"/>
                <w:sz w:val="20"/>
                <w:szCs w:val="20"/>
              </w:rPr>
              <w:t>”</w:t>
            </w:r>
            <w:r w:rsidRPr="00955AC1">
              <w:rPr>
                <w:rStyle w:val="eop"/>
                <w:rFonts w:eastAsia="MS Mincho"/>
                <w:sz w:val="20"/>
                <w:szCs w:val="20"/>
              </w:rPr>
              <w:t> </w:t>
            </w:r>
          </w:p>
          <w:p w14:paraId="7B62106A"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rFonts w:eastAsia="MS Mincho"/>
                <w:sz w:val="20"/>
                <w:szCs w:val="20"/>
              </w:rPr>
              <w:t> </w:t>
            </w:r>
          </w:p>
          <w:p w14:paraId="7C1CAAD7"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rFonts w:eastAsia="MS Mincho"/>
                <w:sz w:val="20"/>
                <w:szCs w:val="20"/>
              </w:rPr>
              <w:t>:</w:t>
            </w:r>
            <w:r w:rsidRPr="00955AC1">
              <w:rPr>
                <w:rStyle w:val="eop"/>
                <w:rFonts w:eastAsia="MS Mincho"/>
                <w:sz w:val="20"/>
                <w:szCs w:val="20"/>
              </w:rPr>
              <w:t> </w:t>
            </w:r>
          </w:p>
          <w:p w14:paraId="72D2EF84" w14:textId="77777777" w:rsidR="00390F34" w:rsidRPr="00955AC1" w:rsidRDefault="00390F34" w:rsidP="000F6D48">
            <w:pPr>
              <w:pStyle w:val="paragraph"/>
              <w:spacing w:before="0" w:beforeAutospacing="0" w:after="0" w:afterAutospacing="0"/>
              <w:textAlignment w:val="baseline"/>
              <w:rPr>
                <w:rStyle w:val="eop"/>
                <w:sz w:val="20"/>
                <w:szCs w:val="20"/>
              </w:rPr>
            </w:pPr>
            <w:r w:rsidRPr="00955AC1">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955AC1">
              <w:rPr>
                <w:rStyle w:val="eop"/>
                <w:sz w:val="20"/>
                <w:szCs w:val="20"/>
              </w:rPr>
              <w:t> </w:t>
            </w:r>
          </w:p>
          <w:p w14:paraId="213B8D12" w14:textId="77777777" w:rsidR="00390F34" w:rsidRPr="00955AC1" w:rsidRDefault="00390F34" w:rsidP="000F6D48">
            <w:pPr>
              <w:pStyle w:val="paragraph"/>
              <w:spacing w:before="0" w:beforeAutospacing="0" w:after="0" w:afterAutospacing="0"/>
              <w:textAlignment w:val="baseline"/>
              <w:rPr>
                <w:sz w:val="20"/>
                <w:szCs w:val="20"/>
              </w:rPr>
            </w:pPr>
          </w:p>
          <w:p w14:paraId="049FB798"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For example: </w:t>
            </w:r>
            <w:r w:rsidRPr="00955AC1">
              <w:rPr>
                <w:rStyle w:val="eop"/>
                <w:sz w:val="20"/>
                <w:szCs w:val="20"/>
              </w:rPr>
              <w:t> </w:t>
            </w:r>
          </w:p>
          <w:p w14:paraId="7E5303B4" w14:textId="77777777" w:rsidR="00390F34" w:rsidRPr="00955AC1" w:rsidRDefault="00390F34" w:rsidP="000F6D48">
            <w:pPr>
              <w:pStyle w:val="paragraph"/>
              <w:numPr>
                <w:ilvl w:val="0"/>
                <w:numId w:val="11"/>
              </w:numPr>
              <w:spacing w:before="0" w:beforeAutospacing="0" w:after="0" w:afterAutospacing="0"/>
              <w:textAlignment w:val="baseline"/>
              <w:rPr>
                <w:rStyle w:val="eop"/>
                <w:sz w:val="20"/>
                <w:szCs w:val="20"/>
              </w:rPr>
            </w:pPr>
            <w:r w:rsidRPr="00955AC1">
              <w:rPr>
                <w:rStyle w:val="normaltextrun"/>
                <w:sz w:val="20"/>
                <w:szCs w:val="20"/>
              </w:rPr>
              <w:t>A store that focuses on one type of merchandise would not qualify under this option, except for clothing because it is stated explicitly in the QAP. </w:t>
            </w:r>
            <w:r w:rsidRPr="00955AC1">
              <w:rPr>
                <w:rStyle w:val="eop"/>
                <w:sz w:val="20"/>
                <w:szCs w:val="20"/>
              </w:rPr>
              <w:t> </w:t>
            </w:r>
          </w:p>
          <w:p w14:paraId="51C20727" w14:textId="77777777" w:rsidR="00390F34" w:rsidRPr="00955AC1" w:rsidRDefault="00390F34" w:rsidP="000F6D48">
            <w:pPr>
              <w:pStyle w:val="paragraph"/>
              <w:numPr>
                <w:ilvl w:val="0"/>
                <w:numId w:val="11"/>
              </w:numPr>
              <w:spacing w:before="0" w:beforeAutospacing="0" w:after="0" w:afterAutospacing="0"/>
              <w:textAlignment w:val="baseline"/>
              <w:rPr>
                <w:rStyle w:val="eop"/>
                <w:sz w:val="20"/>
                <w:szCs w:val="20"/>
              </w:rPr>
            </w:pPr>
            <w:r w:rsidRPr="00955AC1">
              <w:rPr>
                <w:rStyle w:val="normaltextrun"/>
                <w:sz w:val="20"/>
                <w:szCs w:val="20"/>
              </w:rPr>
              <w:t>An example of a store that has been approved as selling a “full range” of household items in the past is Family Dollar. </w:t>
            </w:r>
            <w:r w:rsidRPr="00955AC1">
              <w:rPr>
                <w:rStyle w:val="eop"/>
                <w:sz w:val="20"/>
                <w:szCs w:val="20"/>
              </w:rPr>
              <w:t> </w:t>
            </w:r>
          </w:p>
          <w:p w14:paraId="1B993943" w14:textId="77777777" w:rsidR="00390F34" w:rsidRPr="00955AC1" w:rsidRDefault="00390F34" w:rsidP="000F6D48">
            <w:pPr>
              <w:pStyle w:val="paragraph"/>
              <w:numPr>
                <w:ilvl w:val="0"/>
                <w:numId w:val="11"/>
              </w:numPr>
              <w:spacing w:before="0" w:beforeAutospacing="0" w:after="0" w:afterAutospacing="0"/>
              <w:textAlignment w:val="baseline"/>
              <w:rPr>
                <w:sz w:val="20"/>
                <w:szCs w:val="20"/>
              </w:rPr>
            </w:pPr>
            <w:r w:rsidRPr="00955AC1">
              <w:rPr>
                <w:rStyle w:val="normaltextrun"/>
                <w:sz w:val="20"/>
                <w:szCs w:val="20"/>
              </w:rPr>
              <w:t>An example of a store that has been denied eligibility is a gas station with a convenience store (denied due to the limited range of merchandise sold). </w:t>
            </w:r>
            <w:r w:rsidRPr="00955AC1">
              <w:rPr>
                <w:rStyle w:val="eop"/>
                <w:sz w:val="20"/>
                <w:szCs w:val="20"/>
              </w:rPr>
              <w:t> </w:t>
            </w:r>
            <w:r w:rsidRPr="00955AC1">
              <w:rPr>
                <w:rStyle w:val="eop"/>
                <w:sz w:val="20"/>
                <w:szCs w:val="20"/>
              </w:rPr>
              <w:br/>
            </w:r>
          </w:p>
          <w:p w14:paraId="60368DDD"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As stated in </w:t>
            </w:r>
            <w:r w:rsidRPr="00955AC1">
              <w:rPr>
                <w:rStyle w:val="normaltextrun"/>
                <w:b/>
                <w:bCs/>
                <w:sz w:val="20"/>
                <w:szCs w:val="20"/>
              </w:rPr>
              <w:t>(Scoring Criteria) Documentation and Justifications</w:t>
            </w:r>
            <w:r w:rsidRPr="00955AC1">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27ED3EEA" w14:textId="77777777" w:rsidR="00390F34" w:rsidRPr="00955AC1" w:rsidRDefault="00390F34" w:rsidP="000F6D48">
            <w:pPr>
              <w:textAlignment w:val="baseline"/>
              <w:rPr>
                <w:rFonts w:ascii="Times New Roman" w:eastAsia="Times New Roman" w:hAnsi="Times New Roman" w:cs="Times New Roman"/>
                <w:b/>
                <w:bCs/>
                <w:sz w:val="20"/>
                <w:szCs w:val="20"/>
              </w:rPr>
            </w:pPr>
          </w:p>
        </w:tc>
      </w:tr>
      <w:tr w:rsidR="00390F34" w:rsidRPr="00955AC1" w14:paraId="3E2F6160" w14:textId="77777777" w:rsidTr="64301FE8">
        <w:trPr>
          <w:jc w:val="center"/>
        </w:trPr>
        <w:tc>
          <w:tcPr>
            <w:tcW w:w="1697" w:type="dxa"/>
            <w:shd w:val="clear" w:color="auto" w:fill="auto"/>
            <w:tcMar>
              <w:top w:w="72" w:type="dxa"/>
              <w:left w:w="115" w:type="dxa"/>
              <w:bottom w:w="72" w:type="dxa"/>
              <w:right w:w="115" w:type="dxa"/>
            </w:tcMar>
            <w:vAlign w:val="center"/>
          </w:tcPr>
          <w:p w14:paraId="55D0DAE1"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4869D68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3.17</w:t>
            </w:r>
          </w:p>
          <w:p w14:paraId="1F5815B8"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1146066B"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Minority- and Women-owned Business Engagement </w:t>
            </w:r>
          </w:p>
        </w:tc>
        <w:tc>
          <w:tcPr>
            <w:tcW w:w="9585" w:type="dxa"/>
            <w:shd w:val="clear" w:color="auto" w:fill="auto"/>
            <w:tcMar>
              <w:top w:w="72" w:type="dxa"/>
              <w:left w:w="115" w:type="dxa"/>
              <w:bottom w:w="72" w:type="dxa"/>
              <w:right w:w="115" w:type="dxa"/>
            </w:tcMar>
            <w:vAlign w:val="center"/>
          </w:tcPr>
          <w:p w14:paraId="4670F0C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Q22_0328_01 </w:t>
            </w:r>
          </w:p>
          <w:p w14:paraId="75D25EE1"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Per the QAP’s definition of “Related Parties,” I am a Related Party to a qualified developer. </w:t>
            </w:r>
            <w:r w:rsidRPr="00955AC1">
              <w:rPr>
                <w:rFonts w:ascii="Times New Roman" w:eastAsia="Times New Roman" w:hAnsi="Times New Roman" w:cs="Times New Roman"/>
                <w:b/>
                <w:bCs/>
                <w:sz w:val="20"/>
                <w:szCs w:val="20"/>
              </w:rPr>
              <w:t>(Scoring Criteria) Minority- and Women-Owned Business Engagement</w:t>
            </w:r>
            <w:r w:rsidRPr="00955AC1">
              <w:rPr>
                <w:rFonts w:ascii="Times New Roman" w:eastAsia="Times New Roman" w:hAnsi="Times New Roman" w:cs="Times New Roman"/>
                <w:sz w:val="20"/>
                <w:szCs w:val="20"/>
              </w:rPr>
              <w:t xml:space="preserve"> states that one of the requirements of a “Qualified Business” (QB) is:  </w:t>
            </w:r>
          </w:p>
          <w:p w14:paraId="228ED45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5C7548DA" w14:textId="77777777" w:rsidR="00390F34" w:rsidRPr="00955AC1" w:rsidRDefault="00390F34" w:rsidP="000F6D48">
            <w:pPr>
              <w:ind w:left="72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w:t>
            </w:r>
            <w:r w:rsidRPr="00955AC1">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955AC1">
              <w:rPr>
                <w:rFonts w:ascii="Times New Roman" w:eastAsia="Times New Roman" w:hAnsi="Times New Roman" w:cs="Times New Roman"/>
                <w:sz w:val="20"/>
                <w:szCs w:val="20"/>
              </w:rPr>
              <w:t>” </w:t>
            </w:r>
          </w:p>
          <w:p w14:paraId="1A78A9F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221D293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At the QAP Workshop, DCA staff told me that if I receive Probationary approval during the Pre-Application process, then I would still be eligible as a QB under this Scoring section. I am confirming this through the Q&amp;A process, since this was just verbal guidance.  </w:t>
            </w:r>
          </w:p>
          <w:p w14:paraId="53C4186C"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24E9CC7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3855B3E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955AC1">
              <w:rPr>
                <w:rFonts w:ascii="Times New Roman" w:eastAsia="Times New Roman" w:hAnsi="Times New Roman" w:cs="Times New Roman"/>
                <w:b/>
                <w:bCs/>
                <w:sz w:val="20"/>
                <w:szCs w:val="20"/>
              </w:rPr>
              <w:t>Minority- and Women-Owned Business Engagement</w:t>
            </w:r>
            <w:r w:rsidRPr="00955AC1">
              <w:rPr>
                <w:rFonts w:ascii="Times New Roman" w:eastAsia="Times New Roman" w:hAnsi="Times New Roman" w:cs="Times New Roman"/>
                <w:sz w:val="20"/>
                <w:szCs w:val="20"/>
              </w:rPr>
              <w:t>, even if you meet all other QB requirements.  </w:t>
            </w:r>
          </w:p>
          <w:p w14:paraId="4AE40B2C"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298D77C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51" w:tgtFrame="_blank" w:history="1">
              <w:r w:rsidRPr="00955AC1">
                <w:rPr>
                  <w:rFonts w:ascii="Times New Roman" w:eastAsia="Times New Roman" w:hAnsi="Times New Roman" w:cs="Times New Roman"/>
                  <w:sz w:val="20"/>
                  <w:szCs w:val="20"/>
                  <w:u w:val="single"/>
                </w:rPr>
                <w:t>Click here</w:t>
              </w:r>
            </w:hyperlink>
            <w:r w:rsidRPr="00955AC1">
              <w:rPr>
                <w:rFonts w:ascii="Times New Roman" w:eastAsia="Times New Roman" w:hAnsi="Times New Roman" w:cs="Times New Roman"/>
                <w:sz w:val="20"/>
                <w:szCs w:val="20"/>
              </w:rPr>
              <w:t xml:space="preserve"> to review the full disclaimer.</w:t>
            </w:r>
          </w:p>
          <w:p w14:paraId="3339744C" w14:textId="77777777" w:rsidR="00390F34" w:rsidRPr="00955AC1" w:rsidRDefault="00390F34" w:rsidP="000F6D48">
            <w:pPr>
              <w:pStyle w:val="paragraph"/>
              <w:spacing w:before="0" w:beforeAutospacing="0" w:after="0" w:afterAutospacing="0"/>
              <w:textAlignment w:val="baseline"/>
              <w:rPr>
                <w:rStyle w:val="normaltextrun"/>
                <w:b/>
                <w:bCs/>
                <w:sz w:val="20"/>
                <w:szCs w:val="20"/>
              </w:rPr>
            </w:pPr>
          </w:p>
        </w:tc>
      </w:tr>
      <w:tr w:rsidR="00390F34" w:rsidRPr="00955AC1" w14:paraId="3D635958" w14:textId="77777777" w:rsidTr="64301FE8">
        <w:trPr>
          <w:jc w:val="center"/>
        </w:trPr>
        <w:tc>
          <w:tcPr>
            <w:tcW w:w="1697" w:type="dxa"/>
            <w:shd w:val="clear" w:color="auto" w:fill="auto"/>
            <w:tcMar>
              <w:top w:w="72" w:type="dxa"/>
              <w:left w:w="115" w:type="dxa"/>
              <w:bottom w:w="72" w:type="dxa"/>
              <w:right w:w="115" w:type="dxa"/>
            </w:tcMar>
            <w:vAlign w:val="center"/>
          </w:tcPr>
          <w:p w14:paraId="3AB76A94"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29808D47"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3.21</w:t>
            </w:r>
          </w:p>
          <w:p w14:paraId="43B8AAA5"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Scoring Criteria;</w:t>
            </w:r>
          </w:p>
          <w:p w14:paraId="1E774B38"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618D5D90" w14:textId="77777777" w:rsidR="00390F34" w:rsidRPr="00955AC1" w:rsidRDefault="00390F34" w:rsidP="000F6D48">
            <w:pPr>
              <w:keepNext/>
              <w:keepLines/>
              <w:jc w:val="center"/>
              <w:rPr>
                <w:rFonts w:ascii="Times New Roman" w:hAnsi="Times New Roman" w:cs="Times New Roman"/>
              </w:rPr>
            </w:pPr>
            <w:r w:rsidRPr="00955AC1">
              <w:rPr>
                <w:rStyle w:val="normaltextrun"/>
                <w:rFonts w:ascii="Times New Roman" w:hAnsi="Times New Roman" w:cs="Times New Roman"/>
                <w:b/>
                <w:bCs/>
                <w:i/>
                <w:iCs/>
                <w:color w:val="FF0000"/>
                <w:sz w:val="20"/>
                <w:szCs w:val="20"/>
              </w:rPr>
              <w:t>This Q&amp;A references the 9% Round but includes information relevant to 4%/Bonds applications.</w:t>
            </w:r>
          </w:p>
          <w:p w14:paraId="074B3C53" w14:textId="77777777" w:rsidR="00390F34" w:rsidRPr="00955AC1" w:rsidRDefault="00390F34" w:rsidP="000F6D48">
            <w:pPr>
              <w:pStyle w:val="paragraph"/>
              <w:keepNext/>
              <w:keepLines/>
              <w:spacing w:before="0" w:beforeAutospacing="0" w:after="0" w:afterAutospacing="0"/>
              <w:textAlignment w:val="baseline"/>
              <w:rPr>
                <w:rStyle w:val="normaltextrun"/>
                <w:rFonts w:asciiTheme="minorHAnsi" w:eastAsiaTheme="minorHAnsi" w:hAnsiTheme="minorHAnsi" w:cstheme="minorBidi"/>
                <w:b/>
                <w:bCs/>
                <w:sz w:val="20"/>
                <w:szCs w:val="20"/>
              </w:rPr>
            </w:pPr>
          </w:p>
          <w:p w14:paraId="6C55FBEA" w14:textId="77777777" w:rsidR="00390F34" w:rsidRPr="00955AC1" w:rsidRDefault="00390F34" w:rsidP="000F6D48">
            <w:pPr>
              <w:pStyle w:val="paragraph"/>
              <w:keepNext/>
              <w:keepLines/>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Q22_0104_01</w:t>
            </w:r>
            <w:r w:rsidRPr="00955AC1">
              <w:rPr>
                <w:rStyle w:val="eop"/>
                <w:sz w:val="20"/>
                <w:szCs w:val="20"/>
              </w:rPr>
              <w:t> </w:t>
            </w:r>
          </w:p>
          <w:p w14:paraId="39AE2FF4" w14:textId="77777777" w:rsidR="00390F34" w:rsidRPr="00955AC1" w:rsidRDefault="00390F34" w:rsidP="000F6D48">
            <w:pPr>
              <w:pStyle w:val="paragraph"/>
              <w:keepNext/>
              <w:keepLines/>
              <w:spacing w:before="0" w:beforeAutospacing="0" w:after="0" w:afterAutospacing="0"/>
              <w:textAlignment w:val="baseline"/>
              <w:rPr>
                <w:sz w:val="20"/>
                <w:szCs w:val="20"/>
              </w:rPr>
            </w:pPr>
            <w:r w:rsidRPr="00955AC1">
              <w:rPr>
                <w:rStyle w:val="normaltextrun"/>
                <w:sz w:val="20"/>
                <w:szCs w:val="20"/>
              </w:rPr>
              <w:t xml:space="preserve">The local government has committed to providing the infrastructure for the development of affordable housing on a future LIHTC project.  It is a </w:t>
            </w:r>
            <w:r w:rsidRPr="00955AC1">
              <w:rPr>
                <w:rStyle w:val="contextualspellingandgrammarerror"/>
                <w:rFonts w:eastAsiaTheme="majorEastAsia"/>
                <w:sz w:val="20"/>
                <w:szCs w:val="20"/>
              </w:rPr>
              <w:t>two phase</w:t>
            </w:r>
            <w:r w:rsidRPr="00955AC1">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955AC1">
              <w:rPr>
                <w:rStyle w:val="eop"/>
                <w:sz w:val="20"/>
                <w:szCs w:val="20"/>
              </w:rPr>
              <w:t> </w:t>
            </w:r>
          </w:p>
          <w:p w14:paraId="6A726580" w14:textId="77777777" w:rsidR="00390F34" w:rsidRPr="00955AC1" w:rsidRDefault="00390F34" w:rsidP="000F6D48">
            <w:pPr>
              <w:pStyle w:val="paragraph"/>
              <w:numPr>
                <w:ilvl w:val="0"/>
                <w:numId w:val="12"/>
              </w:numPr>
              <w:spacing w:before="0" w:beforeAutospacing="0" w:after="0" w:afterAutospacing="0"/>
              <w:ind w:left="1080" w:firstLine="0"/>
              <w:textAlignment w:val="baseline"/>
              <w:rPr>
                <w:sz w:val="20"/>
                <w:szCs w:val="20"/>
              </w:rPr>
            </w:pPr>
            <w:r w:rsidRPr="00955AC1">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955AC1">
              <w:rPr>
                <w:rStyle w:val="eop"/>
                <w:sz w:val="20"/>
                <w:szCs w:val="20"/>
              </w:rPr>
              <w:t> </w:t>
            </w:r>
          </w:p>
          <w:p w14:paraId="41ACD2BD" w14:textId="77777777" w:rsidR="00390F34" w:rsidRPr="00955AC1" w:rsidRDefault="00390F34" w:rsidP="000F6D48">
            <w:pPr>
              <w:pStyle w:val="paragraph"/>
              <w:numPr>
                <w:ilvl w:val="0"/>
                <w:numId w:val="13"/>
              </w:numPr>
              <w:spacing w:before="0" w:beforeAutospacing="0" w:after="0" w:afterAutospacing="0"/>
              <w:ind w:left="1080" w:firstLine="0"/>
              <w:textAlignment w:val="baseline"/>
              <w:rPr>
                <w:sz w:val="20"/>
                <w:szCs w:val="20"/>
              </w:rPr>
            </w:pPr>
            <w:r w:rsidRPr="00955AC1">
              <w:rPr>
                <w:rStyle w:val="normaltextrun"/>
                <w:sz w:val="20"/>
                <w:szCs w:val="20"/>
              </w:rPr>
              <w:t>Would the provision of the funding in two separate funding documents aid DCA in making this approval to cover two phases?  </w:t>
            </w:r>
            <w:r w:rsidRPr="00955AC1">
              <w:rPr>
                <w:rStyle w:val="eop"/>
                <w:sz w:val="20"/>
                <w:szCs w:val="20"/>
              </w:rPr>
              <w:t> </w:t>
            </w:r>
          </w:p>
          <w:p w14:paraId="1E1D8470" w14:textId="77777777" w:rsidR="00390F34" w:rsidRPr="00955AC1" w:rsidRDefault="00390F34" w:rsidP="000F6D48">
            <w:pPr>
              <w:pStyle w:val="paragraph"/>
              <w:numPr>
                <w:ilvl w:val="0"/>
                <w:numId w:val="13"/>
              </w:numPr>
              <w:spacing w:before="0" w:beforeAutospacing="0" w:after="0" w:afterAutospacing="0"/>
              <w:ind w:left="1080" w:firstLine="0"/>
              <w:textAlignment w:val="baseline"/>
              <w:rPr>
                <w:sz w:val="20"/>
                <w:szCs w:val="20"/>
              </w:rPr>
            </w:pPr>
            <w:r w:rsidRPr="00955AC1">
              <w:rPr>
                <w:rStyle w:val="normaltextrun"/>
                <w:sz w:val="20"/>
                <w:szCs w:val="20"/>
              </w:rPr>
              <w:t>Can DCA support this concept to develop all the infrastructure at one time and assign costs per phase to meet the Favorable Financing scoring requirements.  </w:t>
            </w:r>
            <w:r w:rsidRPr="00955AC1">
              <w:rPr>
                <w:rStyle w:val="eop"/>
                <w:sz w:val="20"/>
                <w:szCs w:val="20"/>
              </w:rPr>
              <w:t> </w:t>
            </w:r>
          </w:p>
          <w:p w14:paraId="6D6E861D" w14:textId="77777777" w:rsidR="00390F34" w:rsidRPr="00955AC1" w:rsidRDefault="00390F34" w:rsidP="000F6D48">
            <w:pPr>
              <w:pStyle w:val="paragraph"/>
              <w:numPr>
                <w:ilvl w:val="0"/>
                <w:numId w:val="13"/>
              </w:numPr>
              <w:spacing w:before="0" w:beforeAutospacing="0" w:after="0" w:afterAutospacing="0"/>
              <w:ind w:left="1080" w:firstLine="0"/>
              <w:textAlignment w:val="baseline"/>
              <w:rPr>
                <w:sz w:val="20"/>
                <w:szCs w:val="20"/>
              </w:rPr>
            </w:pPr>
            <w:r w:rsidRPr="00955AC1">
              <w:rPr>
                <w:rStyle w:val="normaltextrun"/>
                <w:sz w:val="20"/>
                <w:szCs w:val="20"/>
              </w:rPr>
              <w:t xml:space="preserve">This funding source will qualify under “11. Other Federal, State, or local grant funds or loans.” </w:t>
            </w:r>
            <w:r w:rsidRPr="00955AC1">
              <w:rPr>
                <w:rStyle w:val="scxw52255993"/>
                <w:sz w:val="20"/>
                <w:szCs w:val="20"/>
              </w:rPr>
              <w:t> </w:t>
            </w:r>
            <w:r w:rsidRPr="00955AC1">
              <w:rPr>
                <w:rStyle w:val="eop"/>
                <w:sz w:val="20"/>
                <w:szCs w:val="20"/>
              </w:rPr>
              <w:t> </w:t>
            </w:r>
          </w:p>
          <w:p w14:paraId="441C070A"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0246D1E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71EEE7B3"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The local government would indeed need to provide multiple funding documents so that DCA staff can confirm how much is attributable to the phase 1 application. Assuming all Favorable Financing requirements are </w:t>
            </w:r>
            <w:r w:rsidRPr="00955AC1">
              <w:rPr>
                <w:rStyle w:val="contextualspellingandgrammarerror"/>
                <w:rFonts w:eastAsiaTheme="majorEastAsia"/>
                <w:sz w:val="20"/>
                <w:szCs w:val="20"/>
              </w:rPr>
              <w:t>met</w:t>
            </w:r>
            <w:r w:rsidRPr="00955AC1">
              <w:rPr>
                <w:rStyle w:val="normaltextrun"/>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955AC1">
              <w:rPr>
                <w:rStyle w:val="eop"/>
                <w:sz w:val="20"/>
                <w:szCs w:val="20"/>
              </w:rPr>
              <w:t> </w:t>
            </w:r>
          </w:p>
          <w:p w14:paraId="753BAFFE"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0DDB9EAF" w14:textId="77777777" w:rsidR="00390F34" w:rsidRPr="00955AC1" w:rsidRDefault="00390F34" w:rsidP="000F6D48">
            <w:pPr>
              <w:pStyle w:val="paragraph"/>
              <w:spacing w:before="0" w:beforeAutospacing="0" w:after="0" w:afterAutospacing="0"/>
              <w:textAlignment w:val="baseline"/>
              <w:rPr>
                <w:rStyle w:val="normaltextrun"/>
                <w:sz w:val="20"/>
                <w:szCs w:val="20"/>
              </w:rPr>
            </w:pPr>
            <w:r w:rsidRPr="00955AC1">
              <w:rPr>
                <w:rStyle w:val="normaltextrun"/>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955AC1">
              <w:rPr>
                <w:rStyle w:val="eop"/>
                <w:sz w:val="20"/>
                <w:szCs w:val="20"/>
              </w:rPr>
              <w:t> </w:t>
            </w:r>
          </w:p>
        </w:tc>
      </w:tr>
      <w:tr w:rsidR="00390F34" w:rsidRPr="00955AC1" w14:paraId="3E4B14EF" w14:textId="77777777" w:rsidTr="64301FE8">
        <w:trPr>
          <w:jc w:val="center"/>
        </w:trPr>
        <w:tc>
          <w:tcPr>
            <w:tcW w:w="1697" w:type="dxa"/>
            <w:shd w:val="clear" w:color="auto" w:fill="auto"/>
            <w:tcMar>
              <w:top w:w="72" w:type="dxa"/>
              <w:left w:w="115" w:type="dxa"/>
              <w:bottom w:w="72" w:type="dxa"/>
              <w:right w:w="115" w:type="dxa"/>
            </w:tcMar>
            <w:vAlign w:val="center"/>
          </w:tcPr>
          <w:p w14:paraId="27676088"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43EF19E6"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3.27</w:t>
            </w:r>
          </w:p>
          <w:p w14:paraId="46C153E3"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Scoring Criteria; </w:t>
            </w:r>
          </w:p>
          <w:p w14:paraId="01BC025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PBRA Contracts</w:t>
            </w:r>
          </w:p>
        </w:tc>
        <w:tc>
          <w:tcPr>
            <w:tcW w:w="9585" w:type="dxa"/>
            <w:shd w:val="clear" w:color="auto" w:fill="auto"/>
            <w:tcMar>
              <w:top w:w="72" w:type="dxa"/>
              <w:left w:w="115" w:type="dxa"/>
              <w:bottom w:w="72" w:type="dxa"/>
              <w:right w:w="115" w:type="dxa"/>
            </w:tcMar>
            <w:vAlign w:val="center"/>
          </w:tcPr>
          <w:p w14:paraId="24B1582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xml:space="preserve">: </w:t>
            </w:r>
            <w:r w:rsidRPr="00955AC1">
              <w:rPr>
                <w:rFonts w:ascii="Times New Roman" w:eastAsia="Times New Roman" w:hAnsi="Times New Roman" w:cs="Times New Roman"/>
                <w:b/>
                <w:bCs/>
                <w:sz w:val="20"/>
                <w:szCs w:val="20"/>
              </w:rPr>
              <w:t>Q22_0307_01</w:t>
            </w:r>
            <w:r w:rsidRPr="00955AC1">
              <w:rPr>
                <w:rFonts w:ascii="Times New Roman" w:eastAsia="Times New Roman" w:hAnsi="Times New Roman" w:cs="Times New Roman"/>
                <w:sz w:val="20"/>
                <w:szCs w:val="20"/>
              </w:rPr>
              <w:t> </w:t>
            </w:r>
          </w:p>
          <w:p w14:paraId="4290C17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Would an applicant be eligible for points under </w:t>
            </w:r>
            <w:r w:rsidRPr="00955AC1">
              <w:rPr>
                <w:rFonts w:ascii="Times New Roman" w:eastAsia="Times New Roman" w:hAnsi="Times New Roman" w:cs="Times New Roman"/>
                <w:b/>
                <w:bCs/>
                <w:sz w:val="20"/>
                <w:szCs w:val="20"/>
              </w:rPr>
              <w:t>(Scoring Criteria) PBRA Contracts</w:t>
            </w:r>
            <w:r w:rsidRPr="00955AC1">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465BD504"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4C07D6E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63CCAE64" w14:textId="77777777" w:rsidR="00390F34" w:rsidRPr="00955AC1" w:rsidRDefault="00390F34" w:rsidP="000F6D48">
            <w:pPr>
              <w:textAlignment w:val="baseline"/>
              <w:rPr>
                <w:rStyle w:val="normaltextrun"/>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Assuming all other requirements related to the associated PBRA agreements are met (e.g., requirements listed in </w:t>
            </w:r>
            <w:r w:rsidRPr="00955AC1">
              <w:rPr>
                <w:rFonts w:ascii="Times New Roman" w:eastAsia="Times New Roman" w:hAnsi="Times New Roman" w:cs="Times New Roman"/>
                <w:b/>
                <w:bCs/>
                <w:sz w:val="20"/>
                <w:szCs w:val="20"/>
              </w:rPr>
              <w:t>(Threshold Criteria) Project Feasibility)</w:t>
            </w:r>
            <w:r w:rsidRPr="00955AC1">
              <w:rPr>
                <w:rFonts w:ascii="Times New Roman" w:eastAsia="Times New Roman" w:hAnsi="Times New Roman" w:cs="Times New Roman"/>
                <w:sz w:val="20"/>
                <w:szCs w:val="20"/>
              </w:rPr>
              <w:t xml:space="preserve">, such PBRA contracts would be eligible for points under </w:t>
            </w:r>
            <w:r w:rsidRPr="00955AC1">
              <w:rPr>
                <w:rFonts w:ascii="Times New Roman" w:eastAsia="Times New Roman" w:hAnsi="Times New Roman" w:cs="Times New Roman"/>
                <w:b/>
                <w:bCs/>
                <w:sz w:val="20"/>
                <w:szCs w:val="20"/>
              </w:rPr>
              <w:t>(Scoring Criteria) PBRA Contracts</w:t>
            </w:r>
            <w:r w:rsidRPr="00955AC1">
              <w:rPr>
                <w:rFonts w:ascii="Times New Roman" w:eastAsia="Times New Roman" w:hAnsi="Times New Roman" w:cs="Times New Roman"/>
                <w:sz w:val="20"/>
                <w:szCs w:val="20"/>
              </w:rPr>
              <w:t>. The contracts being conditional on a tax credit award is not a disqualifying factor.  </w:t>
            </w:r>
          </w:p>
        </w:tc>
      </w:tr>
      <w:tr w:rsidR="00390F34" w:rsidRPr="00955AC1" w14:paraId="575A762A" w14:textId="77777777" w:rsidTr="64301FE8">
        <w:trPr>
          <w:jc w:val="center"/>
        </w:trPr>
        <w:tc>
          <w:tcPr>
            <w:tcW w:w="1697" w:type="dxa"/>
            <w:shd w:val="clear" w:color="auto" w:fill="auto"/>
            <w:tcMar>
              <w:top w:w="72" w:type="dxa"/>
              <w:left w:w="115" w:type="dxa"/>
              <w:bottom w:w="72" w:type="dxa"/>
              <w:right w:w="115" w:type="dxa"/>
            </w:tcMar>
            <w:vAlign w:val="center"/>
          </w:tcPr>
          <w:p w14:paraId="616EF029"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78003ED7"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1.12</w:t>
            </w:r>
          </w:p>
          <w:p w14:paraId="3C77B82A"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Core Plan;</w:t>
            </w:r>
          </w:p>
          <w:p w14:paraId="57E0F90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Eligibility of Certain Project Configurations</w:t>
            </w:r>
          </w:p>
          <w:p w14:paraId="6CBF40BC" w14:textId="77777777" w:rsidR="00390F34" w:rsidRPr="00955AC1" w:rsidRDefault="00390F34" w:rsidP="000F6D48">
            <w:pPr>
              <w:rPr>
                <w:rFonts w:ascii="Times New Roman" w:hAnsi="Times New Roman" w:cs="Times New Roman"/>
                <w:sz w:val="20"/>
                <w:szCs w:val="20"/>
              </w:rPr>
            </w:pPr>
          </w:p>
          <w:p w14:paraId="00236469" w14:textId="77777777" w:rsidR="00390F34" w:rsidRPr="00955AC1" w:rsidRDefault="00390F34" w:rsidP="000F6D48">
            <w:pPr>
              <w:rPr>
                <w:rFonts w:ascii="Times New Roman" w:hAnsi="Times New Roman" w:cs="Times New Roman"/>
                <w:sz w:val="20"/>
                <w:szCs w:val="20"/>
              </w:rPr>
            </w:pPr>
          </w:p>
          <w:p w14:paraId="68CFCA36"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(also 1.10 Core; 4% Federal Credit)</w:t>
            </w:r>
          </w:p>
        </w:tc>
        <w:tc>
          <w:tcPr>
            <w:tcW w:w="9585" w:type="dxa"/>
            <w:shd w:val="clear" w:color="auto" w:fill="auto"/>
            <w:tcMar>
              <w:top w:w="72" w:type="dxa"/>
              <w:left w:w="115" w:type="dxa"/>
              <w:bottom w:w="72" w:type="dxa"/>
              <w:right w:w="115" w:type="dxa"/>
            </w:tcMar>
            <w:vAlign w:val="center"/>
          </w:tcPr>
          <w:p w14:paraId="068D710F"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Q22_Q1222_01</w:t>
            </w:r>
            <w:r w:rsidRPr="00955AC1">
              <w:rPr>
                <w:rStyle w:val="eop"/>
                <w:sz w:val="20"/>
                <w:szCs w:val="20"/>
              </w:rPr>
              <w:t> </w:t>
            </w:r>
          </w:p>
          <w:p w14:paraId="7B36FC7A"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Could a two-phase development, purchased as one project, be submitted for Credits as one project under one application, given the scoring is the same for both phases?</w:t>
            </w:r>
            <w:r w:rsidRPr="00955AC1">
              <w:rPr>
                <w:rStyle w:val="eop"/>
                <w:sz w:val="20"/>
                <w:szCs w:val="20"/>
              </w:rPr>
              <w:t> </w:t>
            </w:r>
          </w:p>
          <w:p w14:paraId="0780BEB9"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71216FFC"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2AD1F9E7"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Yes, assuming the combined application meets all applicable requirements in the QAP, combining both phases of a multi-phase development for one tax credit application is allowed. </w:t>
            </w:r>
            <w:r w:rsidRPr="00955AC1">
              <w:rPr>
                <w:rStyle w:val="eop"/>
                <w:sz w:val="20"/>
                <w:szCs w:val="20"/>
              </w:rPr>
              <w:t> </w:t>
            </w:r>
          </w:p>
          <w:p w14:paraId="546CE75C"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70F4A97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Please also see the following QAP excerpts that may be applicable, depending on the circumstances: </w:t>
            </w:r>
            <w:r w:rsidRPr="00955AC1">
              <w:rPr>
                <w:rStyle w:val="eop"/>
                <w:sz w:val="20"/>
                <w:szCs w:val="20"/>
              </w:rPr>
              <w:t> </w:t>
            </w:r>
          </w:p>
          <w:p w14:paraId="7515E310"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63B4DCDD" w14:textId="77777777" w:rsidR="00390F34" w:rsidRPr="00955AC1" w:rsidRDefault="00390F34" w:rsidP="000F6D48">
            <w:pPr>
              <w:pStyle w:val="paragraph"/>
              <w:numPr>
                <w:ilvl w:val="0"/>
                <w:numId w:val="10"/>
              </w:numPr>
              <w:spacing w:before="0" w:beforeAutospacing="0" w:after="0" w:afterAutospacing="0"/>
              <w:ind w:left="1080" w:firstLine="0"/>
              <w:textAlignment w:val="baseline"/>
              <w:rPr>
                <w:sz w:val="20"/>
                <w:szCs w:val="20"/>
              </w:rPr>
            </w:pPr>
            <w:r w:rsidRPr="00955AC1">
              <w:rPr>
                <w:rStyle w:val="normaltextrun"/>
                <w:sz w:val="20"/>
                <w:szCs w:val="20"/>
              </w:rPr>
              <w:t>(</w:t>
            </w:r>
            <w:r w:rsidRPr="00955AC1">
              <w:rPr>
                <w:rStyle w:val="normaltextrun"/>
                <w:b/>
                <w:bCs/>
                <w:sz w:val="20"/>
                <w:szCs w:val="20"/>
              </w:rPr>
              <w:t>Core Plan</w:t>
            </w:r>
            <w:r w:rsidRPr="00955AC1">
              <w:rPr>
                <w:rStyle w:val="normaltextrun"/>
                <w:sz w:val="20"/>
                <w:szCs w:val="20"/>
              </w:rPr>
              <w:t xml:space="preserve">), </w:t>
            </w:r>
            <w:r w:rsidRPr="00955AC1">
              <w:rPr>
                <w:rStyle w:val="normaltextrun"/>
                <w:b/>
                <w:bCs/>
                <w:sz w:val="20"/>
                <w:szCs w:val="20"/>
              </w:rPr>
              <w:t>Eligibility of Certain Project Configurations</w:t>
            </w:r>
            <w:r w:rsidRPr="00955AC1">
              <w:rPr>
                <w:rStyle w:val="normaltextrun"/>
                <w:sz w:val="20"/>
                <w:szCs w:val="20"/>
              </w:rPr>
              <w:t xml:space="preserve">, subsection </w:t>
            </w:r>
            <w:r w:rsidRPr="00955AC1">
              <w:rPr>
                <w:rStyle w:val="normaltextrun"/>
                <w:b/>
                <w:bCs/>
                <w:sz w:val="20"/>
                <w:szCs w:val="20"/>
              </w:rPr>
              <w:t>A. Eligibility of Scattered Sites</w:t>
            </w:r>
            <w:r w:rsidRPr="00955AC1">
              <w:rPr>
                <w:rStyle w:val="normaltextrun"/>
                <w:sz w:val="20"/>
                <w:szCs w:val="20"/>
              </w:rPr>
              <w:t> </w:t>
            </w:r>
            <w:r w:rsidRPr="00955AC1">
              <w:rPr>
                <w:rStyle w:val="eop"/>
                <w:sz w:val="20"/>
                <w:szCs w:val="20"/>
              </w:rPr>
              <w:t> </w:t>
            </w:r>
          </w:p>
          <w:p w14:paraId="2C89F476" w14:textId="77777777" w:rsidR="00390F34" w:rsidRPr="00955AC1" w:rsidRDefault="00390F34" w:rsidP="000F6D48">
            <w:pPr>
              <w:pStyle w:val="paragraph"/>
              <w:numPr>
                <w:ilvl w:val="0"/>
                <w:numId w:val="10"/>
              </w:numPr>
              <w:spacing w:before="0" w:beforeAutospacing="0" w:after="0" w:afterAutospacing="0"/>
              <w:ind w:left="1080" w:firstLine="0"/>
              <w:textAlignment w:val="baseline"/>
              <w:rPr>
                <w:sz w:val="20"/>
                <w:szCs w:val="20"/>
              </w:rPr>
            </w:pPr>
            <w:r w:rsidRPr="00955AC1">
              <w:rPr>
                <w:rStyle w:val="normaltextrun"/>
                <w:b/>
                <w:bCs/>
                <w:sz w:val="20"/>
                <w:szCs w:val="20"/>
              </w:rPr>
              <w:t>(Core Plan) 4% Federal Credit – Bond Financed Projects</w:t>
            </w:r>
            <w:r w:rsidRPr="00955AC1">
              <w:rPr>
                <w:rStyle w:val="normaltextrun"/>
                <w:sz w:val="20"/>
                <w:szCs w:val="20"/>
              </w:rPr>
              <w:t xml:space="preserve">, subsection </w:t>
            </w:r>
            <w:r w:rsidRPr="00955AC1">
              <w:rPr>
                <w:rStyle w:val="normaltextrun"/>
                <w:b/>
                <w:bCs/>
                <w:sz w:val="20"/>
                <w:szCs w:val="20"/>
              </w:rPr>
              <w:t>B. Application Restrictions:</w:t>
            </w:r>
            <w:r w:rsidRPr="00955AC1">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955AC1">
              <w:rPr>
                <w:rStyle w:val="eop"/>
                <w:sz w:val="20"/>
                <w:szCs w:val="20"/>
              </w:rPr>
              <w:t> </w:t>
            </w:r>
          </w:p>
          <w:p w14:paraId="4374151B" w14:textId="77777777" w:rsidR="00390F34" w:rsidRPr="00955AC1" w:rsidRDefault="00390F34" w:rsidP="000F6D48">
            <w:pPr>
              <w:textAlignment w:val="baseline"/>
              <w:rPr>
                <w:rFonts w:ascii="Times New Roman" w:eastAsia="Times New Roman" w:hAnsi="Times New Roman" w:cs="Times New Roman"/>
                <w:b/>
                <w:bCs/>
                <w:sz w:val="20"/>
                <w:szCs w:val="20"/>
              </w:rPr>
            </w:pPr>
          </w:p>
        </w:tc>
      </w:tr>
      <w:tr w:rsidR="00390F34" w:rsidRPr="00955AC1" w14:paraId="345D1D31" w14:textId="77777777" w:rsidTr="64301FE8">
        <w:trPr>
          <w:jc w:val="center"/>
        </w:trPr>
        <w:tc>
          <w:tcPr>
            <w:tcW w:w="1697" w:type="dxa"/>
            <w:shd w:val="clear" w:color="auto" w:fill="auto"/>
            <w:tcMar>
              <w:top w:w="72" w:type="dxa"/>
              <w:left w:w="115" w:type="dxa"/>
              <w:bottom w:w="72" w:type="dxa"/>
              <w:right w:w="115" w:type="dxa"/>
            </w:tcMar>
            <w:vAlign w:val="center"/>
          </w:tcPr>
          <w:p w14:paraId="4473FC6E" w14:textId="77777777" w:rsidR="00390F34" w:rsidRPr="00955AC1" w:rsidRDefault="00390F34" w:rsidP="000F6D48">
            <w:pPr>
              <w:rPr>
                <w:rFonts w:ascii="Times New Roman" w:hAnsi="Times New Roman" w:cs="Times New Roman"/>
                <w:noProof/>
                <w:sz w:val="20"/>
                <w:szCs w:val="20"/>
              </w:rPr>
            </w:pPr>
            <w:r w:rsidRPr="00955AC1">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30A7D344"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3.08</w:t>
            </w:r>
          </w:p>
          <w:p w14:paraId="3160A03C"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Scoring Criteria; </w:t>
            </w:r>
          </w:p>
          <w:p w14:paraId="62EFF10A"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Revitalization/Redevelopment Plans</w:t>
            </w:r>
          </w:p>
        </w:tc>
        <w:tc>
          <w:tcPr>
            <w:tcW w:w="9585" w:type="dxa"/>
            <w:shd w:val="clear" w:color="auto" w:fill="auto"/>
            <w:tcMar>
              <w:top w:w="72" w:type="dxa"/>
              <w:left w:w="115" w:type="dxa"/>
              <w:bottom w:w="72" w:type="dxa"/>
              <w:right w:w="115" w:type="dxa"/>
            </w:tcMar>
            <w:vAlign w:val="center"/>
          </w:tcPr>
          <w:p w14:paraId="29FF054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Q22_0302_04</w:t>
            </w:r>
            <w:r w:rsidRPr="00955AC1">
              <w:rPr>
                <w:rStyle w:val="eop"/>
                <w:sz w:val="20"/>
                <w:szCs w:val="20"/>
              </w:rPr>
              <w:t> </w:t>
            </w:r>
          </w:p>
          <w:p w14:paraId="3779EC7A"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Regarding </w:t>
            </w:r>
            <w:r w:rsidRPr="00955AC1">
              <w:rPr>
                <w:rStyle w:val="normaltextrun"/>
                <w:b/>
                <w:bCs/>
                <w:sz w:val="20"/>
                <w:szCs w:val="20"/>
              </w:rPr>
              <w:t>(Scoring Criteria) Revitalization/Redevelopment Plans</w:t>
            </w:r>
            <w:r w:rsidRPr="00955AC1">
              <w:rPr>
                <w:rStyle w:val="normaltextrun"/>
                <w:sz w:val="20"/>
                <w:szCs w:val="20"/>
              </w:rPr>
              <w:t>, subsection</w:t>
            </w:r>
            <w:r w:rsidRPr="00955AC1">
              <w:rPr>
                <w:rStyle w:val="normaltextrun"/>
                <w:b/>
                <w:bCs/>
                <w:sz w:val="20"/>
                <w:szCs w:val="20"/>
              </w:rPr>
              <w:t xml:space="preserve"> A. Revitalization Plan/Qualified Census Tract</w:t>
            </w:r>
            <w:r w:rsidRPr="00955AC1">
              <w:rPr>
                <w:rStyle w:val="normaltextrun"/>
                <w:sz w:val="20"/>
                <w:szCs w:val="20"/>
              </w:rPr>
              <w:t>,</w:t>
            </w:r>
            <w:r w:rsidRPr="00955AC1">
              <w:rPr>
                <w:rStyle w:val="scxw120489810"/>
                <w:rFonts w:eastAsiaTheme="majorEastAsia"/>
                <w:sz w:val="20"/>
                <w:szCs w:val="20"/>
              </w:rPr>
              <w:t> </w:t>
            </w:r>
            <w:r w:rsidRPr="00955AC1">
              <w:rPr>
                <w:rStyle w:val="normaltextrun"/>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955AC1">
              <w:rPr>
                <w:rStyle w:val="eop"/>
                <w:sz w:val="20"/>
                <w:szCs w:val="20"/>
              </w:rPr>
              <w:t> </w:t>
            </w:r>
          </w:p>
          <w:p w14:paraId="5B71D7F0"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3976074D"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0002EB25"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The QAP states:</w:t>
            </w:r>
            <w:r w:rsidRPr="00955AC1">
              <w:rPr>
                <w:rStyle w:val="eop"/>
                <w:sz w:val="20"/>
                <w:szCs w:val="20"/>
              </w:rPr>
              <w:t> </w:t>
            </w:r>
          </w:p>
          <w:p w14:paraId="0B039993"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2427598C" w14:textId="77777777" w:rsidR="00390F34" w:rsidRPr="00955AC1" w:rsidRDefault="00390F34" w:rsidP="000F6D48">
            <w:pPr>
              <w:pStyle w:val="paragraph"/>
              <w:spacing w:before="0" w:beforeAutospacing="0" w:after="0" w:afterAutospacing="0"/>
              <w:ind w:left="720"/>
              <w:textAlignment w:val="baseline"/>
              <w:rPr>
                <w:sz w:val="20"/>
                <w:szCs w:val="20"/>
              </w:rPr>
            </w:pPr>
            <w:r w:rsidRPr="00955AC1">
              <w:rPr>
                <w:rStyle w:val="normaltextrun"/>
                <w:i/>
                <w:iCs/>
                <w:sz w:val="20"/>
                <w:szCs w:val="20"/>
              </w:rPr>
              <w:t xml:space="preserve">“Applications eligible for the above points are also eligible for any or </w:t>
            </w:r>
            <w:r w:rsidRPr="00955AC1">
              <w:rPr>
                <w:rStyle w:val="advancedproofingissue"/>
                <w:i/>
                <w:iCs/>
                <w:sz w:val="20"/>
                <w:szCs w:val="20"/>
              </w:rPr>
              <w:t>all of</w:t>
            </w:r>
            <w:r w:rsidRPr="00955AC1">
              <w:rPr>
                <w:rStyle w:val="normaltextrun"/>
                <w:i/>
                <w:iCs/>
                <w:sz w:val="20"/>
                <w:szCs w:val="20"/>
              </w:rPr>
              <w:t xml:space="preserve"> the following:</w:t>
            </w:r>
            <w:r w:rsidRPr="00955AC1">
              <w:rPr>
                <w:rStyle w:val="eop"/>
                <w:sz w:val="20"/>
                <w:szCs w:val="20"/>
              </w:rPr>
              <w:t> </w:t>
            </w:r>
          </w:p>
          <w:p w14:paraId="14A31990" w14:textId="77777777" w:rsidR="00390F34" w:rsidRPr="00955AC1" w:rsidRDefault="00390F34" w:rsidP="000F6D48">
            <w:pPr>
              <w:pStyle w:val="paragraph"/>
              <w:numPr>
                <w:ilvl w:val="0"/>
                <w:numId w:val="9"/>
              </w:numPr>
              <w:spacing w:before="0" w:beforeAutospacing="0" w:after="0" w:afterAutospacing="0"/>
              <w:ind w:left="2160" w:firstLine="0"/>
              <w:textAlignment w:val="baseline"/>
              <w:rPr>
                <w:sz w:val="20"/>
                <w:szCs w:val="20"/>
              </w:rPr>
            </w:pPr>
            <w:r w:rsidRPr="00955AC1">
              <w:rPr>
                <w:rStyle w:val="normaltextrun"/>
                <w:b/>
                <w:bCs/>
                <w:i/>
                <w:iCs/>
                <w:sz w:val="20"/>
                <w:szCs w:val="20"/>
              </w:rPr>
              <w:t>One (1) additional point</w:t>
            </w:r>
            <w:r w:rsidRPr="00955AC1">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955AC1">
              <w:rPr>
                <w:rStyle w:val="normaltextrun"/>
                <w:sz w:val="20"/>
                <w:szCs w:val="20"/>
              </w:rPr>
              <w:t>B. Third-Party Capital Investment</w:t>
            </w:r>
            <w:r w:rsidRPr="00955AC1">
              <w:rPr>
                <w:rStyle w:val="normaltextrun"/>
                <w:i/>
                <w:iCs/>
                <w:sz w:val="20"/>
                <w:szCs w:val="20"/>
              </w:rPr>
              <w:t>.”</w:t>
            </w:r>
            <w:r w:rsidRPr="00955AC1">
              <w:rPr>
                <w:rStyle w:val="eop"/>
                <w:sz w:val="20"/>
                <w:szCs w:val="20"/>
              </w:rPr>
              <w:t> </w:t>
            </w:r>
          </w:p>
          <w:p w14:paraId="5018718B"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54C8BF3B" w14:textId="77777777" w:rsidR="00390F34" w:rsidRPr="00955AC1" w:rsidRDefault="00390F34" w:rsidP="000F6D48">
            <w:pPr>
              <w:pStyle w:val="paragraph"/>
              <w:spacing w:before="0" w:beforeAutospacing="0" w:after="0" w:afterAutospacing="0"/>
              <w:textAlignment w:val="baseline"/>
              <w:rPr>
                <w:rStyle w:val="normaltextrun"/>
                <w:sz w:val="20"/>
                <w:szCs w:val="20"/>
              </w:rPr>
            </w:pPr>
            <w:r w:rsidRPr="00955AC1">
              <w:rPr>
                <w:rStyle w:val="normaltextrun"/>
                <w:sz w:val="20"/>
                <w:szCs w:val="20"/>
              </w:rPr>
              <w:t xml:space="preserve">To be eligible for this point, just the </w:t>
            </w:r>
            <w:r w:rsidRPr="00955AC1">
              <w:rPr>
                <w:rStyle w:val="normaltextrun"/>
                <w:sz w:val="20"/>
                <w:szCs w:val="20"/>
                <w:u w:val="single"/>
              </w:rPr>
              <w:t>amount</w:t>
            </w:r>
            <w:r w:rsidRPr="00955AC1">
              <w:rPr>
                <w:rStyle w:val="normaltextrun"/>
                <w:sz w:val="20"/>
                <w:szCs w:val="20"/>
              </w:rPr>
              <w:t xml:space="preserve"> of funds raised or allocated must be eligible for at least one (1) point under subsection </w:t>
            </w:r>
            <w:r w:rsidRPr="00955AC1">
              <w:rPr>
                <w:rStyle w:val="normaltextrun"/>
                <w:i/>
                <w:iCs/>
                <w:sz w:val="20"/>
                <w:szCs w:val="20"/>
              </w:rPr>
              <w:t>B. Third-Party Capital Investment</w:t>
            </w:r>
            <w:r w:rsidRPr="00955AC1">
              <w:rPr>
                <w:rStyle w:val="normaltextrun"/>
                <w:sz w:val="20"/>
                <w:szCs w:val="20"/>
              </w:rPr>
              <w:t>. The Local Government financial commitment must advance the CRP but is not required to occur within 0.5-mile radius of the proposed site.</w:t>
            </w:r>
            <w:r w:rsidRPr="00955AC1">
              <w:rPr>
                <w:rStyle w:val="eop"/>
                <w:sz w:val="20"/>
                <w:szCs w:val="20"/>
              </w:rPr>
              <w:t> </w:t>
            </w:r>
          </w:p>
        </w:tc>
      </w:tr>
      <w:tr w:rsidR="00390F34" w:rsidRPr="00955AC1" w14:paraId="330801AE" w14:textId="77777777" w:rsidTr="64301FE8">
        <w:trPr>
          <w:jc w:val="center"/>
        </w:trPr>
        <w:tc>
          <w:tcPr>
            <w:tcW w:w="1697" w:type="dxa"/>
            <w:shd w:val="clear" w:color="auto" w:fill="auto"/>
            <w:tcMar>
              <w:top w:w="72" w:type="dxa"/>
              <w:left w:w="115" w:type="dxa"/>
              <w:bottom w:w="72" w:type="dxa"/>
              <w:right w:w="115" w:type="dxa"/>
            </w:tcMar>
            <w:vAlign w:val="center"/>
          </w:tcPr>
          <w:p w14:paraId="7335A3B5"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6BD65ED2"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2.03</w:t>
            </w:r>
          </w:p>
          <w:p w14:paraId="1A00991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23FE22D5"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Tenancy Characteristics</w:t>
            </w:r>
          </w:p>
        </w:tc>
        <w:tc>
          <w:tcPr>
            <w:tcW w:w="9585" w:type="dxa"/>
            <w:shd w:val="clear" w:color="auto" w:fill="auto"/>
            <w:tcMar>
              <w:top w:w="72" w:type="dxa"/>
              <w:left w:w="115" w:type="dxa"/>
              <w:bottom w:w="72" w:type="dxa"/>
              <w:right w:w="115" w:type="dxa"/>
            </w:tcMar>
            <w:vAlign w:val="center"/>
          </w:tcPr>
          <w:p w14:paraId="678B1B8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Q1222_01 </w:t>
            </w:r>
          </w:p>
          <w:p w14:paraId="5EAC9F5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Can a project have both Family and Elderly tenancy, with a small portion of units set aside for Elderly? </w:t>
            </w:r>
          </w:p>
          <w:p w14:paraId="1F6A2334"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45D53DC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20AF1A5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The QAP states in </w:t>
            </w:r>
            <w:r w:rsidRPr="00955AC1">
              <w:rPr>
                <w:rFonts w:ascii="Times New Roman" w:eastAsia="Times New Roman" w:hAnsi="Times New Roman" w:cs="Times New Roman"/>
                <w:b/>
                <w:bCs/>
                <w:sz w:val="20"/>
                <w:szCs w:val="20"/>
              </w:rPr>
              <w:t>Threshold, Tenancy Characteristics</w:t>
            </w:r>
            <w:r w:rsidRPr="00955AC1">
              <w:rPr>
                <w:rFonts w:ascii="Times New Roman" w:eastAsia="Times New Roman" w:hAnsi="Times New Roman" w:cs="Times New Roman"/>
                <w:sz w:val="20"/>
                <w:szCs w:val="20"/>
              </w:rPr>
              <w:t>: </w:t>
            </w:r>
          </w:p>
          <w:p w14:paraId="78922D6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1AE5CD26" w14:textId="77777777" w:rsidR="00390F34" w:rsidRPr="00955AC1" w:rsidRDefault="00390F34" w:rsidP="000F6D48">
            <w:pPr>
              <w:ind w:left="72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w:t>
            </w:r>
            <w:r w:rsidRPr="00955AC1">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955AC1">
              <w:rPr>
                <w:rFonts w:ascii="Times New Roman" w:eastAsia="Times New Roman" w:hAnsi="Times New Roman" w:cs="Times New Roman"/>
                <w:sz w:val="20"/>
                <w:szCs w:val="20"/>
              </w:rPr>
              <w:t> </w:t>
            </w:r>
          </w:p>
          <w:p w14:paraId="7CFBEBC4" w14:textId="77777777" w:rsidR="00390F34" w:rsidRPr="00955AC1" w:rsidRDefault="00390F34" w:rsidP="000F6D48">
            <w:pPr>
              <w:ind w:left="72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6790AA8C"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Applicants must select one tenancy per a</w:t>
            </w:r>
            <w:r w:rsidRPr="00955AC1">
              <w:rPr>
                <w:rFonts w:ascii="Times New Roman" w:hAnsi="Times New Roman" w:cs="Times New Roman"/>
                <w:sz w:val="20"/>
                <w:szCs w:val="20"/>
              </w:rPr>
              <w:t>pplication</w:t>
            </w:r>
            <w:r w:rsidRPr="00955AC1">
              <w:rPr>
                <w:rFonts w:ascii="Times New Roman" w:eastAsia="Times New Roman" w:hAnsi="Times New Roman" w:cs="Times New Roman"/>
                <w:sz w:val="20"/>
                <w:szCs w:val="20"/>
              </w:rPr>
              <w:t>. </w:t>
            </w:r>
          </w:p>
          <w:p w14:paraId="33EBAFE0" w14:textId="77777777" w:rsidR="00390F34" w:rsidRPr="00955AC1" w:rsidRDefault="00390F34" w:rsidP="000F6D48">
            <w:pPr>
              <w:textAlignment w:val="baseline"/>
              <w:rPr>
                <w:rStyle w:val="normaltextrun"/>
                <w:rFonts w:ascii="Times New Roman" w:eastAsia="Times New Roman" w:hAnsi="Times New Roman" w:cs="Times New Roman"/>
                <w:sz w:val="20"/>
                <w:szCs w:val="20"/>
              </w:rPr>
            </w:pPr>
          </w:p>
          <w:p w14:paraId="73C6F73E" w14:textId="77777777" w:rsidR="00390F34" w:rsidRPr="00955AC1" w:rsidRDefault="00390F34" w:rsidP="000F6D48">
            <w:pPr>
              <w:textAlignment w:val="baseline"/>
              <w:rPr>
                <w:rStyle w:val="normaltextrun"/>
                <w:rFonts w:ascii="Times New Roman" w:eastAsia="Times New Roman" w:hAnsi="Times New Roman" w:cs="Times New Roman"/>
                <w:sz w:val="20"/>
                <w:szCs w:val="20"/>
              </w:rPr>
            </w:pPr>
            <w:r w:rsidRPr="00955AC1">
              <w:rPr>
                <w:rStyle w:val="normaltextrun"/>
                <w:rFonts w:ascii="Times New Roman" w:eastAsia="Times New Roman" w:hAnsi="Times New Roman" w:cs="Times New Roman"/>
                <w:sz w:val="20"/>
                <w:szCs w:val="20"/>
              </w:rPr>
              <w:t>Included in this question was the comment that “[This tenancy circumstance] is not contemplated within the current QAP but was common on some projects a few decades ago.” DCA has logged this public input for purposes of 2023 QAP policy development.</w:t>
            </w:r>
          </w:p>
        </w:tc>
      </w:tr>
      <w:tr w:rsidR="00390F34" w:rsidRPr="00955AC1" w14:paraId="714B273B" w14:textId="77777777" w:rsidTr="64301FE8">
        <w:trPr>
          <w:jc w:val="center"/>
        </w:trPr>
        <w:tc>
          <w:tcPr>
            <w:tcW w:w="1697" w:type="dxa"/>
            <w:shd w:val="clear" w:color="auto" w:fill="auto"/>
            <w:tcMar>
              <w:top w:w="72" w:type="dxa"/>
              <w:left w:w="115" w:type="dxa"/>
              <w:bottom w:w="72" w:type="dxa"/>
              <w:right w:w="115" w:type="dxa"/>
            </w:tcMar>
            <w:vAlign w:val="center"/>
          </w:tcPr>
          <w:p w14:paraId="5535494D"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7849E7AF"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2.20 </w:t>
            </w:r>
          </w:p>
          <w:p w14:paraId="464A272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25CDB3E7"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Experience, Capacity, and Performance Requirements for General Partner and Developer Entities</w:t>
            </w:r>
          </w:p>
          <w:p w14:paraId="5F7B747D" w14:textId="77777777" w:rsidR="00390F34" w:rsidRPr="00955AC1" w:rsidRDefault="00390F34" w:rsidP="000F6D48">
            <w:pPr>
              <w:rPr>
                <w:rFonts w:ascii="Times New Roman" w:hAnsi="Times New Roman" w:cs="Times New Roman"/>
                <w:sz w:val="20"/>
                <w:szCs w:val="20"/>
              </w:rPr>
            </w:pPr>
          </w:p>
          <w:p w14:paraId="1E30DBDE" w14:textId="77777777" w:rsidR="00390F34" w:rsidRPr="00955AC1" w:rsidRDefault="00390F34" w:rsidP="000F6D48">
            <w:pPr>
              <w:rPr>
                <w:rFonts w:ascii="Times New Roman" w:hAnsi="Times New Roman" w:cs="Times New Roman"/>
                <w:sz w:val="20"/>
                <w:szCs w:val="20"/>
              </w:rPr>
            </w:pPr>
          </w:p>
          <w:p w14:paraId="536FA22C"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(also 3.17 Scoring; Minority- and Women-Owned Business Engagement)</w:t>
            </w:r>
          </w:p>
        </w:tc>
        <w:tc>
          <w:tcPr>
            <w:tcW w:w="9585" w:type="dxa"/>
            <w:shd w:val="clear" w:color="auto" w:fill="auto"/>
            <w:tcMar>
              <w:top w:w="72" w:type="dxa"/>
              <w:left w:w="115" w:type="dxa"/>
              <w:bottom w:w="72" w:type="dxa"/>
              <w:right w:w="115" w:type="dxa"/>
            </w:tcMar>
            <w:vAlign w:val="center"/>
          </w:tcPr>
          <w:p w14:paraId="7CAD599B"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Q22_0309_05</w:t>
            </w:r>
            <w:r w:rsidRPr="00955AC1">
              <w:rPr>
                <w:rStyle w:val="eop"/>
                <w:sz w:val="20"/>
                <w:szCs w:val="20"/>
              </w:rPr>
              <w:t> </w:t>
            </w:r>
          </w:p>
          <w:p w14:paraId="21539788"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1EE8F893" w14:textId="77777777" w:rsidR="00390F34" w:rsidRPr="00955AC1" w:rsidRDefault="00390F34" w:rsidP="000F6D48">
            <w:pPr>
              <w:pStyle w:val="paragraph"/>
              <w:numPr>
                <w:ilvl w:val="0"/>
                <w:numId w:val="8"/>
              </w:numPr>
              <w:spacing w:before="0" w:beforeAutospacing="0" w:after="0" w:afterAutospacing="0"/>
              <w:ind w:left="1080" w:firstLine="0"/>
              <w:textAlignment w:val="baseline"/>
              <w:rPr>
                <w:rFonts w:eastAsia="MS Mincho"/>
                <w:sz w:val="20"/>
                <w:szCs w:val="20"/>
              </w:rPr>
            </w:pPr>
            <w:r w:rsidRPr="00955AC1">
              <w:rPr>
                <w:rStyle w:val="normaltextrun"/>
                <w:rFonts w:eastAsia="MS Mincho"/>
                <w:sz w:val="20"/>
                <w:szCs w:val="20"/>
              </w:rPr>
              <w:t>Can you provide some examples of the "evidence" of full-time employment and material participation in successful Tax Credit projects that an MBE needs to provide to qualify under Probationary Participation. If the MBE developer gained experience as an employee at another development company, then the Partnership documents, etc. would not reflect their material contribution. Can the developer provide a letter from their prior employer?</w:t>
            </w:r>
            <w:r w:rsidRPr="00955AC1">
              <w:rPr>
                <w:rStyle w:val="scxw67467753"/>
                <w:rFonts w:eastAsia="MS Mincho"/>
                <w:sz w:val="20"/>
                <w:szCs w:val="20"/>
              </w:rPr>
              <w:t> </w:t>
            </w:r>
            <w:r w:rsidRPr="00955AC1">
              <w:rPr>
                <w:rFonts w:eastAsia="MS Mincho"/>
                <w:sz w:val="20"/>
                <w:szCs w:val="20"/>
              </w:rPr>
              <w:br/>
            </w:r>
            <w:r w:rsidRPr="00955AC1">
              <w:rPr>
                <w:rStyle w:val="eop"/>
                <w:rFonts w:eastAsia="MS Mincho"/>
                <w:sz w:val="20"/>
                <w:szCs w:val="20"/>
              </w:rPr>
              <w:t> </w:t>
            </w:r>
          </w:p>
          <w:p w14:paraId="6A94F3C5" w14:textId="77777777" w:rsidR="00390F34" w:rsidRPr="00955AC1" w:rsidRDefault="00390F34" w:rsidP="000F6D48">
            <w:pPr>
              <w:pStyle w:val="paragraph"/>
              <w:numPr>
                <w:ilvl w:val="0"/>
                <w:numId w:val="8"/>
              </w:numPr>
              <w:spacing w:before="0" w:beforeAutospacing="0" w:after="0" w:afterAutospacing="0"/>
              <w:ind w:left="1080" w:firstLine="0"/>
              <w:textAlignment w:val="baseline"/>
              <w:rPr>
                <w:rFonts w:eastAsia="MS Mincho"/>
                <w:sz w:val="20"/>
                <w:szCs w:val="20"/>
              </w:rPr>
            </w:pPr>
            <w:r w:rsidRPr="00955AC1">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955AC1">
              <w:rPr>
                <w:rStyle w:val="eop"/>
                <w:rFonts w:eastAsia="MS Mincho"/>
                <w:sz w:val="20"/>
                <w:szCs w:val="20"/>
              </w:rPr>
              <w:t> </w:t>
            </w:r>
          </w:p>
          <w:p w14:paraId="6F58BAA2"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39FCD289"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3325AB03"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 </w:t>
            </w:r>
            <w:r w:rsidRPr="00955AC1">
              <w:rPr>
                <w:rStyle w:val="eop"/>
                <w:sz w:val="20"/>
                <w:szCs w:val="20"/>
              </w:rPr>
              <w:t> </w:t>
            </w:r>
          </w:p>
          <w:p w14:paraId="471E5261"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955AC1">
              <w:rPr>
                <w:rStyle w:val="eop"/>
                <w:sz w:val="20"/>
                <w:szCs w:val="20"/>
              </w:rPr>
              <w:t> </w:t>
            </w:r>
          </w:p>
        </w:tc>
      </w:tr>
      <w:tr w:rsidR="00390F34" w:rsidRPr="00955AC1" w14:paraId="198D527D" w14:textId="77777777" w:rsidTr="64301FE8">
        <w:trPr>
          <w:jc w:val="center"/>
        </w:trPr>
        <w:tc>
          <w:tcPr>
            <w:tcW w:w="1697" w:type="dxa"/>
            <w:shd w:val="clear" w:color="auto" w:fill="auto"/>
            <w:tcMar>
              <w:top w:w="72" w:type="dxa"/>
              <w:left w:w="115" w:type="dxa"/>
              <w:bottom w:w="72" w:type="dxa"/>
              <w:right w:w="115" w:type="dxa"/>
            </w:tcMar>
            <w:vAlign w:val="center"/>
          </w:tcPr>
          <w:p w14:paraId="6B2CF406"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369A721B"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2.25</w:t>
            </w:r>
          </w:p>
          <w:p w14:paraId="5E184D4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Threshold Criteria; </w:t>
            </w:r>
          </w:p>
          <w:p w14:paraId="6558691D"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0BC567B6"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Q22_0304_45 </w:t>
            </w:r>
          </w:p>
          <w:p w14:paraId="2F28735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3DDE336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10673CA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638FAA83"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Yes, this is the date of the Amended and Restated Agreement when the property is syndicated. </w:t>
            </w:r>
          </w:p>
        </w:tc>
      </w:tr>
      <w:tr w:rsidR="00390F34" w:rsidRPr="00955AC1" w14:paraId="03730966" w14:textId="77777777" w:rsidTr="64301FE8">
        <w:trPr>
          <w:jc w:val="center"/>
        </w:trPr>
        <w:tc>
          <w:tcPr>
            <w:tcW w:w="1697" w:type="dxa"/>
            <w:shd w:val="clear" w:color="auto" w:fill="auto"/>
            <w:tcMar>
              <w:top w:w="72" w:type="dxa"/>
              <w:left w:w="115" w:type="dxa"/>
              <w:bottom w:w="72" w:type="dxa"/>
              <w:right w:w="115" w:type="dxa"/>
            </w:tcMar>
            <w:vAlign w:val="center"/>
          </w:tcPr>
          <w:p w14:paraId="5DA2324A"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32703985"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2.28</w:t>
            </w:r>
          </w:p>
          <w:p w14:paraId="165B67BB"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4BA71E31"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653E0C8C"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Q22_0309_01 </w:t>
            </w:r>
          </w:p>
          <w:p w14:paraId="1874536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(Threshold Criteria) DCA Underwriting Policies</w:t>
            </w:r>
            <w:r w:rsidRPr="00955AC1">
              <w:rPr>
                <w:rFonts w:ascii="Times New Roman" w:eastAsia="Times New Roman" w:hAnsi="Times New Roman" w:cs="Times New Roman"/>
                <w:sz w:val="20"/>
                <w:szCs w:val="20"/>
              </w:rPr>
              <w:t xml:space="preserve">: requirement </w:t>
            </w:r>
            <w:r w:rsidRPr="00955AC1">
              <w:rPr>
                <w:rFonts w:ascii="Times New Roman" w:eastAsia="Times New Roman" w:hAnsi="Times New Roman" w:cs="Times New Roman"/>
                <w:b/>
                <w:bCs/>
                <w:sz w:val="20"/>
                <w:szCs w:val="20"/>
              </w:rPr>
              <w:t>11. Distribution across Unit / Bedroom Sizes</w:t>
            </w:r>
            <w:r w:rsidRPr="00955AC1">
              <w:rPr>
                <w:rFonts w:ascii="Times New Roman" w:eastAsia="Times New Roman" w:hAnsi="Times New Roman" w:cs="Times New Roman"/>
                <w:sz w:val="20"/>
                <w:szCs w:val="20"/>
              </w:rPr>
              <w:t>: "a) Rent. Projects with a multi-tiered rent structure must distribute the rents across unit sizes, unit types and buildings. These units need not be fixed, but may float in the same way high HOME rent and low HOME rent units may float within a project so long as the units and interior amenities are comparable." </w:t>
            </w:r>
          </w:p>
          <w:p w14:paraId="41AFF8D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16E973CC"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AMI, would the 60% and 50% units in this scenario be subject to this distribution requirement, as this might be considered a "multi-tiered rent structure"?  </w:t>
            </w:r>
          </w:p>
          <w:p w14:paraId="150C14F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0B8D99A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Is a Pre-Application waiver for Distribution Across Unit / Bedroom Sizes only necessary if the applicant is electing an Income Average set-aside and the unit mix difference between the proposed and exact units is not within 2 units? </w:t>
            </w:r>
          </w:p>
          <w:p w14:paraId="524D806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0243C13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7C59287C" w14:textId="77777777" w:rsidR="00390F34" w:rsidRPr="00955AC1" w:rsidRDefault="00390F34" w:rsidP="000F6D48">
            <w:pPr>
              <w:textAlignment w:val="baseline"/>
              <w:rPr>
                <w:rStyle w:val="normaltextrun"/>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52" w:tgtFrame="_blank" w:history="1">
              <w:r w:rsidRPr="00955AC1">
                <w:rPr>
                  <w:rFonts w:ascii="Times New Roman" w:eastAsia="Times New Roman" w:hAnsi="Times New Roman" w:cs="Times New Roman"/>
                  <w:sz w:val="20"/>
                  <w:szCs w:val="20"/>
                  <w:u w:val="single"/>
                </w:rPr>
                <w:t>click here</w:t>
              </w:r>
            </w:hyperlink>
            <w:r w:rsidRPr="00955AC1">
              <w:rPr>
                <w:rFonts w:ascii="Times New Roman" w:eastAsia="Times New Roman" w:hAnsi="Times New Roman" w:cs="Times New Roman"/>
                <w:sz w:val="20"/>
                <w:szCs w:val="20"/>
              </w:rPr>
              <w:t xml:space="preserve"> for DCA’s Compliance Monitoring homepage, visit the “Tax Credit” page, download “</w:t>
            </w:r>
            <w:r w:rsidRPr="00955AC1">
              <w:rPr>
                <w:rFonts w:ascii="Times New Roman" w:eastAsia="Times New Roman" w:hAnsi="Times New Roman" w:cs="Times New Roman"/>
                <w:b/>
                <w:bCs/>
                <w:sz w:val="20"/>
                <w:szCs w:val="20"/>
              </w:rPr>
              <w:t>DCA's Average Income Policy (updated 2021)</w:t>
            </w:r>
            <w:r w:rsidRPr="00955AC1">
              <w:rPr>
                <w:rFonts w:ascii="Times New Roman" w:eastAsia="Times New Roman" w:hAnsi="Times New Roman" w:cs="Times New Roman"/>
                <w:sz w:val="20"/>
                <w:szCs w:val="20"/>
              </w:rPr>
              <w:t xml:space="preserve">, and view subsection </w:t>
            </w:r>
            <w:r w:rsidRPr="00955AC1">
              <w:rPr>
                <w:rFonts w:ascii="Times New Roman" w:eastAsia="Times New Roman" w:hAnsi="Times New Roman" w:cs="Times New Roman"/>
                <w:b/>
                <w:bCs/>
                <w:sz w:val="20"/>
                <w:szCs w:val="20"/>
              </w:rPr>
              <w:t>B. DCA adopted requirements and interpretations</w:t>
            </w:r>
            <w:r w:rsidRPr="00955AC1">
              <w:rPr>
                <w:rFonts w:ascii="Times New Roman" w:eastAsia="Times New Roman" w:hAnsi="Times New Roman" w:cs="Times New Roman"/>
                <w:sz w:val="20"/>
                <w:szCs w:val="20"/>
              </w:rPr>
              <w:t>”). </w:t>
            </w:r>
          </w:p>
        </w:tc>
      </w:tr>
      <w:tr w:rsidR="00390F34" w:rsidRPr="00955AC1" w14:paraId="7F7B7EBB" w14:textId="77777777" w:rsidTr="64301FE8">
        <w:trPr>
          <w:jc w:val="center"/>
        </w:trPr>
        <w:tc>
          <w:tcPr>
            <w:tcW w:w="1697" w:type="dxa"/>
            <w:shd w:val="clear" w:color="auto" w:fill="auto"/>
            <w:tcMar>
              <w:top w:w="72" w:type="dxa"/>
              <w:left w:w="115" w:type="dxa"/>
              <w:bottom w:w="72" w:type="dxa"/>
              <w:right w:w="115" w:type="dxa"/>
            </w:tcMar>
            <w:vAlign w:val="center"/>
          </w:tcPr>
          <w:p w14:paraId="6F3C4B45"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77207F43"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2.25</w:t>
            </w:r>
          </w:p>
          <w:p w14:paraId="34BF2E71"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Threshold Criteria; </w:t>
            </w:r>
          </w:p>
          <w:p w14:paraId="25657DB1"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4193C492"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Question</w:t>
            </w:r>
            <w:r w:rsidRPr="00955AC1">
              <w:rPr>
                <w:rFonts w:ascii="Times New Roman" w:hAnsi="Times New Roman" w:cs="Times New Roman"/>
                <w:sz w:val="20"/>
                <w:szCs w:val="20"/>
              </w:rPr>
              <w:t>: Q22_0302_03</w:t>
            </w:r>
          </w:p>
          <w:p w14:paraId="5CE8E3A3"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In the 2022 Supplemental Pre-Application workbook (</w:t>
            </w:r>
            <w:hyperlink r:id="rId53" w:history="1">
              <w:r w:rsidRPr="00955AC1">
                <w:rPr>
                  <w:rStyle w:val="Hyperlink"/>
                  <w:rFonts w:ascii="Times New Roman" w:eastAsia="Times New Roman" w:hAnsi="Times New Roman" w:cs="Times New Roman"/>
                  <w:color w:val="auto"/>
                  <w:sz w:val="20"/>
                  <w:szCs w:val="20"/>
                </w:rPr>
                <w:t>click here</w:t>
              </w:r>
            </w:hyperlink>
            <w:r w:rsidRPr="00955AC1">
              <w:rPr>
                <w:rFonts w:ascii="Times New Roman" w:eastAsia="Times New Roman" w:hAnsi="Times New Roman" w:cs="Times New Roman"/>
                <w:sz w:val="20"/>
                <w:szCs w:val="20"/>
              </w:rPr>
              <w:t xml:space="preserve">), a Relocation Summary tab is included. The Instructions tab of this workbook includes the following related language: </w:t>
            </w:r>
          </w:p>
          <w:p w14:paraId="6D71D2CE" w14:textId="77777777" w:rsidR="00390F34" w:rsidRPr="00955AC1" w:rsidRDefault="00390F34" w:rsidP="000F6D48">
            <w:pPr>
              <w:rPr>
                <w:rFonts w:ascii="Times New Roman" w:eastAsia="Times New Roman" w:hAnsi="Times New Roman" w:cs="Times New Roman"/>
                <w:sz w:val="20"/>
                <w:szCs w:val="20"/>
              </w:rPr>
            </w:pPr>
          </w:p>
          <w:p w14:paraId="42B12CEF" w14:textId="77777777" w:rsidR="00390F34" w:rsidRPr="00955AC1" w:rsidRDefault="00390F34" w:rsidP="000F6D48">
            <w:pPr>
              <w:ind w:left="720"/>
              <w:rPr>
                <w:rFonts w:ascii="Times New Roman" w:eastAsia="Times New Roman" w:hAnsi="Times New Roman" w:cs="Times New Roman"/>
                <w:i/>
                <w:iCs/>
                <w:sz w:val="20"/>
                <w:szCs w:val="20"/>
              </w:rPr>
            </w:pPr>
            <w:r w:rsidRPr="00955AC1">
              <w:rPr>
                <w:rFonts w:ascii="Times New Roman" w:eastAsia="Times New Roman" w:hAnsi="Times New Roman" w:cs="Times New Roman"/>
                <w:i/>
                <w:iCs/>
                <w:sz w:val="20"/>
                <w:szCs w:val="20"/>
              </w:rPr>
              <w:t>"The Relocation Summary Form, for use only by applicants for Federal funding that have existing occupied residential buildings or businesses on the proposed site, is included in the excel workbook to be attached to your application on Emphasys."</w:t>
            </w:r>
          </w:p>
          <w:p w14:paraId="2215AFA8" w14:textId="77777777" w:rsidR="00390F34" w:rsidRPr="00955AC1" w:rsidRDefault="00390F34" w:rsidP="000F6D48">
            <w:pPr>
              <w:rPr>
                <w:rFonts w:ascii="Times New Roman" w:eastAsia="Times New Roman" w:hAnsi="Times New Roman" w:cs="Times New Roman"/>
                <w:sz w:val="20"/>
                <w:szCs w:val="20"/>
              </w:rPr>
            </w:pPr>
          </w:p>
          <w:p w14:paraId="350089E9"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Can DCA confirm if it is necessary to complete this section if there is relocation involved, but there is no Federal funding involved (ie HOME, CDBG, etc.)?</w:t>
            </w:r>
          </w:p>
          <w:p w14:paraId="70B78D3A" w14:textId="77777777" w:rsidR="00390F34" w:rsidRPr="00955AC1" w:rsidRDefault="00390F34" w:rsidP="000F6D48">
            <w:pPr>
              <w:contextualSpacing/>
              <w:rPr>
                <w:rFonts w:ascii="Times New Roman" w:hAnsi="Times New Roman" w:cs="Times New Roman"/>
                <w:sz w:val="20"/>
                <w:szCs w:val="20"/>
              </w:rPr>
            </w:pPr>
          </w:p>
          <w:p w14:paraId="4CB1E541"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b/>
                <w:bCs/>
                <w:sz w:val="20"/>
                <w:szCs w:val="20"/>
              </w:rPr>
              <w:t>Answer</w:t>
            </w:r>
            <w:r w:rsidRPr="00955AC1">
              <w:rPr>
                <w:rFonts w:ascii="Times New Roman" w:hAnsi="Times New Roman" w:cs="Times New Roman"/>
                <w:sz w:val="20"/>
                <w:szCs w:val="20"/>
              </w:rPr>
              <w:t xml:space="preserve">: </w:t>
            </w:r>
          </w:p>
          <w:p w14:paraId="5FB4B9C4"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The 2022 QAP states under </w:t>
            </w:r>
            <w:r w:rsidRPr="00955AC1">
              <w:rPr>
                <w:rFonts w:ascii="Times New Roman" w:hAnsi="Times New Roman" w:cs="Times New Roman"/>
                <w:b/>
                <w:bCs/>
                <w:sz w:val="20"/>
                <w:szCs w:val="20"/>
              </w:rPr>
              <w:t>(Threshold Criteria) Occupied Developments</w:t>
            </w:r>
            <w:r w:rsidRPr="00955AC1">
              <w:rPr>
                <w:rFonts w:ascii="Times New Roman" w:hAnsi="Times New Roman" w:cs="Times New Roman"/>
                <w:sz w:val="20"/>
                <w:szCs w:val="20"/>
              </w:rPr>
              <w:t>, “</w:t>
            </w:r>
            <w:r w:rsidRPr="00955AC1">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955AC1">
              <w:rPr>
                <w:rFonts w:ascii="Times New Roman" w:hAnsi="Times New Roman" w:cs="Times New Roman"/>
                <w:sz w:val="20"/>
                <w:szCs w:val="20"/>
              </w:rPr>
              <w:t>”</w:t>
            </w:r>
          </w:p>
          <w:p w14:paraId="33477529" w14:textId="77777777" w:rsidR="00390F34" w:rsidRPr="00955AC1" w:rsidRDefault="00390F34" w:rsidP="000F6D48">
            <w:pPr>
              <w:rPr>
                <w:rFonts w:ascii="Times New Roman" w:hAnsi="Times New Roman" w:cs="Times New Roman"/>
                <w:sz w:val="20"/>
                <w:szCs w:val="20"/>
              </w:rPr>
            </w:pPr>
          </w:p>
          <w:p w14:paraId="57668162"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127E5E20" w14:textId="77777777" w:rsidR="00390F34" w:rsidRPr="00955AC1" w:rsidRDefault="00390F34" w:rsidP="000F6D48">
            <w:pPr>
              <w:rPr>
                <w:rFonts w:ascii="Times New Roman" w:hAnsi="Times New Roman" w:cs="Times New Roman"/>
                <w:sz w:val="20"/>
                <w:szCs w:val="20"/>
              </w:rPr>
            </w:pPr>
          </w:p>
          <w:p w14:paraId="14EDBD15" w14:textId="77777777" w:rsidR="00390F34" w:rsidRPr="00955AC1" w:rsidRDefault="00390F34" w:rsidP="000F6D48">
            <w:pPr>
              <w:contextualSpacing/>
              <w:rPr>
                <w:rFonts w:ascii="Times New Roman" w:hAnsi="Times New Roman" w:cs="Times New Roman"/>
                <w:b/>
                <w:bCs/>
                <w:sz w:val="20"/>
                <w:szCs w:val="20"/>
              </w:rPr>
            </w:pPr>
            <w:r w:rsidRPr="00955AC1">
              <w:rPr>
                <w:rFonts w:ascii="Times New Roman" w:eastAsia="Times New Roman" w:hAnsi="Times New Roman" w:cs="Times New Roman"/>
                <w:sz w:val="20"/>
                <w:szCs w:val="20"/>
              </w:rPr>
              <w:t xml:space="preserve">An updated version of the </w:t>
            </w:r>
            <w:r w:rsidRPr="00955AC1">
              <w:rPr>
                <w:rFonts w:ascii="Times New Roman" w:eastAsia="Times New Roman" w:hAnsi="Times New Roman" w:cs="Times New Roman"/>
                <w:i/>
                <w:iCs/>
                <w:sz w:val="20"/>
                <w:szCs w:val="20"/>
              </w:rPr>
              <w:t xml:space="preserve">2022 Supplemental Pre-Application </w:t>
            </w:r>
            <w:r w:rsidRPr="00955AC1">
              <w:rPr>
                <w:rFonts w:ascii="Times New Roman" w:eastAsia="Times New Roman" w:hAnsi="Times New Roman" w:cs="Times New Roman"/>
                <w:sz w:val="20"/>
                <w:szCs w:val="20"/>
              </w:rPr>
              <w:t>form has been posted to the DCA website (</w:t>
            </w:r>
            <w:hyperlink r:id="rId54" w:history="1">
              <w:r w:rsidRPr="00955AC1">
                <w:rPr>
                  <w:rStyle w:val="Hyperlink"/>
                  <w:rFonts w:ascii="Times New Roman" w:eastAsia="Times New Roman" w:hAnsi="Times New Roman" w:cs="Times New Roman"/>
                  <w:color w:val="auto"/>
                  <w:sz w:val="20"/>
                  <w:szCs w:val="20"/>
                </w:rPr>
                <w:t>click here</w:t>
              </w:r>
            </w:hyperlink>
            <w:r w:rsidRPr="00955AC1">
              <w:rPr>
                <w:rFonts w:ascii="Times New Roman" w:eastAsia="Times New Roman" w:hAnsi="Times New Roman" w:cs="Times New Roman"/>
                <w:sz w:val="20"/>
                <w:szCs w:val="20"/>
              </w:rPr>
              <w:t>).</w:t>
            </w:r>
          </w:p>
        </w:tc>
      </w:tr>
      <w:tr w:rsidR="00390F34" w:rsidRPr="00955AC1" w14:paraId="7AC6B92E" w14:textId="77777777" w:rsidTr="64301FE8">
        <w:trPr>
          <w:jc w:val="center"/>
        </w:trPr>
        <w:tc>
          <w:tcPr>
            <w:tcW w:w="1697" w:type="dxa"/>
            <w:shd w:val="clear" w:color="auto" w:fill="auto"/>
            <w:tcMar>
              <w:top w:w="72" w:type="dxa"/>
              <w:left w:w="115" w:type="dxa"/>
              <w:bottom w:w="72" w:type="dxa"/>
              <w:right w:w="115" w:type="dxa"/>
            </w:tcMar>
            <w:vAlign w:val="center"/>
          </w:tcPr>
          <w:p w14:paraId="3FB9BD4D"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53A00611"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2.28</w:t>
            </w:r>
          </w:p>
          <w:p w14:paraId="3D15A4E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0262F208"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28EBC96A"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Question</w:t>
            </w:r>
            <w:r w:rsidRPr="00955AC1">
              <w:rPr>
                <w:rFonts w:ascii="Times New Roman" w:hAnsi="Times New Roman" w:cs="Times New Roman"/>
                <w:sz w:val="20"/>
                <w:szCs w:val="20"/>
              </w:rPr>
              <w:t>: Q1025_01</w:t>
            </w:r>
          </w:p>
          <w:p w14:paraId="789ABD4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Regarding DCA Underwriting Policies: why can 100% Project-Based Section 8 projects not be underwritten at a 1.15 if lender and investor approves?</w:t>
            </w:r>
          </w:p>
          <w:p w14:paraId="635D22FD" w14:textId="77777777" w:rsidR="00390F34" w:rsidRPr="00955AC1" w:rsidRDefault="00390F34" w:rsidP="000F6D48">
            <w:pPr>
              <w:contextualSpacing/>
              <w:rPr>
                <w:rFonts w:ascii="Times New Roman" w:hAnsi="Times New Roman" w:cs="Times New Roman"/>
                <w:sz w:val="20"/>
                <w:szCs w:val="20"/>
              </w:rPr>
            </w:pPr>
          </w:p>
          <w:p w14:paraId="07143308"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Answer</w:t>
            </w:r>
            <w:r w:rsidRPr="00955AC1">
              <w:rPr>
                <w:rFonts w:ascii="Times New Roman" w:hAnsi="Times New Roman" w:cs="Times New Roman"/>
                <w:sz w:val="20"/>
                <w:szCs w:val="20"/>
              </w:rPr>
              <w:t xml:space="preserve">: </w:t>
            </w:r>
          </w:p>
          <w:p w14:paraId="2CF67BB2" w14:textId="77777777" w:rsidR="00390F34" w:rsidRPr="00955AC1" w:rsidRDefault="00390F34" w:rsidP="000F6D48">
            <w:pPr>
              <w:contextualSpacing/>
              <w:rPr>
                <w:rFonts w:ascii="Times New Roman" w:hAnsi="Times New Roman" w:cs="Times New Roman"/>
                <w:b/>
                <w:bCs/>
                <w:sz w:val="20"/>
                <w:szCs w:val="20"/>
              </w:rPr>
            </w:pPr>
            <w:r w:rsidRPr="00955AC1">
              <w:rPr>
                <w:rFonts w:ascii="Times New Roman" w:hAnsi="Times New Roman" w:cs="Times New Roman"/>
                <w:sz w:val="20"/>
                <w:szCs w:val="20"/>
              </w:rPr>
              <w:t xml:space="preserve">The above question is referencing the following requirement in </w:t>
            </w:r>
            <w:r w:rsidRPr="00955AC1">
              <w:rPr>
                <w:rFonts w:ascii="Times New Roman" w:hAnsi="Times New Roman" w:cs="Times New Roman"/>
                <w:b/>
                <w:bCs/>
                <w:sz w:val="20"/>
                <w:szCs w:val="20"/>
              </w:rPr>
              <w:t xml:space="preserve">(Threshold Criteria) DCA Underwriting Policies, 7. Debt Coverage Ratio (DCR): </w:t>
            </w:r>
            <w:r w:rsidRPr="00955AC1">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06F42193" w14:textId="77777777" w:rsidR="00390F34" w:rsidRPr="00955AC1" w:rsidRDefault="00390F34" w:rsidP="000F6D48">
            <w:pPr>
              <w:contextualSpacing/>
              <w:rPr>
                <w:rFonts w:ascii="Times New Roman" w:hAnsi="Times New Roman" w:cs="Times New Roman"/>
                <w:sz w:val="20"/>
                <w:szCs w:val="20"/>
              </w:rPr>
            </w:pPr>
          </w:p>
          <w:p w14:paraId="5EB8C9EF"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955AC1">
              <w:rPr>
                <w:rFonts w:ascii="Times New Roman" w:eastAsia="Calibri" w:hAnsi="Times New Roman" w:cs="Times New Roman"/>
                <w:i/>
                <w:iCs/>
                <w:sz w:val="20"/>
                <w:szCs w:val="20"/>
              </w:rPr>
              <w:t>DCA may waive its minimum debt coverage ratio for USDA 515 developments that clearly demonstrate feasibility, or reduce it to match other government program funding requirements provided that confirmation from the agency of the required DCR is included in their funding commitment.</w:t>
            </w:r>
            <w:r w:rsidRPr="00955AC1">
              <w:rPr>
                <w:rFonts w:ascii="Times New Roman" w:eastAsia="Calibri" w:hAnsi="Times New Roman" w:cs="Times New Roman"/>
                <w:sz w:val="20"/>
                <w:szCs w:val="20"/>
              </w:rPr>
              <w:t>”</w:t>
            </w:r>
            <w:r w:rsidRPr="00955AC1">
              <w:rPr>
                <w:rFonts w:ascii="Times New Roman" w:hAnsi="Times New Roman" w:cs="Times New Roman"/>
                <w:sz w:val="20"/>
                <w:szCs w:val="20"/>
              </w:rPr>
              <w:br/>
            </w:r>
          </w:p>
          <w:p w14:paraId="7227C53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Please note that requirements differ for applications without debt (from the same section as above): </w:t>
            </w:r>
            <w:r w:rsidRPr="00955AC1">
              <w:rPr>
                <w:rFonts w:ascii="Times New Roman" w:eastAsia="Calibri" w:hAnsi="Times New Roman" w:cs="Times New Roman"/>
                <w:i/>
                <w:iCs/>
                <w:sz w:val="20"/>
                <w:szCs w:val="20"/>
              </w:rPr>
              <w:t xml:space="preserve">“Deals with no hard debt are allowed, but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new construction and 1.15 for developments involving rehabilitation is the minimum required to be considered feasible by DCA in Years 1-15.” </w:t>
            </w:r>
          </w:p>
        </w:tc>
      </w:tr>
      <w:tr w:rsidR="00390F34" w:rsidRPr="00955AC1" w14:paraId="2FD22F0B" w14:textId="77777777" w:rsidTr="64301FE8">
        <w:trPr>
          <w:jc w:val="center"/>
        </w:trPr>
        <w:tc>
          <w:tcPr>
            <w:tcW w:w="1697" w:type="dxa"/>
            <w:shd w:val="clear" w:color="auto" w:fill="auto"/>
            <w:tcMar>
              <w:top w:w="72" w:type="dxa"/>
              <w:left w:w="115" w:type="dxa"/>
              <w:bottom w:w="72" w:type="dxa"/>
              <w:right w:w="115" w:type="dxa"/>
            </w:tcMar>
            <w:vAlign w:val="center"/>
          </w:tcPr>
          <w:p w14:paraId="34BB1C03"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092E7423"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2.28</w:t>
            </w:r>
          </w:p>
          <w:p w14:paraId="562A1C6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2890BCBE"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53A57B4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Q1025_02 </w:t>
            </w:r>
          </w:p>
          <w:p w14:paraId="0E76F364"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0463F755"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0A142D9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43264FD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DCA has a Pre-Application process in which applicants can submit a waiver of underwriting policies (“0104 Underwriting Waiver” in the Emphasys Pre-Application).  The Pre-Application should include documentation to substantiate the request.</w:t>
            </w:r>
          </w:p>
        </w:tc>
      </w:tr>
      <w:tr w:rsidR="00390F34" w:rsidRPr="00955AC1" w14:paraId="04409542" w14:textId="77777777" w:rsidTr="64301FE8">
        <w:trPr>
          <w:jc w:val="center"/>
        </w:trPr>
        <w:tc>
          <w:tcPr>
            <w:tcW w:w="1697" w:type="dxa"/>
            <w:shd w:val="clear" w:color="auto" w:fill="auto"/>
            <w:tcMar>
              <w:top w:w="72" w:type="dxa"/>
              <w:left w:w="115" w:type="dxa"/>
              <w:bottom w:w="72" w:type="dxa"/>
              <w:right w:w="115" w:type="dxa"/>
            </w:tcMar>
            <w:vAlign w:val="center"/>
          </w:tcPr>
          <w:p w14:paraId="2D639276"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5FF68E0F"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2.28</w:t>
            </w:r>
          </w:p>
          <w:p w14:paraId="10B4C372"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01BAB8C5"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734F1490"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Question</w:t>
            </w:r>
            <w:r w:rsidRPr="00955AC1">
              <w:rPr>
                <w:rFonts w:ascii="Times New Roman" w:hAnsi="Times New Roman" w:cs="Times New Roman"/>
                <w:sz w:val="20"/>
                <w:szCs w:val="20"/>
              </w:rPr>
              <w:t>: Q22_0304_06</w:t>
            </w:r>
          </w:p>
          <w:p w14:paraId="3BD4BE98"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t>• Threshold - Underwriting: 11. Distribution across Unit / Bedroom Sizes:</w:t>
            </w:r>
          </w:p>
          <w:p w14:paraId="6BA0955F"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t>o "a) Rent. Projects with a multi-tiered rent structure must distribute the</w:t>
            </w:r>
          </w:p>
          <w:p w14:paraId="0A8F5AA5"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t>rents across unit sizes, unit types and buildings. These units need not be</w:t>
            </w:r>
          </w:p>
          <w:p w14:paraId="38952C9B"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t>fixed, but may float in the same way high HOME rent and low HOME rent</w:t>
            </w:r>
          </w:p>
          <w:p w14:paraId="4DDD06C8"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t>units may float within a project so long as the units and interior amenities</w:t>
            </w:r>
          </w:p>
          <w:p w14:paraId="335A03A5"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t>are comparable."</w:t>
            </w:r>
          </w:p>
          <w:p w14:paraId="1F4A9461"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t>o Can DCA provide unit/rent mix examples illustrating what might be</w:t>
            </w:r>
          </w:p>
          <w:p w14:paraId="0B2B1300"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t>considered acceptable and unacceptable as it relates to "Projects with a</w:t>
            </w:r>
          </w:p>
          <w:p w14:paraId="0E849E9A"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t>multi-tiered rent structure must distribute the rents across unit sizes, unit</w:t>
            </w:r>
          </w:p>
          <w:p w14:paraId="10C524E2"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t>types and buildings."?</w:t>
            </w:r>
          </w:p>
          <w:p w14:paraId="7624A8A5"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t>o If a unit/rent mix is submitted within the Rent Schedule &amp; Summary tab of</w:t>
            </w:r>
          </w:p>
          <w:p w14:paraId="7766CB22"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t>the Pre-Application Submission Form, will DCA provide a response to the</w:t>
            </w:r>
          </w:p>
          <w:p w14:paraId="3D8BC7AB"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t>Pre-Application indicating if the distribution is acceptable or not. If</w:t>
            </w:r>
          </w:p>
          <w:p w14:paraId="3677CFC0"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t>determined unacceptable, I assume the applicant will have the opportunity</w:t>
            </w:r>
          </w:p>
          <w:p w14:paraId="2D69D06B"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sz w:val="20"/>
                <w:szCs w:val="20"/>
              </w:rPr>
              <w:t>to adjust the mix for what is submitted in the full application, is that correct?</w:t>
            </w:r>
          </w:p>
          <w:p w14:paraId="4F6D6047" w14:textId="77777777" w:rsidR="00390F34" w:rsidRPr="00955AC1" w:rsidRDefault="00390F34" w:rsidP="000F6D48">
            <w:pPr>
              <w:contextualSpacing/>
              <w:rPr>
                <w:rFonts w:ascii="Times New Roman" w:hAnsi="Times New Roman" w:cs="Times New Roman"/>
                <w:sz w:val="20"/>
                <w:szCs w:val="20"/>
              </w:rPr>
            </w:pPr>
          </w:p>
          <w:p w14:paraId="3213619B"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Answer</w:t>
            </w:r>
            <w:r w:rsidRPr="00955AC1">
              <w:rPr>
                <w:rFonts w:ascii="Times New Roman" w:hAnsi="Times New Roman" w:cs="Times New Roman"/>
                <w:sz w:val="20"/>
                <w:szCs w:val="20"/>
              </w:rPr>
              <w:t xml:space="preserve">: </w:t>
            </w:r>
          </w:p>
          <w:p w14:paraId="2C943AAC"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distribution among the unit and bedroom sizes automatically. Per </w:t>
            </w:r>
            <w:r w:rsidRPr="00955AC1">
              <w:rPr>
                <w:rFonts w:ascii="Times New Roman" w:hAnsi="Times New Roman" w:cs="Times New Roman"/>
                <w:b/>
                <w:bCs/>
                <w:sz w:val="20"/>
                <w:szCs w:val="20"/>
              </w:rPr>
              <w:t>Q0221_02</w:t>
            </w:r>
            <w:r w:rsidRPr="00955AC1">
              <w:rPr>
                <w:rFonts w:ascii="Times New Roman" w:hAnsi="Times New Roman" w:cs="Times New Roman"/>
                <w:sz w:val="20"/>
                <w:szCs w:val="20"/>
              </w:rPr>
              <w:t xml:space="preserve"> published on 2/25/22, where helpful the most up-to-date Core Application can be used for purposes of a Pre-Application waiver request (see referenced Q&amp;A for direct link). </w:t>
            </w:r>
          </w:p>
          <w:p w14:paraId="4D9B9746" w14:textId="77777777" w:rsidR="00390F34" w:rsidRPr="00955AC1" w:rsidRDefault="00390F34" w:rsidP="000F6D48">
            <w:pPr>
              <w:rPr>
                <w:rFonts w:ascii="Times New Roman" w:hAnsi="Times New Roman" w:cs="Times New Roman"/>
                <w:sz w:val="20"/>
                <w:szCs w:val="20"/>
              </w:rPr>
            </w:pPr>
          </w:p>
          <w:p w14:paraId="65073A82"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Equal distribution means the difference between the proposed and exact units is within 2 units. See DCA’s Average Income Policy for more information (</w:t>
            </w:r>
            <w:hyperlink r:id="rId55" w:history="1">
              <w:r w:rsidRPr="00955AC1">
                <w:rPr>
                  <w:rStyle w:val="Hyperlink"/>
                  <w:rFonts w:ascii="Times New Roman" w:hAnsi="Times New Roman" w:cs="Times New Roman"/>
                  <w:color w:val="auto"/>
                  <w:sz w:val="20"/>
                  <w:szCs w:val="20"/>
                </w:rPr>
                <w:t>click here</w:t>
              </w:r>
            </w:hyperlink>
            <w:r w:rsidRPr="00955AC1">
              <w:rPr>
                <w:rFonts w:ascii="Times New Roman" w:hAnsi="Times New Roman" w:cs="Times New Roman"/>
                <w:sz w:val="20"/>
                <w:szCs w:val="20"/>
              </w:rPr>
              <w:t xml:space="preserve"> for DCA’s Compliance Monitoring homepage, visit the “Tax Credit” page, download “</w:t>
            </w:r>
            <w:r w:rsidRPr="00955AC1">
              <w:rPr>
                <w:rFonts w:ascii="Times New Roman" w:hAnsi="Times New Roman" w:cs="Times New Roman"/>
                <w:b/>
                <w:bCs/>
                <w:sz w:val="20"/>
                <w:szCs w:val="20"/>
              </w:rPr>
              <w:t>DCA's Average Income Policy (updated 2021)</w:t>
            </w:r>
            <w:r w:rsidRPr="00955AC1">
              <w:rPr>
                <w:rFonts w:ascii="Times New Roman" w:hAnsi="Times New Roman" w:cs="Times New Roman"/>
                <w:sz w:val="20"/>
                <w:szCs w:val="20"/>
              </w:rPr>
              <w:t xml:space="preserve">, and view subsection </w:t>
            </w:r>
            <w:r w:rsidRPr="00955AC1">
              <w:rPr>
                <w:rFonts w:ascii="Times New Roman" w:hAnsi="Times New Roman" w:cs="Times New Roman"/>
                <w:b/>
                <w:bCs/>
                <w:sz w:val="20"/>
                <w:szCs w:val="20"/>
              </w:rPr>
              <w:t>B. DCA adopted requirements and interpretations</w:t>
            </w:r>
            <w:r w:rsidRPr="00955AC1">
              <w:rPr>
                <w:rFonts w:ascii="Times New Roman" w:hAnsi="Times New Roman" w:cs="Times New Roman"/>
                <w:sz w:val="20"/>
                <w:szCs w:val="20"/>
              </w:rPr>
              <w:t>”).</w:t>
            </w:r>
          </w:p>
          <w:p w14:paraId="615C8483" w14:textId="77777777" w:rsidR="00390F34" w:rsidRPr="00955AC1" w:rsidRDefault="00390F34" w:rsidP="000F6D48">
            <w:pPr>
              <w:rPr>
                <w:rFonts w:ascii="Times New Roman" w:hAnsi="Times New Roman" w:cs="Times New Roman"/>
                <w:sz w:val="20"/>
                <w:szCs w:val="20"/>
              </w:rPr>
            </w:pPr>
          </w:p>
          <w:p w14:paraId="35547606" w14:textId="77777777" w:rsidR="00390F34" w:rsidRPr="00955AC1" w:rsidRDefault="00390F34" w:rsidP="000F6D48">
            <w:pPr>
              <w:contextualSpacing/>
              <w:rPr>
                <w:rFonts w:ascii="Times New Roman" w:hAnsi="Times New Roman" w:cs="Times New Roman"/>
                <w:b/>
                <w:bCs/>
                <w:sz w:val="20"/>
                <w:szCs w:val="20"/>
              </w:rPr>
            </w:pPr>
            <w:r w:rsidRPr="00955AC1">
              <w:rPr>
                <w:rFonts w:ascii="Times New Roman" w:hAnsi="Times New Roman" w:cs="Times New Roman"/>
                <w:sz w:val="20"/>
                <w:szCs w:val="20"/>
              </w:rPr>
              <w:t>DCA will accept pre-applications for waivers of this requirement.</w:t>
            </w:r>
          </w:p>
        </w:tc>
      </w:tr>
      <w:tr w:rsidR="00390F34" w:rsidRPr="00955AC1" w14:paraId="67B7EC52" w14:textId="77777777" w:rsidTr="64301FE8">
        <w:trPr>
          <w:jc w:val="center"/>
        </w:trPr>
        <w:tc>
          <w:tcPr>
            <w:tcW w:w="1697" w:type="dxa"/>
            <w:shd w:val="clear" w:color="auto" w:fill="auto"/>
            <w:tcMar>
              <w:top w:w="72" w:type="dxa"/>
              <w:left w:w="115" w:type="dxa"/>
              <w:bottom w:w="72" w:type="dxa"/>
              <w:right w:w="115" w:type="dxa"/>
            </w:tcMar>
            <w:vAlign w:val="center"/>
          </w:tcPr>
          <w:p w14:paraId="3CAAA69F"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79C6EA97"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2.28 </w:t>
            </w:r>
          </w:p>
          <w:p w14:paraId="5F2291F9"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4C46E5AF"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DCA Underwriting Policies </w:t>
            </w:r>
          </w:p>
        </w:tc>
        <w:tc>
          <w:tcPr>
            <w:tcW w:w="9585" w:type="dxa"/>
            <w:shd w:val="clear" w:color="auto" w:fill="auto"/>
            <w:tcMar>
              <w:top w:w="72" w:type="dxa"/>
              <w:left w:w="115" w:type="dxa"/>
              <w:bottom w:w="72" w:type="dxa"/>
              <w:right w:w="115" w:type="dxa"/>
            </w:tcMar>
            <w:vAlign w:val="center"/>
          </w:tcPr>
          <w:p w14:paraId="56E63773"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Question</w:t>
            </w:r>
            <w:r w:rsidRPr="00955AC1">
              <w:rPr>
                <w:rFonts w:ascii="Times New Roman" w:hAnsi="Times New Roman" w:cs="Times New Roman"/>
                <w:sz w:val="20"/>
                <w:szCs w:val="20"/>
              </w:rPr>
              <w:t>: Q22_0304_03</w:t>
            </w:r>
          </w:p>
          <w:p w14:paraId="58EA1E8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28A2F704" w14:textId="77777777" w:rsidR="00390F34" w:rsidRPr="00955AC1" w:rsidRDefault="00390F34" w:rsidP="000F6D48">
            <w:pPr>
              <w:contextualSpacing/>
              <w:rPr>
                <w:rFonts w:ascii="Times New Roman" w:hAnsi="Times New Roman" w:cs="Times New Roman"/>
                <w:sz w:val="20"/>
                <w:szCs w:val="20"/>
              </w:rPr>
            </w:pPr>
          </w:p>
          <w:p w14:paraId="0EEB2E98"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Answer</w:t>
            </w:r>
            <w:r w:rsidRPr="00955AC1">
              <w:rPr>
                <w:rFonts w:ascii="Times New Roman" w:hAnsi="Times New Roman" w:cs="Times New Roman"/>
                <w:sz w:val="20"/>
                <w:szCs w:val="20"/>
              </w:rPr>
              <w:t xml:space="preserve">: </w:t>
            </w:r>
          </w:p>
          <w:p w14:paraId="6F674466" w14:textId="77777777" w:rsidR="00390F34" w:rsidRPr="00955AC1" w:rsidRDefault="00390F34" w:rsidP="000F6D48">
            <w:pPr>
              <w:textAlignment w:val="baseline"/>
              <w:rPr>
                <w:rFonts w:ascii="Times New Roman" w:eastAsia="Times New Roman" w:hAnsi="Times New Roman" w:cs="Times New Roman"/>
                <w:b/>
                <w:bCs/>
                <w:sz w:val="20"/>
                <w:szCs w:val="20"/>
              </w:rPr>
            </w:pPr>
            <w:r w:rsidRPr="00955AC1">
              <w:rPr>
                <w:rFonts w:ascii="Times New Roman" w:hAnsi="Times New Roman" w:cs="Times New Roman"/>
                <w:sz w:val="20"/>
                <w:szCs w:val="20"/>
              </w:rPr>
              <w:t>DCA requires a Pre-Application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390F34" w:rsidRPr="00955AC1" w14:paraId="09EC4903" w14:textId="77777777" w:rsidTr="64301FE8">
        <w:trPr>
          <w:jc w:val="center"/>
        </w:trPr>
        <w:tc>
          <w:tcPr>
            <w:tcW w:w="1697" w:type="dxa"/>
            <w:shd w:val="clear" w:color="auto" w:fill="auto"/>
            <w:tcMar>
              <w:top w:w="72" w:type="dxa"/>
              <w:left w:w="115" w:type="dxa"/>
              <w:bottom w:w="72" w:type="dxa"/>
              <w:right w:w="115" w:type="dxa"/>
            </w:tcMar>
            <w:vAlign w:val="center"/>
          </w:tcPr>
          <w:p w14:paraId="15F1FBF4"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7F5B8445"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2.20</w:t>
            </w:r>
          </w:p>
          <w:p w14:paraId="74EE59F4"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Threshold Criteria;</w:t>
            </w:r>
          </w:p>
          <w:p w14:paraId="76FDCE76"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01E6899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Q0223_04 </w:t>
            </w:r>
          </w:p>
          <w:p w14:paraId="04384D88"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7F030351"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31A33201"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5CC2172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1CFFBF6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1A5F037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The instructions referenced are the following: </w:t>
            </w:r>
          </w:p>
          <w:p w14:paraId="4A151B1D"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390F34" w:rsidRPr="00955AC1" w14:paraId="63AB2E7A"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6BDFF6E" w14:textId="77777777" w:rsidR="00390F34" w:rsidRPr="00955AC1" w:rsidRDefault="00390F34" w:rsidP="000F6D48">
                  <w:pPr>
                    <w:keepNext/>
                    <w:keepLines/>
                    <w:spacing w:after="0" w:line="240" w:lineRule="auto"/>
                    <w:jc w:val="cente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Performance Workbook:</w:t>
                  </w:r>
                  <w:r w:rsidRPr="00955AC1">
                    <w:rPr>
                      <w:rFonts w:ascii="Times New Roman" w:eastAsia="Times New Roman" w:hAnsi="Times New Roman" w:cs="Times New Roman"/>
                      <w:sz w:val="20"/>
                      <w:szCs w:val="20"/>
                    </w:rPr>
                    <w:t> </w:t>
                  </w:r>
                </w:p>
                <w:p w14:paraId="61FCD4E8" w14:textId="77777777" w:rsidR="00390F34" w:rsidRPr="00955AC1" w:rsidRDefault="00390F34" w:rsidP="000F6D48">
                  <w:pPr>
                    <w:keepNext/>
                    <w:keepLines/>
                    <w:spacing w:after="0" w:line="240" w:lineRule="auto"/>
                    <w:jc w:val="cente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Instructions for Capacity Form</w:t>
                  </w:r>
                  <w:r w:rsidRPr="00955AC1">
                    <w:rPr>
                      <w:rFonts w:ascii="Times New Roman" w:eastAsia="Times New Roman" w:hAnsi="Times New Roman" w:cs="Times New Roman"/>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3B80C018" w14:textId="77777777" w:rsidR="00390F34" w:rsidRPr="00955AC1" w:rsidRDefault="00390F34" w:rsidP="000F6D48">
                  <w:pPr>
                    <w:keepNext/>
                    <w:keepLines/>
                    <w:spacing w:after="0" w:line="240" w:lineRule="auto"/>
                    <w:jc w:val="cente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Performance Workbook:</w:t>
                  </w:r>
                  <w:r w:rsidRPr="00955AC1">
                    <w:rPr>
                      <w:rFonts w:ascii="Times New Roman" w:eastAsia="Times New Roman" w:hAnsi="Times New Roman" w:cs="Times New Roman"/>
                      <w:sz w:val="20"/>
                      <w:szCs w:val="20"/>
                    </w:rPr>
                    <w:t> </w:t>
                  </w:r>
                </w:p>
                <w:p w14:paraId="55561D34" w14:textId="77777777" w:rsidR="00390F34" w:rsidRPr="00955AC1" w:rsidRDefault="00390F34" w:rsidP="000F6D48">
                  <w:pPr>
                    <w:keepNext/>
                    <w:keepLines/>
                    <w:spacing w:after="0" w:line="240" w:lineRule="auto"/>
                    <w:jc w:val="cente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Capacity Form</w:t>
                  </w:r>
                  <w:r w:rsidRPr="00955AC1">
                    <w:rPr>
                      <w:rFonts w:ascii="Times New Roman" w:eastAsia="Times New Roman" w:hAnsi="Times New Roman" w:cs="Times New Roman"/>
                      <w:sz w:val="20"/>
                      <w:szCs w:val="20"/>
                    </w:rPr>
                    <w:t> </w:t>
                  </w:r>
                </w:p>
              </w:tc>
            </w:tr>
            <w:tr w:rsidR="00390F34" w:rsidRPr="00955AC1" w14:paraId="1A5B5A48"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3922EF50" w14:textId="77777777" w:rsidR="00390F34" w:rsidRPr="00955AC1" w:rsidRDefault="00390F34" w:rsidP="000F6D48">
                  <w:pPr>
                    <w:keepNext/>
                    <w:keepLines/>
                    <w:spacing w:after="0" w:line="240" w:lineRule="auto"/>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0C43A69C" w14:textId="77777777" w:rsidR="00390F34" w:rsidRPr="00955AC1" w:rsidRDefault="00390F34" w:rsidP="000F6D48">
                  <w:pPr>
                    <w:keepNext/>
                    <w:keepLines/>
                    <w:spacing w:after="0" w:line="240" w:lineRule="auto"/>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“The Certifying Entity must list each affordable housing property currently [under review]… and/or any other multifamily development…that has not yet finished construction and/or begun lease up…” </w:t>
                  </w:r>
                </w:p>
              </w:tc>
            </w:tr>
          </w:tbl>
          <w:p w14:paraId="3DA34B0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3C833C31"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955AC1">
              <w:rPr>
                <w:rFonts w:ascii="Times New Roman" w:eastAsia="Times New Roman" w:hAnsi="Times New Roman" w:cs="Times New Roman"/>
                <w:b/>
                <w:bCs/>
                <w:sz w:val="20"/>
                <w:szCs w:val="20"/>
              </w:rPr>
              <w:t>[not yet]</w:t>
            </w:r>
            <w:r w:rsidRPr="00955AC1">
              <w:rPr>
                <w:rFonts w:ascii="Times New Roman" w:eastAsia="Times New Roman" w:hAnsi="Times New Roman" w:cs="Times New Roman"/>
                <w:sz w:val="20"/>
                <w:szCs w:val="20"/>
              </w:rPr>
              <w:t xml:space="preserve"> begun lease up…” This is not a correct interpretation. In the form instructions, “not yet” only refers to “finished construction.” </w:t>
            </w:r>
          </w:p>
          <w:p w14:paraId="11A8F10E"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193463FB"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390F34" w:rsidRPr="00955AC1" w14:paraId="7E7DA06A" w14:textId="77777777" w:rsidTr="64301FE8">
        <w:trPr>
          <w:jc w:val="center"/>
        </w:trPr>
        <w:tc>
          <w:tcPr>
            <w:tcW w:w="1697" w:type="dxa"/>
            <w:shd w:val="clear" w:color="auto" w:fill="auto"/>
            <w:tcMar>
              <w:top w:w="72" w:type="dxa"/>
              <w:left w:w="115" w:type="dxa"/>
              <w:bottom w:w="72" w:type="dxa"/>
              <w:right w:w="115" w:type="dxa"/>
            </w:tcMar>
            <w:vAlign w:val="center"/>
          </w:tcPr>
          <w:p w14:paraId="48B9ADBD"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164B079A"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2.25</w:t>
            </w:r>
          </w:p>
          <w:p w14:paraId="576F4D8D"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Threshold Criteria; </w:t>
            </w:r>
          </w:p>
          <w:p w14:paraId="63FEF34F"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Occupied Developments</w:t>
            </w:r>
          </w:p>
          <w:p w14:paraId="46C91CC7" w14:textId="77777777" w:rsidR="00390F34" w:rsidRPr="00955AC1" w:rsidRDefault="00390F34" w:rsidP="000F6D48">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2C61DA88" w14:textId="77777777" w:rsidR="00390F34" w:rsidRPr="00955AC1" w:rsidRDefault="00390F34" w:rsidP="000F6D48">
            <w:pPr>
              <w:keepNext/>
              <w:keepLines/>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Q22_0304_05 </w:t>
            </w:r>
          </w:p>
          <w:p w14:paraId="41095DE3" w14:textId="77777777" w:rsidR="00390F34" w:rsidRPr="00955AC1" w:rsidRDefault="00390F34" w:rsidP="000F6D48">
            <w:pPr>
              <w:keepNext/>
              <w:keepLines/>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We are planning an acquisition rehabilitation of a property, and the property </w:t>
            </w:r>
          </w:p>
          <w:p w14:paraId="1F639613" w14:textId="77777777" w:rsidR="00390F34" w:rsidRPr="00955AC1" w:rsidRDefault="00390F34" w:rsidP="000F6D48">
            <w:pPr>
              <w:keepNext/>
              <w:keepLines/>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is currently fully occupied. We are not planning on permanently displacing </w:t>
            </w:r>
          </w:p>
          <w:p w14:paraId="4A810AC1"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any residents. They all will be temporarily relocated for approximately </w:t>
            </w:r>
          </w:p>
          <w:p w14:paraId="53865C43"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10-20 days while their unit is being rehabbed. Since they are leaving their </w:t>
            </w:r>
          </w:p>
          <w:p w14:paraId="648E617C"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unit for a short period of time and being temporarily relocated, will you </w:t>
            </w:r>
          </w:p>
          <w:p w14:paraId="453EC882"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please confirm that this is not considered an "in-place" rehab and a waiver </w:t>
            </w:r>
          </w:p>
          <w:p w14:paraId="149F03BD"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is not required? </w:t>
            </w:r>
          </w:p>
          <w:p w14:paraId="335F1B5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62A89C7D"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798856FA"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Yes, this is not considered an "in-place" rehab and a waiver is not required.  Please see Q0223_01 for additional discussion comparing “in-place rehab” circumstances and “temporary relocation.” </w:t>
            </w:r>
          </w:p>
        </w:tc>
      </w:tr>
      <w:tr w:rsidR="00390F34" w:rsidRPr="00955AC1" w14:paraId="7B18BAD0" w14:textId="77777777" w:rsidTr="64301FE8">
        <w:trPr>
          <w:jc w:val="center"/>
        </w:trPr>
        <w:tc>
          <w:tcPr>
            <w:tcW w:w="1697" w:type="dxa"/>
            <w:shd w:val="clear" w:color="auto" w:fill="auto"/>
            <w:tcMar>
              <w:top w:w="72" w:type="dxa"/>
              <w:left w:w="115" w:type="dxa"/>
              <w:bottom w:w="72" w:type="dxa"/>
              <w:right w:w="115" w:type="dxa"/>
            </w:tcMar>
            <w:vAlign w:val="center"/>
          </w:tcPr>
          <w:p w14:paraId="347FFC6B"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2D035CBB"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2.25</w:t>
            </w:r>
          </w:p>
          <w:p w14:paraId="75092CD3"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Threshold Criteria; </w:t>
            </w:r>
          </w:p>
          <w:p w14:paraId="7C099203"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16336492" w14:textId="77777777" w:rsidR="00390F34" w:rsidRPr="00955AC1" w:rsidRDefault="00390F34" w:rsidP="000F6D48">
            <w:pPr>
              <w:keepNext/>
              <w:keepLines/>
              <w:contextualSpacing/>
              <w:rPr>
                <w:rFonts w:ascii="Times New Roman" w:hAnsi="Times New Roman" w:cs="Times New Roman"/>
                <w:sz w:val="20"/>
                <w:szCs w:val="20"/>
              </w:rPr>
            </w:pPr>
            <w:r w:rsidRPr="00955AC1">
              <w:rPr>
                <w:rFonts w:ascii="Times New Roman" w:hAnsi="Times New Roman" w:cs="Times New Roman"/>
                <w:b/>
                <w:bCs/>
                <w:sz w:val="20"/>
                <w:szCs w:val="20"/>
              </w:rPr>
              <w:t>Question</w:t>
            </w:r>
            <w:r w:rsidRPr="00955AC1">
              <w:rPr>
                <w:rFonts w:ascii="Times New Roman" w:hAnsi="Times New Roman" w:cs="Times New Roman"/>
                <w:sz w:val="20"/>
                <w:szCs w:val="20"/>
              </w:rPr>
              <w:t>: Q0223_01</w:t>
            </w:r>
          </w:p>
          <w:p w14:paraId="4CA5E2AC" w14:textId="77777777" w:rsidR="00390F34" w:rsidRPr="00955AC1" w:rsidRDefault="00390F34" w:rsidP="000F6D48">
            <w:pPr>
              <w:keepNext/>
              <w:keepLines/>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waiver and the draft GIN?</w:t>
            </w:r>
          </w:p>
          <w:p w14:paraId="12F5ABB7" w14:textId="77777777" w:rsidR="00390F34" w:rsidRPr="00955AC1" w:rsidRDefault="00390F34" w:rsidP="000F6D48">
            <w:pPr>
              <w:rPr>
                <w:rFonts w:ascii="Times New Roman" w:eastAsia="Times New Roman" w:hAnsi="Times New Roman" w:cs="Times New Roman"/>
                <w:sz w:val="20"/>
                <w:szCs w:val="20"/>
              </w:rPr>
            </w:pPr>
          </w:p>
          <w:p w14:paraId="75C94D0A" w14:textId="77777777" w:rsidR="00390F34" w:rsidRPr="00955AC1" w:rsidRDefault="00390F34" w:rsidP="000F6D48">
            <w:pPr>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xml:space="preserve">The document I’m referencing is “Toolkit.Multifamily-LIHTCOnly.pdf” in the downloadable folder, “Relocation Documents for Multifamily - LIHTC Only”, on the DCA website (under 2022 Federal Compliance &amp; Relocation Manuals and Forms). </w:t>
            </w:r>
          </w:p>
          <w:p w14:paraId="469D765D" w14:textId="77777777" w:rsidR="00390F34" w:rsidRPr="00955AC1" w:rsidRDefault="00390F34" w:rsidP="000F6D48">
            <w:pPr>
              <w:contextualSpacing/>
              <w:rPr>
                <w:rFonts w:ascii="Times New Roman" w:hAnsi="Times New Roman" w:cs="Times New Roman"/>
                <w:sz w:val="20"/>
                <w:szCs w:val="20"/>
              </w:rPr>
            </w:pPr>
          </w:p>
          <w:p w14:paraId="21D29FD5" w14:textId="77777777" w:rsidR="00390F34" w:rsidRPr="00955AC1" w:rsidRDefault="00390F34" w:rsidP="000F6D48">
            <w:pPr>
              <w:contextualSpacing/>
              <w:rPr>
                <w:rFonts w:ascii="Times New Roman" w:hAnsi="Times New Roman" w:cs="Times New Roman"/>
                <w:sz w:val="20"/>
                <w:szCs w:val="20"/>
              </w:rPr>
            </w:pPr>
            <w:r w:rsidRPr="00955AC1">
              <w:rPr>
                <w:rFonts w:ascii="Times New Roman" w:hAnsi="Times New Roman" w:cs="Times New Roman"/>
                <w:b/>
                <w:bCs/>
                <w:sz w:val="20"/>
                <w:szCs w:val="20"/>
              </w:rPr>
              <w:t>Answer</w:t>
            </w:r>
            <w:r w:rsidRPr="00955AC1">
              <w:rPr>
                <w:rFonts w:ascii="Times New Roman" w:hAnsi="Times New Roman" w:cs="Times New Roman"/>
                <w:sz w:val="20"/>
                <w:szCs w:val="20"/>
              </w:rPr>
              <w:t xml:space="preserve">: </w:t>
            </w:r>
          </w:p>
          <w:p w14:paraId="284A844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First, please note that in most cases, Applicants reaching out to DCA about in-place rehabilitation waivers are actually conflating the terms “temporary relocation” and “in-place rehabilitation.” Please see the below distinctions: </w:t>
            </w:r>
          </w:p>
          <w:p w14:paraId="4DC044DF"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4"/>
              <w:gridCol w:w="7101"/>
            </w:tblGrid>
            <w:tr w:rsidR="00390F34" w:rsidRPr="00955AC1" w14:paraId="05AF75DD" w14:textId="77777777" w:rsidTr="00DD3AA4">
              <w:tc>
                <w:tcPr>
                  <w:tcW w:w="2245" w:type="dxa"/>
                </w:tcPr>
                <w:p w14:paraId="641EECA3" w14:textId="77777777" w:rsidR="00390F34" w:rsidRPr="00955AC1" w:rsidRDefault="00390F34" w:rsidP="000F6D48">
                  <w:pPr>
                    <w:keepNext/>
                    <w:keepLines/>
                    <w:jc w:val="center"/>
                    <w:rPr>
                      <w:rFonts w:ascii="Times New Roman" w:hAnsi="Times New Roman" w:cs="Times New Roman"/>
                      <w:b/>
                      <w:bCs/>
                      <w:sz w:val="20"/>
                      <w:szCs w:val="20"/>
                    </w:rPr>
                  </w:pPr>
                  <w:r w:rsidRPr="00955AC1">
                    <w:rPr>
                      <w:rFonts w:ascii="Times New Roman" w:hAnsi="Times New Roman" w:cs="Times New Roman"/>
                      <w:b/>
                      <w:bCs/>
                      <w:sz w:val="20"/>
                      <w:szCs w:val="20"/>
                    </w:rPr>
                    <w:t>Term</w:t>
                  </w:r>
                </w:p>
              </w:tc>
              <w:tc>
                <w:tcPr>
                  <w:tcW w:w="7105" w:type="dxa"/>
                </w:tcPr>
                <w:p w14:paraId="116909F3" w14:textId="77777777" w:rsidR="00390F34" w:rsidRPr="00955AC1" w:rsidRDefault="00390F34" w:rsidP="000F6D48">
                  <w:pPr>
                    <w:keepNext/>
                    <w:keepLines/>
                    <w:jc w:val="center"/>
                    <w:rPr>
                      <w:rFonts w:ascii="Times New Roman" w:hAnsi="Times New Roman" w:cs="Times New Roman"/>
                      <w:b/>
                      <w:bCs/>
                      <w:sz w:val="20"/>
                      <w:szCs w:val="20"/>
                    </w:rPr>
                  </w:pPr>
                  <w:r w:rsidRPr="00955AC1">
                    <w:rPr>
                      <w:rFonts w:ascii="Times New Roman" w:hAnsi="Times New Roman" w:cs="Times New Roman"/>
                      <w:b/>
                      <w:bCs/>
                      <w:sz w:val="20"/>
                      <w:szCs w:val="20"/>
                    </w:rPr>
                    <w:t>Definition</w:t>
                  </w:r>
                </w:p>
              </w:tc>
            </w:tr>
            <w:tr w:rsidR="00390F34" w:rsidRPr="00955AC1" w14:paraId="31D7D514" w14:textId="77777777" w:rsidTr="00DD3AA4">
              <w:tc>
                <w:tcPr>
                  <w:tcW w:w="2245" w:type="dxa"/>
                </w:tcPr>
                <w:p w14:paraId="374956CF" w14:textId="77777777" w:rsidR="00390F34" w:rsidRPr="00955AC1" w:rsidRDefault="00390F34" w:rsidP="000F6D48">
                  <w:pPr>
                    <w:keepNext/>
                    <w:keepLines/>
                    <w:rPr>
                      <w:rFonts w:ascii="Times New Roman" w:hAnsi="Times New Roman" w:cs="Times New Roman"/>
                      <w:sz w:val="20"/>
                      <w:szCs w:val="20"/>
                    </w:rPr>
                  </w:pPr>
                  <w:r w:rsidRPr="00955AC1">
                    <w:rPr>
                      <w:rFonts w:ascii="Times New Roman" w:hAnsi="Times New Roman" w:cs="Times New Roman"/>
                      <w:sz w:val="20"/>
                      <w:szCs w:val="20"/>
                    </w:rPr>
                    <w:t>Temporary relocation</w:t>
                  </w:r>
                </w:p>
              </w:tc>
              <w:tc>
                <w:tcPr>
                  <w:tcW w:w="7105" w:type="dxa"/>
                </w:tcPr>
                <w:p w14:paraId="13940D88" w14:textId="77777777" w:rsidR="00390F34" w:rsidRPr="00955AC1" w:rsidRDefault="00390F34" w:rsidP="000F6D48">
                  <w:pPr>
                    <w:keepNext/>
                    <w:keepLines/>
                    <w:rPr>
                      <w:rFonts w:ascii="Times New Roman" w:hAnsi="Times New Roman" w:cs="Times New Roman"/>
                      <w:sz w:val="20"/>
                      <w:szCs w:val="20"/>
                    </w:rPr>
                  </w:pPr>
                  <w:r w:rsidRPr="00955AC1">
                    <w:rPr>
                      <w:rFonts w:ascii="Times New Roman" w:hAnsi="Times New Roman" w:cs="Times New Roman"/>
                      <w:sz w:val="20"/>
                      <w:szCs w:val="20"/>
                    </w:rPr>
                    <w:t>Temporary relocation refers to when an occupant must occupy temporary shelter during the rehabilitation process for at least one overnight.</w:t>
                  </w:r>
                </w:p>
              </w:tc>
            </w:tr>
            <w:tr w:rsidR="00390F34" w:rsidRPr="00955AC1" w14:paraId="6E20E47A" w14:textId="77777777" w:rsidTr="00DD3AA4">
              <w:tc>
                <w:tcPr>
                  <w:tcW w:w="2245" w:type="dxa"/>
                </w:tcPr>
                <w:p w14:paraId="40161C5C" w14:textId="77777777" w:rsidR="00390F34" w:rsidRPr="00955AC1" w:rsidRDefault="00390F34" w:rsidP="000F6D48">
                  <w:pPr>
                    <w:keepNext/>
                    <w:keepLines/>
                    <w:rPr>
                      <w:rFonts w:ascii="Times New Roman" w:hAnsi="Times New Roman" w:cs="Times New Roman"/>
                      <w:sz w:val="20"/>
                      <w:szCs w:val="20"/>
                    </w:rPr>
                  </w:pPr>
                  <w:r w:rsidRPr="00955AC1">
                    <w:rPr>
                      <w:rFonts w:ascii="Times New Roman" w:hAnsi="Times New Roman" w:cs="Times New Roman"/>
                      <w:sz w:val="20"/>
                      <w:szCs w:val="20"/>
                    </w:rPr>
                    <w:t>In-place rehabilitation</w:t>
                  </w:r>
                </w:p>
              </w:tc>
              <w:tc>
                <w:tcPr>
                  <w:tcW w:w="7105" w:type="dxa"/>
                </w:tcPr>
                <w:p w14:paraId="2B4AC2D3" w14:textId="77777777" w:rsidR="00390F34" w:rsidRPr="00955AC1" w:rsidRDefault="00390F34" w:rsidP="000F6D48">
                  <w:pPr>
                    <w:keepNext/>
                    <w:keepLines/>
                    <w:rPr>
                      <w:rFonts w:ascii="Times New Roman" w:hAnsi="Times New Roman" w:cs="Times New Roman"/>
                      <w:sz w:val="20"/>
                      <w:szCs w:val="20"/>
                    </w:rPr>
                  </w:pPr>
                  <w:r w:rsidRPr="00955AC1">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7EEA15A0" w14:textId="77777777" w:rsidR="00390F34" w:rsidRPr="00955AC1" w:rsidRDefault="00390F34" w:rsidP="000F6D48">
            <w:pPr>
              <w:rPr>
                <w:rFonts w:ascii="Times New Roman" w:hAnsi="Times New Roman" w:cs="Times New Roman"/>
                <w:sz w:val="20"/>
                <w:szCs w:val="20"/>
              </w:rPr>
            </w:pPr>
            <w:r w:rsidRPr="00955AC1">
              <w:rPr>
                <w:rFonts w:ascii="Times New Roman" w:hAnsi="Times New Roman" w:cs="Times New Roman"/>
                <w:sz w:val="20"/>
                <w:szCs w:val="20"/>
              </w:rPr>
              <w:t xml:space="preserve"> </w:t>
            </w:r>
          </w:p>
          <w:p w14:paraId="754C9E52" w14:textId="77777777" w:rsidR="00390F34" w:rsidRPr="00955AC1" w:rsidRDefault="00390F34" w:rsidP="000F6D48">
            <w:pPr>
              <w:contextualSpacing/>
              <w:jc w:val="both"/>
              <w:rPr>
                <w:rFonts w:ascii="Times New Roman" w:eastAsia="Calibri" w:hAnsi="Times New Roman" w:cs="Times New Roman"/>
                <w:sz w:val="20"/>
                <w:szCs w:val="20"/>
              </w:rPr>
            </w:pPr>
            <w:r w:rsidRPr="00955AC1">
              <w:rPr>
                <w:rFonts w:ascii="Times New Roman" w:eastAsia="Calibri" w:hAnsi="Times New Roman" w:cs="Times New Roman"/>
                <w:sz w:val="20"/>
                <w:szCs w:val="20"/>
              </w:rPr>
              <w:t>D</w:t>
            </w:r>
            <w:r w:rsidRPr="00955AC1">
              <w:rPr>
                <w:rFonts w:ascii="Times New Roman" w:hAnsi="Times New Roman" w:cs="Times New Roman"/>
                <w:sz w:val="20"/>
                <w:szCs w:val="20"/>
              </w:rPr>
              <w:t xml:space="preserve">ue to DCA’s construction requirements, true in-place rehabilitation rarely occurs. Further, </w:t>
            </w:r>
            <w:r w:rsidRPr="00955AC1">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1762B218" w14:textId="77777777" w:rsidR="00390F34" w:rsidRPr="00955AC1" w:rsidRDefault="00390F34" w:rsidP="000F6D48">
            <w:pPr>
              <w:contextualSpacing/>
              <w:jc w:val="both"/>
              <w:rPr>
                <w:rFonts w:ascii="Times New Roman" w:eastAsia="Calibri" w:hAnsi="Times New Roman" w:cs="Times New Roman"/>
                <w:sz w:val="20"/>
                <w:szCs w:val="20"/>
              </w:rPr>
            </w:pPr>
          </w:p>
          <w:p w14:paraId="4056F166" w14:textId="77777777" w:rsidR="00390F34" w:rsidRPr="00955AC1" w:rsidRDefault="00390F34" w:rsidP="000F6D48">
            <w:pPr>
              <w:contextualSpacing/>
              <w:jc w:val="both"/>
              <w:rPr>
                <w:rFonts w:ascii="Times New Roman" w:eastAsia="Calibri" w:hAnsi="Times New Roman" w:cs="Times New Roman"/>
                <w:sz w:val="20"/>
                <w:szCs w:val="20"/>
              </w:rPr>
            </w:pPr>
            <w:r w:rsidRPr="00955AC1">
              <w:rPr>
                <w:rFonts w:ascii="Times New Roman" w:eastAsia="Calibri" w:hAnsi="Times New Roman" w:cs="Times New Roman"/>
                <w:sz w:val="20"/>
                <w:szCs w:val="20"/>
              </w:rPr>
              <w:t>For applicants pursuing in-place rehabilitation as described above, the following waiver submission requirements apply (</w:t>
            </w:r>
            <w:hyperlink r:id="rId56" w:history="1">
              <w:r w:rsidRPr="00955AC1">
                <w:rPr>
                  <w:rStyle w:val="Hyperlink"/>
                  <w:rFonts w:ascii="Times New Roman" w:eastAsia="Calibri" w:hAnsi="Times New Roman" w:cs="Times New Roman"/>
                  <w:color w:val="auto"/>
                  <w:sz w:val="20"/>
                  <w:szCs w:val="20"/>
                </w:rPr>
                <w:t>click here</w:t>
              </w:r>
            </w:hyperlink>
            <w:r w:rsidRPr="00955AC1">
              <w:rPr>
                <w:rFonts w:ascii="Times New Roman" w:eastAsia="Calibri" w:hAnsi="Times New Roman" w:cs="Times New Roman"/>
                <w:sz w:val="20"/>
                <w:szCs w:val="20"/>
              </w:rPr>
              <w:t xml:space="preserve"> to access all references Manuals and Forms):</w:t>
            </w:r>
          </w:p>
          <w:p w14:paraId="6277B61C" w14:textId="77777777" w:rsidR="00390F34" w:rsidRPr="00955AC1" w:rsidRDefault="00390F34" w:rsidP="000F6D48">
            <w:pPr>
              <w:contextualSpacing/>
              <w:jc w:val="both"/>
              <w:rPr>
                <w:rFonts w:ascii="Times New Roman" w:eastAsia="Calibri" w:hAnsi="Times New Roman" w:cs="Times New Roman"/>
                <w:sz w:val="20"/>
                <w:szCs w:val="20"/>
              </w:rPr>
            </w:pPr>
          </w:p>
          <w:p w14:paraId="25924B22" w14:textId="77777777" w:rsidR="00390F34" w:rsidRPr="00955AC1" w:rsidRDefault="00390F34" w:rsidP="000F6D48">
            <w:pPr>
              <w:pStyle w:val="ListParagraph"/>
              <w:numPr>
                <w:ilvl w:val="0"/>
                <w:numId w:val="7"/>
              </w:numPr>
              <w:rPr>
                <w:rFonts w:ascii="Times New Roman" w:eastAsia="Calibri" w:hAnsi="Times New Roman" w:cs="Times New Roman"/>
                <w:sz w:val="20"/>
                <w:szCs w:val="20"/>
              </w:rPr>
            </w:pPr>
            <w:r w:rsidRPr="00955AC1">
              <w:rPr>
                <w:rFonts w:ascii="Times New Roman" w:eastAsia="Calibri" w:hAnsi="Times New Roman" w:cs="Times New Roman"/>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78590D99" w14:textId="77777777" w:rsidR="00390F34" w:rsidRPr="00955AC1" w:rsidRDefault="00390F34" w:rsidP="000F6D48">
            <w:pPr>
              <w:pStyle w:val="ListParagraph"/>
              <w:numPr>
                <w:ilvl w:val="1"/>
                <w:numId w:val="7"/>
              </w:numPr>
              <w:rPr>
                <w:rFonts w:ascii="Times New Roman" w:eastAsia="Calibri" w:hAnsi="Times New Roman" w:cs="Times New Roman"/>
                <w:sz w:val="20"/>
                <w:szCs w:val="20"/>
              </w:rPr>
            </w:pPr>
            <w:r w:rsidRPr="00955AC1">
              <w:rPr>
                <w:rFonts w:ascii="Times New Roman" w:eastAsia="Calibri" w:hAnsi="Times New Roman" w:cs="Times New Roman"/>
                <w:sz w:val="20"/>
                <w:szCs w:val="20"/>
              </w:rPr>
              <w:t>Please see description of In-Place Waiver Relocation Requirements on pages 16 and 17 of the DCA Relocation Manual.</w:t>
            </w:r>
          </w:p>
          <w:p w14:paraId="0B6B93E8" w14:textId="77777777" w:rsidR="00390F34" w:rsidRPr="00955AC1" w:rsidRDefault="00390F34" w:rsidP="000F6D48">
            <w:pPr>
              <w:pStyle w:val="ListParagraph"/>
              <w:numPr>
                <w:ilvl w:val="1"/>
                <w:numId w:val="7"/>
              </w:numPr>
              <w:rPr>
                <w:rFonts w:ascii="Times New Roman" w:eastAsia="Calibri" w:hAnsi="Times New Roman" w:cs="Times New Roman"/>
                <w:sz w:val="20"/>
                <w:szCs w:val="20"/>
              </w:rPr>
            </w:pPr>
            <w:r w:rsidRPr="00955AC1">
              <w:rPr>
                <w:rFonts w:ascii="Times New Roman" w:eastAsia="Calibri" w:hAnsi="Times New Roman" w:cs="Times New Roman"/>
                <w:sz w:val="20"/>
                <w:szCs w:val="20"/>
              </w:rPr>
              <w:t>For relevant requirements, go to “</w:t>
            </w:r>
            <w:r w:rsidRPr="00955AC1">
              <w:rPr>
                <w:rFonts w:ascii="Times New Roman" w:eastAsia="Calibri" w:hAnsi="Times New Roman" w:cs="Times New Roman"/>
                <w:i/>
                <w:iCs/>
                <w:sz w:val="20"/>
                <w:szCs w:val="20"/>
              </w:rPr>
              <w:t>2022 Federal Compliance &amp; Relocation Manuals and Forms</w:t>
            </w:r>
            <w:r w:rsidRPr="00955AC1">
              <w:rPr>
                <w:rFonts w:ascii="Times New Roman" w:eastAsia="Calibri" w:hAnsi="Times New Roman" w:cs="Times New Roman"/>
                <w:sz w:val="20"/>
                <w:szCs w:val="20"/>
              </w:rPr>
              <w:t>” on DCA website (</w:t>
            </w:r>
            <w:hyperlink r:id="rId57" w:history="1">
              <w:r w:rsidRPr="00955AC1">
                <w:rPr>
                  <w:rStyle w:val="Hyperlink"/>
                  <w:rFonts w:ascii="Times New Roman" w:eastAsia="Calibri" w:hAnsi="Times New Roman" w:cs="Times New Roman"/>
                  <w:color w:val="auto"/>
                  <w:sz w:val="20"/>
                  <w:szCs w:val="20"/>
                </w:rPr>
                <w:t>click here</w:t>
              </w:r>
            </w:hyperlink>
            <w:r w:rsidRPr="00955AC1">
              <w:rPr>
                <w:rFonts w:ascii="Times New Roman" w:eastAsia="Calibri" w:hAnsi="Times New Roman" w:cs="Times New Roman"/>
                <w:sz w:val="20"/>
                <w:szCs w:val="20"/>
              </w:rPr>
              <w:t>) -- download “</w:t>
            </w:r>
            <w:r w:rsidRPr="00955AC1">
              <w:rPr>
                <w:rFonts w:ascii="Times New Roman" w:eastAsia="Calibri" w:hAnsi="Times New Roman" w:cs="Times New Roman"/>
                <w:i/>
                <w:iCs/>
                <w:sz w:val="20"/>
                <w:szCs w:val="20"/>
              </w:rPr>
              <w:t>2022 DCA Relocation Manual.pdf</w:t>
            </w:r>
            <w:r w:rsidRPr="00955AC1">
              <w:rPr>
                <w:rFonts w:ascii="Times New Roman" w:eastAsia="Calibri" w:hAnsi="Times New Roman" w:cs="Times New Roman"/>
                <w:sz w:val="20"/>
                <w:szCs w:val="20"/>
              </w:rPr>
              <w:t>” -- see section “</w:t>
            </w:r>
            <w:r w:rsidRPr="00955AC1">
              <w:rPr>
                <w:rFonts w:ascii="Times New Roman" w:eastAsia="Calibri" w:hAnsi="Times New Roman" w:cs="Times New Roman"/>
                <w:i/>
                <w:iCs/>
                <w:sz w:val="20"/>
                <w:szCs w:val="20"/>
              </w:rPr>
              <w:t>In-Place Rehab with Waiver</w:t>
            </w:r>
            <w:r w:rsidRPr="00955AC1">
              <w:rPr>
                <w:rFonts w:ascii="Times New Roman" w:eastAsia="Calibri" w:hAnsi="Times New Roman" w:cs="Times New Roman"/>
                <w:sz w:val="20"/>
                <w:szCs w:val="20"/>
              </w:rPr>
              <w:t>.”</w:t>
            </w:r>
          </w:p>
          <w:p w14:paraId="3915DF5B" w14:textId="77777777" w:rsidR="00390F34" w:rsidRPr="00955AC1" w:rsidRDefault="00390F34" w:rsidP="000F6D48">
            <w:pPr>
              <w:pStyle w:val="ListParagraph"/>
              <w:numPr>
                <w:ilvl w:val="0"/>
                <w:numId w:val="7"/>
              </w:numPr>
              <w:rPr>
                <w:rFonts w:ascii="Times New Roman" w:eastAsia="Calibri" w:hAnsi="Times New Roman" w:cs="Times New Roman"/>
                <w:sz w:val="20"/>
                <w:szCs w:val="20"/>
              </w:rPr>
            </w:pPr>
            <w:r w:rsidRPr="00955AC1">
              <w:rPr>
                <w:rFonts w:ascii="Times New Roman" w:eastAsia="Calibri" w:hAnsi="Times New Roman" w:cs="Times New Roman"/>
                <w:sz w:val="20"/>
                <w:szCs w:val="20"/>
              </w:rPr>
              <w:t xml:space="preserve">Updated Relocation and Displacement Workbook: Submit the Workbook based on the checklist below: </w:t>
            </w:r>
          </w:p>
          <w:p w14:paraId="1726891E" w14:textId="77777777" w:rsidR="00390F34" w:rsidRPr="00955AC1" w:rsidRDefault="00390F34" w:rsidP="000F6D48">
            <w:pPr>
              <w:pStyle w:val="ListParagraph"/>
              <w:numPr>
                <w:ilvl w:val="1"/>
                <w:numId w:val="7"/>
              </w:numPr>
              <w:rPr>
                <w:rFonts w:ascii="Times New Roman" w:eastAsia="Calibri" w:hAnsi="Times New Roman" w:cs="Times New Roman"/>
                <w:sz w:val="20"/>
                <w:szCs w:val="20"/>
              </w:rPr>
            </w:pPr>
            <w:r w:rsidRPr="00955AC1">
              <w:rPr>
                <w:rFonts w:ascii="Times New Roman" w:eastAsia="Calibri" w:hAnsi="Times New Roman" w:cs="Times New Roman"/>
                <w:sz w:val="20"/>
                <w:szCs w:val="20"/>
              </w:rPr>
              <w:t>Go to “</w:t>
            </w:r>
            <w:r w:rsidRPr="00955AC1">
              <w:rPr>
                <w:rFonts w:ascii="Times New Roman" w:eastAsia="Calibri" w:hAnsi="Times New Roman" w:cs="Times New Roman"/>
                <w:i/>
                <w:iCs/>
                <w:sz w:val="20"/>
                <w:szCs w:val="20"/>
              </w:rPr>
              <w:t>2022 Federal Compliance &amp; Relocation Manuals and Forms</w:t>
            </w:r>
            <w:r w:rsidRPr="00955AC1">
              <w:rPr>
                <w:rFonts w:ascii="Times New Roman" w:eastAsia="Calibri" w:hAnsi="Times New Roman" w:cs="Times New Roman"/>
                <w:sz w:val="20"/>
                <w:szCs w:val="20"/>
              </w:rPr>
              <w:t>” on DCA website (</w:t>
            </w:r>
            <w:hyperlink r:id="rId58" w:history="1">
              <w:r w:rsidRPr="00955AC1">
                <w:rPr>
                  <w:rStyle w:val="Hyperlink"/>
                  <w:rFonts w:ascii="Times New Roman" w:eastAsia="Calibri" w:hAnsi="Times New Roman" w:cs="Times New Roman"/>
                  <w:color w:val="auto"/>
                  <w:sz w:val="20"/>
                  <w:szCs w:val="20"/>
                </w:rPr>
                <w:t>click here</w:t>
              </w:r>
            </w:hyperlink>
            <w:r w:rsidRPr="00955AC1">
              <w:rPr>
                <w:rFonts w:ascii="Times New Roman" w:eastAsia="Calibri" w:hAnsi="Times New Roman" w:cs="Times New Roman"/>
                <w:sz w:val="20"/>
                <w:szCs w:val="20"/>
              </w:rPr>
              <w:t>) -- download “</w:t>
            </w:r>
            <w:r w:rsidRPr="00955AC1">
              <w:rPr>
                <w:rFonts w:ascii="Times New Roman" w:eastAsia="Calibri" w:hAnsi="Times New Roman" w:cs="Times New Roman"/>
                <w:i/>
                <w:iCs/>
                <w:sz w:val="20"/>
                <w:szCs w:val="20"/>
              </w:rPr>
              <w:t>Relocation Documents for Multifamily - LIHTC Only.zip</w:t>
            </w:r>
            <w:r w:rsidRPr="00955AC1">
              <w:rPr>
                <w:rFonts w:ascii="Times New Roman" w:eastAsia="Calibri" w:hAnsi="Times New Roman" w:cs="Times New Roman"/>
                <w:sz w:val="20"/>
                <w:szCs w:val="20"/>
              </w:rPr>
              <w:t>” -- “</w:t>
            </w:r>
            <w:r w:rsidRPr="00955AC1">
              <w:rPr>
                <w:rFonts w:ascii="Times New Roman" w:eastAsia="Calibri" w:hAnsi="Times New Roman" w:cs="Times New Roman"/>
                <w:i/>
                <w:iCs/>
                <w:sz w:val="20"/>
                <w:szCs w:val="20"/>
              </w:rPr>
              <w:t xml:space="preserve">Toolkit.Multifamily-LIHTCOnly.pdf” -- </w:t>
            </w:r>
            <w:r w:rsidRPr="00955AC1">
              <w:rPr>
                <w:rFonts w:ascii="Times New Roman" w:eastAsia="Calibri" w:hAnsi="Times New Roman" w:cs="Times New Roman"/>
                <w:sz w:val="20"/>
                <w:szCs w:val="20"/>
              </w:rPr>
              <w:t>see</w:t>
            </w:r>
            <w:r w:rsidRPr="00955AC1">
              <w:rPr>
                <w:rFonts w:ascii="Times New Roman" w:eastAsia="Calibri" w:hAnsi="Times New Roman" w:cs="Times New Roman"/>
                <w:i/>
                <w:iCs/>
                <w:sz w:val="20"/>
                <w:szCs w:val="20"/>
              </w:rPr>
              <w:t xml:space="preserve"> </w:t>
            </w:r>
            <w:r w:rsidRPr="00955AC1">
              <w:rPr>
                <w:rFonts w:ascii="Times New Roman" w:eastAsia="Calibri" w:hAnsi="Times New Roman" w:cs="Times New Roman"/>
                <w:sz w:val="20"/>
                <w:szCs w:val="20"/>
              </w:rPr>
              <w:t xml:space="preserve">section </w:t>
            </w:r>
            <w:r w:rsidRPr="00955AC1">
              <w:rPr>
                <w:rFonts w:ascii="Times New Roman" w:eastAsia="Calibri" w:hAnsi="Times New Roman" w:cs="Times New Roman"/>
                <w:i/>
                <w:iCs/>
                <w:sz w:val="20"/>
                <w:szCs w:val="20"/>
              </w:rPr>
              <w:t>Relocation Workbook Checklist</w:t>
            </w:r>
            <w:r w:rsidRPr="00955AC1">
              <w:rPr>
                <w:rFonts w:ascii="Times New Roman" w:eastAsia="Calibri" w:hAnsi="Times New Roman" w:cs="Times New Roman"/>
                <w:sz w:val="20"/>
                <w:szCs w:val="20"/>
              </w:rPr>
              <w:t xml:space="preserve">, checklist associated with subsection </w:t>
            </w:r>
            <w:r w:rsidRPr="00955AC1">
              <w:rPr>
                <w:rFonts w:ascii="Times New Roman" w:eastAsia="Calibri" w:hAnsi="Times New Roman" w:cs="Times New Roman"/>
                <w:i/>
                <w:iCs/>
                <w:sz w:val="20"/>
                <w:szCs w:val="20"/>
              </w:rPr>
              <w:t>Pre-Application Submission.</w:t>
            </w:r>
            <w:r w:rsidRPr="00955AC1">
              <w:rPr>
                <w:rFonts w:ascii="Times New Roman" w:eastAsia="Calibri" w:hAnsi="Times New Roman" w:cs="Times New Roman"/>
                <w:sz w:val="20"/>
                <w:szCs w:val="20"/>
              </w:rPr>
              <w:t xml:space="preserve"> </w:t>
            </w:r>
          </w:p>
          <w:p w14:paraId="3C66FC52" w14:textId="77777777" w:rsidR="00390F34" w:rsidRPr="00955AC1" w:rsidRDefault="00390F34" w:rsidP="000F6D48">
            <w:pPr>
              <w:pStyle w:val="ListParagraph"/>
              <w:numPr>
                <w:ilvl w:val="0"/>
                <w:numId w:val="7"/>
              </w:numPr>
              <w:rPr>
                <w:rFonts w:ascii="Times New Roman" w:eastAsia="Calibri" w:hAnsi="Times New Roman" w:cs="Times New Roman"/>
                <w:sz w:val="20"/>
                <w:szCs w:val="20"/>
              </w:rPr>
            </w:pPr>
            <w:r w:rsidRPr="00955AC1">
              <w:rPr>
                <w:rFonts w:ascii="Times New Roman" w:eastAsia="Calibri" w:hAnsi="Times New Roman" w:cs="Times New Roman"/>
                <w:sz w:val="20"/>
                <w:szCs w:val="20"/>
              </w:rPr>
              <w:t xml:space="preserve">Manually fill in the Pre-Application Relocation Summary tab. </w:t>
            </w:r>
          </w:p>
          <w:p w14:paraId="55EAA703" w14:textId="77777777" w:rsidR="00390F34" w:rsidRPr="00955AC1" w:rsidRDefault="00390F34" w:rsidP="000F6D48">
            <w:pPr>
              <w:pStyle w:val="ListParagraph"/>
              <w:numPr>
                <w:ilvl w:val="1"/>
                <w:numId w:val="7"/>
              </w:numPr>
              <w:rPr>
                <w:rFonts w:ascii="Times New Roman" w:eastAsia="Calibri" w:hAnsi="Times New Roman" w:cs="Times New Roman"/>
                <w:sz w:val="20"/>
                <w:szCs w:val="20"/>
              </w:rPr>
            </w:pPr>
            <w:r w:rsidRPr="00955AC1">
              <w:rPr>
                <w:rFonts w:ascii="Times New Roman" w:eastAsia="Calibri" w:hAnsi="Times New Roman" w:cs="Times New Roman"/>
                <w:sz w:val="20"/>
                <w:szCs w:val="20"/>
              </w:rPr>
              <w:t>Go to “</w:t>
            </w:r>
            <w:r w:rsidRPr="00955AC1">
              <w:rPr>
                <w:rFonts w:ascii="Times New Roman" w:eastAsia="Calibri" w:hAnsi="Times New Roman" w:cs="Times New Roman"/>
                <w:i/>
                <w:iCs/>
                <w:sz w:val="20"/>
                <w:szCs w:val="20"/>
              </w:rPr>
              <w:t>2022 Pre-Application Forms</w:t>
            </w:r>
            <w:r w:rsidRPr="00955AC1">
              <w:rPr>
                <w:rFonts w:ascii="Times New Roman" w:eastAsia="Calibri" w:hAnsi="Times New Roman" w:cs="Times New Roman"/>
                <w:sz w:val="20"/>
                <w:szCs w:val="20"/>
              </w:rPr>
              <w:t>” --  download “</w:t>
            </w:r>
            <w:r w:rsidRPr="00955AC1">
              <w:rPr>
                <w:rFonts w:ascii="Times New Roman" w:eastAsia="Calibri" w:hAnsi="Times New Roman" w:cs="Times New Roman"/>
                <w:i/>
                <w:iCs/>
                <w:sz w:val="20"/>
                <w:szCs w:val="20"/>
              </w:rPr>
              <w:t>2022 Supplemental Pre-Application (includes Submission Summary tab for Fee Transmittal)</w:t>
            </w:r>
            <w:r w:rsidRPr="00955AC1">
              <w:rPr>
                <w:rFonts w:ascii="Times New Roman" w:eastAsia="Calibri" w:hAnsi="Times New Roman" w:cs="Times New Roman"/>
                <w:sz w:val="20"/>
                <w:szCs w:val="20"/>
              </w:rPr>
              <w:t>” -- see “</w:t>
            </w:r>
            <w:r w:rsidRPr="00955AC1">
              <w:rPr>
                <w:rFonts w:ascii="Times New Roman" w:eastAsia="Calibri" w:hAnsi="Times New Roman" w:cs="Times New Roman"/>
                <w:i/>
                <w:iCs/>
                <w:sz w:val="20"/>
                <w:szCs w:val="20"/>
              </w:rPr>
              <w:t>Relocation Summary</w:t>
            </w:r>
            <w:r w:rsidRPr="00955AC1">
              <w:rPr>
                <w:rFonts w:ascii="Times New Roman" w:eastAsia="Calibri" w:hAnsi="Times New Roman" w:cs="Times New Roman"/>
                <w:sz w:val="20"/>
                <w:szCs w:val="20"/>
              </w:rPr>
              <w:t xml:space="preserve">” tab. </w:t>
            </w:r>
          </w:p>
          <w:p w14:paraId="2615F409" w14:textId="77777777" w:rsidR="00390F34" w:rsidRPr="00955AC1" w:rsidRDefault="00390F34" w:rsidP="000F6D48">
            <w:pPr>
              <w:pStyle w:val="ListParagraph"/>
              <w:numPr>
                <w:ilvl w:val="0"/>
                <w:numId w:val="7"/>
              </w:numPr>
              <w:rPr>
                <w:rFonts w:ascii="Times New Roman" w:eastAsia="Calibri" w:hAnsi="Times New Roman" w:cs="Times New Roman"/>
                <w:sz w:val="20"/>
                <w:szCs w:val="20"/>
              </w:rPr>
            </w:pPr>
            <w:r w:rsidRPr="00955AC1">
              <w:rPr>
                <w:rFonts w:ascii="Times New Roman" w:eastAsia="Calibri" w:hAnsi="Times New Roman" w:cs="Times New Roman"/>
                <w:sz w:val="20"/>
                <w:szCs w:val="20"/>
              </w:rPr>
              <w:t xml:space="preserve">Written confirmation from federal agency (if applicable); and </w:t>
            </w:r>
          </w:p>
          <w:p w14:paraId="333FBDDC" w14:textId="77777777" w:rsidR="00390F34" w:rsidRPr="00955AC1" w:rsidRDefault="00390F34" w:rsidP="000F6D48">
            <w:pPr>
              <w:pStyle w:val="ListParagraph"/>
              <w:numPr>
                <w:ilvl w:val="0"/>
                <w:numId w:val="7"/>
              </w:numPr>
              <w:rPr>
                <w:rFonts w:ascii="Times New Roman" w:eastAsia="Calibri" w:hAnsi="Times New Roman" w:cs="Times New Roman"/>
                <w:sz w:val="20"/>
                <w:szCs w:val="20"/>
              </w:rPr>
            </w:pPr>
            <w:r w:rsidRPr="00955AC1">
              <w:rPr>
                <w:rFonts w:ascii="Times New Roman" w:eastAsia="Calibri" w:hAnsi="Times New Roman" w:cs="Times New Roman"/>
                <w:sz w:val="20"/>
                <w:szCs w:val="20"/>
              </w:rPr>
              <w:t>Any other supporting documentation.</w:t>
            </w:r>
          </w:p>
          <w:p w14:paraId="2F636A6E" w14:textId="77777777" w:rsidR="00390F34" w:rsidRPr="00955AC1" w:rsidRDefault="00390F34" w:rsidP="000F6D48">
            <w:pPr>
              <w:contextualSpacing/>
              <w:rPr>
                <w:rFonts w:ascii="Times New Roman" w:eastAsia="Calibri" w:hAnsi="Times New Roman" w:cs="Times New Roman"/>
                <w:sz w:val="20"/>
                <w:szCs w:val="20"/>
              </w:rPr>
            </w:pPr>
          </w:p>
          <w:p w14:paraId="13F6B8B5" w14:textId="77777777" w:rsidR="00390F34" w:rsidRPr="00955AC1" w:rsidRDefault="00390F34" w:rsidP="000F6D48">
            <w:pPr>
              <w:contextualSpacing/>
              <w:rPr>
                <w:rFonts w:ascii="Times New Roman" w:eastAsia="Calibri" w:hAnsi="Times New Roman" w:cs="Times New Roman"/>
                <w:sz w:val="20"/>
                <w:szCs w:val="20"/>
              </w:rPr>
            </w:pPr>
            <w:r w:rsidRPr="00955AC1">
              <w:rPr>
                <w:rFonts w:ascii="Times New Roman" w:eastAsia="Calibri" w:hAnsi="Times New Roman" w:cs="Times New Roman"/>
                <w:sz w:val="20"/>
                <w:szCs w:val="20"/>
              </w:rPr>
              <w:t xml:space="preserve">The same tabs in the checklist on page 6 must be completed in the Relocation Excel Workbook for an In-Place Rehab Waiver. This completed waiver documentation is required along with a copy of the GIN Draft.  </w:t>
            </w:r>
          </w:p>
        </w:tc>
      </w:tr>
      <w:tr w:rsidR="00390F34" w:rsidRPr="00955AC1" w14:paraId="6E42981F" w14:textId="77777777" w:rsidTr="64301FE8">
        <w:trPr>
          <w:jc w:val="center"/>
        </w:trPr>
        <w:tc>
          <w:tcPr>
            <w:tcW w:w="1697" w:type="dxa"/>
            <w:shd w:val="clear" w:color="auto" w:fill="auto"/>
            <w:tcMar>
              <w:top w:w="72" w:type="dxa"/>
              <w:left w:w="115" w:type="dxa"/>
              <w:bottom w:w="72" w:type="dxa"/>
              <w:right w:w="115" w:type="dxa"/>
            </w:tcMar>
            <w:vAlign w:val="center"/>
          </w:tcPr>
          <w:p w14:paraId="7EC3AD34"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33D8969B"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2.25</w:t>
            </w:r>
          </w:p>
          <w:p w14:paraId="171695BF"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Threshold Criteria;</w:t>
            </w:r>
          </w:p>
          <w:p w14:paraId="587B8745"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Occupied Developments</w:t>
            </w:r>
          </w:p>
        </w:tc>
        <w:tc>
          <w:tcPr>
            <w:tcW w:w="9585" w:type="dxa"/>
            <w:shd w:val="clear" w:color="auto" w:fill="auto"/>
            <w:tcMar>
              <w:top w:w="72" w:type="dxa"/>
              <w:left w:w="115" w:type="dxa"/>
              <w:bottom w:w="72" w:type="dxa"/>
              <w:right w:w="115" w:type="dxa"/>
            </w:tcMar>
            <w:vAlign w:val="center"/>
          </w:tcPr>
          <w:p w14:paraId="16013577"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Question</w:t>
            </w:r>
            <w:r w:rsidRPr="00955AC1">
              <w:rPr>
                <w:rFonts w:ascii="Times New Roman" w:eastAsia="Times New Roman" w:hAnsi="Times New Roman" w:cs="Times New Roman"/>
                <w:sz w:val="20"/>
                <w:szCs w:val="20"/>
              </w:rPr>
              <w:t>: Q0216_02 </w:t>
            </w:r>
          </w:p>
          <w:p w14:paraId="476CD013"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34774B6F"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r w:rsidRPr="00955AC1">
              <w:rPr>
                <w:rFonts w:ascii="Times New Roman" w:eastAsia="Times New Roman" w:hAnsi="Times New Roman" w:cs="Times New Roman"/>
                <w:sz w:val="20"/>
                <w:szCs w:val="20"/>
              </w:rPr>
              <w:br/>
            </w:r>
            <w:r w:rsidRPr="00955AC1">
              <w:rPr>
                <w:rFonts w:ascii="Times New Roman" w:eastAsia="Times New Roman" w:hAnsi="Times New Roman" w:cs="Times New Roman"/>
                <w:b/>
                <w:bCs/>
                <w:sz w:val="20"/>
                <w:szCs w:val="20"/>
              </w:rPr>
              <w:t>Answer</w:t>
            </w:r>
            <w:r w:rsidRPr="00955AC1">
              <w:rPr>
                <w:rFonts w:ascii="Times New Roman" w:eastAsia="Times New Roman" w:hAnsi="Times New Roman" w:cs="Times New Roman"/>
                <w:sz w:val="20"/>
                <w:szCs w:val="20"/>
              </w:rPr>
              <w:t>:  </w:t>
            </w:r>
          </w:p>
          <w:p w14:paraId="5F95B5B1"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Yes. The QAP states:  </w:t>
            </w:r>
          </w:p>
          <w:p w14:paraId="0D683560" w14:textId="77777777" w:rsidR="00390F34" w:rsidRPr="00955AC1" w:rsidRDefault="00390F34" w:rsidP="000F6D48">
            <w:pPr>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sz w:val="20"/>
                <w:szCs w:val="20"/>
              </w:rPr>
              <w:t> </w:t>
            </w:r>
          </w:p>
          <w:p w14:paraId="71D450D4" w14:textId="77777777" w:rsidR="00390F34" w:rsidRPr="00955AC1" w:rsidRDefault="00390F34" w:rsidP="000F6D48">
            <w:pPr>
              <w:ind w:left="720"/>
              <w:textAlignment w:val="baseline"/>
              <w:rPr>
                <w:rFonts w:ascii="Times New Roman" w:eastAsia="Times New Roman" w:hAnsi="Times New Roman" w:cs="Times New Roman"/>
                <w:sz w:val="20"/>
                <w:szCs w:val="20"/>
              </w:rPr>
            </w:pPr>
            <w:r w:rsidRPr="00955AC1">
              <w:rPr>
                <w:rFonts w:ascii="Times New Roman" w:eastAsia="Times New Roman" w:hAnsi="Times New Roman" w:cs="Times New Roman"/>
                <w:b/>
                <w:bCs/>
                <w:sz w:val="20"/>
                <w:szCs w:val="20"/>
              </w:rPr>
              <w:t>Threshold Criteria, Occupied Developments</w:t>
            </w:r>
            <w:r w:rsidRPr="00955AC1">
              <w:rPr>
                <w:rFonts w:ascii="Times New Roman" w:eastAsia="Times New Roman" w:hAnsi="Times New Roman" w:cs="Times New Roman"/>
                <w:sz w:val="20"/>
                <w:szCs w:val="20"/>
              </w:rPr>
              <w:t>: “</w:t>
            </w:r>
            <w:r w:rsidRPr="00955AC1">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955AC1">
              <w:rPr>
                <w:rFonts w:ascii="Times New Roman" w:eastAsia="Times New Roman" w:hAnsi="Times New Roman" w:cs="Times New Roman"/>
                <w:sz w:val="20"/>
                <w:szCs w:val="20"/>
              </w:rPr>
              <w:t>.” </w:t>
            </w:r>
          </w:p>
          <w:p w14:paraId="792DD49E" w14:textId="77777777" w:rsidR="00390F34" w:rsidRPr="00955AC1" w:rsidRDefault="00390F34" w:rsidP="000F6D48">
            <w:pPr>
              <w:contextualSpacing/>
              <w:rPr>
                <w:rFonts w:ascii="Times New Roman" w:hAnsi="Times New Roman" w:cs="Times New Roman"/>
                <w:b/>
                <w:bCs/>
                <w:sz w:val="20"/>
                <w:szCs w:val="20"/>
              </w:rPr>
            </w:pPr>
          </w:p>
        </w:tc>
      </w:tr>
      <w:tr w:rsidR="00390F34" w:rsidRPr="0005176C" w14:paraId="78D6B6CE" w14:textId="77777777" w:rsidTr="64301FE8">
        <w:trPr>
          <w:jc w:val="center"/>
        </w:trPr>
        <w:tc>
          <w:tcPr>
            <w:tcW w:w="1697" w:type="dxa"/>
            <w:shd w:val="clear" w:color="auto" w:fill="auto"/>
            <w:tcMar>
              <w:top w:w="72" w:type="dxa"/>
              <w:left w:w="115" w:type="dxa"/>
              <w:bottom w:w="72" w:type="dxa"/>
              <w:right w:w="115" w:type="dxa"/>
            </w:tcMar>
            <w:vAlign w:val="center"/>
          </w:tcPr>
          <w:p w14:paraId="0BD2DEAB"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33B4EDE9"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2.20</w:t>
            </w:r>
          </w:p>
          <w:p w14:paraId="3F17C86E"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 xml:space="preserve">Threshold Criteria; </w:t>
            </w:r>
          </w:p>
          <w:p w14:paraId="0E70F410" w14:textId="77777777" w:rsidR="00390F34" w:rsidRPr="00955AC1" w:rsidRDefault="00390F34" w:rsidP="000F6D48">
            <w:pPr>
              <w:contextualSpacing/>
              <w:rPr>
                <w:rFonts w:ascii="Times New Roman" w:hAnsi="Times New Roman" w:cs="Times New Roman"/>
                <w:noProof/>
                <w:sz w:val="20"/>
                <w:szCs w:val="20"/>
              </w:rPr>
            </w:pPr>
            <w:r w:rsidRPr="00955AC1">
              <w:rPr>
                <w:rFonts w:ascii="Times New Roman" w:hAnsi="Times New Roman" w:cs="Times New Roman"/>
                <w:noProof/>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1E4FC3F6"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Question</w:t>
            </w:r>
            <w:r w:rsidRPr="00955AC1">
              <w:rPr>
                <w:rStyle w:val="normaltextrun"/>
                <w:sz w:val="20"/>
                <w:szCs w:val="20"/>
              </w:rPr>
              <w:t>: Q0218_02</w:t>
            </w:r>
            <w:r w:rsidRPr="00955AC1">
              <w:rPr>
                <w:rStyle w:val="eop"/>
                <w:sz w:val="20"/>
                <w:szCs w:val="20"/>
              </w:rPr>
              <w:t> </w:t>
            </w:r>
          </w:p>
          <w:p w14:paraId="751D660B"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We were pre-qualified last year. Do we need to submit another pre-application for qualifications review this year or could we rely on last year’s qualified determination? </w:t>
            </w:r>
            <w:r w:rsidRPr="00955AC1">
              <w:rPr>
                <w:rStyle w:val="eop"/>
                <w:sz w:val="20"/>
                <w:szCs w:val="20"/>
              </w:rPr>
              <w:t> </w:t>
            </w:r>
            <w:r w:rsidRPr="00955AC1">
              <w:rPr>
                <w:rStyle w:val="normaltextrun"/>
                <w:sz w:val="20"/>
                <w:szCs w:val="20"/>
              </w:rPr>
              <w:t>If the latter, do we just submit last year’s qualifications approval with our Full Application? </w:t>
            </w:r>
            <w:r w:rsidRPr="00955AC1">
              <w:rPr>
                <w:rStyle w:val="eop"/>
                <w:sz w:val="20"/>
                <w:szCs w:val="20"/>
              </w:rPr>
              <w:t> </w:t>
            </w:r>
          </w:p>
          <w:p w14:paraId="03E09E40"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5B23A03D"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b/>
                <w:bCs/>
                <w:sz w:val="20"/>
                <w:szCs w:val="20"/>
              </w:rPr>
              <w:t>Answer</w:t>
            </w:r>
            <w:r w:rsidRPr="00955AC1">
              <w:rPr>
                <w:rStyle w:val="normaltextrun"/>
                <w:sz w:val="20"/>
                <w:szCs w:val="20"/>
              </w:rPr>
              <w:t>:</w:t>
            </w:r>
            <w:r w:rsidRPr="00955AC1">
              <w:rPr>
                <w:rStyle w:val="eop"/>
                <w:sz w:val="20"/>
                <w:szCs w:val="20"/>
              </w:rPr>
              <w:t> </w:t>
            </w:r>
          </w:p>
          <w:p w14:paraId="00C73DB3"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normaltextrun"/>
                <w:sz w:val="20"/>
                <w:szCs w:val="20"/>
              </w:rPr>
              <w:t xml:space="preserve">The 2022 QAP states in </w:t>
            </w:r>
            <w:r w:rsidRPr="00955AC1">
              <w:rPr>
                <w:rStyle w:val="normaltextrun"/>
                <w:i/>
                <w:iCs/>
                <w:sz w:val="20"/>
                <w:szCs w:val="20"/>
              </w:rPr>
              <w:t>Threshold Criteria, Experience, Capacity and Performance Requirements for General Partner and Developer Entities: </w:t>
            </w:r>
            <w:r w:rsidRPr="00955AC1">
              <w:rPr>
                <w:rStyle w:val="normaltextrun"/>
                <w:i/>
                <w:iCs/>
                <w:sz w:val="20"/>
                <w:szCs w:val="20"/>
              </w:rPr>
              <w:br/>
            </w:r>
            <w:r w:rsidRPr="00955AC1">
              <w:rPr>
                <w:rStyle w:val="eop"/>
                <w:i/>
                <w:iCs/>
                <w:sz w:val="20"/>
                <w:szCs w:val="20"/>
              </w:rPr>
              <w:t> </w:t>
            </w:r>
          </w:p>
          <w:p w14:paraId="7696A0F7" w14:textId="77777777" w:rsidR="00390F34" w:rsidRPr="00955AC1" w:rsidRDefault="00390F34" w:rsidP="000F6D48">
            <w:pPr>
              <w:pStyle w:val="paragraph"/>
              <w:numPr>
                <w:ilvl w:val="0"/>
                <w:numId w:val="6"/>
              </w:numPr>
              <w:spacing w:before="0" w:beforeAutospacing="0" w:after="0" w:afterAutospacing="0"/>
              <w:textAlignment w:val="baseline"/>
              <w:rPr>
                <w:sz w:val="20"/>
                <w:szCs w:val="20"/>
              </w:rPr>
            </w:pPr>
            <w:r w:rsidRPr="00955AC1">
              <w:rPr>
                <w:rStyle w:val="normaltextrun"/>
                <w:i/>
                <w:iCs/>
                <w:sz w:val="20"/>
                <w:szCs w:val="20"/>
              </w:rPr>
              <w:t>Overview</w:t>
            </w:r>
            <w:r w:rsidRPr="00955AC1">
              <w:rPr>
                <w:rStyle w:val="normaltextrun"/>
                <w:sz w:val="20"/>
                <w:szCs w:val="20"/>
              </w:rPr>
              <w:t>:</w:t>
            </w:r>
            <w:r w:rsidRPr="00955AC1">
              <w:rPr>
                <w:rStyle w:val="normaltextrun"/>
                <w:b/>
                <w:bCs/>
                <w:sz w:val="20"/>
                <w:szCs w:val="20"/>
              </w:rPr>
              <w:t xml:space="preserve"> </w:t>
            </w:r>
            <w:r w:rsidRPr="00955AC1">
              <w:rPr>
                <w:rStyle w:val="normaltextrun"/>
                <w:sz w:val="20"/>
                <w:szCs w:val="20"/>
              </w:rPr>
              <w:t>“DCA reviews the following four areas of the proposed Project Team: Experience, Capacity, Performance, Compliance History…”</w:t>
            </w:r>
            <w:r w:rsidRPr="00955AC1">
              <w:rPr>
                <w:rStyle w:val="eop"/>
                <w:sz w:val="20"/>
                <w:szCs w:val="20"/>
              </w:rPr>
              <w:t> </w:t>
            </w:r>
          </w:p>
          <w:p w14:paraId="0BAA12A1" w14:textId="77777777" w:rsidR="00390F34" w:rsidRPr="00955AC1" w:rsidRDefault="00390F34" w:rsidP="000F6D48">
            <w:pPr>
              <w:pStyle w:val="paragraph"/>
              <w:numPr>
                <w:ilvl w:val="0"/>
                <w:numId w:val="6"/>
              </w:numPr>
              <w:spacing w:before="0" w:beforeAutospacing="0" w:after="0" w:afterAutospacing="0"/>
              <w:textAlignment w:val="baseline"/>
              <w:rPr>
                <w:sz w:val="20"/>
                <w:szCs w:val="20"/>
              </w:rPr>
            </w:pPr>
            <w:r w:rsidRPr="00955AC1">
              <w:rPr>
                <w:rStyle w:val="normaltextrun"/>
                <w:i/>
                <w:iCs/>
                <w:sz w:val="20"/>
                <w:szCs w:val="20"/>
              </w:rPr>
              <w:t>C. Requirements for Experience (Certifying Entity)</w:t>
            </w:r>
            <w:r w:rsidRPr="00955AC1">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955AC1">
              <w:rPr>
                <w:rStyle w:val="eop"/>
                <w:sz w:val="20"/>
                <w:szCs w:val="20"/>
              </w:rPr>
              <w:t> </w:t>
            </w:r>
          </w:p>
          <w:p w14:paraId="169962EA" w14:textId="77777777" w:rsidR="00390F34" w:rsidRPr="00955AC1" w:rsidRDefault="00390F34" w:rsidP="000F6D48">
            <w:pPr>
              <w:pStyle w:val="paragraph"/>
              <w:spacing w:before="0" w:beforeAutospacing="0" w:after="0" w:afterAutospacing="0"/>
              <w:textAlignment w:val="baseline"/>
              <w:rPr>
                <w:sz w:val="20"/>
                <w:szCs w:val="20"/>
              </w:rPr>
            </w:pPr>
            <w:r w:rsidRPr="00955AC1">
              <w:rPr>
                <w:rStyle w:val="eop"/>
                <w:sz w:val="20"/>
                <w:szCs w:val="20"/>
              </w:rPr>
              <w:t> </w:t>
            </w:r>
          </w:p>
          <w:p w14:paraId="157455DF" w14:textId="77777777" w:rsidR="00390F34" w:rsidRPr="0005176C" w:rsidRDefault="00390F34" w:rsidP="000F6D48">
            <w:pPr>
              <w:pStyle w:val="paragraph"/>
              <w:spacing w:before="0" w:beforeAutospacing="0" w:after="0" w:afterAutospacing="0"/>
              <w:textAlignment w:val="baseline"/>
              <w:rPr>
                <w:sz w:val="20"/>
                <w:szCs w:val="20"/>
              </w:rPr>
            </w:pPr>
            <w:r w:rsidRPr="00955AC1">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w:t>
            </w:r>
            <w:r w:rsidRPr="0005176C">
              <w:rPr>
                <w:rStyle w:val="normaltextrun"/>
                <w:sz w:val="20"/>
                <w:szCs w:val="20"/>
              </w:rPr>
              <w:t> </w:t>
            </w:r>
          </w:p>
          <w:p w14:paraId="2B0EFB98" w14:textId="77777777" w:rsidR="00390F34" w:rsidRPr="0005176C" w:rsidRDefault="00390F34" w:rsidP="000F6D48">
            <w:pPr>
              <w:contextualSpacing/>
              <w:rPr>
                <w:rFonts w:ascii="Times New Roman" w:hAnsi="Times New Roman" w:cs="Times New Roman"/>
                <w:b/>
                <w:bCs/>
                <w:sz w:val="20"/>
                <w:szCs w:val="20"/>
              </w:rPr>
            </w:pP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default" r:id="rId59"/>
      <w:footerReference w:type="default" r:id="rId60"/>
      <w:headerReference w:type="first" r:id="rId6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18F4F" w14:textId="77777777" w:rsidR="000B4E67" w:rsidRDefault="000B4E67" w:rsidP="00441946">
      <w:pPr>
        <w:spacing w:after="0" w:line="240" w:lineRule="auto"/>
      </w:pPr>
      <w:r>
        <w:separator/>
      </w:r>
    </w:p>
  </w:endnote>
  <w:endnote w:type="continuationSeparator" w:id="0">
    <w:p w14:paraId="38C41015" w14:textId="77777777" w:rsidR="000B4E67" w:rsidRDefault="000B4E67" w:rsidP="00441946">
      <w:pPr>
        <w:spacing w:after="0" w:line="240" w:lineRule="auto"/>
      </w:pPr>
      <w:r>
        <w:continuationSeparator/>
      </w:r>
    </w:p>
  </w:endnote>
  <w:endnote w:type="continuationNotice" w:id="1">
    <w:p w14:paraId="1135A405" w14:textId="77777777" w:rsidR="000B4E67" w:rsidRDefault="000B4E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DD60" w14:textId="77777777" w:rsidR="009C4ADE" w:rsidRDefault="009C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D1856" w14:textId="77777777" w:rsidR="000B4E67" w:rsidRDefault="000B4E67" w:rsidP="00441946">
      <w:pPr>
        <w:spacing w:after="0" w:line="240" w:lineRule="auto"/>
      </w:pPr>
      <w:r>
        <w:separator/>
      </w:r>
    </w:p>
  </w:footnote>
  <w:footnote w:type="continuationSeparator" w:id="0">
    <w:p w14:paraId="35445E45" w14:textId="77777777" w:rsidR="000B4E67" w:rsidRDefault="000B4E67" w:rsidP="00441946">
      <w:pPr>
        <w:spacing w:after="0" w:line="240" w:lineRule="auto"/>
      </w:pPr>
      <w:r>
        <w:continuationSeparator/>
      </w:r>
    </w:p>
  </w:footnote>
  <w:footnote w:type="continuationNotice" w:id="1">
    <w:p w14:paraId="501AE79C" w14:textId="77777777" w:rsidR="000B4E67" w:rsidRDefault="000B4E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42CB" w14:textId="77777777" w:rsidR="009C4ADE" w:rsidRDefault="009C4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0066"/>
    <w:multiLevelType w:val="multilevel"/>
    <w:tmpl w:val="DF4CF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A685F"/>
    <w:multiLevelType w:val="hybridMultilevel"/>
    <w:tmpl w:val="B084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B6C7E"/>
    <w:multiLevelType w:val="multilevel"/>
    <w:tmpl w:val="D81675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A850B7"/>
    <w:multiLevelType w:val="multilevel"/>
    <w:tmpl w:val="784C6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FF1AB1"/>
    <w:multiLevelType w:val="multilevel"/>
    <w:tmpl w:val="3F5C3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BD2F80"/>
    <w:multiLevelType w:val="hybridMultilevel"/>
    <w:tmpl w:val="1F80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046755"/>
    <w:multiLevelType w:val="multilevel"/>
    <w:tmpl w:val="E5B848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BD78AE"/>
    <w:multiLevelType w:val="hybridMultilevel"/>
    <w:tmpl w:val="FFFFFFFF"/>
    <w:lvl w:ilvl="0" w:tplc="0D1AF1BC">
      <w:start w:val="1"/>
      <w:numFmt w:val="decimal"/>
      <w:lvlText w:val="%1."/>
      <w:lvlJc w:val="left"/>
      <w:pPr>
        <w:ind w:left="720" w:hanging="360"/>
      </w:pPr>
    </w:lvl>
    <w:lvl w:ilvl="1" w:tplc="5142A162">
      <w:start w:val="1"/>
      <w:numFmt w:val="lowerLetter"/>
      <w:lvlText w:val="%2."/>
      <w:lvlJc w:val="left"/>
      <w:pPr>
        <w:ind w:left="1440" w:hanging="360"/>
      </w:pPr>
    </w:lvl>
    <w:lvl w:ilvl="2" w:tplc="B574BEE4">
      <w:start w:val="1"/>
      <w:numFmt w:val="lowerRoman"/>
      <w:lvlText w:val="%3."/>
      <w:lvlJc w:val="right"/>
      <w:pPr>
        <w:ind w:left="2160" w:hanging="180"/>
      </w:pPr>
    </w:lvl>
    <w:lvl w:ilvl="3" w:tplc="C3A8A1D6">
      <w:start w:val="1"/>
      <w:numFmt w:val="decimal"/>
      <w:lvlText w:val="%4."/>
      <w:lvlJc w:val="left"/>
      <w:pPr>
        <w:ind w:left="2880" w:hanging="360"/>
      </w:pPr>
    </w:lvl>
    <w:lvl w:ilvl="4" w:tplc="037C22BC">
      <w:start w:val="1"/>
      <w:numFmt w:val="lowerLetter"/>
      <w:lvlText w:val="%5."/>
      <w:lvlJc w:val="left"/>
      <w:pPr>
        <w:ind w:left="3600" w:hanging="360"/>
      </w:pPr>
    </w:lvl>
    <w:lvl w:ilvl="5" w:tplc="CFEAF66C">
      <w:start w:val="1"/>
      <w:numFmt w:val="lowerRoman"/>
      <w:lvlText w:val="%6."/>
      <w:lvlJc w:val="right"/>
      <w:pPr>
        <w:ind w:left="4320" w:hanging="180"/>
      </w:pPr>
    </w:lvl>
    <w:lvl w:ilvl="6" w:tplc="22D6F28C">
      <w:start w:val="1"/>
      <w:numFmt w:val="decimal"/>
      <w:lvlText w:val="%7."/>
      <w:lvlJc w:val="left"/>
      <w:pPr>
        <w:ind w:left="5040" w:hanging="360"/>
      </w:pPr>
    </w:lvl>
    <w:lvl w:ilvl="7" w:tplc="66368CB2">
      <w:start w:val="1"/>
      <w:numFmt w:val="lowerLetter"/>
      <w:lvlText w:val="%8."/>
      <w:lvlJc w:val="left"/>
      <w:pPr>
        <w:ind w:left="5760" w:hanging="360"/>
      </w:pPr>
    </w:lvl>
    <w:lvl w:ilvl="8" w:tplc="ECBA367E">
      <w:start w:val="1"/>
      <w:numFmt w:val="lowerRoman"/>
      <w:lvlText w:val="%9."/>
      <w:lvlJc w:val="right"/>
      <w:pPr>
        <w:ind w:left="6480" w:hanging="180"/>
      </w:pPr>
    </w:lvl>
  </w:abstractNum>
  <w:abstractNum w:abstractNumId="11"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B7961"/>
    <w:multiLevelType w:val="hybridMultilevel"/>
    <w:tmpl w:val="8B60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15" w15:restartNumberingAfterBreak="0">
    <w:nsid w:val="24935BAC"/>
    <w:multiLevelType w:val="hybridMultilevel"/>
    <w:tmpl w:val="45261214"/>
    <w:lvl w:ilvl="0" w:tplc="06100C52">
      <w:start w:val="1"/>
      <w:numFmt w:val="bullet"/>
      <w:lvlText w:val=""/>
      <w:lvlJc w:val="left"/>
      <w:pPr>
        <w:ind w:left="720" w:hanging="360"/>
      </w:pPr>
      <w:rPr>
        <w:rFonts w:ascii="Symbol" w:hAnsi="Symbol" w:hint="default"/>
      </w:rPr>
    </w:lvl>
    <w:lvl w:ilvl="1" w:tplc="EC2E264E">
      <w:start w:val="1"/>
      <w:numFmt w:val="bullet"/>
      <w:lvlText w:val=""/>
      <w:lvlJc w:val="left"/>
      <w:pPr>
        <w:ind w:left="1440" w:hanging="360"/>
      </w:pPr>
      <w:rPr>
        <w:rFonts w:ascii="Symbol" w:hAnsi="Symbol" w:hint="default"/>
      </w:rPr>
    </w:lvl>
    <w:lvl w:ilvl="2" w:tplc="E1A2A246">
      <w:start w:val="1"/>
      <w:numFmt w:val="bullet"/>
      <w:lvlText w:val=""/>
      <w:lvlJc w:val="left"/>
      <w:pPr>
        <w:ind w:left="2160" w:hanging="360"/>
      </w:pPr>
      <w:rPr>
        <w:rFonts w:ascii="Wingdings" w:hAnsi="Wingdings" w:hint="default"/>
      </w:rPr>
    </w:lvl>
    <w:lvl w:ilvl="3" w:tplc="D14839E2">
      <w:start w:val="1"/>
      <w:numFmt w:val="bullet"/>
      <w:lvlText w:val=""/>
      <w:lvlJc w:val="left"/>
      <w:pPr>
        <w:ind w:left="2880" w:hanging="360"/>
      </w:pPr>
      <w:rPr>
        <w:rFonts w:ascii="Symbol" w:hAnsi="Symbol" w:hint="default"/>
      </w:rPr>
    </w:lvl>
    <w:lvl w:ilvl="4" w:tplc="1A581950">
      <w:start w:val="1"/>
      <w:numFmt w:val="bullet"/>
      <w:lvlText w:val="o"/>
      <w:lvlJc w:val="left"/>
      <w:pPr>
        <w:ind w:left="3600" w:hanging="360"/>
      </w:pPr>
      <w:rPr>
        <w:rFonts w:ascii="Courier New" w:hAnsi="Courier New" w:hint="default"/>
      </w:rPr>
    </w:lvl>
    <w:lvl w:ilvl="5" w:tplc="7E76F61A">
      <w:start w:val="1"/>
      <w:numFmt w:val="bullet"/>
      <w:lvlText w:val=""/>
      <w:lvlJc w:val="left"/>
      <w:pPr>
        <w:ind w:left="4320" w:hanging="360"/>
      </w:pPr>
      <w:rPr>
        <w:rFonts w:ascii="Wingdings" w:hAnsi="Wingdings" w:hint="default"/>
      </w:rPr>
    </w:lvl>
    <w:lvl w:ilvl="6" w:tplc="0032F28A">
      <w:start w:val="1"/>
      <w:numFmt w:val="bullet"/>
      <w:lvlText w:val=""/>
      <w:lvlJc w:val="left"/>
      <w:pPr>
        <w:ind w:left="5040" w:hanging="360"/>
      </w:pPr>
      <w:rPr>
        <w:rFonts w:ascii="Symbol" w:hAnsi="Symbol" w:hint="default"/>
      </w:rPr>
    </w:lvl>
    <w:lvl w:ilvl="7" w:tplc="6284EDDA">
      <w:start w:val="1"/>
      <w:numFmt w:val="bullet"/>
      <w:lvlText w:val="o"/>
      <w:lvlJc w:val="left"/>
      <w:pPr>
        <w:ind w:left="5760" w:hanging="360"/>
      </w:pPr>
      <w:rPr>
        <w:rFonts w:ascii="Courier New" w:hAnsi="Courier New" w:hint="default"/>
      </w:rPr>
    </w:lvl>
    <w:lvl w:ilvl="8" w:tplc="7E48272A">
      <w:start w:val="1"/>
      <w:numFmt w:val="bullet"/>
      <w:lvlText w:val=""/>
      <w:lvlJc w:val="left"/>
      <w:pPr>
        <w:ind w:left="6480" w:hanging="360"/>
      </w:pPr>
      <w:rPr>
        <w:rFonts w:ascii="Wingdings" w:hAnsi="Wingdings" w:hint="default"/>
      </w:rPr>
    </w:lvl>
  </w:abstractNum>
  <w:abstractNum w:abstractNumId="16"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385DB3"/>
    <w:multiLevelType w:val="multilevel"/>
    <w:tmpl w:val="EB6C36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B023E2"/>
    <w:multiLevelType w:val="multilevel"/>
    <w:tmpl w:val="A970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BD1AA4"/>
    <w:multiLevelType w:val="hybridMultilevel"/>
    <w:tmpl w:val="FFFFFFFF"/>
    <w:lvl w:ilvl="0" w:tplc="53E28808">
      <w:start w:val="1"/>
      <w:numFmt w:val="bullet"/>
      <w:lvlText w:val=""/>
      <w:lvlJc w:val="left"/>
      <w:pPr>
        <w:ind w:left="720" w:hanging="360"/>
      </w:pPr>
      <w:rPr>
        <w:rFonts w:ascii="Symbol" w:hAnsi="Symbol" w:hint="default"/>
      </w:rPr>
    </w:lvl>
    <w:lvl w:ilvl="1" w:tplc="131CA0D0">
      <w:start w:val="1"/>
      <w:numFmt w:val="bullet"/>
      <w:lvlText w:val="o"/>
      <w:lvlJc w:val="left"/>
      <w:pPr>
        <w:ind w:left="1440" w:hanging="360"/>
      </w:pPr>
      <w:rPr>
        <w:rFonts w:ascii="Courier New" w:hAnsi="Courier New" w:hint="default"/>
      </w:rPr>
    </w:lvl>
    <w:lvl w:ilvl="2" w:tplc="B2284CA0">
      <w:start w:val="1"/>
      <w:numFmt w:val="bullet"/>
      <w:lvlText w:val=""/>
      <w:lvlJc w:val="left"/>
      <w:pPr>
        <w:ind w:left="2160" w:hanging="360"/>
      </w:pPr>
      <w:rPr>
        <w:rFonts w:ascii="Wingdings" w:hAnsi="Wingdings" w:hint="default"/>
      </w:rPr>
    </w:lvl>
    <w:lvl w:ilvl="3" w:tplc="23582F7C">
      <w:start w:val="1"/>
      <w:numFmt w:val="bullet"/>
      <w:lvlText w:val=""/>
      <w:lvlJc w:val="left"/>
      <w:pPr>
        <w:ind w:left="2880" w:hanging="360"/>
      </w:pPr>
      <w:rPr>
        <w:rFonts w:ascii="Symbol" w:hAnsi="Symbol" w:hint="default"/>
      </w:rPr>
    </w:lvl>
    <w:lvl w:ilvl="4" w:tplc="0E149736">
      <w:start w:val="1"/>
      <w:numFmt w:val="bullet"/>
      <w:lvlText w:val="o"/>
      <w:lvlJc w:val="left"/>
      <w:pPr>
        <w:ind w:left="3600" w:hanging="360"/>
      </w:pPr>
      <w:rPr>
        <w:rFonts w:ascii="Courier New" w:hAnsi="Courier New" w:hint="default"/>
      </w:rPr>
    </w:lvl>
    <w:lvl w:ilvl="5" w:tplc="5C884576">
      <w:start w:val="1"/>
      <w:numFmt w:val="bullet"/>
      <w:lvlText w:val=""/>
      <w:lvlJc w:val="left"/>
      <w:pPr>
        <w:ind w:left="4320" w:hanging="360"/>
      </w:pPr>
      <w:rPr>
        <w:rFonts w:ascii="Wingdings" w:hAnsi="Wingdings" w:hint="default"/>
      </w:rPr>
    </w:lvl>
    <w:lvl w:ilvl="6" w:tplc="35821550">
      <w:start w:val="1"/>
      <w:numFmt w:val="bullet"/>
      <w:lvlText w:val=""/>
      <w:lvlJc w:val="left"/>
      <w:pPr>
        <w:ind w:left="5040" w:hanging="360"/>
      </w:pPr>
      <w:rPr>
        <w:rFonts w:ascii="Symbol" w:hAnsi="Symbol" w:hint="default"/>
      </w:rPr>
    </w:lvl>
    <w:lvl w:ilvl="7" w:tplc="FECECFA8">
      <w:start w:val="1"/>
      <w:numFmt w:val="bullet"/>
      <w:lvlText w:val="o"/>
      <w:lvlJc w:val="left"/>
      <w:pPr>
        <w:ind w:left="5760" w:hanging="360"/>
      </w:pPr>
      <w:rPr>
        <w:rFonts w:ascii="Courier New" w:hAnsi="Courier New" w:hint="default"/>
      </w:rPr>
    </w:lvl>
    <w:lvl w:ilvl="8" w:tplc="099270F8">
      <w:start w:val="1"/>
      <w:numFmt w:val="bullet"/>
      <w:lvlText w:val=""/>
      <w:lvlJc w:val="left"/>
      <w:pPr>
        <w:ind w:left="6480" w:hanging="360"/>
      </w:pPr>
      <w:rPr>
        <w:rFonts w:ascii="Wingdings" w:hAnsi="Wingdings" w:hint="default"/>
      </w:rPr>
    </w:lvl>
  </w:abstractNum>
  <w:abstractNum w:abstractNumId="20" w15:restartNumberingAfterBreak="0">
    <w:nsid w:val="2D012BA1"/>
    <w:multiLevelType w:val="multilevel"/>
    <w:tmpl w:val="E54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535D3B"/>
    <w:multiLevelType w:val="hybridMultilevel"/>
    <w:tmpl w:val="D7EE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2B35D8"/>
    <w:multiLevelType w:val="multilevel"/>
    <w:tmpl w:val="BE8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F7732EE"/>
    <w:multiLevelType w:val="multilevel"/>
    <w:tmpl w:val="48AC4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8249D6"/>
    <w:multiLevelType w:val="hybridMultilevel"/>
    <w:tmpl w:val="B846F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F926BA"/>
    <w:multiLevelType w:val="multilevel"/>
    <w:tmpl w:val="E5BAA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9B7207"/>
    <w:multiLevelType w:val="hybridMultilevel"/>
    <w:tmpl w:val="FFFFFFFF"/>
    <w:lvl w:ilvl="0" w:tplc="B12467C2">
      <w:start w:val="1"/>
      <w:numFmt w:val="decimal"/>
      <w:lvlText w:val="%1."/>
      <w:lvlJc w:val="left"/>
      <w:pPr>
        <w:ind w:left="720" w:hanging="360"/>
      </w:pPr>
    </w:lvl>
    <w:lvl w:ilvl="1" w:tplc="02DE7416">
      <w:start w:val="1"/>
      <w:numFmt w:val="lowerLetter"/>
      <w:lvlText w:val="%2."/>
      <w:lvlJc w:val="left"/>
      <w:pPr>
        <w:ind w:left="1440" w:hanging="360"/>
      </w:pPr>
    </w:lvl>
    <w:lvl w:ilvl="2" w:tplc="01206BD8">
      <w:start w:val="1"/>
      <w:numFmt w:val="lowerRoman"/>
      <w:lvlText w:val="%3."/>
      <w:lvlJc w:val="right"/>
      <w:pPr>
        <w:ind w:left="2160" w:hanging="180"/>
      </w:pPr>
    </w:lvl>
    <w:lvl w:ilvl="3" w:tplc="BBB0CB90">
      <w:start w:val="1"/>
      <w:numFmt w:val="decimal"/>
      <w:lvlText w:val="%4."/>
      <w:lvlJc w:val="left"/>
      <w:pPr>
        <w:ind w:left="2880" w:hanging="360"/>
      </w:pPr>
    </w:lvl>
    <w:lvl w:ilvl="4" w:tplc="F574EF5E">
      <w:start w:val="1"/>
      <w:numFmt w:val="lowerLetter"/>
      <w:lvlText w:val="%5."/>
      <w:lvlJc w:val="left"/>
      <w:pPr>
        <w:ind w:left="3600" w:hanging="360"/>
      </w:pPr>
    </w:lvl>
    <w:lvl w:ilvl="5" w:tplc="6CD2239A">
      <w:start w:val="1"/>
      <w:numFmt w:val="lowerRoman"/>
      <w:lvlText w:val="%6."/>
      <w:lvlJc w:val="right"/>
      <w:pPr>
        <w:ind w:left="4320" w:hanging="180"/>
      </w:pPr>
    </w:lvl>
    <w:lvl w:ilvl="6" w:tplc="34585CE0">
      <w:start w:val="1"/>
      <w:numFmt w:val="decimal"/>
      <w:lvlText w:val="%7."/>
      <w:lvlJc w:val="left"/>
      <w:pPr>
        <w:ind w:left="5040" w:hanging="360"/>
      </w:pPr>
    </w:lvl>
    <w:lvl w:ilvl="7" w:tplc="8DF6A15C">
      <w:start w:val="1"/>
      <w:numFmt w:val="lowerLetter"/>
      <w:lvlText w:val="%8."/>
      <w:lvlJc w:val="left"/>
      <w:pPr>
        <w:ind w:left="5760" w:hanging="360"/>
      </w:pPr>
    </w:lvl>
    <w:lvl w:ilvl="8" w:tplc="BDC24FF4">
      <w:start w:val="1"/>
      <w:numFmt w:val="lowerRoman"/>
      <w:lvlText w:val="%9."/>
      <w:lvlJc w:val="right"/>
      <w:pPr>
        <w:ind w:left="6480" w:hanging="180"/>
      </w:pPr>
    </w:lvl>
  </w:abstractNum>
  <w:abstractNum w:abstractNumId="28"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5C45393"/>
    <w:multiLevelType w:val="multilevel"/>
    <w:tmpl w:val="08C61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A330284"/>
    <w:multiLevelType w:val="multilevel"/>
    <w:tmpl w:val="6EAC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B3D5DEC"/>
    <w:multiLevelType w:val="multilevel"/>
    <w:tmpl w:val="CCD0F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0D7EEA"/>
    <w:multiLevelType w:val="multilevel"/>
    <w:tmpl w:val="396A1500"/>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3C9158E2"/>
    <w:multiLevelType w:val="multilevel"/>
    <w:tmpl w:val="60029A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CF0097"/>
    <w:multiLevelType w:val="hybridMultilevel"/>
    <w:tmpl w:val="FFFFFFFF"/>
    <w:lvl w:ilvl="0" w:tplc="8D6ABA10">
      <w:start w:val="1"/>
      <w:numFmt w:val="bullet"/>
      <w:lvlText w:val=""/>
      <w:lvlJc w:val="left"/>
      <w:pPr>
        <w:ind w:left="720" w:hanging="360"/>
      </w:pPr>
      <w:rPr>
        <w:rFonts w:ascii="Symbol" w:hAnsi="Symbol" w:hint="default"/>
      </w:rPr>
    </w:lvl>
    <w:lvl w:ilvl="1" w:tplc="8EA619A8">
      <w:start w:val="1"/>
      <w:numFmt w:val="bullet"/>
      <w:lvlText w:val="o"/>
      <w:lvlJc w:val="left"/>
      <w:pPr>
        <w:ind w:left="1440" w:hanging="360"/>
      </w:pPr>
      <w:rPr>
        <w:rFonts w:ascii="Courier New" w:hAnsi="Courier New" w:hint="default"/>
      </w:rPr>
    </w:lvl>
    <w:lvl w:ilvl="2" w:tplc="BBBA6FFA">
      <w:start w:val="1"/>
      <w:numFmt w:val="bullet"/>
      <w:lvlText w:val=""/>
      <w:lvlJc w:val="left"/>
      <w:pPr>
        <w:ind w:left="2160" w:hanging="360"/>
      </w:pPr>
      <w:rPr>
        <w:rFonts w:ascii="Wingdings" w:hAnsi="Wingdings" w:hint="default"/>
      </w:rPr>
    </w:lvl>
    <w:lvl w:ilvl="3" w:tplc="30D4855A">
      <w:start w:val="1"/>
      <w:numFmt w:val="bullet"/>
      <w:lvlText w:val=""/>
      <w:lvlJc w:val="left"/>
      <w:pPr>
        <w:ind w:left="2880" w:hanging="360"/>
      </w:pPr>
      <w:rPr>
        <w:rFonts w:ascii="Symbol" w:hAnsi="Symbol" w:hint="default"/>
      </w:rPr>
    </w:lvl>
    <w:lvl w:ilvl="4" w:tplc="408EE26A">
      <w:start w:val="1"/>
      <w:numFmt w:val="bullet"/>
      <w:lvlText w:val="o"/>
      <w:lvlJc w:val="left"/>
      <w:pPr>
        <w:ind w:left="3600" w:hanging="360"/>
      </w:pPr>
      <w:rPr>
        <w:rFonts w:ascii="Courier New" w:hAnsi="Courier New" w:hint="default"/>
      </w:rPr>
    </w:lvl>
    <w:lvl w:ilvl="5" w:tplc="7D1ACA34">
      <w:start w:val="1"/>
      <w:numFmt w:val="bullet"/>
      <w:lvlText w:val=""/>
      <w:lvlJc w:val="left"/>
      <w:pPr>
        <w:ind w:left="4320" w:hanging="360"/>
      </w:pPr>
      <w:rPr>
        <w:rFonts w:ascii="Wingdings" w:hAnsi="Wingdings" w:hint="default"/>
      </w:rPr>
    </w:lvl>
    <w:lvl w:ilvl="6" w:tplc="E3EEB68A">
      <w:start w:val="1"/>
      <w:numFmt w:val="bullet"/>
      <w:lvlText w:val=""/>
      <w:lvlJc w:val="left"/>
      <w:pPr>
        <w:ind w:left="5040" w:hanging="360"/>
      </w:pPr>
      <w:rPr>
        <w:rFonts w:ascii="Symbol" w:hAnsi="Symbol" w:hint="default"/>
      </w:rPr>
    </w:lvl>
    <w:lvl w:ilvl="7" w:tplc="3DA8BA42">
      <w:start w:val="1"/>
      <w:numFmt w:val="bullet"/>
      <w:lvlText w:val="o"/>
      <w:lvlJc w:val="left"/>
      <w:pPr>
        <w:ind w:left="5760" w:hanging="360"/>
      </w:pPr>
      <w:rPr>
        <w:rFonts w:ascii="Courier New" w:hAnsi="Courier New" w:hint="default"/>
      </w:rPr>
    </w:lvl>
    <w:lvl w:ilvl="8" w:tplc="17DA5252">
      <w:start w:val="1"/>
      <w:numFmt w:val="bullet"/>
      <w:lvlText w:val=""/>
      <w:lvlJc w:val="left"/>
      <w:pPr>
        <w:ind w:left="6480" w:hanging="360"/>
      </w:pPr>
      <w:rPr>
        <w:rFonts w:ascii="Wingdings" w:hAnsi="Wingdings" w:hint="default"/>
      </w:rPr>
    </w:lvl>
  </w:abstractNum>
  <w:abstractNum w:abstractNumId="37"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2841AA"/>
    <w:multiLevelType w:val="hybridMultilevel"/>
    <w:tmpl w:val="C4D0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2858A3"/>
    <w:multiLevelType w:val="hybridMultilevel"/>
    <w:tmpl w:val="59A0D71C"/>
    <w:lvl w:ilvl="0" w:tplc="6EB69728">
      <w:start w:val="1"/>
      <w:numFmt w:val="decimal"/>
      <w:lvlText w:val="%1."/>
      <w:lvlJc w:val="left"/>
      <w:pPr>
        <w:ind w:left="1080" w:hanging="360"/>
      </w:pPr>
      <w:rPr>
        <w:rFonts w:eastAsiaTheme="minorHAnsi" w:hint="default"/>
        <w:b w:val="0"/>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E0978F0"/>
    <w:multiLevelType w:val="hybridMultilevel"/>
    <w:tmpl w:val="AEE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4" w15:restartNumberingAfterBreak="0">
    <w:nsid w:val="50725ABE"/>
    <w:multiLevelType w:val="hybridMultilevel"/>
    <w:tmpl w:val="04184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34C5B3F"/>
    <w:multiLevelType w:val="multilevel"/>
    <w:tmpl w:val="A1269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56A0453"/>
    <w:multiLevelType w:val="hybridMultilevel"/>
    <w:tmpl w:val="C7DCE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5A757465"/>
    <w:multiLevelType w:val="hybridMultilevel"/>
    <w:tmpl w:val="FFFFFFFF"/>
    <w:lvl w:ilvl="0" w:tplc="12CC7650">
      <w:start w:val="1"/>
      <w:numFmt w:val="decimal"/>
      <w:lvlText w:val="%1."/>
      <w:lvlJc w:val="left"/>
      <w:pPr>
        <w:ind w:left="720" w:hanging="360"/>
      </w:pPr>
    </w:lvl>
    <w:lvl w:ilvl="1" w:tplc="5D9CB1C2">
      <w:start w:val="1"/>
      <w:numFmt w:val="bullet"/>
      <w:lvlText w:val=""/>
      <w:lvlJc w:val="left"/>
      <w:pPr>
        <w:ind w:left="1440" w:hanging="360"/>
      </w:pPr>
      <w:rPr>
        <w:rFonts w:ascii="Symbol" w:hAnsi="Symbol" w:hint="default"/>
      </w:rPr>
    </w:lvl>
    <w:lvl w:ilvl="2" w:tplc="0AE8A640">
      <w:start w:val="1"/>
      <w:numFmt w:val="lowerRoman"/>
      <w:lvlText w:val="%3."/>
      <w:lvlJc w:val="right"/>
      <w:pPr>
        <w:ind w:left="2160" w:hanging="180"/>
      </w:pPr>
    </w:lvl>
    <w:lvl w:ilvl="3" w:tplc="56487FDA">
      <w:start w:val="1"/>
      <w:numFmt w:val="decimal"/>
      <w:lvlText w:val="%4."/>
      <w:lvlJc w:val="left"/>
      <w:pPr>
        <w:ind w:left="2880" w:hanging="360"/>
      </w:pPr>
    </w:lvl>
    <w:lvl w:ilvl="4" w:tplc="571E79A8">
      <w:start w:val="1"/>
      <w:numFmt w:val="lowerLetter"/>
      <w:lvlText w:val="%5."/>
      <w:lvlJc w:val="left"/>
      <w:pPr>
        <w:ind w:left="3600" w:hanging="360"/>
      </w:pPr>
    </w:lvl>
    <w:lvl w:ilvl="5" w:tplc="B9E401D8">
      <w:start w:val="1"/>
      <w:numFmt w:val="lowerRoman"/>
      <w:lvlText w:val="%6."/>
      <w:lvlJc w:val="right"/>
      <w:pPr>
        <w:ind w:left="4320" w:hanging="180"/>
      </w:pPr>
    </w:lvl>
    <w:lvl w:ilvl="6" w:tplc="12A0DC6E">
      <w:start w:val="1"/>
      <w:numFmt w:val="decimal"/>
      <w:lvlText w:val="%7."/>
      <w:lvlJc w:val="left"/>
      <w:pPr>
        <w:ind w:left="5040" w:hanging="360"/>
      </w:pPr>
    </w:lvl>
    <w:lvl w:ilvl="7" w:tplc="139C85E8">
      <w:start w:val="1"/>
      <w:numFmt w:val="lowerLetter"/>
      <w:lvlText w:val="%8."/>
      <w:lvlJc w:val="left"/>
      <w:pPr>
        <w:ind w:left="5760" w:hanging="360"/>
      </w:pPr>
    </w:lvl>
    <w:lvl w:ilvl="8" w:tplc="74F66A96">
      <w:start w:val="1"/>
      <w:numFmt w:val="lowerRoman"/>
      <w:lvlText w:val="%9."/>
      <w:lvlJc w:val="right"/>
      <w:pPr>
        <w:ind w:left="6480" w:hanging="180"/>
      </w:pPr>
    </w:lvl>
  </w:abstractNum>
  <w:abstractNum w:abstractNumId="51" w15:restartNumberingAfterBreak="0">
    <w:nsid w:val="5D945054"/>
    <w:multiLevelType w:val="multilevel"/>
    <w:tmpl w:val="F40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DBE7D17"/>
    <w:multiLevelType w:val="hybridMultilevel"/>
    <w:tmpl w:val="FFFFFFFF"/>
    <w:lvl w:ilvl="0" w:tplc="79869B0E">
      <w:start w:val="1"/>
      <w:numFmt w:val="bullet"/>
      <w:lvlText w:val=""/>
      <w:lvlJc w:val="left"/>
      <w:pPr>
        <w:ind w:left="720" w:hanging="360"/>
      </w:pPr>
      <w:rPr>
        <w:rFonts w:ascii="Symbol" w:hAnsi="Symbol" w:hint="default"/>
      </w:rPr>
    </w:lvl>
    <w:lvl w:ilvl="1" w:tplc="00A86A60">
      <w:start w:val="1"/>
      <w:numFmt w:val="bullet"/>
      <w:lvlText w:val="o"/>
      <w:lvlJc w:val="left"/>
      <w:pPr>
        <w:ind w:left="1440" w:hanging="360"/>
      </w:pPr>
      <w:rPr>
        <w:rFonts w:ascii="Courier New" w:hAnsi="Courier New" w:hint="default"/>
      </w:rPr>
    </w:lvl>
    <w:lvl w:ilvl="2" w:tplc="71A8B658">
      <w:start w:val="1"/>
      <w:numFmt w:val="bullet"/>
      <w:lvlText w:val=""/>
      <w:lvlJc w:val="left"/>
      <w:pPr>
        <w:ind w:left="2160" w:hanging="360"/>
      </w:pPr>
      <w:rPr>
        <w:rFonts w:ascii="Wingdings" w:hAnsi="Wingdings" w:hint="default"/>
      </w:rPr>
    </w:lvl>
    <w:lvl w:ilvl="3" w:tplc="D45A1986">
      <w:start w:val="1"/>
      <w:numFmt w:val="bullet"/>
      <w:lvlText w:val=""/>
      <w:lvlJc w:val="left"/>
      <w:pPr>
        <w:ind w:left="2880" w:hanging="360"/>
      </w:pPr>
      <w:rPr>
        <w:rFonts w:ascii="Symbol" w:hAnsi="Symbol" w:hint="default"/>
      </w:rPr>
    </w:lvl>
    <w:lvl w:ilvl="4" w:tplc="94A4C8D0">
      <w:start w:val="1"/>
      <w:numFmt w:val="bullet"/>
      <w:lvlText w:val="o"/>
      <w:lvlJc w:val="left"/>
      <w:pPr>
        <w:ind w:left="3600" w:hanging="360"/>
      </w:pPr>
      <w:rPr>
        <w:rFonts w:ascii="Courier New" w:hAnsi="Courier New" w:hint="default"/>
      </w:rPr>
    </w:lvl>
    <w:lvl w:ilvl="5" w:tplc="825A538A">
      <w:start w:val="1"/>
      <w:numFmt w:val="bullet"/>
      <w:lvlText w:val=""/>
      <w:lvlJc w:val="left"/>
      <w:pPr>
        <w:ind w:left="4320" w:hanging="360"/>
      </w:pPr>
      <w:rPr>
        <w:rFonts w:ascii="Wingdings" w:hAnsi="Wingdings" w:hint="default"/>
      </w:rPr>
    </w:lvl>
    <w:lvl w:ilvl="6" w:tplc="6B32EAB2">
      <w:start w:val="1"/>
      <w:numFmt w:val="bullet"/>
      <w:lvlText w:val=""/>
      <w:lvlJc w:val="left"/>
      <w:pPr>
        <w:ind w:left="5040" w:hanging="360"/>
      </w:pPr>
      <w:rPr>
        <w:rFonts w:ascii="Symbol" w:hAnsi="Symbol" w:hint="default"/>
      </w:rPr>
    </w:lvl>
    <w:lvl w:ilvl="7" w:tplc="3ABA7968">
      <w:start w:val="1"/>
      <w:numFmt w:val="bullet"/>
      <w:lvlText w:val="o"/>
      <w:lvlJc w:val="left"/>
      <w:pPr>
        <w:ind w:left="5760" w:hanging="360"/>
      </w:pPr>
      <w:rPr>
        <w:rFonts w:ascii="Courier New" w:hAnsi="Courier New" w:hint="default"/>
      </w:rPr>
    </w:lvl>
    <w:lvl w:ilvl="8" w:tplc="22904ECC">
      <w:start w:val="1"/>
      <w:numFmt w:val="bullet"/>
      <w:lvlText w:val=""/>
      <w:lvlJc w:val="left"/>
      <w:pPr>
        <w:ind w:left="6480" w:hanging="360"/>
      </w:pPr>
      <w:rPr>
        <w:rFonts w:ascii="Wingdings" w:hAnsi="Wingdings" w:hint="default"/>
      </w:rPr>
    </w:lvl>
  </w:abstractNum>
  <w:abstractNum w:abstractNumId="53" w15:restartNumberingAfterBreak="0">
    <w:nsid w:val="60D75ED7"/>
    <w:multiLevelType w:val="hybridMultilevel"/>
    <w:tmpl w:val="4680F24E"/>
    <w:lvl w:ilvl="0" w:tplc="52C83954">
      <w:start w:val="1"/>
      <w:numFmt w:val="bullet"/>
      <w:lvlText w:val=""/>
      <w:lvlJc w:val="left"/>
      <w:pPr>
        <w:ind w:left="720" w:hanging="360"/>
      </w:pPr>
      <w:rPr>
        <w:rFonts w:ascii="Symbol" w:hAnsi="Symbol" w:hint="default"/>
      </w:rPr>
    </w:lvl>
    <w:lvl w:ilvl="1" w:tplc="AA3A1096">
      <w:start w:val="1"/>
      <w:numFmt w:val="bullet"/>
      <w:lvlText w:val=""/>
      <w:lvlJc w:val="left"/>
      <w:pPr>
        <w:ind w:left="1440" w:hanging="360"/>
      </w:pPr>
      <w:rPr>
        <w:rFonts w:ascii="Symbol" w:hAnsi="Symbol" w:hint="default"/>
      </w:rPr>
    </w:lvl>
    <w:lvl w:ilvl="2" w:tplc="8F0078C8">
      <w:start w:val="1"/>
      <w:numFmt w:val="bullet"/>
      <w:lvlText w:val=""/>
      <w:lvlJc w:val="left"/>
      <w:pPr>
        <w:ind w:left="2160" w:hanging="360"/>
      </w:pPr>
      <w:rPr>
        <w:rFonts w:ascii="Wingdings" w:hAnsi="Wingdings" w:hint="default"/>
      </w:rPr>
    </w:lvl>
    <w:lvl w:ilvl="3" w:tplc="36C2401C">
      <w:start w:val="1"/>
      <w:numFmt w:val="bullet"/>
      <w:lvlText w:val=""/>
      <w:lvlJc w:val="left"/>
      <w:pPr>
        <w:ind w:left="2880" w:hanging="360"/>
      </w:pPr>
      <w:rPr>
        <w:rFonts w:ascii="Symbol" w:hAnsi="Symbol" w:hint="default"/>
      </w:rPr>
    </w:lvl>
    <w:lvl w:ilvl="4" w:tplc="E9DAF7EC">
      <w:start w:val="1"/>
      <w:numFmt w:val="bullet"/>
      <w:lvlText w:val="o"/>
      <w:lvlJc w:val="left"/>
      <w:pPr>
        <w:ind w:left="3600" w:hanging="360"/>
      </w:pPr>
      <w:rPr>
        <w:rFonts w:ascii="Courier New" w:hAnsi="Courier New" w:hint="default"/>
      </w:rPr>
    </w:lvl>
    <w:lvl w:ilvl="5" w:tplc="E2AA362A">
      <w:start w:val="1"/>
      <w:numFmt w:val="bullet"/>
      <w:lvlText w:val=""/>
      <w:lvlJc w:val="left"/>
      <w:pPr>
        <w:ind w:left="4320" w:hanging="360"/>
      </w:pPr>
      <w:rPr>
        <w:rFonts w:ascii="Wingdings" w:hAnsi="Wingdings" w:hint="default"/>
      </w:rPr>
    </w:lvl>
    <w:lvl w:ilvl="6" w:tplc="3D8A309C">
      <w:start w:val="1"/>
      <w:numFmt w:val="bullet"/>
      <w:lvlText w:val=""/>
      <w:lvlJc w:val="left"/>
      <w:pPr>
        <w:ind w:left="5040" w:hanging="360"/>
      </w:pPr>
      <w:rPr>
        <w:rFonts w:ascii="Symbol" w:hAnsi="Symbol" w:hint="default"/>
      </w:rPr>
    </w:lvl>
    <w:lvl w:ilvl="7" w:tplc="43EC3BCE">
      <w:start w:val="1"/>
      <w:numFmt w:val="bullet"/>
      <w:lvlText w:val="o"/>
      <w:lvlJc w:val="left"/>
      <w:pPr>
        <w:ind w:left="5760" w:hanging="360"/>
      </w:pPr>
      <w:rPr>
        <w:rFonts w:ascii="Courier New" w:hAnsi="Courier New" w:hint="default"/>
      </w:rPr>
    </w:lvl>
    <w:lvl w:ilvl="8" w:tplc="B7CC9808">
      <w:start w:val="1"/>
      <w:numFmt w:val="bullet"/>
      <w:lvlText w:val=""/>
      <w:lvlJc w:val="left"/>
      <w:pPr>
        <w:ind w:left="6480" w:hanging="360"/>
      </w:pPr>
      <w:rPr>
        <w:rFonts w:ascii="Wingdings" w:hAnsi="Wingdings" w:hint="default"/>
      </w:rPr>
    </w:lvl>
  </w:abstractNum>
  <w:abstractNum w:abstractNumId="54"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8D1575"/>
    <w:multiLevelType w:val="multilevel"/>
    <w:tmpl w:val="A9AE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6D6749B"/>
    <w:multiLevelType w:val="multilevel"/>
    <w:tmpl w:val="69627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7FF73F5"/>
    <w:multiLevelType w:val="hybridMultilevel"/>
    <w:tmpl w:val="A328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946656A"/>
    <w:multiLevelType w:val="hybridMultilevel"/>
    <w:tmpl w:val="FFFFFFFF"/>
    <w:lvl w:ilvl="0" w:tplc="CC128C2C">
      <w:start w:val="1"/>
      <w:numFmt w:val="bullet"/>
      <w:lvlText w:val=""/>
      <w:lvlJc w:val="left"/>
      <w:pPr>
        <w:ind w:left="720" w:hanging="360"/>
      </w:pPr>
      <w:rPr>
        <w:rFonts w:ascii="Symbol" w:hAnsi="Symbol" w:hint="default"/>
      </w:rPr>
    </w:lvl>
    <w:lvl w:ilvl="1" w:tplc="FEBC132C">
      <w:start w:val="1"/>
      <w:numFmt w:val="bullet"/>
      <w:lvlText w:val="o"/>
      <w:lvlJc w:val="left"/>
      <w:pPr>
        <w:ind w:left="1440" w:hanging="360"/>
      </w:pPr>
      <w:rPr>
        <w:rFonts w:ascii="Courier New" w:hAnsi="Courier New" w:hint="default"/>
      </w:rPr>
    </w:lvl>
    <w:lvl w:ilvl="2" w:tplc="FC2A9A38">
      <w:start w:val="1"/>
      <w:numFmt w:val="bullet"/>
      <w:lvlText w:val=""/>
      <w:lvlJc w:val="left"/>
      <w:pPr>
        <w:ind w:left="2160" w:hanging="360"/>
      </w:pPr>
      <w:rPr>
        <w:rFonts w:ascii="Wingdings" w:hAnsi="Wingdings" w:hint="default"/>
      </w:rPr>
    </w:lvl>
    <w:lvl w:ilvl="3" w:tplc="CCC8C528">
      <w:start w:val="1"/>
      <w:numFmt w:val="bullet"/>
      <w:lvlText w:val=""/>
      <w:lvlJc w:val="left"/>
      <w:pPr>
        <w:ind w:left="2880" w:hanging="360"/>
      </w:pPr>
      <w:rPr>
        <w:rFonts w:ascii="Symbol" w:hAnsi="Symbol" w:hint="default"/>
      </w:rPr>
    </w:lvl>
    <w:lvl w:ilvl="4" w:tplc="2870C7BA">
      <w:start w:val="1"/>
      <w:numFmt w:val="bullet"/>
      <w:lvlText w:val="o"/>
      <w:lvlJc w:val="left"/>
      <w:pPr>
        <w:ind w:left="3600" w:hanging="360"/>
      </w:pPr>
      <w:rPr>
        <w:rFonts w:ascii="Courier New" w:hAnsi="Courier New" w:hint="default"/>
      </w:rPr>
    </w:lvl>
    <w:lvl w:ilvl="5" w:tplc="BFBC2EFA">
      <w:start w:val="1"/>
      <w:numFmt w:val="bullet"/>
      <w:lvlText w:val=""/>
      <w:lvlJc w:val="left"/>
      <w:pPr>
        <w:ind w:left="4320" w:hanging="360"/>
      </w:pPr>
      <w:rPr>
        <w:rFonts w:ascii="Wingdings" w:hAnsi="Wingdings" w:hint="default"/>
      </w:rPr>
    </w:lvl>
    <w:lvl w:ilvl="6" w:tplc="A2589CEC">
      <w:start w:val="1"/>
      <w:numFmt w:val="bullet"/>
      <w:lvlText w:val=""/>
      <w:lvlJc w:val="left"/>
      <w:pPr>
        <w:ind w:left="5040" w:hanging="360"/>
      </w:pPr>
      <w:rPr>
        <w:rFonts w:ascii="Symbol" w:hAnsi="Symbol" w:hint="default"/>
      </w:rPr>
    </w:lvl>
    <w:lvl w:ilvl="7" w:tplc="979A764C">
      <w:start w:val="1"/>
      <w:numFmt w:val="bullet"/>
      <w:lvlText w:val="o"/>
      <w:lvlJc w:val="left"/>
      <w:pPr>
        <w:ind w:left="5760" w:hanging="360"/>
      </w:pPr>
      <w:rPr>
        <w:rFonts w:ascii="Courier New" w:hAnsi="Courier New" w:hint="default"/>
      </w:rPr>
    </w:lvl>
    <w:lvl w:ilvl="8" w:tplc="C0DE99F0">
      <w:start w:val="1"/>
      <w:numFmt w:val="bullet"/>
      <w:lvlText w:val=""/>
      <w:lvlJc w:val="left"/>
      <w:pPr>
        <w:ind w:left="6480" w:hanging="360"/>
      </w:pPr>
      <w:rPr>
        <w:rFonts w:ascii="Wingdings" w:hAnsi="Wingdings" w:hint="default"/>
      </w:rPr>
    </w:lvl>
  </w:abstractNum>
  <w:abstractNum w:abstractNumId="61" w15:restartNumberingAfterBreak="0">
    <w:nsid w:val="6A806D8C"/>
    <w:multiLevelType w:val="hybridMultilevel"/>
    <w:tmpl w:val="96F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050C97"/>
    <w:multiLevelType w:val="multilevel"/>
    <w:tmpl w:val="3CD4F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73611863"/>
    <w:multiLevelType w:val="hybridMultilevel"/>
    <w:tmpl w:val="FFFFFFFF"/>
    <w:lvl w:ilvl="0" w:tplc="8C4A8DA0">
      <w:start w:val="1"/>
      <w:numFmt w:val="bullet"/>
      <w:lvlText w:val=""/>
      <w:lvlJc w:val="left"/>
      <w:pPr>
        <w:ind w:left="720" w:hanging="360"/>
      </w:pPr>
      <w:rPr>
        <w:rFonts w:ascii="Symbol" w:hAnsi="Symbol" w:hint="default"/>
      </w:rPr>
    </w:lvl>
    <w:lvl w:ilvl="1" w:tplc="BDBED02C">
      <w:start w:val="1"/>
      <w:numFmt w:val="bullet"/>
      <w:lvlText w:val=""/>
      <w:lvlJc w:val="left"/>
      <w:pPr>
        <w:ind w:left="1440" w:hanging="360"/>
      </w:pPr>
      <w:rPr>
        <w:rFonts w:ascii="Symbol" w:hAnsi="Symbol" w:hint="default"/>
      </w:rPr>
    </w:lvl>
    <w:lvl w:ilvl="2" w:tplc="C5421FE8">
      <w:start w:val="1"/>
      <w:numFmt w:val="bullet"/>
      <w:lvlText w:val=""/>
      <w:lvlJc w:val="left"/>
      <w:pPr>
        <w:ind w:left="2160" w:hanging="360"/>
      </w:pPr>
      <w:rPr>
        <w:rFonts w:ascii="Wingdings" w:hAnsi="Wingdings" w:hint="default"/>
      </w:rPr>
    </w:lvl>
    <w:lvl w:ilvl="3" w:tplc="63040852">
      <w:start w:val="1"/>
      <w:numFmt w:val="bullet"/>
      <w:lvlText w:val=""/>
      <w:lvlJc w:val="left"/>
      <w:pPr>
        <w:ind w:left="2880" w:hanging="360"/>
      </w:pPr>
      <w:rPr>
        <w:rFonts w:ascii="Symbol" w:hAnsi="Symbol" w:hint="default"/>
      </w:rPr>
    </w:lvl>
    <w:lvl w:ilvl="4" w:tplc="A27E5112">
      <w:start w:val="1"/>
      <w:numFmt w:val="bullet"/>
      <w:lvlText w:val="o"/>
      <w:lvlJc w:val="left"/>
      <w:pPr>
        <w:ind w:left="3600" w:hanging="360"/>
      </w:pPr>
      <w:rPr>
        <w:rFonts w:ascii="Courier New" w:hAnsi="Courier New" w:hint="default"/>
      </w:rPr>
    </w:lvl>
    <w:lvl w:ilvl="5" w:tplc="B7DE5794">
      <w:start w:val="1"/>
      <w:numFmt w:val="bullet"/>
      <w:lvlText w:val=""/>
      <w:lvlJc w:val="left"/>
      <w:pPr>
        <w:ind w:left="4320" w:hanging="360"/>
      </w:pPr>
      <w:rPr>
        <w:rFonts w:ascii="Wingdings" w:hAnsi="Wingdings" w:hint="default"/>
      </w:rPr>
    </w:lvl>
    <w:lvl w:ilvl="6" w:tplc="3656D066">
      <w:start w:val="1"/>
      <w:numFmt w:val="bullet"/>
      <w:lvlText w:val=""/>
      <w:lvlJc w:val="left"/>
      <w:pPr>
        <w:ind w:left="5040" w:hanging="360"/>
      </w:pPr>
      <w:rPr>
        <w:rFonts w:ascii="Symbol" w:hAnsi="Symbol" w:hint="default"/>
      </w:rPr>
    </w:lvl>
    <w:lvl w:ilvl="7" w:tplc="80E0B3D8">
      <w:start w:val="1"/>
      <w:numFmt w:val="bullet"/>
      <w:lvlText w:val="o"/>
      <w:lvlJc w:val="left"/>
      <w:pPr>
        <w:ind w:left="5760" w:hanging="360"/>
      </w:pPr>
      <w:rPr>
        <w:rFonts w:ascii="Courier New" w:hAnsi="Courier New" w:hint="default"/>
      </w:rPr>
    </w:lvl>
    <w:lvl w:ilvl="8" w:tplc="02280D40">
      <w:start w:val="1"/>
      <w:numFmt w:val="bullet"/>
      <w:lvlText w:val=""/>
      <w:lvlJc w:val="left"/>
      <w:pPr>
        <w:ind w:left="6480" w:hanging="360"/>
      </w:pPr>
      <w:rPr>
        <w:rFonts w:ascii="Wingdings" w:hAnsi="Wingdings" w:hint="default"/>
      </w:rPr>
    </w:lvl>
  </w:abstractNum>
  <w:abstractNum w:abstractNumId="66" w15:restartNumberingAfterBreak="0">
    <w:nsid w:val="78343F86"/>
    <w:multiLevelType w:val="hybridMultilevel"/>
    <w:tmpl w:val="FFFFFFFF"/>
    <w:lvl w:ilvl="0" w:tplc="943E9BBE">
      <w:start w:val="1"/>
      <w:numFmt w:val="bullet"/>
      <w:lvlText w:val=""/>
      <w:lvlJc w:val="left"/>
      <w:pPr>
        <w:ind w:left="720" w:hanging="360"/>
      </w:pPr>
      <w:rPr>
        <w:rFonts w:ascii="Symbol" w:hAnsi="Symbol" w:hint="default"/>
      </w:rPr>
    </w:lvl>
    <w:lvl w:ilvl="1" w:tplc="610C744C">
      <w:start w:val="1"/>
      <w:numFmt w:val="bullet"/>
      <w:lvlText w:val="o"/>
      <w:lvlJc w:val="left"/>
      <w:pPr>
        <w:ind w:left="1440" w:hanging="360"/>
      </w:pPr>
      <w:rPr>
        <w:rFonts w:ascii="Courier New" w:hAnsi="Courier New" w:hint="default"/>
      </w:rPr>
    </w:lvl>
    <w:lvl w:ilvl="2" w:tplc="0092569E">
      <w:start w:val="1"/>
      <w:numFmt w:val="bullet"/>
      <w:lvlText w:val=""/>
      <w:lvlJc w:val="left"/>
      <w:pPr>
        <w:ind w:left="2160" w:hanging="360"/>
      </w:pPr>
      <w:rPr>
        <w:rFonts w:ascii="Wingdings" w:hAnsi="Wingdings" w:hint="default"/>
      </w:rPr>
    </w:lvl>
    <w:lvl w:ilvl="3" w:tplc="640212A6">
      <w:start w:val="1"/>
      <w:numFmt w:val="bullet"/>
      <w:lvlText w:val=""/>
      <w:lvlJc w:val="left"/>
      <w:pPr>
        <w:ind w:left="2880" w:hanging="360"/>
      </w:pPr>
      <w:rPr>
        <w:rFonts w:ascii="Symbol" w:hAnsi="Symbol" w:hint="default"/>
      </w:rPr>
    </w:lvl>
    <w:lvl w:ilvl="4" w:tplc="C1068A70">
      <w:start w:val="1"/>
      <w:numFmt w:val="bullet"/>
      <w:lvlText w:val="o"/>
      <w:lvlJc w:val="left"/>
      <w:pPr>
        <w:ind w:left="3600" w:hanging="360"/>
      </w:pPr>
      <w:rPr>
        <w:rFonts w:ascii="Courier New" w:hAnsi="Courier New" w:hint="default"/>
      </w:rPr>
    </w:lvl>
    <w:lvl w:ilvl="5" w:tplc="6E041ACE">
      <w:start w:val="1"/>
      <w:numFmt w:val="bullet"/>
      <w:lvlText w:val=""/>
      <w:lvlJc w:val="left"/>
      <w:pPr>
        <w:ind w:left="4320" w:hanging="360"/>
      </w:pPr>
      <w:rPr>
        <w:rFonts w:ascii="Wingdings" w:hAnsi="Wingdings" w:hint="default"/>
      </w:rPr>
    </w:lvl>
    <w:lvl w:ilvl="6" w:tplc="98B009B2">
      <w:start w:val="1"/>
      <w:numFmt w:val="bullet"/>
      <w:lvlText w:val=""/>
      <w:lvlJc w:val="left"/>
      <w:pPr>
        <w:ind w:left="5040" w:hanging="360"/>
      </w:pPr>
      <w:rPr>
        <w:rFonts w:ascii="Symbol" w:hAnsi="Symbol" w:hint="default"/>
      </w:rPr>
    </w:lvl>
    <w:lvl w:ilvl="7" w:tplc="52AE78BE">
      <w:start w:val="1"/>
      <w:numFmt w:val="bullet"/>
      <w:lvlText w:val="o"/>
      <w:lvlJc w:val="left"/>
      <w:pPr>
        <w:ind w:left="5760" w:hanging="360"/>
      </w:pPr>
      <w:rPr>
        <w:rFonts w:ascii="Courier New" w:hAnsi="Courier New" w:hint="default"/>
      </w:rPr>
    </w:lvl>
    <w:lvl w:ilvl="8" w:tplc="8F2402D6">
      <w:start w:val="1"/>
      <w:numFmt w:val="bullet"/>
      <w:lvlText w:val=""/>
      <w:lvlJc w:val="left"/>
      <w:pPr>
        <w:ind w:left="6480" w:hanging="360"/>
      </w:pPr>
      <w:rPr>
        <w:rFonts w:ascii="Wingdings" w:hAnsi="Wingdings" w:hint="default"/>
      </w:rPr>
    </w:lvl>
  </w:abstractNum>
  <w:abstractNum w:abstractNumId="67"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3"/>
  </w:num>
  <w:num w:numId="2">
    <w:abstractNumId w:val="54"/>
  </w:num>
  <w:num w:numId="3">
    <w:abstractNumId w:val="35"/>
  </w:num>
  <w:num w:numId="4">
    <w:abstractNumId w:val="25"/>
  </w:num>
  <w:num w:numId="5">
    <w:abstractNumId w:val="16"/>
  </w:num>
  <w:num w:numId="6">
    <w:abstractNumId w:val="42"/>
  </w:num>
  <w:num w:numId="7">
    <w:abstractNumId w:val="14"/>
  </w:num>
  <w:num w:numId="8">
    <w:abstractNumId w:val="37"/>
  </w:num>
  <w:num w:numId="9">
    <w:abstractNumId w:val="29"/>
  </w:num>
  <w:num w:numId="10">
    <w:abstractNumId w:val="40"/>
  </w:num>
  <w:num w:numId="11">
    <w:abstractNumId w:val="43"/>
  </w:num>
  <w:num w:numId="12">
    <w:abstractNumId w:val="22"/>
  </w:num>
  <w:num w:numId="13">
    <w:abstractNumId w:val="59"/>
  </w:num>
  <w:num w:numId="14">
    <w:abstractNumId w:val="46"/>
  </w:num>
  <w:num w:numId="15">
    <w:abstractNumId w:val="28"/>
  </w:num>
  <w:num w:numId="16">
    <w:abstractNumId w:val="64"/>
  </w:num>
  <w:num w:numId="17">
    <w:abstractNumId w:val="3"/>
  </w:num>
  <w:num w:numId="18">
    <w:abstractNumId w:val="63"/>
  </w:num>
  <w:num w:numId="19">
    <w:abstractNumId w:val="11"/>
  </w:num>
  <w:num w:numId="20">
    <w:abstractNumId w:val="56"/>
  </w:num>
  <w:num w:numId="21">
    <w:abstractNumId w:val="49"/>
  </w:num>
  <w:num w:numId="22">
    <w:abstractNumId w:val="6"/>
  </w:num>
  <w:num w:numId="23">
    <w:abstractNumId w:val="67"/>
  </w:num>
  <w:num w:numId="24">
    <w:abstractNumId w:val="45"/>
  </w:num>
  <w:num w:numId="25">
    <w:abstractNumId w:val="13"/>
  </w:num>
  <w:num w:numId="26">
    <w:abstractNumId w:val="7"/>
  </w:num>
  <w:num w:numId="27">
    <w:abstractNumId w:val="48"/>
  </w:num>
  <w:num w:numId="28">
    <w:abstractNumId w:val="34"/>
  </w:num>
  <w:num w:numId="29">
    <w:abstractNumId w:val="33"/>
  </w:num>
  <w:num w:numId="30">
    <w:abstractNumId w:val="30"/>
  </w:num>
  <w:num w:numId="31">
    <w:abstractNumId w:val="2"/>
  </w:num>
  <w:num w:numId="32">
    <w:abstractNumId w:val="23"/>
  </w:num>
  <w:num w:numId="33">
    <w:abstractNumId w:val="51"/>
  </w:num>
  <w:num w:numId="34">
    <w:abstractNumId w:val="47"/>
  </w:num>
  <w:num w:numId="35">
    <w:abstractNumId w:val="32"/>
  </w:num>
  <w:num w:numId="36">
    <w:abstractNumId w:val="18"/>
  </w:num>
  <w:num w:numId="37">
    <w:abstractNumId w:val="55"/>
  </w:num>
  <w:num w:numId="38">
    <w:abstractNumId w:val="0"/>
  </w:num>
  <w:num w:numId="39">
    <w:abstractNumId w:val="17"/>
  </w:num>
  <w:num w:numId="40">
    <w:abstractNumId w:val="24"/>
  </w:num>
  <w:num w:numId="41">
    <w:abstractNumId w:val="26"/>
  </w:num>
  <w:num w:numId="42">
    <w:abstractNumId w:val="57"/>
  </w:num>
  <w:num w:numId="43">
    <w:abstractNumId w:val="62"/>
  </w:num>
  <w:num w:numId="44">
    <w:abstractNumId w:val="31"/>
  </w:num>
  <w:num w:numId="45">
    <w:abstractNumId w:val="5"/>
  </w:num>
  <w:num w:numId="46">
    <w:abstractNumId w:val="66"/>
  </w:num>
  <w:num w:numId="47">
    <w:abstractNumId w:val="19"/>
  </w:num>
  <w:num w:numId="48">
    <w:abstractNumId w:val="27"/>
  </w:num>
  <w:num w:numId="49">
    <w:abstractNumId w:val="12"/>
  </w:num>
  <w:num w:numId="50">
    <w:abstractNumId w:val="8"/>
  </w:num>
  <w:num w:numId="51">
    <w:abstractNumId w:val="38"/>
  </w:num>
  <w:num w:numId="52">
    <w:abstractNumId w:val="41"/>
  </w:num>
  <w:num w:numId="53">
    <w:abstractNumId w:val="21"/>
  </w:num>
  <w:num w:numId="54">
    <w:abstractNumId w:val="58"/>
  </w:num>
  <w:num w:numId="55">
    <w:abstractNumId w:val="20"/>
  </w:num>
  <w:num w:numId="56">
    <w:abstractNumId w:val="10"/>
  </w:num>
  <w:num w:numId="57">
    <w:abstractNumId w:val="65"/>
  </w:num>
  <w:num w:numId="58">
    <w:abstractNumId w:val="50"/>
  </w:num>
  <w:num w:numId="59">
    <w:abstractNumId w:val="52"/>
  </w:num>
  <w:num w:numId="60">
    <w:abstractNumId w:val="36"/>
  </w:num>
  <w:num w:numId="61">
    <w:abstractNumId w:val="60"/>
  </w:num>
  <w:num w:numId="62">
    <w:abstractNumId w:val="4"/>
  </w:num>
  <w:num w:numId="63">
    <w:abstractNumId w:val="9"/>
  </w:num>
  <w:num w:numId="64">
    <w:abstractNumId w:val="1"/>
  </w:num>
  <w:num w:numId="65">
    <w:abstractNumId w:val="15"/>
  </w:num>
  <w:num w:numId="66">
    <w:abstractNumId w:val="44"/>
  </w:num>
  <w:num w:numId="67">
    <w:abstractNumId w:val="61"/>
  </w:num>
  <w:num w:numId="68">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0D70"/>
    <w:rsid w:val="000014EF"/>
    <w:rsid w:val="00001721"/>
    <w:rsid w:val="00001796"/>
    <w:rsid w:val="00001F36"/>
    <w:rsid w:val="00002276"/>
    <w:rsid w:val="000022C1"/>
    <w:rsid w:val="00002438"/>
    <w:rsid w:val="00002E1D"/>
    <w:rsid w:val="0000352A"/>
    <w:rsid w:val="000041FD"/>
    <w:rsid w:val="000043AA"/>
    <w:rsid w:val="00004AA3"/>
    <w:rsid w:val="00005564"/>
    <w:rsid w:val="00005DA7"/>
    <w:rsid w:val="0000639B"/>
    <w:rsid w:val="000068B4"/>
    <w:rsid w:val="00006BD4"/>
    <w:rsid w:val="00006C45"/>
    <w:rsid w:val="000074D6"/>
    <w:rsid w:val="000078D6"/>
    <w:rsid w:val="00007D3C"/>
    <w:rsid w:val="00010256"/>
    <w:rsid w:val="000103AD"/>
    <w:rsid w:val="000103F6"/>
    <w:rsid w:val="0001086C"/>
    <w:rsid w:val="00010CF5"/>
    <w:rsid w:val="00010D26"/>
    <w:rsid w:val="0001101F"/>
    <w:rsid w:val="0001138D"/>
    <w:rsid w:val="00011523"/>
    <w:rsid w:val="0001196F"/>
    <w:rsid w:val="00011A91"/>
    <w:rsid w:val="00011B69"/>
    <w:rsid w:val="00011D8F"/>
    <w:rsid w:val="000128C4"/>
    <w:rsid w:val="000129F5"/>
    <w:rsid w:val="00013462"/>
    <w:rsid w:val="0001491E"/>
    <w:rsid w:val="00015183"/>
    <w:rsid w:val="000153A2"/>
    <w:rsid w:val="00015B1F"/>
    <w:rsid w:val="0001651F"/>
    <w:rsid w:val="00016C96"/>
    <w:rsid w:val="000173D2"/>
    <w:rsid w:val="0001762A"/>
    <w:rsid w:val="000179D3"/>
    <w:rsid w:val="00017D55"/>
    <w:rsid w:val="00017F90"/>
    <w:rsid w:val="0002071F"/>
    <w:rsid w:val="0002085D"/>
    <w:rsid w:val="00021241"/>
    <w:rsid w:val="00021279"/>
    <w:rsid w:val="000214C6"/>
    <w:rsid w:val="000214D9"/>
    <w:rsid w:val="00021615"/>
    <w:rsid w:val="00021F3B"/>
    <w:rsid w:val="000220C2"/>
    <w:rsid w:val="00023667"/>
    <w:rsid w:val="00024181"/>
    <w:rsid w:val="00024630"/>
    <w:rsid w:val="00024A6D"/>
    <w:rsid w:val="0002513C"/>
    <w:rsid w:val="0002524F"/>
    <w:rsid w:val="00025253"/>
    <w:rsid w:val="000253A7"/>
    <w:rsid w:val="00025584"/>
    <w:rsid w:val="0002632E"/>
    <w:rsid w:val="00026C03"/>
    <w:rsid w:val="0002726F"/>
    <w:rsid w:val="00027BC0"/>
    <w:rsid w:val="00027F88"/>
    <w:rsid w:val="0003029B"/>
    <w:rsid w:val="00030A19"/>
    <w:rsid w:val="00031039"/>
    <w:rsid w:val="00031887"/>
    <w:rsid w:val="000318BB"/>
    <w:rsid w:val="00031A24"/>
    <w:rsid w:val="000328C6"/>
    <w:rsid w:val="00033006"/>
    <w:rsid w:val="00033381"/>
    <w:rsid w:val="0003369E"/>
    <w:rsid w:val="000339B5"/>
    <w:rsid w:val="000344B0"/>
    <w:rsid w:val="000345FC"/>
    <w:rsid w:val="00034E6E"/>
    <w:rsid w:val="000358BF"/>
    <w:rsid w:val="00035917"/>
    <w:rsid w:val="00035F89"/>
    <w:rsid w:val="00036227"/>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33BB"/>
    <w:rsid w:val="00044014"/>
    <w:rsid w:val="00044668"/>
    <w:rsid w:val="00045494"/>
    <w:rsid w:val="000456FE"/>
    <w:rsid w:val="00047BA6"/>
    <w:rsid w:val="00050A0F"/>
    <w:rsid w:val="00051606"/>
    <w:rsid w:val="00051765"/>
    <w:rsid w:val="0005176C"/>
    <w:rsid w:val="00052343"/>
    <w:rsid w:val="00052A87"/>
    <w:rsid w:val="00052C00"/>
    <w:rsid w:val="0005360C"/>
    <w:rsid w:val="000536B1"/>
    <w:rsid w:val="00054008"/>
    <w:rsid w:val="00054875"/>
    <w:rsid w:val="0005488C"/>
    <w:rsid w:val="000554F4"/>
    <w:rsid w:val="00055CB4"/>
    <w:rsid w:val="000560C9"/>
    <w:rsid w:val="00056B85"/>
    <w:rsid w:val="00056CE9"/>
    <w:rsid w:val="00057011"/>
    <w:rsid w:val="0005767C"/>
    <w:rsid w:val="0006034D"/>
    <w:rsid w:val="0006056D"/>
    <w:rsid w:val="00060631"/>
    <w:rsid w:val="00060B60"/>
    <w:rsid w:val="00060BB4"/>
    <w:rsid w:val="00060D87"/>
    <w:rsid w:val="000610CC"/>
    <w:rsid w:val="00061BC7"/>
    <w:rsid w:val="00061E56"/>
    <w:rsid w:val="00061F20"/>
    <w:rsid w:val="00061F92"/>
    <w:rsid w:val="00063184"/>
    <w:rsid w:val="00063329"/>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4D"/>
    <w:rsid w:val="00071862"/>
    <w:rsid w:val="00071AC6"/>
    <w:rsid w:val="00071AC7"/>
    <w:rsid w:val="000720FB"/>
    <w:rsid w:val="00072B19"/>
    <w:rsid w:val="00072C0F"/>
    <w:rsid w:val="000732DF"/>
    <w:rsid w:val="000734AC"/>
    <w:rsid w:val="00073606"/>
    <w:rsid w:val="00073CD2"/>
    <w:rsid w:val="00073E59"/>
    <w:rsid w:val="00073EED"/>
    <w:rsid w:val="00074808"/>
    <w:rsid w:val="00074C6B"/>
    <w:rsid w:val="000750E7"/>
    <w:rsid w:val="00075342"/>
    <w:rsid w:val="000756E6"/>
    <w:rsid w:val="00076521"/>
    <w:rsid w:val="0007714C"/>
    <w:rsid w:val="00077A0D"/>
    <w:rsid w:val="000806E9"/>
    <w:rsid w:val="00080758"/>
    <w:rsid w:val="00080F67"/>
    <w:rsid w:val="000815FB"/>
    <w:rsid w:val="00081692"/>
    <w:rsid w:val="00081752"/>
    <w:rsid w:val="00081775"/>
    <w:rsid w:val="00081B61"/>
    <w:rsid w:val="000832B9"/>
    <w:rsid w:val="00083672"/>
    <w:rsid w:val="00083C6E"/>
    <w:rsid w:val="00083C7F"/>
    <w:rsid w:val="00083F7D"/>
    <w:rsid w:val="000847D6"/>
    <w:rsid w:val="00084C3E"/>
    <w:rsid w:val="000850DC"/>
    <w:rsid w:val="00085A9A"/>
    <w:rsid w:val="00085E5B"/>
    <w:rsid w:val="00085FFA"/>
    <w:rsid w:val="000864B2"/>
    <w:rsid w:val="00086F49"/>
    <w:rsid w:val="000878C5"/>
    <w:rsid w:val="00087AA8"/>
    <w:rsid w:val="00090EB1"/>
    <w:rsid w:val="00090EB4"/>
    <w:rsid w:val="0009140B"/>
    <w:rsid w:val="00091934"/>
    <w:rsid w:val="00091F52"/>
    <w:rsid w:val="000925E4"/>
    <w:rsid w:val="00093898"/>
    <w:rsid w:val="00094591"/>
    <w:rsid w:val="00094A13"/>
    <w:rsid w:val="00094D0C"/>
    <w:rsid w:val="00094D17"/>
    <w:rsid w:val="00095377"/>
    <w:rsid w:val="000958FF"/>
    <w:rsid w:val="000959CB"/>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A9F"/>
    <w:rsid w:val="000A1D6A"/>
    <w:rsid w:val="000A1E53"/>
    <w:rsid w:val="000A1E92"/>
    <w:rsid w:val="000A1EA1"/>
    <w:rsid w:val="000A1FF9"/>
    <w:rsid w:val="000A230B"/>
    <w:rsid w:val="000A290E"/>
    <w:rsid w:val="000A2E12"/>
    <w:rsid w:val="000A426F"/>
    <w:rsid w:val="000A4277"/>
    <w:rsid w:val="000A4349"/>
    <w:rsid w:val="000A466F"/>
    <w:rsid w:val="000A476E"/>
    <w:rsid w:val="000A5168"/>
    <w:rsid w:val="000A5782"/>
    <w:rsid w:val="000A584A"/>
    <w:rsid w:val="000A5971"/>
    <w:rsid w:val="000A6003"/>
    <w:rsid w:val="000A6236"/>
    <w:rsid w:val="000A671D"/>
    <w:rsid w:val="000A6953"/>
    <w:rsid w:val="000A712B"/>
    <w:rsid w:val="000A79D7"/>
    <w:rsid w:val="000A7C8B"/>
    <w:rsid w:val="000A7E4F"/>
    <w:rsid w:val="000B0E87"/>
    <w:rsid w:val="000B1974"/>
    <w:rsid w:val="000B1E31"/>
    <w:rsid w:val="000B2868"/>
    <w:rsid w:val="000B2C25"/>
    <w:rsid w:val="000B2E9F"/>
    <w:rsid w:val="000B2F43"/>
    <w:rsid w:val="000B2FE0"/>
    <w:rsid w:val="000B31E0"/>
    <w:rsid w:val="000B429C"/>
    <w:rsid w:val="000B4474"/>
    <w:rsid w:val="000B4527"/>
    <w:rsid w:val="000B4E6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CDA"/>
    <w:rsid w:val="000C1DE0"/>
    <w:rsid w:val="000C2291"/>
    <w:rsid w:val="000C25F6"/>
    <w:rsid w:val="000C2B55"/>
    <w:rsid w:val="000C2B87"/>
    <w:rsid w:val="000C2EA1"/>
    <w:rsid w:val="000C3851"/>
    <w:rsid w:val="000C4961"/>
    <w:rsid w:val="000C5077"/>
    <w:rsid w:val="000C54E0"/>
    <w:rsid w:val="000C5A57"/>
    <w:rsid w:val="000C6319"/>
    <w:rsid w:val="000C65FA"/>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7AA"/>
    <w:rsid w:val="000D5894"/>
    <w:rsid w:val="000D677D"/>
    <w:rsid w:val="000D6A74"/>
    <w:rsid w:val="000D6A98"/>
    <w:rsid w:val="000D6E5F"/>
    <w:rsid w:val="000D6EA5"/>
    <w:rsid w:val="000D710E"/>
    <w:rsid w:val="000D7221"/>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6BF4"/>
    <w:rsid w:val="000E750E"/>
    <w:rsid w:val="000E75B8"/>
    <w:rsid w:val="000E781D"/>
    <w:rsid w:val="000F0745"/>
    <w:rsid w:val="000F0C14"/>
    <w:rsid w:val="000F162F"/>
    <w:rsid w:val="000F169D"/>
    <w:rsid w:val="000F18B0"/>
    <w:rsid w:val="000F1979"/>
    <w:rsid w:val="000F1CA4"/>
    <w:rsid w:val="000F2181"/>
    <w:rsid w:val="000F249E"/>
    <w:rsid w:val="000F26E8"/>
    <w:rsid w:val="000F2AD4"/>
    <w:rsid w:val="000F2EED"/>
    <w:rsid w:val="000F3D52"/>
    <w:rsid w:val="000F3DD0"/>
    <w:rsid w:val="000F4033"/>
    <w:rsid w:val="000F4067"/>
    <w:rsid w:val="000F4415"/>
    <w:rsid w:val="000F4475"/>
    <w:rsid w:val="000F48D5"/>
    <w:rsid w:val="000F54F9"/>
    <w:rsid w:val="000F5833"/>
    <w:rsid w:val="000F62ED"/>
    <w:rsid w:val="000F644A"/>
    <w:rsid w:val="000F645A"/>
    <w:rsid w:val="000F6B1E"/>
    <w:rsid w:val="000F6D48"/>
    <w:rsid w:val="001001AE"/>
    <w:rsid w:val="00101498"/>
    <w:rsid w:val="00101F7F"/>
    <w:rsid w:val="0010225A"/>
    <w:rsid w:val="0010239D"/>
    <w:rsid w:val="001023A2"/>
    <w:rsid w:val="00102950"/>
    <w:rsid w:val="001032C7"/>
    <w:rsid w:val="001038D1"/>
    <w:rsid w:val="00103A85"/>
    <w:rsid w:val="00103AFE"/>
    <w:rsid w:val="001040B5"/>
    <w:rsid w:val="001047EA"/>
    <w:rsid w:val="001049B6"/>
    <w:rsid w:val="00104EB6"/>
    <w:rsid w:val="00105AB8"/>
    <w:rsid w:val="001060FF"/>
    <w:rsid w:val="001069D1"/>
    <w:rsid w:val="00106A91"/>
    <w:rsid w:val="00106B57"/>
    <w:rsid w:val="001073A3"/>
    <w:rsid w:val="0010777A"/>
    <w:rsid w:val="001078C4"/>
    <w:rsid w:val="00107ED0"/>
    <w:rsid w:val="00110256"/>
    <w:rsid w:val="001102CA"/>
    <w:rsid w:val="00110478"/>
    <w:rsid w:val="00110520"/>
    <w:rsid w:val="001106C1"/>
    <w:rsid w:val="001107DA"/>
    <w:rsid w:val="00110808"/>
    <w:rsid w:val="00110DCB"/>
    <w:rsid w:val="00110E67"/>
    <w:rsid w:val="00111103"/>
    <w:rsid w:val="001116C1"/>
    <w:rsid w:val="0011191F"/>
    <w:rsid w:val="00111A38"/>
    <w:rsid w:val="00111CB3"/>
    <w:rsid w:val="001125FF"/>
    <w:rsid w:val="001128EA"/>
    <w:rsid w:val="00112DD5"/>
    <w:rsid w:val="001130E7"/>
    <w:rsid w:val="001131E5"/>
    <w:rsid w:val="001133EC"/>
    <w:rsid w:val="00113B6D"/>
    <w:rsid w:val="001140D3"/>
    <w:rsid w:val="0011455E"/>
    <w:rsid w:val="001145E2"/>
    <w:rsid w:val="0011465F"/>
    <w:rsid w:val="00114691"/>
    <w:rsid w:val="0011474A"/>
    <w:rsid w:val="001147B5"/>
    <w:rsid w:val="001149E3"/>
    <w:rsid w:val="00114AB6"/>
    <w:rsid w:val="00114BD5"/>
    <w:rsid w:val="001156DF"/>
    <w:rsid w:val="00115CB7"/>
    <w:rsid w:val="00115CDD"/>
    <w:rsid w:val="001160E1"/>
    <w:rsid w:val="001163A2"/>
    <w:rsid w:val="001163F9"/>
    <w:rsid w:val="00116409"/>
    <w:rsid w:val="00116918"/>
    <w:rsid w:val="0011697E"/>
    <w:rsid w:val="00116996"/>
    <w:rsid w:val="00116D16"/>
    <w:rsid w:val="00117016"/>
    <w:rsid w:val="001172DE"/>
    <w:rsid w:val="00117C8B"/>
    <w:rsid w:val="0012013E"/>
    <w:rsid w:val="00120595"/>
    <w:rsid w:val="00120A4E"/>
    <w:rsid w:val="00121725"/>
    <w:rsid w:val="00121F5D"/>
    <w:rsid w:val="00122352"/>
    <w:rsid w:val="001225A2"/>
    <w:rsid w:val="001237A7"/>
    <w:rsid w:val="00123D75"/>
    <w:rsid w:val="00123E41"/>
    <w:rsid w:val="00123EAF"/>
    <w:rsid w:val="00124105"/>
    <w:rsid w:val="001241F8"/>
    <w:rsid w:val="00124818"/>
    <w:rsid w:val="0012495B"/>
    <w:rsid w:val="00125395"/>
    <w:rsid w:val="0012542D"/>
    <w:rsid w:val="001254A3"/>
    <w:rsid w:val="001256CA"/>
    <w:rsid w:val="00125925"/>
    <w:rsid w:val="00125CF2"/>
    <w:rsid w:val="00125D9F"/>
    <w:rsid w:val="00126D1E"/>
    <w:rsid w:val="00127784"/>
    <w:rsid w:val="00127EC4"/>
    <w:rsid w:val="00130313"/>
    <w:rsid w:val="0013040A"/>
    <w:rsid w:val="00130BB8"/>
    <w:rsid w:val="00130C5D"/>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4B56"/>
    <w:rsid w:val="00135C94"/>
    <w:rsid w:val="00136555"/>
    <w:rsid w:val="001368BF"/>
    <w:rsid w:val="00136F08"/>
    <w:rsid w:val="001372E4"/>
    <w:rsid w:val="001373F7"/>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424"/>
    <w:rsid w:val="00142B2D"/>
    <w:rsid w:val="00142D8C"/>
    <w:rsid w:val="001434F2"/>
    <w:rsid w:val="00143911"/>
    <w:rsid w:val="001439EF"/>
    <w:rsid w:val="00144085"/>
    <w:rsid w:val="00144415"/>
    <w:rsid w:val="00145367"/>
    <w:rsid w:val="00146B64"/>
    <w:rsid w:val="0014756A"/>
    <w:rsid w:val="00147707"/>
    <w:rsid w:val="001477C5"/>
    <w:rsid w:val="00147B7A"/>
    <w:rsid w:val="00147D25"/>
    <w:rsid w:val="00150420"/>
    <w:rsid w:val="00150896"/>
    <w:rsid w:val="001510E1"/>
    <w:rsid w:val="00151230"/>
    <w:rsid w:val="001516DF"/>
    <w:rsid w:val="0015173A"/>
    <w:rsid w:val="0015181A"/>
    <w:rsid w:val="001518F8"/>
    <w:rsid w:val="00152238"/>
    <w:rsid w:val="0015268E"/>
    <w:rsid w:val="001526BF"/>
    <w:rsid w:val="00153387"/>
    <w:rsid w:val="00153628"/>
    <w:rsid w:val="001536AA"/>
    <w:rsid w:val="001536CD"/>
    <w:rsid w:val="001544AA"/>
    <w:rsid w:val="00154551"/>
    <w:rsid w:val="00154B02"/>
    <w:rsid w:val="00154F14"/>
    <w:rsid w:val="00155477"/>
    <w:rsid w:val="00155575"/>
    <w:rsid w:val="001563DB"/>
    <w:rsid w:val="001564E7"/>
    <w:rsid w:val="001567B6"/>
    <w:rsid w:val="00156C0E"/>
    <w:rsid w:val="00156C41"/>
    <w:rsid w:val="001574EE"/>
    <w:rsid w:val="00157CBE"/>
    <w:rsid w:val="00157F34"/>
    <w:rsid w:val="00160D74"/>
    <w:rsid w:val="00160EFE"/>
    <w:rsid w:val="00161418"/>
    <w:rsid w:val="00162255"/>
    <w:rsid w:val="00162354"/>
    <w:rsid w:val="00162F23"/>
    <w:rsid w:val="00163089"/>
    <w:rsid w:val="00163274"/>
    <w:rsid w:val="001638DF"/>
    <w:rsid w:val="00163F4A"/>
    <w:rsid w:val="00164547"/>
    <w:rsid w:val="0016559D"/>
    <w:rsid w:val="001656CB"/>
    <w:rsid w:val="001659F7"/>
    <w:rsid w:val="00165CD9"/>
    <w:rsid w:val="00165D0D"/>
    <w:rsid w:val="001660E5"/>
    <w:rsid w:val="00166142"/>
    <w:rsid w:val="001664CE"/>
    <w:rsid w:val="00166621"/>
    <w:rsid w:val="001667C3"/>
    <w:rsid w:val="001668CD"/>
    <w:rsid w:val="00166CB0"/>
    <w:rsid w:val="00167015"/>
    <w:rsid w:val="00167798"/>
    <w:rsid w:val="00169F88"/>
    <w:rsid w:val="001701BA"/>
    <w:rsid w:val="001709D6"/>
    <w:rsid w:val="00170F0C"/>
    <w:rsid w:val="001714CD"/>
    <w:rsid w:val="00171549"/>
    <w:rsid w:val="001718F7"/>
    <w:rsid w:val="0017190C"/>
    <w:rsid w:val="00171C48"/>
    <w:rsid w:val="00171D45"/>
    <w:rsid w:val="00171D5B"/>
    <w:rsid w:val="00171F36"/>
    <w:rsid w:val="00171FBE"/>
    <w:rsid w:val="00172C4B"/>
    <w:rsid w:val="00173055"/>
    <w:rsid w:val="001734AF"/>
    <w:rsid w:val="001734E9"/>
    <w:rsid w:val="00173D1A"/>
    <w:rsid w:val="00173EB5"/>
    <w:rsid w:val="001740FA"/>
    <w:rsid w:val="001744E4"/>
    <w:rsid w:val="00174553"/>
    <w:rsid w:val="00175297"/>
    <w:rsid w:val="0017540B"/>
    <w:rsid w:val="00175450"/>
    <w:rsid w:val="0017568B"/>
    <w:rsid w:val="001756CF"/>
    <w:rsid w:val="00175C71"/>
    <w:rsid w:val="00175F7A"/>
    <w:rsid w:val="0017615D"/>
    <w:rsid w:val="001762B3"/>
    <w:rsid w:val="00176327"/>
    <w:rsid w:val="001766DC"/>
    <w:rsid w:val="001767C5"/>
    <w:rsid w:val="00176AB9"/>
    <w:rsid w:val="00176CCE"/>
    <w:rsid w:val="00176E49"/>
    <w:rsid w:val="0017751A"/>
    <w:rsid w:val="00177727"/>
    <w:rsid w:val="00177B97"/>
    <w:rsid w:val="001808B0"/>
    <w:rsid w:val="00181254"/>
    <w:rsid w:val="0018129B"/>
    <w:rsid w:val="001816D8"/>
    <w:rsid w:val="00181901"/>
    <w:rsid w:val="00181C0D"/>
    <w:rsid w:val="00182224"/>
    <w:rsid w:val="001824F4"/>
    <w:rsid w:val="00182630"/>
    <w:rsid w:val="001826B1"/>
    <w:rsid w:val="00182719"/>
    <w:rsid w:val="00182B1E"/>
    <w:rsid w:val="00182CD7"/>
    <w:rsid w:val="0018307E"/>
    <w:rsid w:val="00183710"/>
    <w:rsid w:val="00183D3F"/>
    <w:rsid w:val="0018493F"/>
    <w:rsid w:val="00184C8A"/>
    <w:rsid w:val="00185347"/>
    <w:rsid w:val="001855DD"/>
    <w:rsid w:val="00185971"/>
    <w:rsid w:val="0018657B"/>
    <w:rsid w:val="0018677C"/>
    <w:rsid w:val="001869A3"/>
    <w:rsid w:val="00186A59"/>
    <w:rsid w:val="00186C6C"/>
    <w:rsid w:val="00186D87"/>
    <w:rsid w:val="00186E58"/>
    <w:rsid w:val="001875E8"/>
    <w:rsid w:val="00187DD4"/>
    <w:rsid w:val="00187DDF"/>
    <w:rsid w:val="001906A9"/>
    <w:rsid w:val="00190B8E"/>
    <w:rsid w:val="00190F1D"/>
    <w:rsid w:val="001919CF"/>
    <w:rsid w:val="00191A78"/>
    <w:rsid w:val="001920AB"/>
    <w:rsid w:val="00192991"/>
    <w:rsid w:val="00192B18"/>
    <w:rsid w:val="00193258"/>
    <w:rsid w:val="001932BA"/>
    <w:rsid w:val="001933FC"/>
    <w:rsid w:val="0019345A"/>
    <w:rsid w:val="001934FF"/>
    <w:rsid w:val="00193DD9"/>
    <w:rsid w:val="00193ED8"/>
    <w:rsid w:val="001943CC"/>
    <w:rsid w:val="0019493A"/>
    <w:rsid w:val="00194A79"/>
    <w:rsid w:val="00194C2E"/>
    <w:rsid w:val="00194D73"/>
    <w:rsid w:val="00195398"/>
    <w:rsid w:val="0019542F"/>
    <w:rsid w:val="00195B3F"/>
    <w:rsid w:val="00195FC4"/>
    <w:rsid w:val="001965C5"/>
    <w:rsid w:val="001968F0"/>
    <w:rsid w:val="001969C7"/>
    <w:rsid w:val="001979FF"/>
    <w:rsid w:val="00197A23"/>
    <w:rsid w:val="00197C7B"/>
    <w:rsid w:val="001A075D"/>
    <w:rsid w:val="001A0B36"/>
    <w:rsid w:val="001A1CCE"/>
    <w:rsid w:val="001A1D47"/>
    <w:rsid w:val="001A21FA"/>
    <w:rsid w:val="001A245F"/>
    <w:rsid w:val="001A254F"/>
    <w:rsid w:val="001A2970"/>
    <w:rsid w:val="001A2BA7"/>
    <w:rsid w:val="001A2DB0"/>
    <w:rsid w:val="001A32CA"/>
    <w:rsid w:val="001A35B5"/>
    <w:rsid w:val="001A3D4F"/>
    <w:rsid w:val="001A3D5C"/>
    <w:rsid w:val="001A3EBB"/>
    <w:rsid w:val="001A41C6"/>
    <w:rsid w:val="001A5273"/>
    <w:rsid w:val="001A563D"/>
    <w:rsid w:val="001A5DAE"/>
    <w:rsid w:val="001A62C0"/>
    <w:rsid w:val="001A65EE"/>
    <w:rsid w:val="001A67B9"/>
    <w:rsid w:val="001A681E"/>
    <w:rsid w:val="001A721D"/>
    <w:rsid w:val="001A7244"/>
    <w:rsid w:val="001A7E4E"/>
    <w:rsid w:val="001A7F8F"/>
    <w:rsid w:val="001A7F98"/>
    <w:rsid w:val="001B01A2"/>
    <w:rsid w:val="001B026B"/>
    <w:rsid w:val="001B0651"/>
    <w:rsid w:val="001B0980"/>
    <w:rsid w:val="001B16E5"/>
    <w:rsid w:val="001B1817"/>
    <w:rsid w:val="001B203F"/>
    <w:rsid w:val="001B2315"/>
    <w:rsid w:val="001B26CA"/>
    <w:rsid w:val="001B292C"/>
    <w:rsid w:val="001B2A0B"/>
    <w:rsid w:val="001B2E5C"/>
    <w:rsid w:val="001B2E62"/>
    <w:rsid w:val="001B330D"/>
    <w:rsid w:val="001B363E"/>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2D"/>
    <w:rsid w:val="001C48F2"/>
    <w:rsid w:val="001C4A00"/>
    <w:rsid w:val="001C50F0"/>
    <w:rsid w:val="001C5269"/>
    <w:rsid w:val="001C6267"/>
    <w:rsid w:val="001C6691"/>
    <w:rsid w:val="001C672D"/>
    <w:rsid w:val="001C6A3C"/>
    <w:rsid w:val="001C6EBF"/>
    <w:rsid w:val="001C6EFB"/>
    <w:rsid w:val="001C719C"/>
    <w:rsid w:val="001C765F"/>
    <w:rsid w:val="001C77BD"/>
    <w:rsid w:val="001C77FD"/>
    <w:rsid w:val="001C7C6F"/>
    <w:rsid w:val="001D0368"/>
    <w:rsid w:val="001D050B"/>
    <w:rsid w:val="001D098F"/>
    <w:rsid w:val="001D159C"/>
    <w:rsid w:val="001D160A"/>
    <w:rsid w:val="001D1694"/>
    <w:rsid w:val="001D19F8"/>
    <w:rsid w:val="001D2032"/>
    <w:rsid w:val="001D2402"/>
    <w:rsid w:val="001D2497"/>
    <w:rsid w:val="001D24A8"/>
    <w:rsid w:val="001D2FF3"/>
    <w:rsid w:val="001D33B7"/>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AD"/>
    <w:rsid w:val="001E01D1"/>
    <w:rsid w:val="001E0435"/>
    <w:rsid w:val="001E073B"/>
    <w:rsid w:val="001E07B5"/>
    <w:rsid w:val="001E09E9"/>
    <w:rsid w:val="001E0ADE"/>
    <w:rsid w:val="001E144A"/>
    <w:rsid w:val="001E1B7F"/>
    <w:rsid w:val="001E1CA3"/>
    <w:rsid w:val="001E1DF9"/>
    <w:rsid w:val="001E225C"/>
    <w:rsid w:val="001E2283"/>
    <w:rsid w:val="001E2BF8"/>
    <w:rsid w:val="001E2E47"/>
    <w:rsid w:val="001E2F25"/>
    <w:rsid w:val="001E3046"/>
    <w:rsid w:val="001E3B3A"/>
    <w:rsid w:val="001E41F7"/>
    <w:rsid w:val="001E472F"/>
    <w:rsid w:val="001E4931"/>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709"/>
    <w:rsid w:val="001F6BA3"/>
    <w:rsid w:val="001F6BA4"/>
    <w:rsid w:val="001F6DC3"/>
    <w:rsid w:val="001F7699"/>
    <w:rsid w:val="001F7904"/>
    <w:rsid w:val="001F7F9A"/>
    <w:rsid w:val="00200490"/>
    <w:rsid w:val="00200653"/>
    <w:rsid w:val="002007AF"/>
    <w:rsid w:val="002008C2"/>
    <w:rsid w:val="00200D7E"/>
    <w:rsid w:val="00201415"/>
    <w:rsid w:val="00201868"/>
    <w:rsid w:val="002018FC"/>
    <w:rsid w:val="00201DCC"/>
    <w:rsid w:val="0020277F"/>
    <w:rsid w:val="002028B6"/>
    <w:rsid w:val="00202C4B"/>
    <w:rsid w:val="00203077"/>
    <w:rsid w:val="0020313D"/>
    <w:rsid w:val="0020334E"/>
    <w:rsid w:val="00203493"/>
    <w:rsid w:val="00203D4C"/>
    <w:rsid w:val="00204242"/>
    <w:rsid w:val="00204539"/>
    <w:rsid w:val="00204743"/>
    <w:rsid w:val="00204AE6"/>
    <w:rsid w:val="00204B7F"/>
    <w:rsid w:val="00205389"/>
    <w:rsid w:val="00205C7A"/>
    <w:rsid w:val="00205CD4"/>
    <w:rsid w:val="0020625F"/>
    <w:rsid w:val="002067E5"/>
    <w:rsid w:val="00206B87"/>
    <w:rsid w:val="002070E8"/>
    <w:rsid w:val="00207274"/>
    <w:rsid w:val="0020788D"/>
    <w:rsid w:val="002100E1"/>
    <w:rsid w:val="0021078C"/>
    <w:rsid w:val="00211735"/>
    <w:rsid w:val="002118BC"/>
    <w:rsid w:val="002129CC"/>
    <w:rsid w:val="00212F0F"/>
    <w:rsid w:val="0021316F"/>
    <w:rsid w:val="002133F9"/>
    <w:rsid w:val="0021359D"/>
    <w:rsid w:val="002139B6"/>
    <w:rsid w:val="00213ABB"/>
    <w:rsid w:val="00213DB4"/>
    <w:rsid w:val="00214306"/>
    <w:rsid w:val="002153FA"/>
    <w:rsid w:val="002155A5"/>
    <w:rsid w:val="0021609F"/>
    <w:rsid w:val="00216175"/>
    <w:rsid w:val="002161AD"/>
    <w:rsid w:val="00216A43"/>
    <w:rsid w:val="002173C4"/>
    <w:rsid w:val="0021779A"/>
    <w:rsid w:val="0022070F"/>
    <w:rsid w:val="002207F9"/>
    <w:rsid w:val="0022084B"/>
    <w:rsid w:val="00221F5F"/>
    <w:rsid w:val="0022267E"/>
    <w:rsid w:val="00222ECF"/>
    <w:rsid w:val="00222F96"/>
    <w:rsid w:val="00223195"/>
    <w:rsid w:val="00223423"/>
    <w:rsid w:val="002235D3"/>
    <w:rsid w:val="00223E84"/>
    <w:rsid w:val="00223E9F"/>
    <w:rsid w:val="00224018"/>
    <w:rsid w:val="0022405C"/>
    <w:rsid w:val="002243DE"/>
    <w:rsid w:val="00225054"/>
    <w:rsid w:val="002254D1"/>
    <w:rsid w:val="00225B51"/>
    <w:rsid w:val="00225DC9"/>
    <w:rsid w:val="00225E77"/>
    <w:rsid w:val="00225EF0"/>
    <w:rsid w:val="002260E9"/>
    <w:rsid w:val="002264F1"/>
    <w:rsid w:val="00226B34"/>
    <w:rsid w:val="002271EB"/>
    <w:rsid w:val="002274BE"/>
    <w:rsid w:val="00227834"/>
    <w:rsid w:val="00227F0B"/>
    <w:rsid w:val="002300BE"/>
    <w:rsid w:val="00230381"/>
    <w:rsid w:val="00230680"/>
    <w:rsid w:val="00230AE3"/>
    <w:rsid w:val="002322C7"/>
    <w:rsid w:val="0023297A"/>
    <w:rsid w:val="00232B30"/>
    <w:rsid w:val="00232EDB"/>
    <w:rsid w:val="00233274"/>
    <w:rsid w:val="002333B5"/>
    <w:rsid w:val="00233EA2"/>
    <w:rsid w:val="00234471"/>
    <w:rsid w:val="002345F2"/>
    <w:rsid w:val="00234D4C"/>
    <w:rsid w:val="00234D7D"/>
    <w:rsid w:val="00234DE6"/>
    <w:rsid w:val="00234E50"/>
    <w:rsid w:val="0023517D"/>
    <w:rsid w:val="00235206"/>
    <w:rsid w:val="00235406"/>
    <w:rsid w:val="00235983"/>
    <w:rsid w:val="00235C79"/>
    <w:rsid w:val="002362F6"/>
    <w:rsid w:val="002363E9"/>
    <w:rsid w:val="00236482"/>
    <w:rsid w:val="00236C9F"/>
    <w:rsid w:val="00236CE5"/>
    <w:rsid w:val="002370A4"/>
    <w:rsid w:val="002371AF"/>
    <w:rsid w:val="00237587"/>
    <w:rsid w:val="002376F6"/>
    <w:rsid w:val="0023786F"/>
    <w:rsid w:val="00237898"/>
    <w:rsid w:val="00237F1C"/>
    <w:rsid w:val="0024053A"/>
    <w:rsid w:val="00241327"/>
    <w:rsid w:val="002414A5"/>
    <w:rsid w:val="00241864"/>
    <w:rsid w:val="00241A87"/>
    <w:rsid w:val="00241FB6"/>
    <w:rsid w:val="00242E88"/>
    <w:rsid w:val="002430E4"/>
    <w:rsid w:val="0024347F"/>
    <w:rsid w:val="002436F2"/>
    <w:rsid w:val="00243797"/>
    <w:rsid w:val="00243901"/>
    <w:rsid w:val="00243C0C"/>
    <w:rsid w:val="00243EAF"/>
    <w:rsid w:val="002449F8"/>
    <w:rsid w:val="00244FB2"/>
    <w:rsid w:val="002451A2"/>
    <w:rsid w:val="0024577A"/>
    <w:rsid w:val="00246189"/>
    <w:rsid w:val="00246892"/>
    <w:rsid w:val="00246E01"/>
    <w:rsid w:val="00246F87"/>
    <w:rsid w:val="00246FC7"/>
    <w:rsid w:val="002472BD"/>
    <w:rsid w:val="00247704"/>
    <w:rsid w:val="002502F5"/>
    <w:rsid w:val="002505ED"/>
    <w:rsid w:val="00250648"/>
    <w:rsid w:val="0025100B"/>
    <w:rsid w:val="00251EA7"/>
    <w:rsid w:val="00252CC2"/>
    <w:rsid w:val="00253287"/>
    <w:rsid w:val="00253347"/>
    <w:rsid w:val="00253C41"/>
    <w:rsid w:val="00253F0C"/>
    <w:rsid w:val="0025405C"/>
    <w:rsid w:val="0025455C"/>
    <w:rsid w:val="00254662"/>
    <w:rsid w:val="0025470D"/>
    <w:rsid w:val="002547AF"/>
    <w:rsid w:val="00254C27"/>
    <w:rsid w:val="00254CCA"/>
    <w:rsid w:val="00254EC2"/>
    <w:rsid w:val="00255638"/>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3D2"/>
    <w:rsid w:val="0026787C"/>
    <w:rsid w:val="0027010D"/>
    <w:rsid w:val="0027088F"/>
    <w:rsid w:val="00270CB9"/>
    <w:rsid w:val="00270E43"/>
    <w:rsid w:val="00271BE3"/>
    <w:rsid w:val="002723C2"/>
    <w:rsid w:val="0027297A"/>
    <w:rsid w:val="00272B31"/>
    <w:rsid w:val="00273049"/>
    <w:rsid w:val="002730B7"/>
    <w:rsid w:val="002731FC"/>
    <w:rsid w:val="002732AE"/>
    <w:rsid w:val="0027334C"/>
    <w:rsid w:val="002733AC"/>
    <w:rsid w:val="00273525"/>
    <w:rsid w:val="00273625"/>
    <w:rsid w:val="0027363B"/>
    <w:rsid w:val="0027377B"/>
    <w:rsid w:val="00273942"/>
    <w:rsid w:val="00273978"/>
    <w:rsid w:val="002747D6"/>
    <w:rsid w:val="0027496D"/>
    <w:rsid w:val="00274AFB"/>
    <w:rsid w:val="00274EC2"/>
    <w:rsid w:val="0027513D"/>
    <w:rsid w:val="0027559F"/>
    <w:rsid w:val="00275656"/>
    <w:rsid w:val="002758D1"/>
    <w:rsid w:val="00275CC0"/>
    <w:rsid w:val="00276016"/>
    <w:rsid w:val="0027628E"/>
    <w:rsid w:val="002764FA"/>
    <w:rsid w:val="002766B3"/>
    <w:rsid w:val="0027671A"/>
    <w:rsid w:val="00276AF3"/>
    <w:rsid w:val="00276DE6"/>
    <w:rsid w:val="00277840"/>
    <w:rsid w:val="00277AA5"/>
    <w:rsid w:val="00277BD6"/>
    <w:rsid w:val="00277DD6"/>
    <w:rsid w:val="00277E4A"/>
    <w:rsid w:val="00277F73"/>
    <w:rsid w:val="00280565"/>
    <w:rsid w:val="002806A6"/>
    <w:rsid w:val="00280BE6"/>
    <w:rsid w:val="00281571"/>
    <w:rsid w:val="002816B8"/>
    <w:rsid w:val="00281B92"/>
    <w:rsid w:val="00281CF0"/>
    <w:rsid w:val="002830D5"/>
    <w:rsid w:val="00283290"/>
    <w:rsid w:val="0028347A"/>
    <w:rsid w:val="002845FE"/>
    <w:rsid w:val="002849F7"/>
    <w:rsid w:val="00284E55"/>
    <w:rsid w:val="00284F83"/>
    <w:rsid w:val="00285A14"/>
    <w:rsid w:val="00285CE7"/>
    <w:rsid w:val="00286C0B"/>
    <w:rsid w:val="0028729F"/>
    <w:rsid w:val="00287938"/>
    <w:rsid w:val="00287A1D"/>
    <w:rsid w:val="00287F04"/>
    <w:rsid w:val="00287FE1"/>
    <w:rsid w:val="0029020E"/>
    <w:rsid w:val="00290943"/>
    <w:rsid w:val="00290C4B"/>
    <w:rsid w:val="00291ACC"/>
    <w:rsid w:val="00291C97"/>
    <w:rsid w:val="002925AA"/>
    <w:rsid w:val="00292828"/>
    <w:rsid w:val="0029286B"/>
    <w:rsid w:val="002928EC"/>
    <w:rsid w:val="002928F9"/>
    <w:rsid w:val="00292DBF"/>
    <w:rsid w:val="002934F1"/>
    <w:rsid w:val="002938D8"/>
    <w:rsid w:val="00293EBF"/>
    <w:rsid w:val="00294D27"/>
    <w:rsid w:val="002956ED"/>
    <w:rsid w:val="00295A9C"/>
    <w:rsid w:val="00295CDB"/>
    <w:rsid w:val="00296058"/>
    <w:rsid w:val="00296865"/>
    <w:rsid w:val="00296A11"/>
    <w:rsid w:val="00296BCB"/>
    <w:rsid w:val="00296C51"/>
    <w:rsid w:val="0029726D"/>
    <w:rsid w:val="00297945"/>
    <w:rsid w:val="002A03D5"/>
    <w:rsid w:val="002A0D3F"/>
    <w:rsid w:val="002A1320"/>
    <w:rsid w:val="002A133B"/>
    <w:rsid w:val="002A1487"/>
    <w:rsid w:val="002A1F8C"/>
    <w:rsid w:val="002A2468"/>
    <w:rsid w:val="002A286D"/>
    <w:rsid w:val="002A2EE2"/>
    <w:rsid w:val="002A338A"/>
    <w:rsid w:val="002A37A2"/>
    <w:rsid w:val="002A387F"/>
    <w:rsid w:val="002A389A"/>
    <w:rsid w:val="002A3BF4"/>
    <w:rsid w:val="002A518B"/>
    <w:rsid w:val="002A5770"/>
    <w:rsid w:val="002A57B6"/>
    <w:rsid w:val="002A5A50"/>
    <w:rsid w:val="002A5A63"/>
    <w:rsid w:val="002A5AF7"/>
    <w:rsid w:val="002A6421"/>
    <w:rsid w:val="002A6C03"/>
    <w:rsid w:val="002A70C0"/>
    <w:rsid w:val="002A752A"/>
    <w:rsid w:val="002A7CD2"/>
    <w:rsid w:val="002B0E8A"/>
    <w:rsid w:val="002B0EEE"/>
    <w:rsid w:val="002B1150"/>
    <w:rsid w:val="002B18CE"/>
    <w:rsid w:val="002B1919"/>
    <w:rsid w:val="002B1D48"/>
    <w:rsid w:val="002B1FA3"/>
    <w:rsid w:val="002B2F82"/>
    <w:rsid w:val="002B3001"/>
    <w:rsid w:val="002B38F6"/>
    <w:rsid w:val="002B404D"/>
    <w:rsid w:val="002B411D"/>
    <w:rsid w:val="002B460F"/>
    <w:rsid w:val="002B4714"/>
    <w:rsid w:val="002B482D"/>
    <w:rsid w:val="002B4D44"/>
    <w:rsid w:val="002B4DD4"/>
    <w:rsid w:val="002B4DDE"/>
    <w:rsid w:val="002B51B6"/>
    <w:rsid w:val="002B5E2B"/>
    <w:rsid w:val="002B63F5"/>
    <w:rsid w:val="002B6757"/>
    <w:rsid w:val="002B6FF7"/>
    <w:rsid w:val="002B7088"/>
    <w:rsid w:val="002B7103"/>
    <w:rsid w:val="002B77D5"/>
    <w:rsid w:val="002B7917"/>
    <w:rsid w:val="002C0023"/>
    <w:rsid w:val="002C0ABD"/>
    <w:rsid w:val="002C0B2E"/>
    <w:rsid w:val="002C206C"/>
    <w:rsid w:val="002C24DF"/>
    <w:rsid w:val="002C2D8F"/>
    <w:rsid w:val="002C31AA"/>
    <w:rsid w:val="002C43FE"/>
    <w:rsid w:val="002C5180"/>
    <w:rsid w:val="002C5196"/>
    <w:rsid w:val="002C52AE"/>
    <w:rsid w:val="002C5B80"/>
    <w:rsid w:val="002C5E3A"/>
    <w:rsid w:val="002C5EA3"/>
    <w:rsid w:val="002C6588"/>
    <w:rsid w:val="002C6DE0"/>
    <w:rsid w:val="002C6F20"/>
    <w:rsid w:val="002C7506"/>
    <w:rsid w:val="002C7909"/>
    <w:rsid w:val="002C7DDA"/>
    <w:rsid w:val="002D03F5"/>
    <w:rsid w:val="002D0927"/>
    <w:rsid w:val="002D252C"/>
    <w:rsid w:val="002D25E3"/>
    <w:rsid w:val="002D3295"/>
    <w:rsid w:val="002D3333"/>
    <w:rsid w:val="002D400C"/>
    <w:rsid w:val="002D43A8"/>
    <w:rsid w:val="002D4405"/>
    <w:rsid w:val="002D5107"/>
    <w:rsid w:val="002D51E7"/>
    <w:rsid w:val="002D53B6"/>
    <w:rsid w:val="002D5940"/>
    <w:rsid w:val="002D5F7C"/>
    <w:rsid w:val="002D6017"/>
    <w:rsid w:val="002D621A"/>
    <w:rsid w:val="002D632C"/>
    <w:rsid w:val="002D64FD"/>
    <w:rsid w:val="002D6696"/>
    <w:rsid w:val="002D6AC5"/>
    <w:rsid w:val="002D6C47"/>
    <w:rsid w:val="002D6D2D"/>
    <w:rsid w:val="002D6D3F"/>
    <w:rsid w:val="002D6F1A"/>
    <w:rsid w:val="002D7256"/>
    <w:rsid w:val="002D7B62"/>
    <w:rsid w:val="002E064F"/>
    <w:rsid w:val="002E0ECD"/>
    <w:rsid w:val="002E17C0"/>
    <w:rsid w:val="002E1C2D"/>
    <w:rsid w:val="002E1EB3"/>
    <w:rsid w:val="002E26F5"/>
    <w:rsid w:val="002E29EE"/>
    <w:rsid w:val="002E2C17"/>
    <w:rsid w:val="002E3DC4"/>
    <w:rsid w:val="002E543D"/>
    <w:rsid w:val="002E552E"/>
    <w:rsid w:val="002E5673"/>
    <w:rsid w:val="002E56BF"/>
    <w:rsid w:val="002E5CCF"/>
    <w:rsid w:val="002E6451"/>
    <w:rsid w:val="002E657C"/>
    <w:rsid w:val="002E6B97"/>
    <w:rsid w:val="002E6CB3"/>
    <w:rsid w:val="002E6D5D"/>
    <w:rsid w:val="002E6FAE"/>
    <w:rsid w:val="002E7ADC"/>
    <w:rsid w:val="002F0536"/>
    <w:rsid w:val="002F067D"/>
    <w:rsid w:val="002F09A7"/>
    <w:rsid w:val="002F0C76"/>
    <w:rsid w:val="002F0D59"/>
    <w:rsid w:val="002F0D7B"/>
    <w:rsid w:val="002F100D"/>
    <w:rsid w:val="002F169E"/>
    <w:rsid w:val="002F1C37"/>
    <w:rsid w:val="002F1CFB"/>
    <w:rsid w:val="002F23A9"/>
    <w:rsid w:val="002F23E7"/>
    <w:rsid w:val="002F2BC7"/>
    <w:rsid w:val="002F343D"/>
    <w:rsid w:val="002F38A9"/>
    <w:rsid w:val="002F3A93"/>
    <w:rsid w:val="002F4693"/>
    <w:rsid w:val="002F4C33"/>
    <w:rsid w:val="002F4D98"/>
    <w:rsid w:val="002F4EC0"/>
    <w:rsid w:val="002F4FB4"/>
    <w:rsid w:val="002F548E"/>
    <w:rsid w:val="002F577D"/>
    <w:rsid w:val="002F5CAE"/>
    <w:rsid w:val="002F5EEF"/>
    <w:rsid w:val="002F6194"/>
    <w:rsid w:val="002F6EC3"/>
    <w:rsid w:val="002F6FB3"/>
    <w:rsid w:val="002F73A4"/>
    <w:rsid w:val="002F79BD"/>
    <w:rsid w:val="002F7C43"/>
    <w:rsid w:val="002F7E50"/>
    <w:rsid w:val="003004B1"/>
    <w:rsid w:val="003008EC"/>
    <w:rsid w:val="00300998"/>
    <w:rsid w:val="00300A50"/>
    <w:rsid w:val="00301D77"/>
    <w:rsid w:val="00302422"/>
    <w:rsid w:val="00302746"/>
    <w:rsid w:val="00302CDC"/>
    <w:rsid w:val="0030331B"/>
    <w:rsid w:val="00303357"/>
    <w:rsid w:val="003034D9"/>
    <w:rsid w:val="00303D84"/>
    <w:rsid w:val="0030434A"/>
    <w:rsid w:val="003044B6"/>
    <w:rsid w:val="00304B2F"/>
    <w:rsid w:val="00304D45"/>
    <w:rsid w:val="00304FCD"/>
    <w:rsid w:val="0030532D"/>
    <w:rsid w:val="003054DE"/>
    <w:rsid w:val="00305846"/>
    <w:rsid w:val="00305E3C"/>
    <w:rsid w:val="00305F52"/>
    <w:rsid w:val="00306A76"/>
    <w:rsid w:val="00306D7F"/>
    <w:rsid w:val="003071B4"/>
    <w:rsid w:val="0030728C"/>
    <w:rsid w:val="003072FF"/>
    <w:rsid w:val="00307B63"/>
    <w:rsid w:val="003100B0"/>
    <w:rsid w:val="00310744"/>
    <w:rsid w:val="00310C45"/>
    <w:rsid w:val="00310C63"/>
    <w:rsid w:val="003124AD"/>
    <w:rsid w:val="00312CB7"/>
    <w:rsid w:val="0031331B"/>
    <w:rsid w:val="003135CF"/>
    <w:rsid w:val="003138DE"/>
    <w:rsid w:val="00313AB2"/>
    <w:rsid w:val="00313F91"/>
    <w:rsid w:val="003146AB"/>
    <w:rsid w:val="00314CEB"/>
    <w:rsid w:val="00314D61"/>
    <w:rsid w:val="00315349"/>
    <w:rsid w:val="003155DC"/>
    <w:rsid w:val="003162BA"/>
    <w:rsid w:val="00316317"/>
    <w:rsid w:val="00316BAB"/>
    <w:rsid w:val="00316EE2"/>
    <w:rsid w:val="00316F6A"/>
    <w:rsid w:val="00316F75"/>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39CC"/>
    <w:rsid w:val="0032476E"/>
    <w:rsid w:val="00324F76"/>
    <w:rsid w:val="00324FB1"/>
    <w:rsid w:val="00325153"/>
    <w:rsid w:val="0032517E"/>
    <w:rsid w:val="003252E4"/>
    <w:rsid w:val="00325303"/>
    <w:rsid w:val="00325C9B"/>
    <w:rsid w:val="00325D8C"/>
    <w:rsid w:val="0032782B"/>
    <w:rsid w:val="00327BDC"/>
    <w:rsid w:val="00330100"/>
    <w:rsid w:val="00330135"/>
    <w:rsid w:val="00330AB9"/>
    <w:rsid w:val="00331053"/>
    <w:rsid w:val="00331355"/>
    <w:rsid w:val="0033172B"/>
    <w:rsid w:val="00331AE4"/>
    <w:rsid w:val="00331B56"/>
    <w:rsid w:val="00331D9E"/>
    <w:rsid w:val="00331F65"/>
    <w:rsid w:val="00332354"/>
    <w:rsid w:val="00332684"/>
    <w:rsid w:val="003329FD"/>
    <w:rsid w:val="00332E38"/>
    <w:rsid w:val="00333389"/>
    <w:rsid w:val="003337E5"/>
    <w:rsid w:val="003338E7"/>
    <w:rsid w:val="00333DE9"/>
    <w:rsid w:val="00333F50"/>
    <w:rsid w:val="0033439D"/>
    <w:rsid w:val="00334592"/>
    <w:rsid w:val="00334819"/>
    <w:rsid w:val="00334F74"/>
    <w:rsid w:val="0033507A"/>
    <w:rsid w:val="003353D9"/>
    <w:rsid w:val="00335C43"/>
    <w:rsid w:val="0033606D"/>
    <w:rsid w:val="00336280"/>
    <w:rsid w:val="00337327"/>
    <w:rsid w:val="00340198"/>
    <w:rsid w:val="0034099A"/>
    <w:rsid w:val="00340D5D"/>
    <w:rsid w:val="00341505"/>
    <w:rsid w:val="00341827"/>
    <w:rsid w:val="00341BC9"/>
    <w:rsid w:val="00341F32"/>
    <w:rsid w:val="00341F43"/>
    <w:rsid w:val="00341FA7"/>
    <w:rsid w:val="0034325F"/>
    <w:rsid w:val="003432F0"/>
    <w:rsid w:val="003434E5"/>
    <w:rsid w:val="00343D69"/>
    <w:rsid w:val="00344419"/>
    <w:rsid w:val="003445E5"/>
    <w:rsid w:val="00344990"/>
    <w:rsid w:val="00344BA8"/>
    <w:rsid w:val="00344EE6"/>
    <w:rsid w:val="00345361"/>
    <w:rsid w:val="0034557A"/>
    <w:rsid w:val="00345F9D"/>
    <w:rsid w:val="00346C32"/>
    <w:rsid w:val="00346DB6"/>
    <w:rsid w:val="00346EC1"/>
    <w:rsid w:val="003470D9"/>
    <w:rsid w:val="003471E9"/>
    <w:rsid w:val="0034729F"/>
    <w:rsid w:val="003477A9"/>
    <w:rsid w:val="003479E0"/>
    <w:rsid w:val="00347CD4"/>
    <w:rsid w:val="00350225"/>
    <w:rsid w:val="003507EB"/>
    <w:rsid w:val="00350C0C"/>
    <w:rsid w:val="00350C2F"/>
    <w:rsid w:val="00350FDD"/>
    <w:rsid w:val="00351457"/>
    <w:rsid w:val="00351491"/>
    <w:rsid w:val="00351929"/>
    <w:rsid w:val="0035281A"/>
    <w:rsid w:val="0035283E"/>
    <w:rsid w:val="00352846"/>
    <w:rsid w:val="00353077"/>
    <w:rsid w:val="00353C58"/>
    <w:rsid w:val="00353DB1"/>
    <w:rsid w:val="00354016"/>
    <w:rsid w:val="0035478B"/>
    <w:rsid w:val="003551C9"/>
    <w:rsid w:val="003558E1"/>
    <w:rsid w:val="003559BE"/>
    <w:rsid w:val="00355A8D"/>
    <w:rsid w:val="00355B89"/>
    <w:rsid w:val="00355EF4"/>
    <w:rsid w:val="003566E5"/>
    <w:rsid w:val="0035694E"/>
    <w:rsid w:val="00356AE2"/>
    <w:rsid w:val="00356F9F"/>
    <w:rsid w:val="00357964"/>
    <w:rsid w:val="00357A8E"/>
    <w:rsid w:val="00361607"/>
    <w:rsid w:val="00361C54"/>
    <w:rsid w:val="00361D02"/>
    <w:rsid w:val="00362896"/>
    <w:rsid w:val="00362CA9"/>
    <w:rsid w:val="00363764"/>
    <w:rsid w:val="003639B8"/>
    <w:rsid w:val="00363A25"/>
    <w:rsid w:val="00363EDD"/>
    <w:rsid w:val="00363FC3"/>
    <w:rsid w:val="0036571F"/>
    <w:rsid w:val="003658C9"/>
    <w:rsid w:val="00365E9C"/>
    <w:rsid w:val="00365FDD"/>
    <w:rsid w:val="003662F2"/>
    <w:rsid w:val="00366BFA"/>
    <w:rsid w:val="00367340"/>
    <w:rsid w:val="003676CD"/>
    <w:rsid w:val="003709EF"/>
    <w:rsid w:val="00370A52"/>
    <w:rsid w:val="00370C4B"/>
    <w:rsid w:val="00370D62"/>
    <w:rsid w:val="00371B80"/>
    <w:rsid w:val="00371C6F"/>
    <w:rsid w:val="0037268A"/>
    <w:rsid w:val="00372719"/>
    <w:rsid w:val="003729C9"/>
    <w:rsid w:val="00372B20"/>
    <w:rsid w:val="00373D04"/>
    <w:rsid w:val="003742E8"/>
    <w:rsid w:val="00374D85"/>
    <w:rsid w:val="00375134"/>
    <w:rsid w:val="003760E0"/>
    <w:rsid w:val="003767A3"/>
    <w:rsid w:val="003773FB"/>
    <w:rsid w:val="003774FE"/>
    <w:rsid w:val="00377A5A"/>
    <w:rsid w:val="00377FCC"/>
    <w:rsid w:val="0038019F"/>
    <w:rsid w:val="00380C5B"/>
    <w:rsid w:val="003812D9"/>
    <w:rsid w:val="00381C7D"/>
    <w:rsid w:val="003821E9"/>
    <w:rsid w:val="00382A45"/>
    <w:rsid w:val="00383085"/>
    <w:rsid w:val="003834E8"/>
    <w:rsid w:val="003837FD"/>
    <w:rsid w:val="00383DCF"/>
    <w:rsid w:val="00383F51"/>
    <w:rsid w:val="003842C8"/>
    <w:rsid w:val="003843BC"/>
    <w:rsid w:val="0038460F"/>
    <w:rsid w:val="00384824"/>
    <w:rsid w:val="00385238"/>
    <w:rsid w:val="003856E1"/>
    <w:rsid w:val="0038573F"/>
    <w:rsid w:val="003866E5"/>
    <w:rsid w:val="00386D81"/>
    <w:rsid w:val="00387166"/>
    <w:rsid w:val="003872CA"/>
    <w:rsid w:val="00387DA4"/>
    <w:rsid w:val="003900C7"/>
    <w:rsid w:val="0039054E"/>
    <w:rsid w:val="00390A25"/>
    <w:rsid w:val="00390F34"/>
    <w:rsid w:val="003916C6"/>
    <w:rsid w:val="003927D4"/>
    <w:rsid w:val="00392B2A"/>
    <w:rsid w:val="00392CA8"/>
    <w:rsid w:val="0039315C"/>
    <w:rsid w:val="0039401E"/>
    <w:rsid w:val="00394CA2"/>
    <w:rsid w:val="00395528"/>
    <w:rsid w:val="00395538"/>
    <w:rsid w:val="00395C5D"/>
    <w:rsid w:val="0039633D"/>
    <w:rsid w:val="0039661C"/>
    <w:rsid w:val="00396B4B"/>
    <w:rsid w:val="00397E5F"/>
    <w:rsid w:val="003A084C"/>
    <w:rsid w:val="003A10C6"/>
    <w:rsid w:val="003A11A6"/>
    <w:rsid w:val="003A1828"/>
    <w:rsid w:val="003A18B4"/>
    <w:rsid w:val="003A1E8D"/>
    <w:rsid w:val="003A2097"/>
    <w:rsid w:val="003A242F"/>
    <w:rsid w:val="003A3280"/>
    <w:rsid w:val="003A36C2"/>
    <w:rsid w:val="003A3B2F"/>
    <w:rsid w:val="003A3C2A"/>
    <w:rsid w:val="003A4865"/>
    <w:rsid w:val="003A4BE9"/>
    <w:rsid w:val="003A5805"/>
    <w:rsid w:val="003A59FC"/>
    <w:rsid w:val="003A5D78"/>
    <w:rsid w:val="003A5F99"/>
    <w:rsid w:val="003A6144"/>
    <w:rsid w:val="003A68BA"/>
    <w:rsid w:val="003A6AF2"/>
    <w:rsid w:val="003A6B47"/>
    <w:rsid w:val="003A7488"/>
    <w:rsid w:val="003B0A9B"/>
    <w:rsid w:val="003B122F"/>
    <w:rsid w:val="003B1A1A"/>
    <w:rsid w:val="003B1D8C"/>
    <w:rsid w:val="003B29E6"/>
    <w:rsid w:val="003B32E5"/>
    <w:rsid w:val="003B34D4"/>
    <w:rsid w:val="003B36E6"/>
    <w:rsid w:val="003B36E7"/>
    <w:rsid w:val="003B3771"/>
    <w:rsid w:val="003B38C5"/>
    <w:rsid w:val="003B3B11"/>
    <w:rsid w:val="003B3C6A"/>
    <w:rsid w:val="003B4136"/>
    <w:rsid w:val="003B44CA"/>
    <w:rsid w:val="003B4CB6"/>
    <w:rsid w:val="003B544D"/>
    <w:rsid w:val="003B5784"/>
    <w:rsid w:val="003B591C"/>
    <w:rsid w:val="003B5ACC"/>
    <w:rsid w:val="003B5F8D"/>
    <w:rsid w:val="003B631A"/>
    <w:rsid w:val="003B63EF"/>
    <w:rsid w:val="003B6E9C"/>
    <w:rsid w:val="003B7473"/>
    <w:rsid w:val="003B751E"/>
    <w:rsid w:val="003C0058"/>
    <w:rsid w:val="003C03DD"/>
    <w:rsid w:val="003C0489"/>
    <w:rsid w:val="003C0A81"/>
    <w:rsid w:val="003C13D8"/>
    <w:rsid w:val="003C17DC"/>
    <w:rsid w:val="003C1C2A"/>
    <w:rsid w:val="003C240C"/>
    <w:rsid w:val="003C24B2"/>
    <w:rsid w:val="003C288F"/>
    <w:rsid w:val="003C297E"/>
    <w:rsid w:val="003C3164"/>
    <w:rsid w:val="003C339F"/>
    <w:rsid w:val="003C3404"/>
    <w:rsid w:val="003C3856"/>
    <w:rsid w:val="003C38E4"/>
    <w:rsid w:val="003C4148"/>
    <w:rsid w:val="003C4581"/>
    <w:rsid w:val="003C4A34"/>
    <w:rsid w:val="003C4A80"/>
    <w:rsid w:val="003C56D7"/>
    <w:rsid w:val="003C5743"/>
    <w:rsid w:val="003C64B8"/>
    <w:rsid w:val="003C6F22"/>
    <w:rsid w:val="003C7663"/>
    <w:rsid w:val="003D0045"/>
    <w:rsid w:val="003D02E5"/>
    <w:rsid w:val="003D058B"/>
    <w:rsid w:val="003D0710"/>
    <w:rsid w:val="003D08B8"/>
    <w:rsid w:val="003D0B06"/>
    <w:rsid w:val="003D0CEC"/>
    <w:rsid w:val="003D10E4"/>
    <w:rsid w:val="003D1E10"/>
    <w:rsid w:val="003D2134"/>
    <w:rsid w:val="003D2413"/>
    <w:rsid w:val="003D247E"/>
    <w:rsid w:val="003D28BB"/>
    <w:rsid w:val="003D290B"/>
    <w:rsid w:val="003D2B5B"/>
    <w:rsid w:val="003D2C12"/>
    <w:rsid w:val="003D309B"/>
    <w:rsid w:val="003D3A8D"/>
    <w:rsid w:val="003D3B08"/>
    <w:rsid w:val="003D40CF"/>
    <w:rsid w:val="003D40F0"/>
    <w:rsid w:val="003D4A55"/>
    <w:rsid w:val="003D5811"/>
    <w:rsid w:val="003D58B4"/>
    <w:rsid w:val="003D5CAB"/>
    <w:rsid w:val="003D633E"/>
    <w:rsid w:val="003D6AC4"/>
    <w:rsid w:val="003D7427"/>
    <w:rsid w:val="003D78C7"/>
    <w:rsid w:val="003D7AC6"/>
    <w:rsid w:val="003D7BEE"/>
    <w:rsid w:val="003D7CFE"/>
    <w:rsid w:val="003E1709"/>
    <w:rsid w:val="003E1941"/>
    <w:rsid w:val="003E220D"/>
    <w:rsid w:val="003E283F"/>
    <w:rsid w:val="003E2DCB"/>
    <w:rsid w:val="003E2E40"/>
    <w:rsid w:val="003E3233"/>
    <w:rsid w:val="003E3531"/>
    <w:rsid w:val="003E37AF"/>
    <w:rsid w:val="003E3AE5"/>
    <w:rsid w:val="003E4094"/>
    <w:rsid w:val="003E4150"/>
    <w:rsid w:val="003E459F"/>
    <w:rsid w:val="003E467A"/>
    <w:rsid w:val="003E4CFC"/>
    <w:rsid w:val="003E5584"/>
    <w:rsid w:val="003E5689"/>
    <w:rsid w:val="003E585E"/>
    <w:rsid w:val="003E6014"/>
    <w:rsid w:val="003E627D"/>
    <w:rsid w:val="003E62B5"/>
    <w:rsid w:val="003E63DC"/>
    <w:rsid w:val="003E73CC"/>
    <w:rsid w:val="003E77A2"/>
    <w:rsid w:val="003E7883"/>
    <w:rsid w:val="003E78C2"/>
    <w:rsid w:val="003F053B"/>
    <w:rsid w:val="003F06FD"/>
    <w:rsid w:val="003F0B3F"/>
    <w:rsid w:val="003F0B82"/>
    <w:rsid w:val="003F0C6A"/>
    <w:rsid w:val="003F112E"/>
    <w:rsid w:val="003F1CA0"/>
    <w:rsid w:val="003F2680"/>
    <w:rsid w:val="003F29C5"/>
    <w:rsid w:val="003F2CB8"/>
    <w:rsid w:val="003F2CE8"/>
    <w:rsid w:val="003F2D75"/>
    <w:rsid w:val="003F3906"/>
    <w:rsid w:val="003F3F8F"/>
    <w:rsid w:val="003F3F96"/>
    <w:rsid w:val="003F435D"/>
    <w:rsid w:val="003F475B"/>
    <w:rsid w:val="003F4892"/>
    <w:rsid w:val="003F49E6"/>
    <w:rsid w:val="003F4E25"/>
    <w:rsid w:val="003F5598"/>
    <w:rsid w:val="003F59C9"/>
    <w:rsid w:val="003F59CF"/>
    <w:rsid w:val="003F5F82"/>
    <w:rsid w:val="003F60EA"/>
    <w:rsid w:val="003F621A"/>
    <w:rsid w:val="003F628F"/>
    <w:rsid w:val="003F73AF"/>
    <w:rsid w:val="003F783C"/>
    <w:rsid w:val="003F7912"/>
    <w:rsid w:val="003F7C7D"/>
    <w:rsid w:val="00400246"/>
    <w:rsid w:val="004007AB"/>
    <w:rsid w:val="004007BE"/>
    <w:rsid w:val="00400A8B"/>
    <w:rsid w:val="00401682"/>
    <w:rsid w:val="00401A1C"/>
    <w:rsid w:val="00401A5E"/>
    <w:rsid w:val="00401CD0"/>
    <w:rsid w:val="00402BC8"/>
    <w:rsid w:val="00402C2E"/>
    <w:rsid w:val="00402C8E"/>
    <w:rsid w:val="00402DBD"/>
    <w:rsid w:val="0040322A"/>
    <w:rsid w:val="00403728"/>
    <w:rsid w:val="00403A61"/>
    <w:rsid w:val="00404001"/>
    <w:rsid w:val="00404DC3"/>
    <w:rsid w:val="00404FCD"/>
    <w:rsid w:val="00404FEA"/>
    <w:rsid w:val="00405BF8"/>
    <w:rsid w:val="00405C43"/>
    <w:rsid w:val="0040660D"/>
    <w:rsid w:val="00406DDF"/>
    <w:rsid w:val="00407647"/>
    <w:rsid w:val="00407B6B"/>
    <w:rsid w:val="00411C13"/>
    <w:rsid w:val="00412044"/>
    <w:rsid w:val="00412815"/>
    <w:rsid w:val="00412A05"/>
    <w:rsid w:val="00413AEB"/>
    <w:rsid w:val="00413DC9"/>
    <w:rsid w:val="0041406F"/>
    <w:rsid w:val="0041484F"/>
    <w:rsid w:val="00414AE7"/>
    <w:rsid w:val="00415255"/>
    <w:rsid w:val="004153B8"/>
    <w:rsid w:val="004154B1"/>
    <w:rsid w:val="00415E40"/>
    <w:rsid w:val="00415EB5"/>
    <w:rsid w:val="00415F09"/>
    <w:rsid w:val="00415FFF"/>
    <w:rsid w:val="004166E5"/>
    <w:rsid w:val="004169CA"/>
    <w:rsid w:val="004169E6"/>
    <w:rsid w:val="00416A34"/>
    <w:rsid w:val="00416BB6"/>
    <w:rsid w:val="00416E25"/>
    <w:rsid w:val="00417CAA"/>
    <w:rsid w:val="004202F8"/>
    <w:rsid w:val="00420344"/>
    <w:rsid w:val="00420FCD"/>
    <w:rsid w:val="0042153C"/>
    <w:rsid w:val="00421D87"/>
    <w:rsid w:val="00422128"/>
    <w:rsid w:val="00422237"/>
    <w:rsid w:val="00422241"/>
    <w:rsid w:val="00422324"/>
    <w:rsid w:val="0042235D"/>
    <w:rsid w:val="004227C5"/>
    <w:rsid w:val="00422DBB"/>
    <w:rsid w:val="0042334A"/>
    <w:rsid w:val="00424900"/>
    <w:rsid w:val="00424C31"/>
    <w:rsid w:val="004250F7"/>
    <w:rsid w:val="004252F9"/>
    <w:rsid w:val="00425740"/>
    <w:rsid w:val="00426903"/>
    <w:rsid w:val="0042720A"/>
    <w:rsid w:val="0042768C"/>
    <w:rsid w:val="00427B77"/>
    <w:rsid w:val="00427DDB"/>
    <w:rsid w:val="00430024"/>
    <w:rsid w:val="00430049"/>
    <w:rsid w:val="00430280"/>
    <w:rsid w:val="00430C68"/>
    <w:rsid w:val="0043179A"/>
    <w:rsid w:val="00432E56"/>
    <w:rsid w:val="0043355B"/>
    <w:rsid w:val="004336BF"/>
    <w:rsid w:val="00433D9B"/>
    <w:rsid w:val="00433E31"/>
    <w:rsid w:val="004342CD"/>
    <w:rsid w:val="00434AC7"/>
    <w:rsid w:val="00434B1C"/>
    <w:rsid w:val="00434DBA"/>
    <w:rsid w:val="004357FF"/>
    <w:rsid w:val="00435941"/>
    <w:rsid w:val="004359A9"/>
    <w:rsid w:val="00436924"/>
    <w:rsid w:val="00436C87"/>
    <w:rsid w:val="00437BC6"/>
    <w:rsid w:val="004404C5"/>
    <w:rsid w:val="00440664"/>
    <w:rsid w:val="00440983"/>
    <w:rsid w:val="00441484"/>
    <w:rsid w:val="00441946"/>
    <w:rsid w:val="004419C7"/>
    <w:rsid w:val="00441E43"/>
    <w:rsid w:val="00442216"/>
    <w:rsid w:val="0044244D"/>
    <w:rsid w:val="00442F42"/>
    <w:rsid w:val="004435B0"/>
    <w:rsid w:val="00444B4C"/>
    <w:rsid w:val="00445AFC"/>
    <w:rsid w:val="00446409"/>
    <w:rsid w:val="004465AC"/>
    <w:rsid w:val="00446614"/>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D64"/>
    <w:rsid w:val="00453FBF"/>
    <w:rsid w:val="00454551"/>
    <w:rsid w:val="004546B6"/>
    <w:rsid w:val="004547B5"/>
    <w:rsid w:val="00454938"/>
    <w:rsid w:val="00454BFD"/>
    <w:rsid w:val="00455045"/>
    <w:rsid w:val="004553D3"/>
    <w:rsid w:val="00455B05"/>
    <w:rsid w:val="0045630D"/>
    <w:rsid w:val="00456ADB"/>
    <w:rsid w:val="00456DB4"/>
    <w:rsid w:val="00456EA5"/>
    <w:rsid w:val="004573F1"/>
    <w:rsid w:val="00457CCD"/>
    <w:rsid w:val="00457D47"/>
    <w:rsid w:val="00460CBD"/>
    <w:rsid w:val="00460CBF"/>
    <w:rsid w:val="00461C41"/>
    <w:rsid w:val="0046201C"/>
    <w:rsid w:val="00462029"/>
    <w:rsid w:val="00462218"/>
    <w:rsid w:val="00462248"/>
    <w:rsid w:val="00462295"/>
    <w:rsid w:val="00462368"/>
    <w:rsid w:val="0046253B"/>
    <w:rsid w:val="004629A5"/>
    <w:rsid w:val="00462B83"/>
    <w:rsid w:val="00462F35"/>
    <w:rsid w:val="004631A8"/>
    <w:rsid w:val="00463550"/>
    <w:rsid w:val="0046399A"/>
    <w:rsid w:val="00463BBC"/>
    <w:rsid w:val="00463E01"/>
    <w:rsid w:val="00464181"/>
    <w:rsid w:val="004644C4"/>
    <w:rsid w:val="004650DB"/>
    <w:rsid w:val="004651A1"/>
    <w:rsid w:val="004653AF"/>
    <w:rsid w:val="0046638A"/>
    <w:rsid w:val="00466A7A"/>
    <w:rsid w:val="00466CC7"/>
    <w:rsid w:val="00467757"/>
    <w:rsid w:val="00467998"/>
    <w:rsid w:val="004679D1"/>
    <w:rsid w:val="00470EE9"/>
    <w:rsid w:val="00471552"/>
    <w:rsid w:val="004719F0"/>
    <w:rsid w:val="00471A16"/>
    <w:rsid w:val="00471F3C"/>
    <w:rsid w:val="0047249C"/>
    <w:rsid w:val="0047330B"/>
    <w:rsid w:val="00473ABD"/>
    <w:rsid w:val="00473B84"/>
    <w:rsid w:val="00473F99"/>
    <w:rsid w:val="004744F0"/>
    <w:rsid w:val="00475364"/>
    <w:rsid w:val="004753F7"/>
    <w:rsid w:val="00475BF0"/>
    <w:rsid w:val="004764B5"/>
    <w:rsid w:val="00476715"/>
    <w:rsid w:val="004768AF"/>
    <w:rsid w:val="00476A4C"/>
    <w:rsid w:val="00477562"/>
    <w:rsid w:val="004778A0"/>
    <w:rsid w:val="00477B06"/>
    <w:rsid w:val="00477F84"/>
    <w:rsid w:val="0048024C"/>
    <w:rsid w:val="00480F1B"/>
    <w:rsid w:val="00481038"/>
    <w:rsid w:val="00481AB4"/>
    <w:rsid w:val="00481FEC"/>
    <w:rsid w:val="004831C7"/>
    <w:rsid w:val="00483436"/>
    <w:rsid w:val="00484633"/>
    <w:rsid w:val="00484EF7"/>
    <w:rsid w:val="004854CD"/>
    <w:rsid w:val="004854D7"/>
    <w:rsid w:val="0048594B"/>
    <w:rsid w:val="00485FDD"/>
    <w:rsid w:val="0048612B"/>
    <w:rsid w:val="0048623B"/>
    <w:rsid w:val="00486723"/>
    <w:rsid w:val="004868BA"/>
    <w:rsid w:val="00486905"/>
    <w:rsid w:val="004869C0"/>
    <w:rsid w:val="00487624"/>
    <w:rsid w:val="00487CFE"/>
    <w:rsid w:val="00487F7A"/>
    <w:rsid w:val="004905BB"/>
    <w:rsid w:val="004905E3"/>
    <w:rsid w:val="0049079F"/>
    <w:rsid w:val="004909CA"/>
    <w:rsid w:val="00490B23"/>
    <w:rsid w:val="00490B34"/>
    <w:rsid w:val="00491168"/>
    <w:rsid w:val="00491224"/>
    <w:rsid w:val="00491AA3"/>
    <w:rsid w:val="00491B03"/>
    <w:rsid w:val="00491C43"/>
    <w:rsid w:val="00491D41"/>
    <w:rsid w:val="004924A0"/>
    <w:rsid w:val="004925B9"/>
    <w:rsid w:val="00492AEE"/>
    <w:rsid w:val="00493003"/>
    <w:rsid w:val="004930D3"/>
    <w:rsid w:val="00493171"/>
    <w:rsid w:val="00493271"/>
    <w:rsid w:val="004934B7"/>
    <w:rsid w:val="004936E3"/>
    <w:rsid w:val="004937EE"/>
    <w:rsid w:val="0049407F"/>
    <w:rsid w:val="00494313"/>
    <w:rsid w:val="00494703"/>
    <w:rsid w:val="004947FD"/>
    <w:rsid w:val="00494B3A"/>
    <w:rsid w:val="0049517D"/>
    <w:rsid w:val="00496756"/>
    <w:rsid w:val="00496909"/>
    <w:rsid w:val="00496D89"/>
    <w:rsid w:val="00496E65"/>
    <w:rsid w:val="0049734A"/>
    <w:rsid w:val="00497535"/>
    <w:rsid w:val="004977A9"/>
    <w:rsid w:val="004A060A"/>
    <w:rsid w:val="004A0D46"/>
    <w:rsid w:val="004A15F2"/>
    <w:rsid w:val="004A1B58"/>
    <w:rsid w:val="004A23DA"/>
    <w:rsid w:val="004A2556"/>
    <w:rsid w:val="004A275B"/>
    <w:rsid w:val="004A29D5"/>
    <w:rsid w:val="004A2A69"/>
    <w:rsid w:val="004A3150"/>
    <w:rsid w:val="004A3151"/>
    <w:rsid w:val="004A3376"/>
    <w:rsid w:val="004A3E8A"/>
    <w:rsid w:val="004A491C"/>
    <w:rsid w:val="004A4C11"/>
    <w:rsid w:val="004A51B8"/>
    <w:rsid w:val="004A5609"/>
    <w:rsid w:val="004A5FE8"/>
    <w:rsid w:val="004A6311"/>
    <w:rsid w:val="004A6605"/>
    <w:rsid w:val="004A71E0"/>
    <w:rsid w:val="004A7219"/>
    <w:rsid w:val="004A78DB"/>
    <w:rsid w:val="004A7F26"/>
    <w:rsid w:val="004B08D7"/>
    <w:rsid w:val="004B0AB5"/>
    <w:rsid w:val="004B0B24"/>
    <w:rsid w:val="004B10D1"/>
    <w:rsid w:val="004B1493"/>
    <w:rsid w:val="004B15DF"/>
    <w:rsid w:val="004B1948"/>
    <w:rsid w:val="004B1F29"/>
    <w:rsid w:val="004B2534"/>
    <w:rsid w:val="004B25E6"/>
    <w:rsid w:val="004B26DF"/>
    <w:rsid w:val="004B291E"/>
    <w:rsid w:val="004B2B6C"/>
    <w:rsid w:val="004B2C24"/>
    <w:rsid w:val="004B3140"/>
    <w:rsid w:val="004B3210"/>
    <w:rsid w:val="004B3FE1"/>
    <w:rsid w:val="004B437C"/>
    <w:rsid w:val="004B4380"/>
    <w:rsid w:val="004B459B"/>
    <w:rsid w:val="004B4DF9"/>
    <w:rsid w:val="004B56BC"/>
    <w:rsid w:val="004B6158"/>
    <w:rsid w:val="004B6463"/>
    <w:rsid w:val="004B66C7"/>
    <w:rsid w:val="004B674C"/>
    <w:rsid w:val="004B682C"/>
    <w:rsid w:val="004C0480"/>
    <w:rsid w:val="004C08FD"/>
    <w:rsid w:val="004C14F3"/>
    <w:rsid w:val="004C187C"/>
    <w:rsid w:val="004C215F"/>
    <w:rsid w:val="004C2389"/>
    <w:rsid w:val="004C26D2"/>
    <w:rsid w:val="004C2BA4"/>
    <w:rsid w:val="004C2F33"/>
    <w:rsid w:val="004C37CA"/>
    <w:rsid w:val="004C3E5E"/>
    <w:rsid w:val="004C3EEE"/>
    <w:rsid w:val="004C417F"/>
    <w:rsid w:val="004C42B8"/>
    <w:rsid w:val="004C4738"/>
    <w:rsid w:val="004C51F7"/>
    <w:rsid w:val="004C5414"/>
    <w:rsid w:val="004C589D"/>
    <w:rsid w:val="004C5E35"/>
    <w:rsid w:val="004C5E55"/>
    <w:rsid w:val="004C6455"/>
    <w:rsid w:val="004C6BD4"/>
    <w:rsid w:val="004C6BDF"/>
    <w:rsid w:val="004C6F0D"/>
    <w:rsid w:val="004C7954"/>
    <w:rsid w:val="004C7974"/>
    <w:rsid w:val="004C7CAA"/>
    <w:rsid w:val="004D07E7"/>
    <w:rsid w:val="004D0870"/>
    <w:rsid w:val="004D099B"/>
    <w:rsid w:val="004D11BE"/>
    <w:rsid w:val="004D16BF"/>
    <w:rsid w:val="004D196E"/>
    <w:rsid w:val="004D23CA"/>
    <w:rsid w:val="004D262D"/>
    <w:rsid w:val="004D29B4"/>
    <w:rsid w:val="004D2CF8"/>
    <w:rsid w:val="004D4067"/>
    <w:rsid w:val="004D46F0"/>
    <w:rsid w:val="004D48E3"/>
    <w:rsid w:val="004D5BC7"/>
    <w:rsid w:val="004D5F7A"/>
    <w:rsid w:val="004D60A8"/>
    <w:rsid w:val="004D60EA"/>
    <w:rsid w:val="004D64C8"/>
    <w:rsid w:val="004D6CDB"/>
    <w:rsid w:val="004D723B"/>
    <w:rsid w:val="004D7765"/>
    <w:rsid w:val="004D7806"/>
    <w:rsid w:val="004E0FC2"/>
    <w:rsid w:val="004E1592"/>
    <w:rsid w:val="004E1687"/>
    <w:rsid w:val="004E2597"/>
    <w:rsid w:val="004E2B40"/>
    <w:rsid w:val="004E2F26"/>
    <w:rsid w:val="004E3600"/>
    <w:rsid w:val="004E3B6D"/>
    <w:rsid w:val="004E3DAE"/>
    <w:rsid w:val="004E4075"/>
    <w:rsid w:val="004E44FC"/>
    <w:rsid w:val="004E46B1"/>
    <w:rsid w:val="004E477F"/>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6A6"/>
    <w:rsid w:val="004F391C"/>
    <w:rsid w:val="004F43D4"/>
    <w:rsid w:val="004F450E"/>
    <w:rsid w:val="004F453A"/>
    <w:rsid w:val="004F4612"/>
    <w:rsid w:val="004F4D87"/>
    <w:rsid w:val="004F5D41"/>
    <w:rsid w:val="004F5EB3"/>
    <w:rsid w:val="004F5EC0"/>
    <w:rsid w:val="004F67F6"/>
    <w:rsid w:val="004F6A6C"/>
    <w:rsid w:val="004F6D8B"/>
    <w:rsid w:val="005002B9"/>
    <w:rsid w:val="005005AD"/>
    <w:rsid w:val="005018B2"/>
    <w:rsid w:val="00501DE4"/>
    <w:rsid w:val="00501E3A"/>
    <w:rsid w:val="00502272"/>
    <w:rsid w:val="0050236B"/>
    <w:rsid w:val="00502445"/>
    <w:rsid w:val="0050260C"/>
    <w:rsid w:val="00502B7F"/>
    <w:rsid w:val="00503802"/>
    <w:rsid w:val="00503B26"/>
    <w:rsid w:val="00505F2A"/>
    <w:rsid w:val="00506560"/>
    <w:rsid w:val="00506960"/>
    <w:rsid w:val="00506B4E"/>
    <w:rsid w:val="00506DFC"/>
    <w:rsid w:val="0050726B"/>
    <w:rsid w:val="00507694"/>
    <w:rsid w:val="00507DBA"/>
    <w:rsid w:val="0051008C"/>
    <w:rsid w:val="005106E8"/>
    <w:rsid w:val="005109A5"/>
    <w:rsid w:val="005111DB"/>
    <w:rsid w:val="00511442"/>
    <w:rsid w:val="005116A5"/>
    <w:rsid w:val="00511726"/>
    <w:rsid w:val="005123E2"/>
    <w:rsid w:val="00512482"/>
    <w:rsid w:val="005127F2"/>
    <w:rsid w:val="00512839"/>
    <w:rsid w:val="00512AD4"/>
    <w:rsid w:val="00512DB9"/>
    <w:rsid w:val="00513535"/>
    <w:rsid w:val="005144C5"/>
    <w:rsid w:val="005148EC"/>
    <w:rsid w:val="00515AFD"/>
    <w:rsid w:val="00516C0C"/>
    <w:rsid w:val="005177AC"/>
    <w:rsid w:val="00517BA8"/>
    <w:rsid w:val="00520CE6"/>
    <w:rsid w:val="005219F2"/>
    <w:rsid w:val="00521E41"/>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D58"/>
    <w:rsid w:val="00526E55"/>
    <w:rsid w:val="00526F42"/>
    <w:rsid w:val="00527119"/>
    <w:rsid w:val="00527214"/>
    <w:rsid w:val="0052772E"/>
    <w:rsid w:val="005279BE"/>
    <w:rsid w:val="00527BD0"/>
    <w:rsid w:val="0052CC08"/>
    <w:rsid w:val="00530667"/>
    <w:rsid w:val="005306AE"/>
    <w:rsid w:val="00530AD7"/>
    <w:rsid w:val="0053145F"/>
    <w:rsid w:val="005316D5"/>
    <w:rsid w:val="00532181"/>
    <w:rsid w:val="0053229F"/>
    <w:rsid w:val="005327D6"/>
    <w:rsid w:val="0053282B"/>
    <w:rsid w:val="00532C81"/>
    <w:rsid w:val="00533546"/>
    <w:rsid w:val="00533F8D"/>
    <w:rsid w:val="0053440E"/>
    <w:rsid w:val="0053480B"/>
    <w:rsid w:val="00534AD8"/>
    <w:rsid w:val="00535102"/>
    <w:rsid w:val="0053557E"/>
    <w:rsid w:val="00535D03"/>
    <w:rsid w:val="005360D8"/>
    <w:rsid w:val="005360FB"/>
    <w:rsid w:val="005364B5"/>
    <w:rsid w:val="00536962"/>
    <w:rsid w:val="00536A9F"/>
    <w:rsid w:val="005371C1"/>
    <w:rsid w:val="005373FF"/>
    <w:rsid w:val="005374E5"/>
    <w:rsid w:val="0053772F"/>
    <w:rsid w:val="005378B8"/>
    <w:rsid w:val="00537E56"/>
    <w:rsid w:val="00540D82"/>
    <w:rsid w:val="00541060"/>
    <w:rsid w:val="0054111F"/>
    <w:rsid w:val="0054114D"/>
    <w:rsid w:val="005419EF"/>
    <w:rsid w:val="00541A50"/>
    <w:rsid w:val="00541D71"/>
    <w:rsid w:val="00541DBC"/>
    <w:rsid w:val="00542651"/>
    <w:rsid w:val="00542EA8"/>
    <w:rsid w:val="005434AD"/>
    <w:rsid w:val="00544329"/>
    <w:rsid w:val="00544702"/>
    <w:rsid w:val="00544CEE"/>
    <w:rsid w:val="00544DB2"/>
    <w:rsid w:val="0054530E"/>
    <w:rsid w:val="005455F1"/>
    <w:rsid w:val="0054586F"/>
    <w:rsid w:val="00545ABF"/>
    <w:rsid w:val="0054640A"/>
    <w:rsid w:val="005471CC"/>
    <w:rsid w:val="0054744F"/>
    <w:rsid w:val="005478D8"/>
    <w:rsid w:val="00547D82"/>
    <w:rsid w:val="0055017D"/>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57B16"/>
    <w:rsid w:val="005601F4"/>
    <w:rsid w:val="00560796"/>
    <w:rsid w:val="00560CDB"/>
    <w:rsid w:val="00560E1A"/>
    <w:rsid w:val="00561212"/>
    <w:rsid w:val="0056272C"/>
    <w:rsid w:val="00562B88"/>
    <w:rsid w:val="0056316B"/>
    <w:rsid w:val="00563801"/>
    <w:rsid w:val="005639C5"/>
    <w:rsid w:val="00564503"/>
    <w:rsid w:val="00564F0E"/>
    <w:rsid w:val="00564F9B"/>
    <w:rsid w:val="005653A9"/>
    <w:rsid w:val="00565755"/>
    <w:rsid w:val="00565BC5"/>
    <w:rsid w:val="00565E1F"/>
    <w:rsid w:val="0056638E"/>
    <w:rsid w:val="005663BB"/>
    <w:rsid w:val="005664E1"/>
    <w:rsid w:val="00566ACA"/>
    <w:rsid w:val="005672E3"/>
    <w:rsid w:val="005673A6"/>
    <w:rsid w:val="005673FE"/>
    <w:rsid w:val="0056751A"/>
    <w:rsid w:val="00567D93"/>
    <w:rsid w:val="0057001A"/>
    <w:rsid w:val="005703E6"/>
    <w:rsid w:val="005709E6"/>
    <w:rsid w:val="00570A76"/>
    <w:rsid w:val="00570D39"/>
    <w:rsid w:val="00570ECF"/>
    <w:rsid w:val="00570F22"/>
    <w:rsid w:val="005714E2"/>
    <w:rsid w:val="0057192E"/>
    <w:rsid w:val="00571E4B"/>
    <w:rsid w:val="00571F15"/>
    <w:rsid w:val="00571FB1"/>
    <w:rsid w:val="00572219"/>
    <w:rsid w:val="00572FF7"/>
    <w:rsid w:val="00573196"/>
    <w:rsid w:val="00574FED"/>
    <w:rsid w:val="0057531A"/>
    <w:rsid w:val="00575690"/>
    <w:rsid w:val="0057657D"/>
    <w:rsid w:val="00577203"/>
    <w:rsid w:val="00577895"/>
    <w:rsid w:val="00580180"/>
    <w:rsid w:val="00580720"/>
    <w:rsid w:val="00580826"/>
    <w:rsid w:val="005808E1"/>
    <w:rsid w:val="00580DA2"/>
    <w:rsid w:val="00581122"/>
    <w:rsid w:val="0058172E"/>
    <w:rsid w:val="00581D10"/>
    <w:rsid w:val="005823BF"/>
    <w:rsid w:val="00582893"/>
    <w:rsid w:val="005828EE"/>
    <w:rsid w:val="00582B2F"/>
    <w:rsid w:val="00582D7F"/>
    <w:rsid w:val="0058338F"/>
    <w:rsid w:val="00583919"/>
    <w:rsid w:val="00583F12"/>
    <w:rsid w:val="0058430D"/>
    <w:rsid w:val="0058466B"/>
    <w:rsid w:val="0058554B"/>
    <w:rsid w:val="00585A74"/>
    <w:rsid w:val="00585B72"/>
    <w:rsid w:val="00586185"/>
    <w:rsid w:val="00586186"/>
    <w:rsid w:val="0058620C"/>
    <w:rsid w:val="00586313"/>
    <w:rsid w:val="00586591"/>
    <w:rsid w:val="005868C1"/>
    <w:rsid w:val="00586A89"/>
    <w:rsid w:val="00586C09"/>
    <w:rsid w:val="0058701B"/>
    <w:rsid w:val="00587050"/>
    <w:rsid w:val="00587081"/>
    <w:rsid w:val="005873CE"/>
    <w:rsid w:val="005873EF"/>
    <w:rsid w:val="00587CF2"/>
    <w:rsid w:val="0059062E"/>
    <w:rsid w:val="00590987"/>
    <w:rsid w:val="00590FA5"/>
    <w:rsid w:val="00590FCE"/>
    <w:rsid w:val="0059122F"/>
    <w:rsid w:val="00591445"/>
    <w:rsid w:val="005914A5"/>
    <w:rsid w:val="0059197B"/>
    <w:rsid w:val="00591E07"/>
    <w:rsid w:val="00592074"/>
    <w:rsid w:val="00592613"/>
    <w:rsid w:val="005926E4"/>
    <w:rsid w:val="005926F9"/>
    <w:rsid w:val="005928DF"/>
    <w:rsid w:val="00592FE8"/>
    <w:rsid w:val="0059364E"/>
    <w:rsid w:val="00593688"/>
    <w:rsid w:val="00593C30"/>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3C7F"/>
    <w:rsid w:val="005A4041"/>
    <w:rsid w:val="005A42ED"/>
    <w:rsid w:val="005A4327"/>
    <w:rsid w:val="005A4CDE"/>
    <w:rsid w:val="005A51A6"/>
    <w:rsid w:val="005A57CF"/>
    <w:rsid w:val="005A5ADD"/>
    <w:rsid w:val="005A628C"/>
    <w:rsid w:val="005A64DD"/>
    <w:rsid w:val="005A6F89"/>
    <w:rsid w:val="005A726D"/>
    <w:rsid w:val="005B0515"/>
    <w:rsid w:val="005B065A"/>
    <w:rsid w:val="005B07A0"/>
    <w:rsid w:val="005B094F"/>
    <w:rsid w:val="005B1580"/>
    <w:rsid w:val="005B1606"/>
    <w:rsid w:val="005B2371"/>
    <w:rsid w:val="005B23E3"/>
    <w:rsid w:val="005B2CAF"/>
    <w:rsid w:val="005B2EAB"/>
    <w:rsid w:val="005B367D"/>
    <w:rsid w:val="005B38E2"/>
    <w:rsid w:val="005B3B1C"/>
    <w:rsid w:val="005B3BC9"/>
    <w:rsid w:val="005B480D"/>
    <w:rsid w:val="005B4A99"/>
    <w:rsid w:val="005B4BDE"/>
    <w:rsid w:val="005B50F6"/>
    <w:rsid w:val="005B5177"/>
    <w:rsid w:val="005B56FF"/>
    <w:rsid w:val="005B57AF"/>
    <w:rsid w:val="005B5AAC"/>
    <w:rsid w:val="005B5EDD"/>
    <w:rsid w:val="005B62F7"/>
    <w:rsid w:val="005B6789"/>
    <w:rsid w:val="005B6B85"/>
    <w:rsid w:val="005B6DCF"/>
    <w:rsid w:val="005B7047"/>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351"/>
    <w:rsid w:val="005C5D5D"/>
    <w:rsid w:val="005C5E62"/>
    <w:rsid w:val="005C6987"/>
    <w:rsid w:val="005C745E"/>
    <w:rsid w:val="005C79E9"/>
    <w:rsid w:val="005D0F95"/>
    <w:rsid w:val="005D201B"/>
    <w:rsid w:val="005D31C1"/>
    <w:rsid w:val="005D326A"/>
    <w:rsid w:val="005D3455"/>
    <w:rsid w:val="005D424E"/>
    <w:rsid w:val="005D44E0"/>
    <w:rsid w:val="005D48A0"/>
    <w:rsid w:val="005D4E16"/>
    <w:rsid w:val="005D597B"/>
    <w:rsid w:val="005D5E34"/>
    <w:rsid w:val="005D600F"/>
    <w:rsid w:val="005D614F"/>
    <w:rsid w:val="005D634A"/>
    <w:rsid w:val="005D6A4D"/>
    <w:rsid w:val="005D6B1A"/>
    <w:rsid w:val="005D6F94"/>
    <w:rsid w:val="005D729B"/>
    <w:rsid w:val="005D736C"/>
    <w:rsid w:val="005D77F2"/>
    <w:rsid w:val="005D7CF0"/>
    <w:rsid w:val="005D7E95"/>
    <w:rsid w:val="005D7FF8"/>
    <w:rsid w:val="005E028A"/>
    <w:rsid w:val="005E1000"/>
    <w:rsid w:val="005E13AC"/>
    <w:rsid w:val="005E1433"/>
    <w:rsid w:val="005E1819"/>
    <w:rsid w:val="005E21FA"/>
    <w:rsid w:val="005E2596"/>
    <w:rsid w:val="005E268C"/>
    <w:rsid w:val="005E2A2B"/>
    <w:rsid w:val="005E2F49"/>
    <w:rsid w:val="005E3969"/>
    <w:rsid w:val="005E39A3"/>
    <w:rsid w:val="005E3A58"/>
    <w:rsid w:val="005E40EE"/>
    <w:rsid w:val="005E439D"/>
    <w:rsid w:val="005E459B"/>
    <w:rsid w:val="005E5551"/>
    <w:rsid w:val="005E587F"/>
    <w:rsid w:val="005E58E6"/>
    <w:rsid w:val="005E64C7"/>
    <w:rsid w:val="005E6532"/>
    <w:rsid w:val="005E680F"/>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4A23"/>
    <w:rsid w:val="005F58A2"/>
    <w:rsid w:val="005F5FEE"/>
    <w:rsid w:val="005F682C"/>
    <w:rsid w:val="005F6E72"/>
    <w:rsid w:val="005F6FAE"/>
    <w:rsid w:val="005F6FFB"/>
    <w:rsid w:val="005F77F0"/>
    <w:rsid w:val="006002D8"/>
    <w:rsid w:val="00600B82"/>
    <w:rsid w:val="00600D77"/>
    <w:rsid w:val="00600ED6"/>
    <w:rsid w:val="00601108"/>
    <w:rsid w:val="0060143A"/>
    <w:rsid w:val="006019CD"/>
    <w:rsid w:val="00601F4F"/>
    <w:rsid w:val="00602103"/>
    <w:rsid w:val="006028BD"/>
    <w:rsid w:val="00602BCA"/>
    <w:rsid w:val="00602BF9"/>
    <w:rsid w:val="00602F8F"/>
    <w:rsid w:val="006030AB"/>
    <w:rsid w:val="00603321"/>
    <w:rsid w:val="00603D07"/>
    <w:rsid w:val="00603E99"/>
    <w:rsid w:val="006040D8"/>
    <w:rsid w:val="006042BC"/>
    <w:rsid w:val="0060438E"/>
    <w:rsid w:val="006046B5"/>
    <w:rsid w:val="00604BAE"/>
    <w:rsid w:val="00604F68"/>
    <w:rsid w:val="006050A2"/>
    <w:rsid w:val="00605182"/>
    <w:rsid w:val="0060522B"/>
    <w:rsid w:val="006053E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B27"/>
    <w:rsid w:val="00611E0A"/>
    <w:rsid w:val="006122BE"/>
    <w:rsid w:val="006126DB"/>
    <w:rsid w:val="00612890"/>
    <w:rsid w:val="006131D2"/>
    <w:rsid w:val="00613404"/>
    <w:rsid w:val="006134A3"/>
    <w:rsid w:val="00613ECC"/>
    <w:rsid w:val="0061413A"/>
    <w:rsid w:val="006142C6"/>
    <w:rsid w:val="00615202"/>
    <w:rsid w:val="00615558"/>
    <w:rsid w:val="00615686"/>
    <w:rsid w:val="00615DD5"/>
    <w:rsid w:val="00615F5D"/>
    <w:rsid w:val="00616027"/>
    <w:rsid w:val="00616142"/>
    <w:rsid w:val="0061618D"/>
    <w:rsid w:val="006162CF"/>
    <w:rsid w:val="00616C9F"/>
    <w:rsid w:val="00616EA5"/>
    <w:rsid w:val="00616EF7"/>
    <w:rsid w:val="00617218"/>
    <w:rsid w:val="00617938"/>
    <w:rsid w:val="00617B89"/>
    <w:rsid w:val="00620309"/>
    <w:rsid w:val="006206D0"/>
    <w:rsid w:val="0062122F"/>
    <w:rsid w:val="006212FC"/>
    <w:rsid w:val="00621476"/>
    <w:rsid w:val="00621806"/>
    <w:rsid w:val="00621876"/>
    <w:rsid w:val="00621B5D"/>
    <w:rsid w:val="00621D9D"/>
    <w:rsid w:val="00622491"/>
    <w:rsid w:val="006226CA"/>
    <w:rsid w:val="006231A7"/>
    <w:rsid w:val="00623519"/>
    <w:rsid w:val="00623B12"/>
    <w:rsid w:val="00623F4C"/>
    <w:rsid w:val="006240B3"/>
    <w:rsid w:val="00624730"/>
    <w:rsid w:val="00625751"/>
    <w:rsid w:val="006258E5"/>
    <w:rsid w:val="0062625C"/>
    <w:rsid w:val="00626F69"/>
    <w:rsid w:val="00627178"/>
    <w:rsid w:val="0062743A"/>
    <w:rsid w:val="0062754C"/>
    <w:rsid w:val="006275CD"/>
    <w:rsid w:val="00627E36"/>
    <w:rsid w:val="0063013C"/>
    <w:rsid w:val="006303A5"/>
    <w:rsid w:val="0063057C"/>
    <w:rsid w:val="00630B51"/>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6570"/>
    <w:rsid w:val="0063766F"/>
    <w:rsid w:val="00637AF5"/>
    <w:rsid w:val="00637B80"/>
    <w:rsid w:val="00637E73"/>
    <w:rsid w:val="00640243"/>
    <w:rsid w:val="0064028A"/>
    <w:rsid w:val="00640625"/>
    <w:rsid w:val="006411CD"/>
    <w:rsid w:val="00641234"/>
    <w:rsid w:val="00641BC0"/>
    <w:rsid w:val="00641FEB"/>
    <w:rsid w:val="00642397"/>
    <w:rsid w:val="0064246B"/>
    <w:rsid w:val="00642B29"/>
    <w:rsid w:val="006435E0"/>
    <w:rsid w:val="00643E50"/>
    <w:rsid w:val="00644D73"/>
    <w:rsid w:val="00644DF7"/>
    <w:rsid w:val="00644DFD"/>
    <w:rsid w:val="006455C5"/>
    <w:rsid w:val="00645861"/>
    <w:rsid w:val="00645C98"/>
    <w:rsid w:val="006461D2"/>
    <w:rsid w:val="00646E22"/>
    <w:rsid w:val="0064714E"/>
    <w:rsid w:val="0064742B"/>
    <w:rsid w:val="00647C5E"/>
    <w:rsid w:val="00647F99"/>
    <w:rsid w:val="006503E1"/>
    <w:rsid w:val="006508C5"/>
    <w:rsid w:val="00650947"/>
    <w:rsid w:val="006514F8"/>
    <w:rsid w:val="00651AFF"/>
    <w:rsid w:val="00652B2F"/>
    <w:rsid w:val="00652C20"/>
    <w:rsid w:val="006530DB"/>
    <w:rsid w:val="00653343"/>
    <w:rsid w:val="006537DD"/>
    <w:rsid w:val="006538DC"/>
    <w:rsid w:val="006540C8"/>
    <w:rsid w:val="0065411C"/>
    <w:rsid w:val="00654ADB"/>
    <w:rsid w:val="00654D18"/>
    <w:rsid w:val="00654E93"/>
    <w:rsid w:val="006553BE"/>
    <w:rsid w:val="006555A8"/>
    <w:rsid w:val="0065579B"/>
    <w:rsid w:val="0065596E"/>
    <w:rsid w:val="00655DE4"/>
    <w:rsid w:val="0065608E"/>
    <w:rsid w:val="006562C9"/>
    <w:rsid w:val="00656C9E"/>
    <w:rsid w:val="00657881"/>
    <w:rsid w:val="00657AF9"/>
    <w:rsid w:val="00657D2F"/>
    <w:rsid w:val="00657D3F"/>
    <w:rsid w:val="00657F64"/>
    <w:rsid w:val="00660873"/>
    <w:rsid w:val="0066098F"/>
    <w:rsid w:val="00660A95"/>
    <w:rsid w:val="00660B5A"/>
    <w:rsid w:val="00661403"/>
    <w:rsid w:val="006614F9"/>
    <w:rsid w:val="006615FD"/>
    <w:rsid w:val="006616DE"/>
    <w:rsid w:val="00661725"/>
    <w:rsid w:val="006619B1"/>
    <w:rsid w:val="00662011"/>
    <w:rsid w:val="006628B8"/>
    <w:rsid w:val="00662D3C"/>
    <w:rsid w:val="00663366"/>
    <w:rsid w:val="00663B68"/>
    <w:rsid w:val="006644C6"/>
    <w:rsid w:val="006644EB"/>
    <w:rsid w:val="0066568C"/>
    <w:rsid w:val="006657E3"/>
    <w:rsid w:val="00665C3A"/>
    <w:rsid w:val="00665F42"/>
    <w:rsid w:val="006661B0"/>
    <w:rsid w:val="006662DD"/>
    <w:rsid w:val="00666D5B"/>
    <w:rsid w:val="00666E1C"/>
    <w:rsid w:val="0066765A"/>
    <w:rsid w:val="006677D5"/>
    <w:rsid w:val="00667934"/>
    <w:rsid w:val="00667F85"/>
    <w:rsid w:val="00667FBE"/>
    <w:rsid w:val="00670310"/>
    <w:rsid w:val="00670350"/>
    <w:rsid w:val="006704F3"/>
    <w:rsid w:val="00670CC1"/>
    <w:rsid w:val="00670D6B"/>
    <w:rsid w:val="00671242"/>
    <w:rsid w:val="006719B7"/>
    <w:rsid w:val="00671AF9"/>
    <w:rsid w:val="00671BB9"/>
    <w:rsid w:val="00671BCA"/>
    <w:rsid w:val="006724B3"/>
    <w:rsid w:val="00673770"/>
    <w:rsid w:val="00674665"/>
    <w:rsid w:val="00674D9D"/>
    <w:rsid w:val="006758D0"/>
    <w:rsid w:val="00675EFE"/>
    <w:rsid w:val="00675F81"/>
    <w:rsid w:val="006767CE"/>
    <w:rsid w:val="00677A81"/>
    <w:rsid w:val="00677C84"/>
    <w:rsid w:val="00680695"/>
    <w:rsid w:val="00681200"/>
    <w:rsid w:val="00682201"/>
    <w:rsid w:val="0068222D"/>
    <w:rsid w:val="00682D4F"/>
    <w:rsid w:val="006830DF"/>
    <w:rsid w:val="006834FF"/>
    <w:rsid w:val="006835BF"/>
    <w:rsid w:val="00683AE6"/>
    <w:rsid w:val="00683D12"/>
    <w:rsid w:val="00684076"/>
    <w:rsid w:val="00684218"/>
    <w:rsid w:val="006846FC"/>
    <w:rsid w:val="006847AB"/>
    <w:rsid w:val="006852D8"/>
    <w:rsid w:val="0068570E"/>
    <w:rsid w:val="006857F5"/>
    <w:rsid w:val="006859B9"/>
    <w:rsid w:val="00686B67"/>
    <w:rsid w:val="00686C3A"/>
    <w:rsid w:val="0068712F"/>
    <w:rsid w:val="00687B66"/>
    <w:rsid w:val="00690A45"/>
    <w:rsid w:val="00690A7E"/>
    <w:rsid w:val="00690C8F"/>
    <w:rsid w:val="00690F6D"/>
    <w:rsid w:val="00691653"/>
    <w:rsid w:val="0069177C"/>
    <w:rsid w:val="00692523"/>
    <w:rsid w:val="0069267B"/>
    <w:rsid w:val="0069298E"/>
    <w:rsid w:val="0069311A"/>
    <w:rsid w:val="006939C0"/>
    <w:rsid w:val="00693B40"/>
    <w:rsid w:val="00693C6E"/>
    <w:rsid w:val="00693EAE"/>
    <w:rsid w:val="00693EFD"/>
    <w:rsid w:val="006942E3"/>
    <w:rsid w:val="00694332"/>
    <w:rsid w:val="0069486E"/>
    <w:rsid w:val="00694B09"/>
    <w:rsid w:val="0069590D"/>
    <w:rsid w:val="00695E3E"/>
    <w:rsid w:val="006961CB"/>
    <w:rsid w:val="006965FD"/>
    <w:rsid w:val="006968E8"/>
    <w:rsid w:val="00696E4B"/>
    <w:rsid w:val="006970F0"/>
    <w:rsid w:val="006A06B4"/>
    <w:rsid w:val="006A0CE0"/>
    <w:rsid w:val="006A10DD"/>
    <w:rsid w:val="006A12E9"/>
    <w:rsid w:val="006A1439"/>
    <w:rsid w:val="006A191A"/>
    <w:rsid w:val="006A1C98"/>
    <w:rsid w:val="006A23F9"/>
    <w:rsid w:val="006A2680"/>
    <w:rsid w:val="006A2A90"/>
    <w:rsid w:val="006A2AC7"/>
    <w:rsid w:val="006A2F66"/>
    <w:rsid w:val="006A2F93"/>
    <w:rsid w:val="006A2FF1"/>
    <w:rsid w:val="006A39A9"/>
    <w:rsid w:val="006A39DA"/>
    <w:rsid w:val="006A3E32"/>
    <w:rsid w:val="006A43E4"/>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D7D"/>
    <w:rsid w:val="006B0DBF"/>
    <w:rsid w:val="006B0EEB"/>
    <w:rsid w:val="006B102B"/>
    <w:rsid w:val="006B1424"/>
    <w:rsid w:val="006B19C9"/>
    <w:rsid w:val="006B1EE4"/>
    <w:rsid w:val="006B206D"/>
    <w:rsid w:val="006B2FF7"/>
    <w:rsid w:val="006B30D5"/>
    <w:rsid w:val="006B3970"/>
    <w:rsid w:val="006B3BFE"/>
    <w:rsid w:val="006B442C"/>
    <w:rsid w:val="006B4445"/>
    <w:rsid w:val="006B4DFF"/>
    <w:rsid w:val="006B4E3D"/>
    <w:rsid w:val="006B5063"/>
    <w:rsid w:val="006B50EA"/>
    <w:rsid w:val="006B5525"/>
    <w:rsid w:val="006B555A"/>
    <w:rsid w:val="006B6094"/>
    <w:rsid w:val="006B633C"/>
    <w:rsid w:val="006B676B"/>
    <w:rsid w:val="006B6914"/>
    <w:rsid w:val="006B6AA3"/>
    <w:rsid w:val="006B7880"/>
    <w:rsid w:val="006B7A11"/>
    <w:rsid w:val="006B7B27"/>
    <w:rsid w:val="006B7E0B"/>
    <w:rsid w:val="006B7E3E"/>
    <w:rsid w:val="006C0108"/>
    <w:rsid w:val="006C0168"/>
    <w:rsid w:val="006C0447"/>
    <w:rsid w:val="006C074C"/>
    <w:rsid w:val="006C082C"/>
    <w:rsid w:val="006C08CE"/>
    <w:rsid w:val="006C0A83"/>
    <w:rsid w:val="006C0A89"/>
    <w:rsid w:val="006C0D46"/>
    <w:rsid w:val="006C0EE6"/>
    <w:rsid w:val="006C1C9B"/>
    <w:rsid w:val="006C1EA7"/>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BA9"/>
    <w:rsid w:val="006C5E93"/>
    <w:rsid w:val="006C5F76"/>
    <w:rsid w:val="006C6462"/>
    <w:rsid w:val="006D04C4"/>
    <w:rsid w:val="006D0761"/>
    <w:rsid w:val="006D0EA2"/>
    <w:rsid w:val="006D1340"/>
    <w:rsid w:val="006D1A86"/>
    <w:rsid w:val="006D2428"/>
    <w:rsid w:val="006D26C1"/>
    <w:rsid w:val="006D2B38"/>
    <w:rsid w:val="006D3454"/>
    <w:rsid w:val="006D3456"/>
    <w:rsid w:val="006D41CE"/>
    <w:rsid w:val="006D4378"/>
    <w:rsid w:val="006D49AF"/>
    <w:rsid w:val="006D4EE6"/>
    <w:rsid w:val="006D5077"/>
    <w:rsid w:val="006D5158"/>
    <w:rsid w:val="006D56FD"/>
    <w:rsid w:val="006D59F5"/>
    <w:rsid w:val="006D5F78"/>
    <w:rsid w:val="006D65D2"/>
    <w:rsid w:val="006D65FA"/>
    <w:rsid w:val="006D6C0F"/>
    <w:rsid w:val="006D6C27"/>
    <w:rsid w:val="006D6C92"/>
    <w:rsid w:val="006D6DB3"/>
    <w:rsid w:val="006D6DCC"/>
    <w:rsid w:val="006D6E5B"/>
    <w:rsid w:val="006D7228"/>
    <w:rsid w:val="006D7569"/>
    <w:rsid w:val="006D7B6D"/>
    <w:rsid w:val="006D7C1B"/>
    <w:rsid w:val="006D7E6F"/>
    <w:rsid w:val="006D7EE6"/>
    <w:rsid w:val="006E027D"/>
    <w:rsid w:val="006E03A2"/>
    <w:rsid w:val="006E058A"/>
    <w:rsid w:val="006E06E2"/>
    <w:rsid w:val="006E0710"/>
    <w:rsid w:val="006E14EE"/>
    <w:rsid w:val="006E161B"/>
    <w:rsid w:val="006E1CE4"/>
    <w:rsid w:val="006E1F34"/>
    <w:rsid w:val="006E21FD"/>
    <w:rsid w:val="006E2E59"/>
    <w:rsid w:val="006E2F73"/>
    <w:rsid w:val="006E3A0F"/>
    <w:rsid w:val="006E3E3E"/>
    <w:rsid w:val="006E49A9"/>
    <w:rsid w:val="006E54DA"/>
    <w:rsid w:val="006E6155"/>
    <w:rsid w:val="006E6AC1"/>
    <w:rsid w:val="006E72D9"/>
    <w:rsid w:val="006E7451"/>
    <w:rsid w:val="006E7AC0"/>
    <w:rsid w:val="006F0661"/>
    <w:rsid w:val="006F0686"/>
    <w:rsid w:val="006F0805"/>
    <w:rsid w:val="006F0ACA"/>
    <w:rsid w:val="006F14B6"/>
    <w:rsid w:val="006F175E"/>
    <w:rsid w:val="006F1AC6"/>
    <w:rsid w:val="006F1D53"/>
    <w:rsid w:val="006F1E03"/>
    <w:rsid w:val="006F1F03"/>
    <w:rsid w:val="006F2ABA"/>
    <w:rsid w:val="006F2E06"/>
    <w:rsid w:val="006F2F62"/>
    <w:rsid w:val="006F3854"/>
    <w:rsid w:val="006F437F"/>
    <w:rsid w:val="006F58F0"/>
    <w:rsid w:val="006F5BB3"/>
    <w:rsid w:val="006F5DA7"/>
    <w:rsid w:val="006F5DE9"/>
    <w:rsid w:val="006F5ED9"/>
    <w:rsid w:val="006F61B6"/>
    <w:rsid w:val="006F6C71"/>
    <w:rsid w:val="006F6D80"/>
    <w:rsid w:val="006F6F55"/>
    <w:rsid w:val="006F779C"/>
    <w:rsid w:val="006F7A45"/>
    <w:rsid w:val="006F7FB8"/>
    <w:rsid w:val="00700286"/>
    <w:rsid w:val="0070054C"/>
    <w:rsid w:val="00700A00"/>
    <w:rsid w:val="007016E1"/>
    <w:rsid w:val="00701CA3"/>
    <w:rsid w:val="00701CAE"/>
    <w:rsid w:val="0070224A"/>
    <w:rsid w:val="0070230C"/>
    <w:rsid w:val="00702551"/>
    <w:rsid w:val="00703284"/>
    <w:rsid w:val="0070357E"/>
    <w:rsid w:val="007038D2"/>
    <w:rsid w:val="00703ED8"/>
    <w:rsid w:val="007040C2"/>
    <w:rsid w:val="007040CC"/>
    <w:rsid w:val="00704166"/>
    <w:rsid w:val="0070417D"/>
    <w:rsid w:val="007043C0"/>
    <w:rsid w:val="007044D2"/>
    <w:rsid w:val="007045AB"/>
    <w:rsid w:val="00704925"/>
    <w:rsid w:val="00704EB7"/>
    <w:rsid w:val="00705E86"/>
    <w:rsid w:val="00706045"/>
    <w:rsid w:val="0070691E"/>
    <w:rsid w:val="00706C20"/>
    <w:rsid w:val="007076DA"/>
    <w:rsid w:val="00707C4E"/>
    <w:rsid w:val="00707CB0"/>
    <w:rsid w:val="0071064D"/>
    <w:rsid w:val="00711599"/>
    <w:rsid w:val="00711B4A"/>
    <w:rsid w:val="00711C5C"/>
    <w:rsid w:val="00711EDC"/>
    <w:rsid w:val="00712790"/>
    <w:rsid w:val="007127D5"/>
    <w:rsid w:val="00712A77"/>
    <w:rsid w:val="00712D80"/>
    <w:rsid w:val="00712E0E"/>
    <w:rsid w:val="0071314B"/>
    <w:rsid w:val="00713EA8"/>
    <w:rsid w:val="0071402F"/>
    <w:rsid w:val="00714AAF"/>
    <w:rsid w:val="00715777"/>
    <w:rsid w:val="007157A0"/>
    <w:rsid w:val="00715FC9"/>
    <w:rsid w:val="007160B4"/>
    <w:rsid w:val="0071661C"/>
    <w:rsid w:val="0071681C"/>
    <w:rsid w:val="0071715E"/>
    <w:rsid w:val="007203C7"/>
    <w:rsid w:val="00720D55"/>
    <w:rsid w:val="007223F6"/>
    <w:rsid w:val="007230F0"/>
    <w:rsid w:val="00723F39"/>
    <w:rsid w:val="00723FD3"/>
    <w:rsid w:val="0072467C"/>
    <w:rsid w:val="00724929"/>
    <w:rsid w:val="00724CAC"/>
    <w:rsid w:val="00724D1E"/>
    <w:rsid w:val="007250ED"/>
    <w:rsid w:val="00725747"/>
    <w:rsid w:val="0072579D"/>
    <w:rsid w:val="00725A29"/>
    <w:rsid w:val="00725D14"/>
    <w:rsid w:val="00725ECC"/>
    <w:rsid w:val="00725F65"/>
    <w:rsid w:val="007265B4"/>
    <w:rsid w:val="00726DAF"/>
    <w:rsid w:val="00726DFF"/>
    <w:rsid w:val="00727255"/>
    <w:rsid w:val="007275E2"/>
    <w:rsid w:val="00727E9F"/>
    <w:rsid w:val="00730F69"/>
    <w:rsid w:val="0073249D"/>
    <w:rsid w:val="007325B1"/>
    <w:rsid w:val="00732B3B"/>
    <w:rsid w:val="00732EF2"/>
    <w:rsid w:val="00733544"/>
    <w:rsid w:val="00733560"/>
    <w:rsid w:val="00733855"/>
    <w:rsid w:val="00733A9A"/>
    <w:rsid w:val="00733B1D"/>
    <w:rsid w:val="00734156"/>
    <w:rsid w:val="00735510"/>
    <w:rsid w:val="00735574"/>
    <w:rsid w:val="0073565E"/>
    <w:rsid w:val="0073578F"/>
    <w:rsid w:val="007359E9"/>
    <w:rsid w:val="00735AE4"/>
    <w:rsid w:val="00735BD9"/>
    <w:rsid w:val="007361A1"/>
    <w:rsid w:val="00736260"/>
    <w:rsid w:val="00736305"/>
    <w:rsid w:val="00736390"/>
    <w:rsid w:val="007363EF"/>
    <w:rsid w:val="007364E4"/>
    <w:rsid w:val="00736B2A"/>
    <w:rsid w:val="00736B32"/>
    <w:rsid w:val="00736BD9"/>
    <w:rsid w:val="00736E8A"/>
    <w:rsid w:val="007376E0"/>
    <w:rsid w:val="007377EB"/>
    <w:rsid w:val="007400C2"/>
    <w:rsid w:val="007406A4"/>
    <w:rsid w:val="00741177"/>
    <w:rsid w:val="0074131B"/>
    <w:rsid w:val="00741C76"/>
    <w:rsid w:val="0074278E"/>
    <w:rsid w:val="00742AFE"/>
    <w:rsid w:val="00742BE0"/>
    <w:rsid w:val="00742E31"/>
    <w:rsid w:val="007433CE"/>
    <w:rsid w:val="007433DC"/>
    <w:rsid w:val="0074369B"/>
    <w:rsid w:val="007439DC"/>
    <w:rsid w:val="00744517"/>
    <w:rsid w:val="00744602"/>
    <w:rsid w:val="00744AAF"/>
    <w:rsid w:val="00744B36"/>
    <w:rsid w:val="007450C5"/>
    <w:rsid w:val="00745487"/>
    <w:rsid w:val="0074552E"/>
    <w:rsid w:val="007457E3"/>
    <w:rsid w:val="00745B3B"/>
    <w:rsid w:val="007461E4"/>
    <w:rsid w:val="007463E6"/>
    <w:rsid w:val="0074698E"/>
    <w:rsid w:val="007470AF"/>
    <w:rsid w:val="007475F3"/>
    <w:rsid w:val="00747B98"/>
    <w:rsid w:val="00750142"/>
    <w:rsid w:val="00750169"/>
    <w:rsid w:val="007502CB"/>
    <w:rsid w:val="0075155D"/>
    <w:rsid w:val="0075245B"/>
    <w:rsid w:val="00752E1A"/>
    <w:rsid w:val="00753696"/>
    <w:rsid w:val="00753EE3"/>
    <w:rsid w:val="00754082"/>
    <w:rsid w:val="007540E3"/>
    <w:rsid w:val="007543D9"/>
    <w:rsid w:val="007544CF"/>
    <w:rsid w:val="00754581"/>
    <w:rsid w:val="00754644"/>
    <w:rsid w:val="007546D0"/>
    <w:rsid w:val="00754A4F"/>
    <w:rsid w:val="00754CC8"/>
    <w:rsid w:val="00754FCA"/>
    <w:rsid w:val="0075526B"/>
    <w:rsid w:val="0075545B"/>
    <w:rsid w:val="0075599E"/>
    <w:rsid w:val="007564D6"/>
    <w:rsid w:val="00756B48"/>
    <w:rsid w:val="00756E57"/>
    <w:rsid w:val="00756F02"/>
    <w:rsid w:val="00757448"/>
    <w:rsid w:val="00757768"/>
    <w:rsid w:val="00757C55"/>
    <w:rsid w:val="007602F4"/>
    <w:rsid w:val="007608AA"/>
    <w:rsid w:val="007611B9"/>
    <w:rsid w:val="007615B0"/>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005"/>
    <w:rsid w:val="00765EEF"/>
    <w:rsid w:val="007660CA"/>
    <w:rsid w:val="00766254"/>
    <w:rsid w:val="00766462"/>
    <w:rsid w:val="00766B9E"/>
    <w:rsid w:val="00766CD3"/>
    <w:rsid w:val="00767C3B"/>
    <w:rsid w:val="00767D9D"/>
    <w:rsid w:val="0077070D"/>
    <w:rsid w:val="0077078F"/>
    <w:rsid w:val="007707DE"/>
    <w:rsid w:val="00770AED"/>
    <w:rsid w:val="007714BD"/>
    <w:rsid w:val="007715EA"/>
    <w:rsid w:val="00772513"/>
    <w:rsid w:val="007730C6"/>
    <w:rsid w:val="00773811"/>
    <w:rsid w:val="0077437F"/>
    <w:rsid w:val="00774803"/>
    <w:rsid w:val="00774D8F"/>
    <w:rsid w:val="00775B4F"/>
    <w:rsid w:val="0077699B"/>
    <w:rsid w:val="00776BE5"/>
    <w:rsid w:val="00776D0D"/>
    <w:rsid w:val="00776DFD"/>
    <w:rsid w:val="0077708C"/>
    <w:rsid w:val="00777AC9"/>
    <w:rsid w:val="00777B1C"/>
    <w:rsid w:val="007808F7"/>
    <w:rsid w:val="00780D60"/>
    <w:rsid w:val="00780EE0"/>
    <w:rsid w:val="00781603"/>
    <w:rsid w:val="007827B2"/>
    <w:rsid w:val="00782CE2"/>
    <w:rsid w:val="0078333E"/>
    <w:rsid w:val="007833FD"/>
    <w:rsid w:val="007834FB"/>
    <w:rsid w:val="00783CA7"/>
    <w:rsid w:val="00783E03"/>
    <w:rsid w:val="00784271"/>
    <w:rsid w:val="00784642"/>
    <w:rsid w:val="00784C17"/>
    <w:rsid w:val="007859C1"/>
    <w:rsid w:val="00785AEA"/>
    <w:rsid w:val="00785D10"/>
    <w:rsid w:val="00785F6D"/>
    <w:rsid w:val="0078620C"/>
    <w:rsid w:val="007866A4"/>
    <w:rsid w:val="00786942"/>
    <w:rsid w:val="00786D9A"/>
    <w:rsid w:val="0078766C"/>
    <w:rsid w:val="00787E1C"/>
    <w:rsid w:val="007912FF"/>
    <w:rsid w:val="007913A1"/>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0CD"/>
    <w:rsid w:val="00796731"/>
    <w:rsid w:val="00796E93"/>
    <w:rsid w:val="00797E2C"/>
    <w:rsid w:val="007A0217"/>
    <w:rsid w:val="007A04B3"/>
    <w:rsid w:val="007A1699"/>
    <w:rsid w:val="007A1EE1"/>
    <w:rsid w:val="007A205F"/>
    <w:rsid w:val="007A2643"/>
    <w:rsid w:val="007A2F8C"/>
    <w:rsid w:val="007A3151"/>
    <w:rsid w:val="007A31F2"/>
    <w:rsid w:val="007A32FD"/>
    <w:rsid w:val="007A33C3"/>
    <w:rsid w:val="007A4CEE"/>
    <w:rsid w:val="007A5117"/>
    <w:rsid w:val="007A5135"/>
    <w:rsid w:val="007A51A9"/>
    <w:rsid w:val="007A5D33"/>
    <w:rsid w:val="007A5D84"/>
    <w:rsid w:val="007A5DCC"/>
    <w:rsid w:val="007A63AC"/>
    <w:rsid w:val="007A63DB"/>
    <w:rsid w:val="007A6697"/>
    <w:rsid w:val="007A69BF"/>
    <w:rsid w:val="007A6EA1"/>
    <w:rsid w:val="007A7136"/>
    <w:rsid w:val="007A7198"/>
    <w:rsid w:val="007A7587"/>
    <w:rsid w:val="007A776F"/>
    <w:rsid w:val="007A7C03"/>
    <w:rsid w:val="007A7F1B"/>
    <w:rsid w:val="007B0AB3"/>
    <w:rsid w:val="007B0C7B"/>
    <w:rsid w:val="007B11B4"/>
    <w:rsid w:val="007B1215"/>
    <w:rsid w:val="007B13B9"/>
    <w:rsid w:val="007B1605"/>
    <w:rsid w:val="007B2C59"/>
    <w:rsid w:val="007B2FC2"/>
    <w:rsid w:val="007B322E"/>
    <w:rsid w:val="007B422F"/>
    <w:rsid w:val="007B4636"/>
    <w:rsid w:val="007B5628"/>
    <w:rsid w:val="007B5F22"/>
    <w:rsid w:val="007B5FED"/>
    <w:rsid w:val="007B7763"/>
    <w:rsid w:val="007B79BA"/>
    <w:rsid w:val="007B7F15"/>
    <w:rsid w:val="007C0112"/>
    <w:rsid w:val="007C0246"/>
    <w:rsid w:val="007C0687"/>
    <w:rsid w:val="007C06B0"/>
    <w:rsid w:val="007C083F"/>
    <w:rsid w:val="007C0B24"/>
    <w:rsid w:val="007C1C6F"/>
    <w:rsid w:val="007C1F98"/>
    <w:rsid w:val="007C234B"/>
    <w:rsid w:val="007C2D78"/>
    <w:rsid w:val="007C2E06"/>
    <w:rsid w:val="007C2E65"/>
    <w:rsid w:val="007C359D"/>
    <w:rsid w:val="007C36DD"/>
    <w:rsid w:val="007C3D00"/>
    <w:rsid w:val="007C40FB"/>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0FBC"/>
    <w:rsid w:val="007D1838"/>
    <w:rsid w:val="007D18C1"/>
    <w:rsid w:val="007D31B0"/>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1C7D"/>
    <w:rsid w:val="007F246B"/>
    <w:rsid w:val="007F2AF0"/>
    <w:rsid w:val="007F332E"/>
    <w:rsid w:val="007F35D5"/>
    <w:rsid w:val="007F35FC"/>
    <w:rsid w:val="007F39A3"/>
    <w:rsid w:val="007F3F36"/>
    <w:rsid w:val="007F49D7"/>
    <w:rsid w:val="007F4C66"/>
    <w:rsid w:val="007F53AC"/>
    <w:rsid w:val="007F589C"/>
    <w:rsid w:val="007F5A0F"/>
    <w:rsid w:val="007F5C18"/>
    <w:rsid w:val="007F6552"/>
    <w:rsid w:val="007F657A"/>
    <w:rsid w:val="007F685D"/>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A38"/>
    <w:rsid w:val="00803E98"/>
    <w:rsid w:val="0080430E"/>
    <w:rsid w:val="00804F23"/>
    <w:rsid w:val="00805473"/>
    <w:rsid w:val="00805740"/>
    <w:rsid w:val="00805C40"/>
    <w:rsid w:val="00805D6D"/>
    <w:rsid w:val="00805EF4"/>
    <w:rsid w:val="008061C3"/>
    <w:rsid w:val="00806FC6"/>
    <w:rsid w:val="00807694"/>
    <w:rsid w:val="00807C57"/>
    <w:rsid w:val="0081002E"/>
    <w:rsid w:val="00810063"/>
    <w:rsid w:val="0081033F"/>
    <w:rsid w:val="008107A1"/>
    <w:rsid w:val="00810A02"/>
    <w:rsid w:val="00810AA4"/>
    <w:rsid w:val="00810D48"/>
    <w:rsid w:val="008118EC"/>
    <w:rsid w:val="00811DFD"/>
    <w:rsid w:val="008129DE"/>
    <w:rsid w:val="00812D49"/>
    <w:rsid w:val="00813666"/>
    <w:rsid w:val="008138B2"/>
    <w:rsid w:val="00813972"/>
    <w:rsid w:val="00813AAF"/>
    <w:rsid w:val="0081442E"/>
    <w:rsid w:val="00814872"/>
    <w:rsid w:val="00814D06"/>
    <w:rsid w:val="008152DA"/>
    <w:rsid w:val="00815350"/>
    <w:rsid w:val="0081536E"/>
    <w:rsid w:val="008153BF"/>
    <w:rsid w:val="008154C6"/>
    <w:rsid w:val="00815B6A"/>
    <w:rsid w:val="00816000"/>
    <w:rsid w:val="008161A9"/>
    <w:rsid w:val="008163D7"/>
    <w:rsid w:val="00816939"/>
    <w:rsid w:val="00816BEC"/>
    <w:rsid w:val="00817A8A"/>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77E"/>
    <w:rsid w:val="00827838"/>
    <w:rsid w:val="00830039"/>
    <w:rsid w:val="0083052C"/>
    <w:rsid w:val="00830A36"/>
    <w:rsid w:val="00831184"/>
    <w:rsid w:val="00831E35"/>
    <w:rsid w:val="0083299C"/>
    <w:rsid w:val="00832A43"/>
    <w:rsid w:val="00832B05"/>
    <w:rsid w:val="00832B35"/>
    <w:rsid w:val="00832B5A"/>
    <w:rsid w:val="00833099"/>
    <w:rsid w:val="008335A2"/>
    <w:rsid w:val="008347FF"/>
    <w:rsid w:val="0083488D"/>
    <w:rsid w:val="00834B34"/>
    <w:rsid w:val="00834C7C"/>
    <w:rsid w:val="00835040"/>
    <w:rsid w:val="00835726"/>
    <w:rsid w:val="008358DC"/>
    <w:rsid w:val="00835D0D"/>
    <w:rsid w:val="0083631E"/>
    <w:rsid w:val="008363AF"/>
    <w:rsid w:val="00836565"/>
    <w:rsid w:val="00836662"/>
    <w:rsid w:val="00836CFB"/>
    <w:rsid w:val="00837197"/>
    <w:rsid w:val="00837266"/>
    <w:rsid w:val="00837C7B"/>
    <w:rsid w:val="008409E1"/>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49B0"/>
    <w:rsid w:val="00845192"/>
    <w:rsid w:val="008455F0"/>
    <w:rsid w:val="008456EA"/>
    <w:rsid w:val="00845C39"/>
    <w:rsid w:val="00845D3D"/>
    <w:rsid w:val="00846445"/>
    <w:rsid w:val="008465D3"/>
    <w:rsid w:val="0084695E"/>
    <w:rsid w:val="00846A57"/>
    <w:rsid w:val="00846D15"/>
    <w:rsid w:val="008472F1"/>
    <w:rsid w:val="0084787F"/>
    <w:rsid w:val="00847A9B"/>
    <w:rsid w:val="0085068B"/>
    <w:rsid w:val="00850F57"/>
    <w:rsid w:val="00852246"/>
    <w:rsid w:val="008527F1"/>
    <w:rsid w:val="00852D03"/>
    <w:rsid w:val="00853406"/>
    <w:rsid w:val="0085392D"/>
    <w:rsid w:val="00853A7F"/>
    <w:rsid w:val="00853EC4"/>
    <w:rsid w:val="00853FDC"/>
    <w:rsid w:val="00854543"/>
    <w:rsid w:val="00854B67"/>
    <w:rsid w:val="00854F22"/>
    <w:rsid w:val="0085629A"/>
    <w:rsid w:val="0085633F"/>
    <w:rsid w:val="008563C0"/>
    <w:rsid w:val="00856569"/>
    <w:rsid w:val="008569F4"/>
    <w:rsid w:val="00856CD2"/>
    <w:rsid w:val="00856F08"/>
    <w:rsid w:val="0085724B"/>
    <w:rsid w:val="008577CC"/>
    <w:rsid w:val="008600C6"/>
    <w:rsid w:val="00860482"/>
    <w:rsid w:val="00860655"/>
    <w:rsid w:val="00860699"/>
    <w:rsid w:val="00860BC0"/>
    <w:rsid w:val="00861316"/>
    <w:rsid w:val="008615BA"/>
    <w:rsid w:val="00861A0E"/>
    <w:rsid w:val="00861E25"/>
    <w:rsid w:val="00862BC9"/>
    <w:rsid w:val="00862E7F"/>
    <w:rsid w:val="008630BB"/>
    <w:rsid w:val="00864645"/>
    <w:rsid w:val="00865369"/>
    <w:rsid w:val="008654F1"/>
    <w:rsid w:val="00865EF1"/>
    <w:rsid w:val="00865FFB"/>
    <w:rsid w:val="00866554"/>
    <w:rsid w:val="0086714F"/>
    <w:rsid w:val="008674EF"/>
    <w:rsid w:val="00867A2F"/>
    <w:rsid w:val="00870346"/>
    <w:rsid w:val="00870356"/>
    <w:rsid w:val="00870418"/>
    <w:rsid w:val="008704E6"/>
    <w:rsid w:val="0087063B"/>
    <w:rsid w:val="00871226"/>
    <w:rsid w:val="00871816"/>
    <w:rsid w:val="00871941"/>
    <w:rsid w:val="008729FD"/>
    <w:rsid w:val="00872FD0"/>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0E10"/>
    <w:rsid w:val="0088135D"/>
    <w:rsid w:val="008813D4"/>
    <w:rsid w:val="0088167A"/>
    <w:rsid w:val="00881A94"/>
    <w:rsid w:val="00882483"/>
    <w:rsid w:val="008829D3"/>
    <w:rsid w:val="00882D97"/>
    <w:rsid w:val="00883401"/>
    <w:rsid w:val="00883409"/>
    <w:rsid w:val="00883B7F"/>
    <w:rsid w:val="00883F3E"/>
    <w:rsid w:val="008843EE"/>
    <w:rsid w:val="008847F2"/>
    <w:rsid w:val="00884BB7"/>
    <w:rsid w:val="00885091"/>
    <w:rsid w:val="00885FED"/>
    <w:rsid w:val="0088677A"/>
    <w:rsid w:val="008868B7"/>
    <w:rsid w:val="00886B5D"/>
    <w:rsid w:val="008870CB"/>
    <w:rsid w:val="008876FF"/>
    <w:rsid w:val="00887DCC"/>
    <w:rsid w:val="00887FB4"/>
    <w:rsid w:val="00890078"/>
    <w:rsid w:val="008906D4"/>
    <w:rsid w:val="00890A3F"/>
    <w:rsid w:val="0089175D"/>
    <w:rsid w:val="00891B48"/>
    <w:rsid w:val="00891D59"/>
    <w:rsid w:val="00892311"/>
    <w:rsid w:val="00892338"/>
    <w:rsid w:val="00892CFD"/>
    <w:rsid w:val="00892DCA"/>
    <w:rsid w:val="00893813"/>
    <w:rsid w:val="008938C7"/>
    <w:rsid w:val="00893917"/>
    <w:rsid w:val="00893964"/>
    <w:rsid w:val="008939B2"/>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7A9"/>
    <w:rsid w:val="00897927"/>
    <w:rsid w:val="00897C54"/>
    <w:rsid w:val="00897E7C"/>
    <w:rsid w:val="008A008A"/>
    <w:rsid w:val="008A0185"/>
    <w:rsid w:val="008A097C"/>
    <w:rsid w:val="008A0CA8"/>
    <w:rsid w:val="008A0D3C"/>
    <w:rsid w:val="008A1915"/>
    <w:rsid w:val="008A1D79"/>
    <w:rsid w:val="008A200C"/>
    <w:rsid w:val="008A24AC"/>
    <w:rsid w:val="008A2B33"/>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6D2"/>
    <w:rsid w:val="008B09DF"/>
    <w:rsid w:val="008B0D38"/>
    <w:rsid w:val="008B0E96"/>
    <w:rsid w:val="008B1328"/>
    <w:rsid w:val="008B1FF5"/>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85E"/>
    <w:rsid w:val="008B6A42"/>
    <w:rsid w:val="008B712A"/>
    <w:rsid w:val="008B73E6"/>
    <w:rsid w:val="008B7B5D"/>
    <w:rsid w:val="008B7F5A"/>
    <w:rsid w:val="008C0345"/>
    <w:rsid w:val="008C0A96"/>
    <w:rsid w:val="008C100B"/>
    <w:rsid w:val="008C1091"/>
    <w:rsid w:val="008C15DB"/>
    <w:rsid w:val="008C16F9"/>
    <w:rsid w:val="008C2106"/>
    <w:rsid w:val="008C26D7"/>
    <w:rsid w:val="008C30D5"/>
    <w:rsid w:val="008C3260"/>
    <w:rsid w:val="008C33FB"/>
    <w:rsid w:val="008C3554"/>
    <w:rsid w:val="008C4456"/>
    <w:rsid w:val="008C4E1D"/>
    <w:rsid w:val="008C5262"/>
    <w:rsid w:val="008C5D79"/>
    <w:rsid w:val="008C5F13"/>
    <w:rsid w:val="008C60B3"/>
    <w:rsid w:val="008C6104"/>
    <w:rsid w:val="008C64C0"/>
    <w:rsid w:val="008C6B83"/>
    <w:rsid w:val="008C703A"/>
    <w:rsid w:val="008C7265"/>
    <w:rsid w:val="008C7CDE"/>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755"/>
    <w:rsid w:val="008D5B2E"/>
    <w:rsid w:val="008D5B60"/>
    <w:rsid w:val="008D6634"/>
    <w:rsid w:val="008D68BE"/>
    <w:rsid w:val="008D6926"/>
    <w:rsid w:val="008D6B4F"/>
    <w:rsid w:val="008D6D6A"/>
    <w:rsid w:val="008D7919"/>
    <w:rsid w:val="008D795B"/>
    <w:rsid w:val="008D7AB1"/>
    <w:rsid w:val="008D7AFA"/>
    <w:rsid w:val="008D7B27"/>
    <w:rsid w:val="008E00FA"/>
    <w:rsid w:val="008E1A21"/>
    <w:rsid w:val="008E20B0"/>
    <w:rsid w:val="008E2ED6"/>
    <w:rsid w:val="008E3352"/>
    <w:rsid w:val="008E3B83"/>
    <w:rsid w:val="008E3E50"/>
    <w:rsid w:val="008E459A"/>
    <w:rsid w:val="008E4E32"/>
    <w:rsid w:val="008E4FD6"/>
    <w:rsid w:val="008E5A31"/>
    <w:rsid w:val="008E5B5C"/>
    <w:rsid w:val="008E5CA3"/>
    <w:rsid w:val="008E6337"/>
    <w:rsid w:val="008E6799"/>
    <w:rsid w:val="008E6D2B"/>
    <w:rsid w:val="008E7BB0"/>
    <w:rsid w:val="008E7E42"/>
    <w:rsid w:val="008F0097"/>
    <w:rsid w:val="008F03FD"/>
    <w:rsid w:val="008F0BCF"/>
    <w:rsid w:val="008F26E2"/>
    <w:rsid w:val="008F282A"/>
    <w:rsid w:val="008F2838"/>
    <w:rsid w:val="008F2ABF"/>
    <w:rsid w:val="008F3A45"/>
    <w:rsid w:val="008F5074"/>
    <w:rsid w:val="008F57E1"/>
    <w:rsid w:val="008F5BE3"/>
    <w:rsid w:val="008F5BE5"/>
    <w:rsid w:val="008F5F6A"/>
    <w:rsid w:val="008F61BA"/>
    <w:rsid w:val="008F6A48"/>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EEF"/>
    <w:rsid w:val="00905F3D"/>
    <w:rsid w:val="00906235"/>
    <w:rsid w:val="00906AA4"/>
    <w:rsid w:val="00906B13"/>
    <w:rsid w:val="00906ED4"/>
    <w:rsid w:val="00907393"/>
    <w:rsid w:val="009074C1"/>
    <w:rsid w:val="00907F02"/>
    <w:rsid w:val="00910056"/>
    <w:rsid w:val="0091058F"/>
    <w:rsid w:val="009106D7"/>
    <w:rsid w:val="00910D2F"/>
    <w:rsid w:val="00911772"/>
    <w:rsid w:val="0091189D"/>
    <w:rsid w:val="00912438"/>
    <w:rsid w:val="009126A6"/>
    <w:rsid w:val="00912C9D"/>
    <w:rsid w:val="00912E45"/>
    <w:rsid w:val="00913028"/>
    <w:rsid w:val="009134B3"/>
    <w:rsid w:val="00913C90"/>
    <w:rsid w:val="00914084"/>
    <w:rsid w:val="009141CA"/>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02"/>
    <w:rsid w:val="00922C1D"/>
    <w:rsid w:val="009234AC"/>
    <w:rsid w:val="0092369D"/>
    <w:rsid w:val="00923B2C"/>
    <w:rsid w:val="00924344"/>
    <w:rsid w:val="009247D0"/>
    <w:rsid w:val="009247F7"/>
    <w:rsid w:val="00924949"/>
    <w:rsid w:val="00924BB0"/>
    <w:rsid w:val="00925DFD"/>
    <w:rsid w:val="00926117"/>
    <w:rsid w:val="009268BF"/>
    <w:rsid w:val="009268F5"/>
    <w:rsid w:val="009269AF"/>
    <w:rsid w:val="00926BE1"/>
    <w:rsid w:val="00926EFE"/>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ABF"/>
    <w:rsid w:val="00934CDD"/>
    <w:rsid w:val="00935A99"/>
    <w:rsid w:val="00935E6E"/>
    <w:rsid w:val="00935E78"/>
    <w:rsid w:val="0093616D"/>
    <w:rsid w:val="009361A6"/>
    <w:rsid w:val="009363C6"/>
    <w:rsid w:val="00936412"/>
    <w:rsid w:val="00936943"/>
    <w:rsid w:val="00936AC8"/>
    <w:rsid w:val="009379F2"/>
    <w:rsid w:val="009405A6"/>
    <w:rsid w:val="00941108"/>
    <w:rsid w:val="00941C90"/>
    <w:rsid w:val="0094207F"/>
    <w:rsid w:val="00942393"/>
    <w:rsid w:val="009423DD"/>
    <w:rsid w:val="0094243A"/>
    <w:rsid w:val="00943099"/>
    <w:rsid w:val="009431E8"/>
    <w:rsid w:val="0094366B"/>
    <w:rsid w:val="0094366E"/>
    <w:rsid w:val="009438FE"/>
    <w:rsid w:val="00943914"/>
    <w:rsid w:val="00943A93"/>
    <w:rsid w:val="00943D1D"/>
    <w:rsid w:val="00943E5C"/>
    <w:rsid w:val="0094425C"/>
    <w:rsid w:val="0094425E"/>
    <w:rsid w:val="00944EAE"/>
    <w:rsid w:val="00944EEA"/>
    <w:rsid w:val="00945229"/>
    <w:rsid w:val="0094577F"/>
    <w:rsid w:val="009457F1"/>
    <w:rsid w:val="0094634C"/>
    <w:rsid w:val="0094661E"/>
    <w:rsid w:val="009466C6"/>
    <w:rsid w:val="00946810"/>
    <w:rsid w:val="00946C11"/>
    <w:rsid w:val="0095013A"/>
    <w:rsid w:val="009502B3"/>
    <w:rsid w:val="00951DC2"/>
    <w:rsid w:val="00951E96"/>
    <w:rsid w:val="00952059"/>
    <w:rsid w:val="00952304"/>
    <w:rsid w:val="00953BC7"/>
    <w:rsid w:val="00953D80"/>
    <w:rsid w:val="009544F7"/>
    <w:rsid w:val="00954A12"/>
    <w:rsid w:val="00955AC1"/>
    <w:rsid w:val="00955FDE"/>
    <w:rsid w:val="00956344"/>
    <w:rsid w:val="009564E9"/>
    <w:rsid w:val="0095693B"/>
    <w:rsid w:val="00956DF7"/>
    <w:rsid w:val="00956FA1"/>
    <w:rsid w:val="009574FC"/>
    <w:rsid w:val="009579DD"/>
    <w:rsid w:val="00957B59"/>
    <w:rsid w:val="00957D8E"/>
    <w:rsid w:val="00960099"/>
    <w:rsid w:val="00960F9C"/>
    <w:rsid w:val="00961201"/>
    <w:rsid w:val="00961381"/>
    <w:rsid w:val="0096143E"/>
    <w:rsid w:val="0096221A"/>
    <w:rsid w:val="0096243B"/>
    <w:rsid w:val="0096353B"/>
    <w:rsid w:val="009635E9"/>
    <w:rsid w:val="00963CCD"/>
    <w:rsid w:val="00964028"/>
    <w:rsid w:val="009643E3"/>
    <w:rsid w:val="0096445F"/>
    <w:rsid w:val="00964584"/>
    <w:rsid w:val="009647CA"/>
    <w:rsid w:val="00964A16"/>
    <w:rsid w:val="00964A3B"/>
    <w:rsid w:val="00965520"/>
    <w:rsid w:val="0096557B"/>
    <w:rsid w:val="009656A3"/>
    <w:rsid w:val="00965D20"/>
    <w:rsid w:val="00966A99"/>
    <w:rsid w:val="0096771C"/>
    <w:rsid w:val="0097088C"/>
    <w:rsid w:val="00970E5C"/>
    <w:rsid w:val="00971074"/>
    <w:rsid w:val="00971634"/>
    <w:rsid w:val="0097169B"/>
    <w:rsid w:val="009716F1"/>
    <w:rsid w:val="00971744"/>
    <w:rsid w:val="009719E9"/>
    <w:rsid w:val="00972792"/>
    <w:rsid w:val="009727D0"/>
    <w:rsid w:val="00972DC6"/>
    <w:rsid w:val="00973F5A"/>
    <w:rsid w:val="00974330"/>
    <w:rsid w:val="009744EC"/>
    <w:rsid w:val="00974BF9"/>
    <w:rsid w:val="00974FD7"/>
    <w:rsid w:val="0097502E"/>
    <w:rsid w:val="00975135"/>
    <w:rsid w:val="009753F5"/>
    <w:rsid w:val="00975FE1"/>
    <w:rsid w:val="00976409"/>
    <w:rsid w:val="00976447"/>
    <w:rsid w:val="009765EF"/>
    <w:rsid w:val="00976680"/>
    <w:rsid w:val="0097680E"/>
    <w:rsid w:val="009768B0"/>
    <w:rsid w:val="00976965"/>
    <w:rsid w:val="00976A9F"/>
    <w:rsid w:val="00977317"/>
    <w:rsid w:val="0098003A"/>
    <w:rsid w:val="00980872"/>
    <w:rsid w:val="00980FCE"/>
    <w:rsid w:val="00981B53"/>
    <w:rsid w:val="00981C86"/>
    <w:rsid w:val="009825B0"/>
    <w:rsid w:val="009826DC"/>
    <w:rsid w:val="00982B37"/>
    <w:rsid w:val="00982B7E"/>
    <w:rsid w:val="009833C6"/>
    <w:rsid w:val="0098344F"/>
    <w:rsid w:val="009836B3"/>
    <w:rsid w:val="00983E47"/>
    <w:rsid w:val="009844CC"/>
    <w:rsid w:val="009845AF"/>
    <w:rsid w:val="00984AF6"/>
    <w:rsid w:val="00986472"/>
    <w:rsid w:val="009867FD"/>
    <w:rsid w:val="00986809"/>
    <w:rsid w:val="0098698B"/>
    <w:rsid w:val="0098699E"/>
    <w:rsid w:val="00986CDD"/>
    <w:rsid w:val="00986D93"/>
    <w:rsid w:val="009873D3"/>
    <w:rsid w:val="0098750D"/>
    <w:rsid w:val="0098792A"/>
    <w:rsid w:val="00987B13"/>
    <w:rsid w:val="00987DA0"/>
    <w:rsid w:val="009900B4"/>
    <w:rsid w:val="0099015C"/>
    <w:rsid w:val="009901F0"/>
    <w:rsid w:val="00990C9A"/>
    <w:rsid w:val="009913BC"/>
    <w:rsid w:val="00991AF3"/>
    <w:rsid w:val="00991B9F"/>
    <w:rsid w:val="009927D8"/>
    <w:rsid w:val="00992AC1"/>
    <w:rsid w:val="0099334C"/>
    <w:rsid w:val="00993734"/>
    <w:rsid w:val="00993C98"/>
    <w:rsid w:val="0099411C"/>
    <w:rsid w:val="009954BC"/>
    <w:rsid w:val="009959E1"/>
    <w:rsid w:val="0099614D"/>
    <w:rsid w:val="00996310"/>
    <w:rsid w:val="00996795"/>
    <w:rsid w:val="009968CF"/>
    <w:rsid w:val="00996EB5"/>
    <w:rsid w:val="00997082"/>
    <w:rsid w:val="0099750D"/>
    <w:rsid w:val="00997AF2"/>
    <w:rsid w:val="00997EBF"/>
    <w:rsid w:val="009A020D"/>
    <w:rsid w:val="009A08BE"/>
    <w:rsid w:val="009A1478"/>
    <w:rsid w:val="009A1765"/>
    <w:rsid w:val="009A1820"/>
    <w:rsid w:val="009A2045"/>
    <w:rsid w:val="009A2352"/>
    <w:rsid w:val="009A2471"/>
    <w:rsid w:val="009A26E6"/>
    <w:rsid w:val="009A322D"/>
    <w:rsid w:val="009A3438"/>
    <w:rsid w:val="009A3C5D"/>
    <w:rsid w:val="009A4266"/>
    <w:rsid w:val="009A4D4D"/>
    <w:rsid w:val="009A5105"/>
    <w:rsid w:val="009A51C1"/>
    <w:rsid w:val="009A558C"/>
    <w:rsid w:val="009A5685"/>
    <w:rsid w:val="009A5CE4"/>
    <w:rsid w:val="009A5E33"/>
    <w:rsid w:val="009A5E6C"/>
    <w:rsid w:val="009A6036"/>
    <w:rsid w:val="009A62B4"/>
    <w:rsid w:val="009A6313"/>
    <w:rsid w:val="009A6316"/>
    <w:rsid w:val="009A6C54"/>
    <w:rsid w:val="009A6C61"/>
    <w:rsid w:val="009A72E5"/>
    <w:rsid w:val="009A73FE"/>
    <w:rsid w:val="009A7564"/>
    <w:rsid w:val="009A7875"/>
    <w:rsid w:val="009B0278"/>
    <w:rsid w:val="009B06C9"/>
    <w:rsid w:val="009B12DF"/>
    <w:rsid w:val="009B14CD"/>
    <w:rsid w:val="009B1B20"/>
    <w:rsid w:val="009B23C6"/>
    <w:rsid w:val="009B2BFF"/>
    <w:rsid w:val="009B2CA5"/>
    <w:rsid w:val="009B36F2"/>
    <w:rsid w:val="009B3897"/>
    <w:rsid w:val="009B3A4F"/>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16C"/>
    <w:rsid w:val="009C258C"/>
    <w:rsid w:val="009C2608"/>
    <w:rsid w:val="009C2A3D"/>
    <w:rsid w:val="009C328C"/>
    <w:rsid w:val="009C3D63"/>
    <w:rsid w:val="009C4103"/>
    <w:rsid w:val="009C4306"/>
    <w:rsid w:val="009C43AA"/>
    <w:rsid w:val="009C4753"/>
    <w:rsid w:val="009C4ADE"/>
    <w:rsid w:val="009C4D15"/>
    <w:rsid w:val="009C5906"/>
    <w:rsid w:val="009C5CF8"/>
    <w:rsid w:val="009C5F0A"/>
    <w:rsid w:val="009C6363"/>
    <w:rsid w:val="009C6398"/>
    <w:rsid w:val="009C63B3"/>
    <w:rsid w:val="009C6A59"/>
    <w:rsid w:val="009C799D"/>
    <w:rsid w:val="009C7C00"/>
    <w:rsid w:val="009D00C6"/>
    <w:rsid w:val="009D0759"/>
    <w:rsid w:val="009D09F2"/>
    <w:rsid w:val="009D12DF"/>
    <w:rsid w:val="009D1689"/>
    <w:rsid w:val="009D1B30"/>
    <w:rsid w:val="009D1C99"/>
    <w:rsid w:val="009D2635"/>
    <w:rsid w:val="009D2DFF"/>
    <w:rsid w:val="009D3175"/>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A85"/>
    <w:rsid w:val="009E1C5B"/>
    <w:rsid w:val="009E1C5D"/>
    <w:rsid w:val="009E2063"/>
    <w:rsid w:val="009E2124"/>
    <w:rsid w:val="009E2155"/>
    <w:rsid w:val="009E21DE"/>
    <w:rsid w:val="009E2208"/>
    <w:rsid w:val="009E2890"/>
    <w:rsid w:val="009E30F2"/>
    <w:rsid w:val="009E34BD"/>
    <w:rsid w:val="009E3632"/>
    <w:rsid w:val="009E3C29"/>
    <w:rsid w:val="009E3D87"/>
    <w:rsid w:val="009E4AE9"/>
    <w:rsid w:val="009E4D8A"/>
    <w:rsid w:val="009E51D1"/>
    <w:rsid w:val="009E560B"/>
    <w:rsid w:val="009E70E9"/>
    <w:rsid w:val="009E7697"/>
    <w:rsid w:val="009E7A2B"/>
    <w:rsid w:val="009E7D8D"/>
    <w:rsid w:val="009F0333"/>
    <w:rsid w:val="009F0EFA"/>
    <w:rsid w:val="009F1640"/>
    <w:rsid w:val="009F1705"/>
    <w:rsid w:val="009F181A"/>
    <w:rsid w:val="009F1D5C"/>
    <w:rsid w:val="009F1FF2"/>
    <w:rsid w:val="009F2161"/>
    <w:rsid w:val="009F255E"/>
    <w:rsid w:val="009F289E"/>
    <w:rsid w:val="009F30D3"/>
    <w:rsid w:val="009F3487"/>
    <w:rsid w:val="009F365D"/>
    <w:rsid w:val="009F3C9E"/>
    <w:rsid w:val="009F3FCF"/>
    <w:rsid w:val="009F40D0"/>
    <w:rsid w:val="009F414D"/>
    <w:rsid w:val="009F4262"/>
    <w:rsid w:val="009F4266"/>
    <w:rsid w:val="009F4EC4"/>
    <w:rsid w:val="009F4EF2"/>
    <w:rsid w:val="009F56ED"/>
    <w:rsid w:val="009F58BC"/>
    <w:rsid w:val="009F5AC7"/>
    <w:rsid w:val="009F5B0D"/>
    <w:rsid w:val="009F65CD"/>
    <w:rsid w:val="009F6FC0"/>
    <w:rsid w:val="009F70B5"/>
    <w:rsid w:val="009F7116"/>
    <w:rsid w:val="009F7346"/>
    <w:rsid w:val="009F73EB"/>
    <w:rsid w:val="009F7BFD"/>
    <w:rsid w:val="009F7D54"/>
    <w:rsid w:val="009F7F0B"/>
    <w:rsid w:val="00A0090C"/>
    <w:rsid w:val="00A00B9C"/>
    <w:rsid w:val="00A00BC2"/>
    <w:rsid w:val="00A0154B"/>
    <w:rsid w:val="00A016AC"/>
    <w:rsid w:val="00A01DAA"/>
    <w:rsid w:val="00A01F3E"/>
    <w:rsid w:val="00A0205F"/>
    <w:rsid w:val="00A029B5"/>
    <w:rsid w:val="00A02FCB"/>
    <w:rsid w:val="00A03910"/>
    <w:rsid w:val="00A03F34"/>
    <w:rsid w:val="00A04553"/>
    <w:rsid w:val="00A045B7"/>
    <w:rsid w:val="00A04B43"/>
    <w:rsid w:val="00A054BD"/>
    <w:rsid w:val="00A056E8"/>
    <w:rsid w:val="00A05758"/>
    <w:rsid w:val="00A0672C"/>
    <w:rsid w:val="00A068EF"/>
    <w:rsid w:val="00A06A0A"/>
    <w:rsid w:val="00A06E64"/>
    <w:rsid w:val="00A06F36"/>
    <w:rsid w:val="00A079DB"/>
    <w:rsid w:val="00A07C21"/>
    <w:rsid w:val="00A1048A"/>
    <w:rsid w:val="00A1125D"/>
    <w:rsid w:val="00A1157F"/>
    <w:rsid w:val="00A12C03"/>
    <w:rsid w:val="00A12D1B"/>
    <w:rsid w:val="00A132F6"/>
    <w:rsid w:val="00A13764"/>
    <w:rsid w:val="00A138DC"/>
    <w:rsid w:val="00A13C4F"/>
    <w:rsid w:val="00A14A20"/>
    <w:rsid w:val="00A14D30"/>
    <w:rsid w:val="00A14D50"/>
    <w:rsid w:val="00A150F1"/>
    <w:rsid w:val="00A1514D"/>
    <w:rsid w:val="00A160E2"/>
    <w:rsid w:val="00A1615D"/>
    <w:rsid w:val="00A161A6"/>
    <w:rsid w:val="00A167EA"/>
    <w:rsid w:val="00A16860"/>
    <w:rsid w:val="00A16C8D"/>
    <w:rsid w:val="00A16F40"/>
    <w:rsid w:val="00A17657"/>
    <w:rsid w:val="00A17753"/>
    <w:rsid w:val="00A17A17"/>
    <w:rsid w:val="00A17B04"/>
    <w:rsid w:val="00A17C98"/>
    <w:rsid w:val="00A17D30"/>
    <w:rsid w:val="00A20361"/>
    <w:rsid w:val="00A20437"/>
    <w:rsid w:val="00A21D5E"/>
    <w:rsid w:val="00A21D80"/>
    <w:rsid w:val="00A21DEC"/>
    <w:rsid w:val="00A2225F"/>
    <w:rsid w:val="00A225A8"/>
    <w:rsid w:val="00A22EBA"/>
    <w:rsid w:val="00A230B7"/>
    <w:rsid w:val="00A233B0"/>
    <w:rsid w:val="00A235E9"/>
    <w:rsid w:val="00A23782"/>
    <w:rsid w:val="00A23F9C"/>
    <w:rsid w:val="00A24069"/>
    <w:rsid w:val="00A246F1"/>
    <w:rsid w:val="00A24DBB"/>
    <w:rsid w:val="00A24DEB"/>
    <w:rsid w:val="00A24EA0"/>
    <w:rsid w:val="00A25031"/>
    <w:rsid w:val="00A250D2"/>
    <w:rsid w:val="00A25ED0"/>
    <w:rsid w:val="00A262D4"/>
    <w:rsid w:val="00A27054"/>
    <w:rsid w:val="00A3020A"/>
    <w:rsid w:val="00A3035E"/>
    <w:rsid w:val="00A30812"/>
    <w:rsid w:val="00A30C29"/>
    <w:rsid w:val="00A3111B"/>
    <w:rsid w:val="00A31788"/>
    <w:rsid w:val="00A31C5D"/>
    <w:rsid w:val="00A32665"/>
    <w:rsid w:val="00A32D7A"/>
    <w:rsid w:val="00A330B1"/>
    <w:rsid w:val="00A33256"/>
    <w:rsid w:val="00A33906"/>
    <w:rsid w:val="00A33CB0"/>
    <w:rsid w:val="00A33D46"/>
    <w:rsid w:val="00A33F2E"/>
    <w:rsid w:val="00A3415C"/>
    <w:rsid w:val="00A341E3"/>
    <w:rsid w:val="00A34937"/>
    <w:rsid w:val="00A34AC8"/>
    <w:rsid w:val="00A34EBF"/>
    <w:rsid w:val="00A3587E"/>
    <w:rsid w:val="00A3635E"/>
    <w:rsid w:val="00A36E54"/>
    <w:rsid w:val="00A37543"/>
    <w:rsid w:val="00A379DF"/>
    <w:rsid w:val="00A40101"/>
    <w:rsid w:val="00A401B6"/>
    <w:rsid w:val="00A402B4"/>
    <w:rsid w:val="00A4050A"/>
    <w:rsid w:val="00A40839"/>
    <w:rsid w:val="00A412BF"/>
    <w:rsid w:val="00A416CB"/>
    <w:rsid w:val="00A41970"/>
    <w:rsid w:val="00A42788"/>
    <w:rsid w:val="00A42AEB"/>
    <w:rsid w:val="00A43031"/>
    <w:rsid w:val="00A433C7"/>
    <w:rsid w:val="00A433CA"/>
    <w:rsid w:val="00A43897"/>
    <w:rsid w:val="00A4436B"/>
    <w:rsid w:val="00A44A2A"/>
    <w:rsid w:val="00A46729"/>
    <w:rsid w:val="00A46AA6"/>
    <w:rsid w:val="00A470CE"/>
    <w:rsid w:val="00A47339"/>
    <w:rsid w:val="00A473D1"/>
    <w:rsid w:val="00A474CC"/>
    <w:rsid w:val="00A47B65"/>
    <w:rsid w:val="00A47CBB"/>
    <w:rsid w:val="00A5002E"/>
    <w:rsid w:val="00A50553"/>
    <w:rsid w:val="00A50620"/>
    <w:rsid w:val="00A507A4"/>
    <w:rsid w:val="00A50962"/>
    <w:rsid w:val="00A50AFC"/>
    <w:rsid w:val="00A510DE"/>
    <w:rsid w:val="00A51115"/>
    <w:rsid w:val="00A51441"/>
    <w:rsid w:val="00A517FD"/>
    <w:rsid w:val="00A51B3E"/>
    <w:rsid w:val="00A528B9"/>
    <w:rsid w:val="00A52DC9"/>
    <w:rsid w:val="00A52F0E"/>
    <w:rsid w:val="00A531EF"/>
    <w:rsid w:val="00A5398A"/>
    <w:rsid w:val="00A53B0A"/>
    <w:rsid w:val="00A53F77"/>
    <w:rsid w:val="00A54076"/>
    <w:rsid w:val="00A54D53"/>
    <w:rsid w:val="00A54D71"/>
    <w:rsid w:val="00A5587B"/>
    <w:rsid w:val="00A55A95"/>
    <w:rsid w:val="00A55BC4"/>
    <w:rsid w:val="00A55D70"/>
    <w:rsid w:val="00A560BD"/>
    <w:rsid w:val="00A56239"/>
    <w:rsid w:val="00A56280"/>
    <w:rsid w:val="00A565A4"/>
    <w:rsid w:val="00A56982"/>
    <w:rsid w:val="00A56DE6"/>
    <w:rsid w:val="00A56E44"/>
    <w:rsid w:val="00A57578"/>
    <w:rsid w:val="00A57E30"/>
    <w:rsid w:val="00A57E6A"/>
    <w:rsid w:val="00A60D12"/>
    <w:rsid w:val="00A615E3"/>
    <w:rsid w:val="00A616D4"/>
    <w:rsid w:val="00A617CA"/>
    <w:rsid w:val="00A617E4"/>
    <w:rsid w:val="00A61D17"/>
    <w:rsid w:val="00A62388"/>
    <w:rsid w:val="00A630D3"/>
    <w:rsid w:val="00A6314E"/>
    <w:rsid w:val="00A637C5"/>
    <w:rsid w:val="00A63B26"/>
    <w:rsid w:val="00A63D00"/>
    <w:rsid w:val="00A64B98"/>
    <w:rsid w:val="00A651D5"/>
    <w:rsid w:val="00A65748"/>
    <w:rsid w:val="00A657C3"/>
    <w:rsid w:val="00A65B26"/>
    <w:rsid w:val="00A65DC0"/>
    <w:rsid w:val="00A66874"/>
    <w:rsid w:val="00A66E25"/>
    <w:rsid w:val="00A66EE0"/>
    <w:rsid w:val="00A6770D"/>
    <w:rsid w:val="00A677A3"/>
    <w:rsid w:val="00A67C16"/>
    <w:rsid w:val="00A67DD6"/>
    <w:rsid w:val="00A67EB5"/>
    <w:rsid w:val="00A708ED"/>
    <w:rsid w:val="00A70F93"/>
    <w:rsid w:val="00A710B6"/>
    <w:rsid w:val="00A7115E"/>
    <w:rsid w:val="00A71C39"/>
    <w:rsid w:val="00A71D8F"/>
    <w:rsid w:val="00A71D97"/>
    <w:rsid w:val="00A725AD"/>
    <w:rsid w:val="00A72913"/>
    <w:rsid w:val="00A72951"/>
    <w:rsid w:val="00A7306D"/>
    <w:rsid w:val="00A7395D"/>
    <w:rsid w:val="00A73B12"/>
    <w:rsid w:val="00A742D0"/>
    <w:rsid w:val="00A74470"/>
    <w:rsid w:val="00A74B6D"/>
    <w:rsid w:val="00A74DCB"/>
    <w:rsid w:val="00A7512D"/>
    <w:rsid w:val="00A75466"/>
    <w:rsid w:val="00A759F6"/>
    <w:rsid w:val="00A75CC4"/>
    <w:rsid w:val="00A75F33"/>
    <w:rsid w:val="00A765E5"/>
    <w:rsid w:val="00A76927"/>
    <w:rsid w:val="00A76DF9"/>
    <w:rsid w:val="00A77074"/>
    <w:rsid w:val="00A773A6"/>
    <w:rsid w:val="00A7752F"/>
    <w:rsid w:val="00A77842"/>
    <w:rsid w:val="00A77A48"/>
    <w:rsid w:val="00A77B52"/>
    <w:rsid w:val="00A77D26"/>
    <w:rsid w:val="00A804F2"/>
    <w:rsid w:val="00A81172"/>
    <w:rsid w:val="00A819E3"/>
    <w:rsid w:val="00A81D4C"/>
    <w:rsid w:val="00A82140"/>
    <w:rsid w:val="00A830B9"/>
    <w:rsid w:val="00A83483"/>
    <w:rsid w:val="00A836FF"/>
    <w:rsid w:val="00A83EA5"/>
    <w:rsid w:val="00A8539C"/>
    <w:rsid w:val="00A85D8C"/>
    <w:rsid w:val="00A85E92"/>
    <w:rsid w:val="00A86549"/>
    <w:rsid w:val="00A877E8"/>
    <w:rsid w:val="00A879AB"/>
    <w:rsid w:val="00A87B2F"/>
    <w:rsid w:val="00A903A7"/>
    <w:rsid w:val="00A90519"/>
    <w:rsid w:val="00A90F6A"/>
    <w:rsid w:val="00A913C8"/>
    <w:rsid w:val="00A91856"/>
    <w:rsid w:val="00A91966"/>
    <w:rsid w:val="00A91CFC"/>
    <w:rsid w:val="00A9219E"/>
    <w:rsid w:val="00A9241B"/>
    <w:rsid w:val="00A92702"/>
    <w:rsid w:val="00A932E5"/>
    <w:rsid w:val="00A93549"/>
    <w:rsid w:val="00A9383A"/>
    <w:rsid w:val="00A938F4"/>
    <w:rsid w:val="00A93AC0"/>
    <w:rsid w:val="00A93E9E"/>
    <w:rsid w:val="00A93EB6"/>
    <w:rsid w:val="00A940D0"/>
    <w:rsid w:val="00A94913"/>
    <w:rsid w:val="00A9515F"/>
    <w:rsid w:val="00A95830"/>
    <w:rsid w:val="00A95936"/>
    <w:rsid w:val="00A95AE6"/>
    <w:rsid w:val="00A95B94"/>
    <w:rsid w:val="00A96961"/>
    <w:rsid w:val="00A971CE"/>
    <w:rsid w:val="00A97271"/>
    <w:rsid w:val="00A972C6"/>
    <w:rsid w:val="00A974AC"/>
    <w:rsid w:val="00A97676"/>
    <w:rsid w:val="00A97829"/>
    <w:rsid w:val="00A97FF4"/>
    <w:rsid w:val="00AA11B3"/>
    <w:rsid w:val="00AA1D05"/>
    <w:rsid w:val="00AA25FA"/>
    <w:rsid w:val="00AA318B"/>
    <w:rsid w:val="00AA3292"/>
    <w:rsid w:val="00AA3A29"/>
    <w:rsid w:val="00AA3D24"/>
    <w:rsid w:val="00AA3D7D"/>
    <w:rsid w:val="00AA4319"/>
    <w:rsid w:val="00AA437D"/>
    <w:rsid w:val="00AA44E1"/>
    <w:rsid w:val="00AA4ECF"/>
    <w:rsid w:val="00AA58A2"/>
    <w:rsid w:val="00AA5D17"/>
    <w:rsid w:val="00AA5DCE"/>
    <w:rsid w:val="00AA64A0"/>
    <w:rsid w:val="00AA7256"/>
    <w:rsid w:val="00AA72B0"/>
    <w:rsid w:val="00AA776C"/>
    <w:rsid w:val="00AB0201"/>
    <w:rsid w:val="00AB091B"/>
    <w:rsid w:val="00AB0AB7"/>
    <w:rsid w:val="00AB0D51"/>
    <w:rsid w:val="00AB0FB2"/>
    <w:rsid w:val="00AB103D"/>
    <w:rsid w:val="00AB1998"/>
    <w:rsid w:val="00AB1FE6"/>
    <w:rsid w:val="00AB2C9C"/>
    <w:rsid w:val="00AB2D94"/>
    <w:rsid w:val="00AB3293"/>
    <w:rsid w:val="00AB37B7"/>
    <w:rsid w:val="00AB3F0F"/>
    <w:rsid w:val="00AB40CC"/>
    <w:rsid w:val="00AB5B26"/>
    <w:rsid w:val="00AB62A9"/>
    <w:rsid w:val="00AB6802"/>
    <w:rsid w:val="00AB6836"/>
    <w:rsid w:val="00AB689B"/>
    <w:rsid w:val="00AB75B5"/>
    <w:rsid w:val="00AB7C8C"/>
    <w:rsid w:val="00AC04C9"/>
    <w:rsid w:val="00AC0D7A"/>
    <w:rsid w:val="00AC1A26"/>
    <w:rsid w:val="00AC1CD5"/>
    <w:rsid w:val="00AC1F75"/>
    <w:rsid w:val="00AC314C"/>
    <w:rsid w:val="00AC3DD2"/>
    <w:rsid w:val="00AC414F"/>
    <w:rsid w:val="00AC476C"/>
    <w:rsid w:val="00AC4E50"/>
    <w:rsid w:val="00AC5B34"/>
    <w:rsid w:val="00AC5D8A"/>
    <w:rsid w:val="00AC6184"/>
    <w:rsid w:val="00AC6326"/>
    <w:rsid w:val="00AC6649"/>
    <w:rsid w:val="00AC67BE"/>
    <w:rsid w:val="00AC6DEC"/>
    <w:rsid w:val="00AC70F8"/>
    <w:rsid w:val="00AC732D"/>
    <w:rsid w:val="00AC7377"/>
    <w:rsid w:val="00AC766C"/>
    <w:rsid w:val="00AC776D"/>
    <w:rsid w:val="00AC7972"/>
    <w:rsid w:val="00AC7BC1"/>
    <w:rsid w:val="00AD0832"/>
    <w:rsid w:val="00AD08D4"/>
    <w:rsid w:val="00AD0AB7"/>
    <w:rsid w:val="00AD0D3E"/>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1C2"/>
    <w:rsid w:val="00AD75DB"/>
    <w:rsid w:val="00AD7D5E"/>
    <w:rsid w:val="00AD7F91"/>
    <w:rsid w:val="00AE024B"/>
    <w:rsid w:val="00AE04E1"/>
    <w:rsid w:val="00AE0B30"/>
    <w:rsid w:val="00AE0CA5"/>
    <w:rsid w:val="00AE10AC"/>
    <w:rsid w:val="00AE12A3"/>
    <w:rsid w:val="00AE16E5"/>
    <w:rsid w:val="00AE1AD8"/>
    <w:rsid w:val="00AE1EAB"/>
    <w:rsid w:val="00AE2623"/>
    <w:rsid w:val="00AE2659"/>
    <w:rsid w:val="00AE2ECC"/>
    <w:rsid w:val="00AE379D"/>
    <w:rsid w:val="00AE37F6"/>
    <w:rsid w:val="00AE3836"/>
    <w:rsid w:val="00AE387E"/>
    <w:rsid w:val="00AE3BB5"/>
    <w:rsid w:val="00AE3FF0"/>
    <w:rsid w:val="00AE4143"/>
    <w:rsid w:val="00AE4284"/>
    <w:rsid w:val="00AE437F"/>
    <w:rsid w:val="00AE47B9"/>
    <w:rsid w:val="00AE52F3"/>
    <w:rsid w:val="00AE5A9B"/>
    <w:rsid w:val="00AE5C63"/>
    <w:rsid w:val="00AE5F6F"/>
    <w:rsid w:val="00AE6056"/>
    <w:rsid w:val="00AE61ED"/>
    <w:rsid w:val="00AE6219"/>
    <w:rsid w:val="00AE651F"/>
    <w:rsid w:val="00AE6EB1"/>
    <w:rsid w:val="00AE7281"/>
    <w:rsid w:val="00AF02A3"/>
    <w:rsid w:val="00AF063A"/>
    <w:rsid w:val="00AF077E"/>
    <w:rsid w:val="00AF0CD5"/>
    <w:rsid w:val="00AF17D5"/>
    <w:rsid w:val="00AF1CC3"/>
    <w:rsid w:val="00AF1D6E"/>
    <w:rsid w:val="00AF1E15"/>
    <w:rsid w:val="00AF1E58"/>
    <w:rsid w:val="00AF27FF"/>
    <w:rsid w:val="00AF31C6"/>
    <w:rsid w:val="00AF39EC"/>
    <w:rsid w:val="00AF3E69"/>
    <w:rsid w:val="00AF3F40"/>
    <w:rsid w:val="00AF40D8"/>
    <w:rsid w:val="00AF42F9"/>
    <w:rsid w:val="00AF4EE9"/>
    <w:rsid w:val="00AF500F"/>
    <w:rsid w:val="00AF5010"/>
    <w:rsid w:val="00AF5125"/>
    <w:rsid w:val="00AF5DE5"/>
    <w:rsid w:val="00AF5DE7"/>
    <w:rsid w:val="00AF630C"/>
    <w:rsid w:val="00AF6941"/>
    <w:rsid w:val="00AF6E86"/>
    <w:rsid w:val="00AF7135"/>
    <w:rsid w:val="00AF727F"/>
    <w:rsid w:val="00AF7339"/>
    <w:rsid w:val="00AF7499"/>
    <w:rsid w:val="00AF785E"/>
    <w:rsid w:val="00AF78C8"/>
    <w:rsid w:val="00AF7926"/>
    <w:rsid w:val="00AF7B6F"/>
    <w:rsid w:val="00B0015E"/>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4FE5"/>
    <w:rsid w:val="00B05123"/>
    <w:rsid w:val="00B056F1"/>
    <w:rsid w:val="00B0587C"/>
    <w:rsid w:val="00B05CE4"/>
    <w:rsid w:val="00B06309"/>
    <w:rsid w:val="00B06B7F"/>
    <w:rsid w:val="00B06F14"/>
    <w:rsid w:val="00B070D1"/>
    <w:rsid w:val="00B071E6"/>
    <w:rsid w:val="00B07469"/>
    <w:rsid w:val="00B07E7B"/>
    <w:rsid w:val="00B103A6"/>
    <w:rsid w:val="00B104DA"/>
    <w:rsid w:val="00B10A85"/>
    <w:rsid w:val="00B10A93"/>
    <w:rsid w:val="00B1125F"/>
    <w:rsid w:val="00B12327"/>
    <w:rsid w:val="00B12E70"/>
    <w:rsid w:val="00B12ED4"/>
    <w:rsid w:val="00B12F0B"/>
    <w:rsid w:val="00B134E3"/>
    <w:rsid w:val="00B1381E"/>
    <w:rsid w:val="00B13FF6"/>
    <w:rsid w:val="00B1425F"/>
    <w:rsid w:val="00B144FA"/>
    <w:rsid w:val="00B150CC"/>
    <w:rsid w:val="00B154C3"/>
    <w:rsid w:val="00B157A5"/>
    <w:rsid w:val="00B16249"/>
    <w:rsid w:val="00B16485"/>
    <w:rsid w:val="00B1660B"/>
    <w:rsid w:val="00B168E0"/>
    <w:rsid w:val="00B1690C"/>
    <w:rsid w:val="00B16BDA"/>
    <w:rsid w:val="00B16C58"/>
    <w:rsid w:val="00B17237"/>
    <w:rsid w:val="00B1755C"/>
    <w:rsid w:val="00B20927"/>
    <w:rsid w:val="00B2144F"/>
    <w:rsid w:val="00B21841"/>
    <w:rsid w:val="00B21963"/>
    <w:rsid w:val="00B21C89"/>
    <w:rsid w:val="00B21E0E"/>
    <w:rsid w:val="00B21FDF"/>
    <w:rsid w:val="00B233AE"/>
    <w:rsid w:val="00B23684"/>
    <w:rsid w:val="00B23F2A"/>
    <w:rsid w:val="00B24150"/>
    <w:rsid w:val="00B24C06"/>
    <w:rsid w:val="00B254CF"/>
    <w:rsid w:val="00B25564"/>
    <w:rsid w:val="00B25566"/>
    <w:rsid w:val="00B25AB9"/>
    <w:rsid w:val="00B25D25"/>
    <w:rsid w:val="00B25E57"/>
    <w:rsid w:val="00B2622C"/>
    <w:rsid w:val="00B26661"/>
    <w:rsid w:val="00B26824"/>
    <w:rsid w:val="00B27533"/>
    <w:rsid w:val="00B2769C"/>
    <w:rsid w:val="00B27ED6"/>
    <w:rsid w:val="00B300A3"/>
    <w:rsid w:val="00B3077B"/>
    <w:rsid w:val="00B30EBE"/>
    <w:rsid w:val="00B312C3"/>
    <w:rsid w:val="00B314E2"/>
    <w:rsid w:val="00B315D7"/>
    <w:rsid w:val="00B31FD6"/>
    <w:rsid w:val="00B32122"/>
    <w:rsid w:val="00B321FF"/>
    <w:rsid w:val="00B32549"/>
    <w:rsid w:val="00B325A7"/>
    <w:rsid w:val="00B32789"/>
    <w:rsid w:val="00B32BC5"/>
    <w:rsid w:val="00B32D44"/>
    <w:rsid w:val="00B32FD6"/>
    <w:rsid w:val="00B336EB"/>
    <w:rsid w:val="00B33B07"/>
    <w:rsid w:val="00B33BC4"/>
    <w:rsid w:val="00B33C0C"/>
    <w:rsid w:val="00B33E48"/>
    <w:rsid w:val="00B34178"/>
    <w:rsid w:val="00B35011"/>
    <w:rsid w:val="00B350F0"/>
    <w:rsid w:val="00B35191"/>
    <w:rsid w:val="00B35937"/>
    <w:rsid w:val="00B3598B"/>
    <w:rsid w:val="00B35BE9"/>
    <w:rsid w:val="00B35E9E"/>
    <w:rsid w:val="00B36743"/>
    <w:rsid w:val="00B36AC7"/>
    <w:rsid w:val="00B36E85"/>
    <w:rsid w:val="00B3703B"/>
    <w:rsid w:val="00B3733F"/>
    <w:rsid w:val="00B37CE2"/>
    <w:rsid w:val="00B37DAA"/>
    <w:rsid w:val="00B37E59"/>
    <w:rsid w:val="00B40370"/>
    <w:rsid w:val="00B4073B"/>
    <w:rsid w:val="00B40C54"/>
    <w:rsid w:val="00B412B1"/>
    <w:rsid w:val="00B41C51"/>
    <w:rsid w:val="00B42869"/>
    <w:rsid w:val="00B432C2"/>
    <w:rsid w:val="00B4363F"/>
    <w:rsid w:val="00B43EB2"/>
    <w:rsid w:val="00B4415F"/>
    <w:rsid w:val="00B4425D"/>
    <w:rsid w:val="00B449E4"/>
    <w:rsid w:val="00B44AFA"/>
    <w:rsid w:val="00B45C24"/>
    <w:rsid w:val="00B46261"/>
    <w:rsid w:val="00B46D2B"/>
    <w:rsid w:val="00B47BB7"/>
    <w:rsid w:val="00B504FF"/>
    <w:rsid w:val="00B508B0"/>
    <w:rsid w:val="00B50C66"/>
    <w:rsid w:val="00B5126A"/>
    <w:rsid w:val="00B5182B"/>
    <w:rsid w:val="00B518ED"/>
    <w:rsid w:val="00B51D0C"/>
    <w:rsid w:val="00B5211A"/>
    <w:rsid w:val="00B5237C"/>
    <w:rsid w:val="00B52861"/>
    <w:rsid w:val="00B52B6C"/>
    <w:rsid w:val="00B5316B"/>
    <w:rsid w:val="00B53737"/>
    <w:rsid w:val="00B53938"/>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0FFC"/>
    <w:rsid w:val="00B61549"/>
    <w:rsid w:val="00B618A4"/>
    <w:rsid w:val="00B61AE1"/>
    <w:rsid w:val="00B61B00"/>
    <w:rsid w:val="00B62478"/>
    <w:rsid w:val="00B624CF"/>
    <w:rsid w:val="00B625CF"/>
    <w:rsid w:val="00B626B6"/>
    <w:rsid w:val="00B63230"/>
    <w:rsid w:val="00B63488"/>
    <w:rsid w:val="00B63943"/>
    <w:rsid w:val="00B6442F"/>
    <w:rsid w:val="00B644D3"/>
    <w:rsid w:val="00B64656"/>
    <w:rsid w:val="00B64AA3"/>
    <w:rsid w:val="00B64B16"/>
    <w:rsid w:val="00B6580D"/>
    <w:rsid w:val="00B65B81"/>
    <w:rsid w:val="00B65E8A"/>
    <w:rsid w:val="00B66029"/>
    <w:rsid w:val="00B6603A"/>
    <w:rsid w:val="00B6666C"/>
    <w:rsid w:val="00B670EB"/>
    <w:rsid w:val="00B6714D"/>
    <w:rsid w:val="00B6745E"/>
    <w:rsid w:val="00B67574"/>
    <w:rsid w:val="00B67BA7"/>
    <w:rsid w:val="00B67D81"/>
    <w:rsid w:val="00B67F2C"/>
    <w:rsid w:val="00B67F3E"/>
    <w:rsid w:val="00B709D5"/>
    <w:rsid w:val="00B70B55"/>
    <w:rsid w:val="00B712A2"/>
    <w:rsid w:val="00B71345"/>
    <w:rsid w:val="00B71752"/>
    <w:rsid w:val="00B717E8"/>
    <w:rsid w:val="00B7187E"/>
    <w:rsid w:val="00B71AF8"/>
    <w:rsid w:val="00B72E93"/>
    <w:rsid w:val="00B7311D"/>
    <w:rsid w:val="00B747B5"/>
    <w:rsid w:val="00B74AD2"/>
    <w:rsid w:val="00B74C3B"/>
    <w:rsid w:val="00B75096"/>
    <w:rsid w:val="00B7514B"/>
    <w:rsid w:val="00B75985"/>
    <w:rsid w:val="00B761E9"/>
    <w:rsid w:val="00B76434"/>
    <w:rsid w:val="00B76938"/>
    <w:rsid w:val="00B76C8C"/>
    <w:rsid w:val="00B76D8F"/>
    <w:rsid w:val="00B77021"/>
    <w:rsid w:val="00B77247"/>
    <w:rsid w:val="00B772EF"/>
    <w:rsid w:val="00B77B1B"/>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5BF"/>
    <w:rsid w:val="00B8467B"/>
    <w:rsid w:val="00B84B5A"/>
    <w:rsid w:val="00B84FAB"/>
    <w:rsid w:val="00B854E2"/>
    <w:rsid w:val="00B85B44"/>
    <w:rsid w:val="00B867A1"/>
    <w:rsid w:val="00B869AA"/>
    <w:rsid w:val="00B874E2"/>
    <w:rsid w:val="00B87732"/>
    <w:rsid w:val="00B90AC2"/>
    <w:rsid w:val="00B90C32"/>
    <w:rsid w:val="00B91097"/>
    <w:rsid w:val="00B91115"/>
    <w:rsid w:val="00B91C9C"/>
    <w:rsid w:val="00B9208C"/>
    <w:rsid w:val="00B9269A"/>
    <w:rsid w:val="00B92931"/>
    <w:rsid w:val="00B92B14"/>
    <w:rsid w:val="00B92C53"/>
    <w:rsid w:val="00B92CD6"/>
    <w:rsid w:val="00B943DC"/>
    <w:rsid w:val="00B9475D"/>
    <w:rsid w:val="00B94F35"/>
    <w:rsid w:val="00B9540D"/>
    <w:rsid w:val="00B9555F"/>
    <w:rsid w:val="00B955D7"/>
    <w:rsid w:val="00B95C56"/>
    <w:rsid w:val="00B95D3F"/>
    <w:rsid w:val="00B95E4F"/>
    <w:rsid w:val="00B9715D"/>
    <w:rsid w:val="00B9754E"/>
    <w:rsid w:val="00B97CC1"/>
    <w:rsid w:val="00BA04CF"/>
    <w:rsid w:val="00BA0698"/>
    <w:rsid w:val="00BA14F8"/>
    <w:rsid w:val="00BA1800"/>
    <w:rsid w:val="00BA19C4"/>
    <w:rsid w:val="00BA1CDA"/>
    <w:rsid w:val="00BA1D3B"/>
    <w:rsid w:val="00BA2175"/>
    <w:rsid w:val="00BA21FD"/>
    <w:rsid w:val="00BA2DA6"/>
    <w:rsid w:val="00BA3596"/>
    <w:rsid w:val="00BA3616"/>
    <w:rsid w:val="00BA3814"/>
    <w:rsid w:val="00BA390F"/>
    <w:rsid w:val="00BA3F34"/>
    <w:rsid w:val="00BA440C"/>
    <w:rsid w:val="00BA547F"/>
    <w:rsid w:val="00BA5FE8"/>
    <w:rsid w:val="00BA64B7"/>
    <w:rsid w:val="00BA6706"/>
    <w:rsid w:val="00BA6DB4"/>
    <w:rsid w:val="00BA7567"/>
    <w:rsid w:val="00BA7622"/>
    <w:rsid w:val="00BA7CFC"/>
    <w:rsid w:val="00BA7D4C"/>
    <w:rsid w:val="00BB1562"/>
    <w:rsid w:val="00BB1933"/>
    <w:rsid w:val="00BB198C"/>
    <w:rsid w:val="00BB1BE2"/>
    <w:rsid w:val="00BB1EFE"/>
    <w:rsid w:val="00BB242E"/>
    <w:rsid w:val="00BB25F4"/>
    <w:rsid w:val="00BB2B78"/>
    <w:rsid w:val="00BB2DDE"/>
    <w:rsid w:val="00BB2F14"/>
    <w:rsid w:val="00BB30E6"/>
    <w:rsid w:val="00BB3623"/>
    <w:rsid w:val="00BB36FB"/>
    <w:rsid w:val="00BB3732"/>
    <w:rsid w:val="00BB392A"/>
    <w:rsid w:val="00BB3CEA"/>
    <w:rsid w:val="00BB4238"/>
    <w:rsid w:val="00BB4876"/>
    <w:rsid w:val="00BB4D91"/>
    <w:rsid w:val="00BB76A5"/>
    <w:rsid w:val="00BB7EE1"/>
    <w:rsid w:val="00BC0159"/>
    <w:rsid w:val="00BC04CC"/>
    <w:rsid w:val="00BC0B37"/>
    <w:rsid w:val="00BC1029"/>
    <w:rsid w:val="00BC12EA"/>
    <w:rsid w:val="00BC1316"/>
    <w:rsid w:val="00BC2033"/>
    <w:rsid w:val="00BC240B"/>
    <w:rsid w:val="00BC26E1"/>
    <w:rsid w:val="00BC2EFD"/>
    <w:rsid w:val="00BC2FBA"/>
    <w:rsid w:val="00BC3338"/>
    <w:rsid w:val="00BC3EB9"/>
    <w:rsid w:val="00BC469D"/>
    <w:rsid w:val="00BC4DE3"/>
    <w:rsid w:val="00BC4E41"/>
    <w:rsid w:val="00BC5639"/>
    <w:rsid w:val="00BC598C"/>
    <w:rsid w:val="00BC5B3F"/>
    <w:rsid w:val="00BC62C8"/>
    <w:rsid w:val="00BC62FE"/>
    <w:rsid w:val="00BC6305"/>
    <w:rsid w:val="00BC6A8E"/>
    <w:rsid w:val="00BC7865"/>
    <w:rsid w:val="00BC799F"/>
    <w:rsid w:val="00BC7DC5"/>
    <w:rsid w:val="00BD0501"/>
    <w:rsid w:val="00BD0560"/>
    <w:rsid w:val="00BD1513"/>
    <w:rsid w:val="00BD166A"/>
    <w:rsid w:val="00BD16B1"/>
    <w:rsid w:val="00BD182E"/>
    <w:rsid w:val="00BD18AB"/>
    <w:rsid w:val="00BD1AEE"/>
    <w:rsid w:val="00BD27B8"/>
    <w:rsid w:val="00BD3032"/>
    <w:rsid w:val="00BD30DE"/>
    <w:rsid w:val="00BD3E8E"/>
    <w:rsid w:val="00BD4034"/>
    <w:rsid w:val="00BD40F5"/>
    <w:rsid w:val="00BD441C"/>
    <w:rsid w:val="00BD4FD6"/>
    <w:rsid w:val="00BD5017"/>
    <w:rsid w:val="00BD509E"/>
    <w:rsid w:val="00BD56F8"/>
    <w:rsid w:val="00BD5E53"/>
    <w:rsid w:val="00BD5FDC"/>
    <w:rsid w:val="00BD6C8E"/>
    <w:rsid w:val="00BD74CF"/>
    <w:rsid w:val="00BD7945"/>
    <w:rsid w:val="00BD7E2A"/>
    <w:rsid w:val="00BE01F0"/>
    <w:rsid w:val="00BE1115"/>
    <w:rsid w:val="00BE12D1"/>
    <w:rsid w:val="00BE1461"/>
    <w:rsid w:val="00BE1853"/>
    <w:rsid w:val="00BE1A50"/>
    <w:rsid w:val="00BE1AD1"/>
    <w:rsid w:val="00BE1DB1"/>
    <w:rsid w:val="00BE24E2"/>
    <w:rsid w:val="00BE26B9"/>
    <w:rsid w:val="00BE285F"/>
    <w:rsid w:val="00BE2B94"/>
    <w:rsid w:val="00BE2EC7"/>
    <w:rsid w:val="00BE2EE9"/>
    <w:rsid w:val="00BE2EFE"/>
    <w:rsid w:val="00BE308F"/>
    <w:rsid w:val="00BE3E0B"/>
    <w:rsid w:val="00BE3E9B"/>
    <w:rsid w:val="00BE4279"/>
    <w:rsid w:val="00BE446F"/>
    <w:rsid w:val="00BE5F92"/>
    <w:rsid w:val="00BE6193"/>
    <w:rsid w:val="00BE671E"/>
    <w:rsid w:val="00BE6DB9"/>
    <w:rsid w:val="00BE7FD6"/>
    <w:rsid w:val="00BF036A"/>
    <w:rsid w:val="00BF048D"/>
    <w:rsid w:val="00BF0BDE"/>
    <w:rsid w:val="00BF0D86"/>
    <w:rsid w:val="00BF1EE6"/>
    <w:rsid w:val="00BF24B1"/>
    <w:rsid w:val="00BF2506"/>
    <w:rsid w:val="00BF2BA8"/>
    <w:rsid w:val="00BF3B4B"/>
    <w:rsid w:val="00BF4929"/>
    <w:rsid w:val="00BF492F"/>
    <w:rsid w:val="00BF4995"/>
    <w:rsid w:val="00BF544C"/>
    <w:rsid w:val="00BF5990"/>
    <w:rsid w:val="00BF67B8"/>
    <w:rsid w:val="00BF6CA7"/>
    <w:rsid w:val="00BF767B"/>
    <w:rsid w:val="00BF799A"/>
    <w:rsid w:val="00C00A80"/>
    <w:rsid w:val="00C01052"/>
    <w:rsid w:val="00C01458"/>
    <w:rsid w:val="00C0170C"/>
    <w:rsid w:val="00C01C3A"/>
    <w:rsid w:val="00C01DA9"/>
    <w:rsid w:val="00C01DFA"/>
    <w:rsid w:val="00C01EDC"/>
    <w:rsid w:val="00C02241"/>
    <w:rsid w:val="00C02348"/>
    <w:rsid w:val="00C023C7"/>
    <w:rsid w:val="00C02400"/>
    <w:rsid w:val="00C02960"/>
    <w:rsid w:val="00C02CF6"/>
    <w:rsid w:val="00C02D9E"/>
    <w:rsid w:val="00C03B2F"/>
    <w:rsid w:val="00C04405"/>
    <w:rsid w:val="00C04466"/>
    <w:rsid w:val="00C04B54"/>
    <w:rsid w:val="00C04EFE"/>
    <w:rsid w:val="00C0685B"/>
    <w:rsid w:val="00C07BB7"/>
    <w:rsid w:val="00C10BA9"/>
    <w:rsid w:val="00C1114D"/>
    <w:rsid w:val="00C1119E"/>
    <w:rsid w:val="00C11202"/>
    <w:rsid w:val="00C119DC"/>
    <w:rsid w:val="00C11EB8"/>
    <w:rsid w:val="00C12FBD"/>
    <w:rsid w:val="00C131A2"/>
    <w:rsid w:val="00C13270"/>
    <w:rsid w:val="00C135C4"/>
    <w:rsid w:val="00C1367D"/>
    <w:rsid w:val="00C14FBE"/>
    <w:rsid w:val="00C1522A"/>
    <w:rsid w:val="00C15AF0"/>
    <w:rsid w:val="00C167BA"/>
    <w:rsid w:val="00C16B37"/>
    <w:rsid w:val="00C1717C"/>
    <w:rsid w:val="00C17E75"/>
    <w:rsid w:val="00C2074E"/>
    <w:rsid w:val="00C21C2F"/>
    <w:rsid w:val="00C21C98"/>
    <w:rsid w:val="00C21DC0"/>
    <w:rsid w:val="00C21E4A"/>
    <w:rsid w:val="00C22A93"/>
    <w:rsid w:val="00C2302E"/>
    <w:rsid w:val="00C23323"/>
    <w:rsid w:val="00C23454"/>
    <w:rsid w:val="00C2383F"/>
    <w:rsid w:val="00C242FA"/>
    <w:rsid w:val="00C24525"/>
    <w:rsid w:val="00C245AC"/>
    <w:rsid w:val="00C2475E"/>
    <w:rsid w:val="00C24D78"/>
    <w:rsid w:val="00C250B9"/>
    <w:rsid w:val="00C253C4"/>
    <w:rsid w:val="00C25A95"/>
    <w:rsid w:val="00C25E29"/>
    <w:rsid w:val="00C266C6"/>
    <w:rsid w:val="00C2706B"/>
    <w:rsid w:val="00C27AD8"/>
    <w:rsid w:val="00C27D36"/>
    <w:rsid w:val="00C27E17"/>
    <w:rsid w:val="00C30692"/>
    <w:rsid w:val="00C31530"/>
    <w:rsid w:val="00C31C9D"/>
    <w:rsid w:val="00C31D83"/>
    <w:rsid w:val="00C31DB5"/>
    <w:rsid w:val="00C31E11"/>
    <w:rsid w:val="00C3269B"/>
    <w:rsid w:val="00C331A7"/>
    <w:rsid w:val="00C33304"/>
    <w:rsid w:val="00C339AD"/>
    <w:rsid w:val="00C33B83"/>
    <w:rsid w:val="00C33C90"/>
    <w:rsid w:val="00C34014"/>
    <w:rsid w:val="00C34139"/>
    <w:rsid w:val="00C342DC"/>
    <w:rsid w:val="00C3432C"/>
    <w:rsid w:val="00C34444"/>
    <w:rsid w:val="00C348FA"/>
    <w:rsid w:val="00C34A08"/>
    <w:rsid w:val="00C34B65"/>
    <w:rsid w:val="00C35195"/>
    <w:rsid w:val="00C36B21"/>
    <w:rsid w:val="00C36EAE"/>
    <w:rsid w:val="00C3710F"/>
    <w:rsid w:val="00C37143"/>
    <w:rsid w:val="00C37337"/>
    <w:rsid w:val="00C37760"/>
    <w:rsid w:val="00C37D21"/>
    <w:rsid w:val="00C40161"/>
    <w:rsid w:val="00C40281"/>
    <w:rsid w:val="00C41122"/>
    <w:rsid w:val="00C413FC"/>
    <w:rsid w:val="00C41C5F"/>
    <w:rsid w:val="00C42568"/>
    <w:rsid w:val="00C42D4E"/>
    <w:rsid w:val="00C42ECF"/>
    <w:rsid w:val="00C43183"/>
    <w:rsid w:val="00C43393"/>
    <w:rsid w:val="00C43B8A"/>
    <w:rsid w:val="00C44147"/>
    <w:rsid w:val="00C44585"/>
    <w:rsid w:val="00C447DF"/>
    <w:rsid w:val="00C45047"/>
    <w:rsid w:val="00C45434"/>
    <w:rsid w:val="00C45600"/>
    <w:rsid w:val="00C45850"/>
    <w:rsid w:val="00C45BB1"/>
    <w:rsid w:val="00C464D1"/>
    <w:rsid w:val="00C46861"/>
    <w:rsid w:val="00C46D57"/>
    <w:rsid w:val="00C46EA7"/>
    <w:rsid w:val="00C46F84"/>
    <w:rsid w:val="00C504BF"/>
    <w:rsid w:val="00C50743"/>
    <w:rsid w:val="00C50D18"/>
    <w:rsid w:val="00C50F40"/>
    <w:rsid w:val="00C511DB"/>
    <w:rsid w:val="00C5138B"/>
    <w:rsid w:val="00C51907"/>
    <w:rsid w:val="00C52DEE"/>
    <w:rsid w:val="00C5315B"/>
    <w:rsid w:val="00C535FA"/>
    <w:rsid w:val="00C53862"/>
    <w:rsid w:val="00C53F5A"/>
    <w:rsid w:val="00C540D9"/>
    <w:rsid w:val="00C540F1"/>
    <w:rsid w:val="00C54ABF"/>
    <w:rsid w:val="00C54B48"/>
    <w:rsid w:val="00C55013"/>
    <w:rsid w:val="00C5518B"/>
    <w:rsid w:val="00C563C9"/>
    <w:rsid w:val="00C563EB"/>
    <w:rsid w:val="00C565BF"/>
    <w:rsid w:val="00C5689F"/>
    <w:rsid w:val="00C60558"/>
    <w:rsid w:val="00C6109C"/>
    <w:rsid w:val="00C61EB7"/>
    <w:rsid w:val="00C6213F"/>
    <w:rsid w:val="00C639B6"/>
    <w:rsid w:val="00C63F31"/>
    <w:rsid w:val="00C646DE"/>
    <w:rsid w:val="00C64C85"/>
    <w:rsid w:val="00C6515E"/>
    <w:rsid w:val="00C662D7"/>
    <w:rsid w:val="00C67490"/>
    <w:rsid w:val="00C67543"/>
    <w:rsid w:val="00C6791E"/>
    <w:rsid w:val="00C67B70"/>
    <w:rsid w:val="00C701B5"/>
    <w:rsid w:val="00C71109"/>
    <w:rsid w:val="00C71731"/>
    <w:rsid w:val="00C71E32"/>
    <w:rsid w:val="00C72428"/>
    <w:rsid w:val="00C726E9"/>
    <w:rsid w:val="00C72810"/>
    <w:rsid w:val="00C72856"/>
    <w:rsid w:val="00C728C1"/>
    <w:rsid w:val="00C72EEA"/>
    <w:rsid w:val="00C73F1D"/>
    <w:rsid w:val="00C7519C"/>
    <w:rsid w:val="00C7557A"/>
    <w:rsid w:val="00C75843"/>
    <w:rsid w:val="00C75903"/>
    <w:rsid w:val="00C75E60"/>
    <w:rsid w:val="00C76940"/>
    <w:rsid w:val="00C76D4A"/>
    <w:rsid w:val="00C77987"/>
    <w:rsid w:val="00C77A5B"/>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9A0"/>
    <w:rsid w:val="00C87CE2"/>
    <w:rsid w:val="00C87F78"/>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D25"/>
    <w:rsid w:val="00C94F54"/>
    <w:rsid w:val="00C9518F"/>
    <w:rsid w:val="00C95896"/>
    <w:rsid w:val="00C95993"/>
    <w:rsid w:val="00C96392"/>
    <w:rsid w:val="00C965C9"/>
    <w:rsid w:val="00C97080"/>
    <w:rsid w:val="00C97B79"/>
    <w:rsid w:val="00C97DB6"/>
    <w:rsid w:val="00CA01B8"/>
    <w:rsid w:val="00CA0200"/>
    <w:rsid w:val="00CA0451"/>
    <w:rsid w:val="00CA06E8"/>
    <w:rsid w:val="00CA0989"/>
    <w:rsid w:val="00CA09A7"/>
    <w:rsid w:val="00CA0A9D"/>
    <w:rsid w:val="00CA1A2F"/>
    <w:rsid w:val="00CA2F00"/>
    <w:rsid w:val="00CA3A13"/>
    <w:rsid w:val="00CA3F7D"/>
    <w:rsid w:val="00CA43D3"/>
    <w:rsid w:val="00CA4419"/>
    <w:rsid w:val="00CA4495"/>
    <w:rsid w:val="00CA4978"/>
    <w:rsid w:val="00CA4A26"/>
    <w:rsid w:val="00CA5576"/>
    <w:rsid w:val="00CA5C3B"/>
    <w:rsid w:val="00CA61A5"/>
    <w:rsid w:val="00CA664D"/>
    <w:rsid w:val="00CA6685"/>
    <w:rsid w:val="00CA6793"/>
    <w:rsid w:val="00CA6AE1"/>
    <w:rsid w:val="00CA6D68"/>
    <w:rsid w:val="00CA6DC3"/>
    <w:rsid w:val="00CA6EDA"/>
    <w:rsid w:val="00CA71D5"/>
    <w:rsid w:val="00CA71E8"/>
    <w:rsid w:val="00CA71FB"/>
    <w:rsid w:val="00CA735B"/>
    <w:rsid w:val="00CA7577"/>
    <w:rsid w:val="00CA78B4"/>
    <w:rsid w:val="00CA7A5E"/>
    <w:rsid w:val="00CA7B3F"/>
    <w:rsid w:val="00CB0507"/>
    <w:rsid w:val="00CB0A53"/>
    <w:rsid w:val="00CB0F12"/>
    <w:rsid w:val="00CB106A"/>
    <w:rsid w:val="00CB12D5"/>
    <w:rsid w:val="00CB24BB"/>
    <w:rsid w:val="00CB2C33"/>
    <w:rsid w:val="00CB2EF5"/>
    <w:rsid w:val="00CB3537"/>
    <w:rsid w:val="00CB42D8"/>
    <w:rsid w:val="00CB4670"/>
    <w:rsid w:val="00CB46F7"/>
    <w:rsid w:val="00CB4730"/>
    <w:rsid w:val="00CB48E2"/>
    <w:rsid w:val="00CB4C9A"/>
    <w:rsid w:val="00CB56C7"/>
    <w:rsid w:val="00CB57DD"/>
    <w:rsid w:val="00CB5B83"/>
    <w:rsid w:val="00CB63D6"/>
    <w:rsid w:val="00CB6ACC"/>
    <w:rsid w:val="00CB6EC4"/>
    <w:rsid w:val="00CB7F7F"/>
    <w:rsid w:val="00CC06F0"/>
    <w:rsid w:val="00CC0C8B"/>
    <w:rsid w:val="00CC1402"/>
    <w:rsid w:val="00CC1978"/>
    <w:rsid w:val="00CC2BB6"/>
    <w:rsid w:val="00CC2BD8"/>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49B"/>
    <w:rsid w:val="00CD1568"/>
    <w:rsid w:val="00CD1C00"/>
    <w:rsid w:val="00CD1F97"/>
    <w:rsid w:val="00CD1FAF"/>
    <w:rsid w:val="00CD25F9"/>
    <w:rsid w:val="00CD2EDF"/>
    <w:rsid w:val="00CD3293"/>
    <w:rsid w:val="00CD3647"/>
    <w:rsid w:val="00CD3708"/>
    <w:rsid w:val="00CD388A"/>
    <w:rsid w:val="00CD3D8C"/>
    <w:rsid w:val="00CD432F"/>
    <w:rsid w:val="00CD4342"/>
    <w:rsid w:val="00CD4573"/>
    <w:rsid w:val="00CD4CCF"/>
    <w:rsid w:val="00CD546C"/>
    <w:rsid w:val="00CD5AED"/>
    <w:rsid w:val="00CD5F96"/>
    <w:rsid w:val="00CD5FF4"/>
    <w:rsid w:val="00CD62A5"/>
    <w:rsid w:val="00CD655C"/>
    <w:rsid w:val="00CD6825"/>
    <w:rsid w:val="00CD760E"/>
    <w:rsid w:val="00CD764B"/>
    <w:rsid w:val="00CD7795"/>
    <w:rsid w:val="00CD7C96"/>
    <w:rsid w:val="00CD7F44"/>
    <w:rsid w:val="00CE020B"/>
    <w:rsid w:val="00CE038A"/>
    <w:rsid w:val="00CE0647"/>
    <w:rsid w:val="00CE06C6"/>
    <w:rsid w:val="00CE0901"/>
    <w:rsid w:val="00CE093B"/>
    <w:rsid w:val="00CE09CA"/>
    <w:rsid w:val="00CE14D8"/>
    <w:rsid w:val="00CE1BB7"/>
    <w:rsid w:val="00CE2193"/>
    <w:rsid w:val="00CE24AC"/>
    <w:rsid w:val="00CE251B"/>
    <w:rsid w:val="00CE3933"/>
    <w:rsid w:val="00CE3A63"/>
    <w:rsid w:val="00CE3B9D"/>
    <w:rsid w:val="00CE3F07"/>
    <w:rsid w:val="00CE417E"/>
    <w:rsid w:val="00CE45F1"/>
    <w:rsid w:val="00CE4BD7"/>
    <w:rsid w:val="00CE544A"/>
    <w:rsid w:val="00CE5ADE"/>
    <w:rsid w:val="00CE6718"/>
    <w:rsid w:val="00CE6B7F"/>
    <w:rsid w:val="00CE6DE9"/>
    <w:rsid w:val="00CE6FAC"/>
    <w:rsid w:val="00CE722F"/>
    <w:rsid w:val="00CE775E"/>
    <w:rsid w:val="00CE7D27"/>
    <w:rsid w:val="00CF0051"/>
    <w:rsid w:val="00CF03E5"/>
    <w:rsid w:val="00CF0A0E"/>
    <w:rsid w:val="00CF0D84"/>
    <w:rsid w:val="00CF0DDE"/>
    <w:rsid w:val="00CF10C9"/>
    <w:rsid w:val="00CF114F"/>
    <w:rsid w:val="00CF1E08"/>
    <w:rsid w:val="00CF235E"/>
    <w:rsid w:val="00CF2B08"/>
    <w:rsid w:val="00CF2E19"/>
    <w:rsid w:val="00CF2F44"/>
    <w:rsid w:val="00CF3B9D"/>
    <w:rsid w:val="00CF3D0A"/>
    <w:rsid w:val="00CF412E"/>
    <w:rsid w:val="00CF4E18"/>
    <w:rsid w:val="00CF519E"/>
    <w:rsid w:val="00CF54AD"/>
    <w:rsid w:val="00CF5712"/>
    <w:rsid w:val="00CF57E6"/>
    <w:rsid w:val="00CF59A8"/>
    <w:rsid w:val="00CF5B33"/>
    <w:rsid w:val="00CF68AA"/>
    <w:rsid w:val="00CF6CA7"/>
    <w:rsid w:val="00CF772C"/>
    <w:rsid w:val="00CF7A32"/>
    <w:rsid w:val="00CF7F25"/>
    <w:rsid w:val="00D00949"/>
    <w:rsid w:val="00D01580"/>
    <w:rsid w:val="00D015C7"/>
    <w:rsid w:val="00D0171C"/>
    <w:rsid w:val="00D01842"/>
    <w:rsid w:val="00D018C4"/>
    <w:rsid w:val="00D028EB"/>
    <w:rsid w:val="00D02CEB"/>
    <w:rsid w:val="00D02E33"/>
    <w:rsid w:val="00D02FE5"/>
    <w:rsid w:val="00D041EB"/>
    <w:rsid w:val="00D04204"/>
    <w:rsid w:val="00D043A0"/>
    <w:rsid w:val="00D04C53"/>
    <w:rsid w:val="00D04E01"/>
    <w:rsid w:val="00D05435"/>
    <w:rsid w:val="00D063CB"/>
    <w:rsid w:val="00D0640C"/>
    <w:rsid w:val="00D06BCA"/>
    <w:rsid w:val="00D0741B"/>
    <w:rsid w:val="00D07769"/>
    <w:rsid w:val="00D077C3"/>
    <w:rsid w:val="00D07800"/>
    <w:rsid w:val="00D07F18"/>
    <w:rsid w:val="00D1049F"/>
    <w:rsid w:val="00D10654"/>
    <w:rsid w:val="00D120E1"/>
    <w:rsid w:val="00D12F7E"/>
    <w:rsid w:val="00D1386F"/>
    <w:rsid w:val="00D142E1"/>
    <w:rsid w:val="00D143D0"/>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ABB"/>
    <w:rsid w:val="00D22B6E"/>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378"/>
    <w:rsid w:val="00D27633"/>
    <w:rsid w:val="00D279E0"/>
    <w:rsid w:val="00D27A85"/>
    <w:rsid w:val="00D27B06"/>
    <w:rsid w:val="00D27B08"/>
    <w:rsid w:val="00D30596"/>
    <w:rsid w:val="00D3065F"/>
    <w:rsid w:val="00D308FC"/>
    <w:rsid w:val="00D3130A"/>
    <w:rsid w:val="00D31DBE"/>
    <w:rsid w:val="00D31ED4"/>
    <w:rsid w:val="00D327E8"/>
    <w:rsid w:val="00D330DE"/>
    <w:rsid w:val="00D34442"/>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AB9"/>
    <w:rsid w:val="00D41CA8"/>
    <w:rsid w:val="00D41F3B"/>
    <w:rsid w:val="00D42B62"/>
    <w:rsid w:val="00D42E03"/>
    <w:rsid w:val="00D43963"/>
    <w:rsid w:val="00D449B4"/>
    <w:rsid w:val="00D44C74"/>
    <w:rsid w:val="00D44EA7"/>
    <w:rsid w:val="00D44F7D"/>
    <w:rsid w:val="00D4515C"/>
    <w:rsid w:val="00D45280"/>
    <w:rsid w:val="00D4558C"/>
    <w:rsid w:val="00D4589C"/>
    <w:rsid w:val="00D45C4D"/>
    <w:rsid w:val="00D46603"/>
    <w:rsid w:val="00D46655"/>
    <w:rsid w:val="00D46AC5"/>
    <w:rsid w:val="00D46BC4"/>
    <w:rsid w:val="00D46D92"/>
    <w:rsid w:val="00D46ECD"/>
    <w:rsid w:val="00D47144"/>
    <w:rsid w:val="00D477ED"/>
    <w:rsid w:val="00D50EA5"/>
    <w:rsid w:val="00D516E0"/>
    <w:rsid w:val="00D51860"/>
    <w:rsid w:val="00D51CC0"/>
    <w:rsid w:val="00D51DDC"/>
    <w:rsid w:val="00D5236D"/>
    <w:rsid w:val="00D5237E"/>
    <w:rsid w:val="00D528E3"/>
    <w:rsid w:val="00D52DD0"/>
    <w:rsid w:val="00D5344C"/>
    <w:rsid w:val="00D54438"/>
    <w:rsid w:val="00D54B37"/>
    <w:rsid w:val="00D54E2F"/>
    <w:rsid w:val="00D550D9"/>
    <w:rsid w:val="00D555A1"/>
    <w:rsid w:val="00D55C7E"/>
    <w:rsid w:val="00D55C8C"/>
    <w:rsid w:val="00D563E7"/>
    <w:rsid w:val="00D56426"/>
    <w:rsid w:val="00D565BC"/>
    <w:rsid w:val="00D56A8E"/>
    <w:rsid w:val="00D573F7"/>
    <w:rsid w:val="00D575E9"/>
    <w:rsid w:val="00D577D6"/>
    <w:rsid w:val="00D5790A"/>
    <w:rsid w:val="00D57C66"/>
    <w:rsid w:val="00D606C5"/>
    <w:rsid w:val="00D60910"/>
    <w:rsid w:val="00D60F1D"/>
    <w:rsid w:val="00D614B5"/>
    <w:rsid w:val="00D61512"/>
    <w:rsid w:val="00D616EB"/>
    <w:rsid w:val="00D6172B"/>
    <w:rsid w:val="00D6287F"/>
    <w:rsid w:val="00D628D7"/>
    <w:rsid w:val="00D63203"/>
    <w:rsid w:val="00D63620"/>
    <w:rsid w:val="00D64036"/>
    <w:rsid w:val="00D641F8"/>
    <w:rsid w:val="00D6484B"/>
    <w:rsid w:val="00D653D1"/>
    <w:rsid w:val="00D65C80"/>
    <w:rsid w:val="00D65FF6"/>
    <w:rsid w:val="00D66CD5"/>
    <w:rsid w:val="00D67333"/>
    <w:rsid w:val="00D677D0"/>
    <w:rsid w:val="00D70121"/>
    <w:rsid w:val="00D70272"/>
    <w:rsid w:val="00D703A6"/>
    <w:rsid w:val="00D70545"/>
    <w:rsid w:val="00D714F4"/>
    <w:rsid w:val="00D7153E"/>
    <w:rsid w:val="00D71BFA"/>
    <w:rsid w:val="00D71D7D"/>
    <w:rsid w:val="00D72478"/>
    <w:rsid w:val="00D724AE"/>
    <w:rsid w:val="00D7395C"/>
    <w:rsid w:val="00D73A57"/>
    <w:rsid w:val="00D73F5D"/>
    <w:rsid w:val="00D73FFB"/>
    <w:rsid w:val="00D7428C"/>
    <w:rsid w:val="00D748CE"/>
    <w:rsid w:val="00D752A7"/>
    <w:rsid w:val="00D7569A"/>
    <w:rsid w:val="00D756C0"/>
    <w:rsid w:val="00D75944"/>
    <w:rsid w:val="00D75CBA"/>
    <w:rsid w:val="00D763BF"/>
    <w:rsid w:val="00D77018"/>
    <w:rsid w:val="00D777FB"/>
    <w:rsid w:val="00D77981"/>
    <w:rsid w:val="00D77ADA"/>
    <w:rsid w:val="00D8025A"/>
    <w:rsid w:val="00D80456"/>
    <w:rsid w:val="00D80644"/>
    <w:rsid w:val="00D80A78"/>
    <w:rsid w:val="00D80B15"/>
    <w:rsid w:val="00D812A4"/>
    <w:rsid w:val="00D819CD"/>
    <w:rsid w:val="00D81CF9"/>
    <w:rsid w:val="00D81E43"/>
    <w:rsid w:val="00D825A4"/>
    <w:rsid w:val="00D8273A"/>
    <w:rsid w:val="00D82BA9"/>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58E"/>
    <w:rsid w:val="00D9067F"/>
    <w:rsid w:val="00D9073B"/>
    <w:rsid w:val="00D908B1"/>
    <w:rsid w:val="00D90C54"/>
    <w:rsid w:val="00D90CC7"/>
    <w:rsid w:val="00D910D4"/>
    <w:rsid w:val="00D912AB"/>
    <w:rsid w:val="00D91473"/>
    <w:rsid w:val="00D9148A"/>
    <w:rsid w:val="00D91506"/>
    <w:rsid w:val="00D91C7B"/>
    <w:rsid w:val="00D91D10"/>
    <w:rsid w:val="00D9235B"/>
    <w:rsid w:val="00D9261B"/>
    <w:rsid w:val="00D92668"/>
    <w:rsid w:val="00D92AC0"/>
    <w:rsid w:val="00D92BCF"/>
    <w:rsid w:val="00D931D6"/>
    <w:rsid w:val="00D937B1"/>
    <w:rsid w:val="00D93FAE"/>
    <w:rsid w:val="00D93FB8"/>
    <w:rsid w:val="00D95253"/>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04CE"/>
    <w:rsid w:val="00DA13D5"/>
    <w:rsid w:val="00DA1DA2"/>
    <w:rsid w:val="00DA2011"/>
    <w:rsid w:val="00DA24B4"/>
    <w:rsid w:val="00DA2783"/>
    <w:rsid w:val="00DA294B"/>
    <w:rsid w:val="00DA2B0C"/>
    <w:rsid w:val="00DA2EA3"/>
    <w:rsid w:val="00DA2F54"/>
    <w:rsid w:val="00DA3396"/>
    <w:rsid w:val="00DA38F0"/>
    <w:rsid w:val="00DA40C8"/>
    <w:rsid w:val="00DA428A"/>
    <w:rsid w:val="00DA4676"/>
    <w:rsid w:val="00DA6A7E"/>
    <w:rsid w:val="00DA6CA5"/>
    <w:rsid w:val="00DA6DD4"/>
    <w:rsid w:val="00DA6F7B"/>
    <w:rsid w:val="00DA7217"/>
    <w:rsid w:val="00DA75DD"/>
    <w:rsid w:val="00DA7DEB"/>
    <w:rsid w:val="00DB054B"/>
    <w:rsid w:val="00DB120A"/>
    <w:rsid w:val="00DB1493"/>
    <w:rsid w:val="00DB1C43"/>
    <w:rsid w:val="00DB1D2E"/>
    <w:rsid w:val="00DB32B9"/>
    <w:rsid w:val="00DB32FF"/>
    <w:rsid w:val="00DB36EF"/>
    <w:rsid w:val="00DB380B"/>
    <w:rsid w:val="00DB431F"/>
    <w:rsid w:val="00DB4CD9"/>
    <w:rsid w:val="00DB51F1"/>
    <w:rsid w:val="00DB5518"/>
    <w:rsid w:val="00DB561D"/>
    <w:rsid w:val="00DB6E96"/>
    <w:rsid w:val="00DB6FFA"/>
    <w:rsid w:val="00DB71F1"/>
    <w:rsid w:val="00DB72DC"/>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3B9C"/>
    <w:rsid w:val="00DC3F43"/>
    <w:rsid w:val="00DC4363"/>
    <w:rsid w:val="00DC497D"/>
    <w:rsid w:val="00DC52D1"/>
    <w:rsid w:val="00DC661B"/>
    <w:rsid w:val="00DC6886"/>
    <w:rsid w:val="00DC6CBE"/>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ACB"/>
    <w:rsid w:val="00DD7B54"/>
    <w:rsid w:val="00DD7B73"/>
    <w:rsid w:val="00DD7FDB"/>
    <w:rsid w:val="00DE03AD"/>
    <w:rsid w:val="00DE0E1F"/>
    <w:rsid w:val="00DE0EDA"/>
    <w:rsid w:val="00DE100A"/>
    <w:rsid w:val="00DE12DA"/>
    <w:rsid w:val="00DE14A5"/>
    <w:rsid w:val="00DE14B5"/>
    <w:rsid w:val="00DE1A6D"/>
    <w:rsid w:val="00DE1BF1"/>
    <w:rsid w:val="00DE27DE"/>
    <w:rsid w:val="00DE2CAD"/>
    <w:rsid w:val="00DE3297"/>
    <w:rsid w:val="00DE42FA"/>
    <w:rsid w:val="00DE4A2D"/>
    <w:rsid w:val="00DE51C0"/>
    <w:rsid w:val="00DE5312"/>
    <w:rsid w:val="00DE5733"/>
    <w:rsid w:val="00DE59D6"/>
    <w:rsid w:val="00DE5AB7"/>
    <w:rsid w:val="00DE5B1E"/>
    <w:rsid w:val="00DE612B"/>
    <w:rsid w:val="00DE639C"/>
    <w:rsid w:val="00DE67E4"/>
    <w:rsid w:val="00DE6954"/>
    <w:rsid w:val="00DE6C59"/>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2AB"/>
    <w:rsid w:val="00DF631D"/>
    <w:rsid w:val="00DF7693"/>
    <w:rsid w:val="00DF796A"/>
    <w:rsid w:val="00DF7986"/>
    <w:rsid w:val="00DF7B1C"/>
    <w:rsid w:val="00E005F8"/>
    <w:rsid w:val="00E00CB3"/>
    <w:rsid w:val="00E01D80"/>
    <w:rsid w:val="00E0233D"/>
    <w:rsid w:val="00E023C0"/>
    <w:rsid w:val="00E023E6"/>
    <w:rsid w:val="00E033B7"/>
    <w:rsid w:val="00E03A8F"/>
    <w:rsid w:val="00E0454B"/>
    <w:rsid w:val="00E058FC"/>
    <w:rsid w:val="00E059CC"/>
    <w:rsid w:val="00E06225"/>
    <w:rsid w:val="00E06292"/>
    <w:rsid w:val="00E06744"/>
    <w:rsid w:val="00E06BB3"/>
    <w:rsid w:val="00E07818"/>
    <w:rsid w:val="00E079AA"/>
    <w:rsid w:val="00E07ACB"/>
    <w:rsid w:val="00E07CD0"/>
    <w:rsid w:val="00E1037B"/>
    <w:rsid w:val="00E105A2"/>
    <w:rsid w:val="00E108A6"/>
    <w:rsid w:val="00E10F06"/>
    <w:rsid w:val="00E112DA"/>
    <w:rsid w:val="00E11C7E"/>
    <w:rsid w:val="00E11E01"/>
    <w:rsid w:val="00E11F18"/>
    <w:rsid w:val="00E12CE6"/>
    <w:rsid w:val="00E12DCA"/>
    <w:rsid w:val="00E1310B"/>
    <w:rsid w:val="00E136B9"/>
    <w:rsid w:val="00E13750"/>
    <w:rsid w:val="00E14380"/>
    <w:rsid w:val="00E144CF"/>
    <w:rsid w:val="00E1466B"/>
    <w:rsid w:val="00E14CED"/>
    <w:rsid w:val="00E155B4"/>
    <w:rsid w:val="00E156DE"/>
    <w:rsid w:val="00E16157"/>
    <w:rsid w:val="00E161BF"/>
    <w:rsid w:val="00E168AC"/>
    <w:rsid w:val="00E16A56"/>
    <w:rsid w:val="00E16BAD"/>
    <w:rsid w:val="00E173FA"/>
    <w:rsid w:val="00E17A65"/>
    <w:rsid w:val="00E20219"/>
    <w:rsid w:val="00E20248"/>
    <w:rsid w:val="00E204A4"/>
    <w:rsid w:val="00E206C7"/>
    <w:rsid w:val="00E209F3"/>
    <w:rsid w:val="00E20F8E"/>
    <w:rsid w:val="00E21270"/>
    <w:rsid w:val="00E21492"/>
    <w:rsid w:val="00E214F7"/>
    <w:rsid w:val="00E216A4"/>
    <w:rsid w:val="00E21DFA"/>
    <w:rsid w:val="00E2265E"/>
    <w:rsid w:val="00E22E06"/>
    <w:rsid w:val="00E23199"/>
    <w:rsid w:val="00E233E5"/>
    <w:rsid w:val="00E23CD7"/>
    <w:rsid w:val="00E24019"/>
    <w:rsid w:val="00E2558C"/>
    <w:rsid w:val="00E25751"/>
    <w:rsid w:val="00E257E5"/>
    <w:rsid w:val="00E26349"/>
    <w:rsid w:val="00E265AF"/>
    <w:rsid w:val="00E266F0"/>
    <w:rsid w:val="00E26BA7"/>
    <w:rsid w:val="00E26EB3"/>
    <w:rsid w:val="00E26FD9"/>
    <w:rsid w:val="00E30151"/>
    <w:rsid w:val="00E3038C"/>
    <w:rsid w:val="00E30A8E"/>
    <w:rsid w:val="00E30C9F"/>
    <w:rsid w:val="00E30E58"/>
    <w:rsid w:val="00E31172"/>
    <w:rsid w:val="00E3165B"/>
    <w:rsid w:val="00E31A50"/>
    <w:rsid w:val="00E31CDA"/>
    <w:rsid w:val="00E31CF0"/>
    <w:rsid w:val="00E3231A"/>
    <w:rsid w:val="00E3272F"/>
    <w:rsid w:val="00E32B48"/>
    <w:rsid w:val="00E32E96"/>
    <w:rsid w:val="00E330F3"/>
    <w:rsid w:val="00E33274"/>
    <w:rsid w:val="00E338B5"/>
    <w:rsid w:val="00E33AC7"/>
    <w:rsid w:val="00E35354"/>
    <w:rsid w:val="00E35B2E"/>
    <w:rsid w:val="00E35F1A"/>
    <w:rsid w:val="00E36565"/>
    <w:rsid w:val="00E36B10"/>
    <w:rsid w:val="00E36BC8"/>
    <w:rsid w:val="00E3701A"/>
    <w:rsid w:val="00E3704F"/>
    <w:rsid w:val="00E3710B"/>
    <w:rsid w:val="00E372D5"/>
    <w:rsid w:val="00E37BC4"/>
    <w:rsid w:val="00E37E3A"/>
    <w:rsid w:val="00E40A9C"/>
    <w:rsid w:val="00E40B5F"/>
    <w:rsid w:val="00E40EE9"/>
    <w:rsid w:val="00E40FEF"/>
    <w:rsid w:val="00E4128D"/>
    <w:rsid w:val="00E41814"/>
    <w:rsid w:val="00E41CC4"/>
    <w:rsid w:val="00E421E0"/>
    <w:rsid w:val="00E429B9"/>
    <w:rsid w:val="00E42FBA"/>
    <w:rsid w:val="00E4394C"/>
    <w:rsid w:val="00E43CE3"/>
    <w:rsid w:val="00E443CD"/>
    <w:rsid w:val="00E44CFF"/>
    <w:rsid w:val="00E45561"/>
    <w:rsid w:val="00E45659"/>
    <w:rsid w:val="00E45716"/>
    <w:rsid w:val="00E45BA3"/>
    <w:rsid w:val="00E45F41"/>
    <w:rsid w:val="00E4662B"/>
    <w:rsid w:val="00E467E9"/>
    <w:rsid w:val="00E47EF7"/>
    <w:rsid w:val="00E5033A"/>
    <w:rsid w:val="00E50648"/>
    <w:rsid w:val="00E5113C"/>
    <w:rsid w:val="00E511C8"/>
    <w:rsid w:val="00E516C3"/>
    <w:rsid w:val="00E51EF1"/>
    <w:rsid w:val="00E51F56"/>
    <w:rsid w:val="00E52B15"/>
    <w:rsid w:val="00E534B3"/>
    <w:rsid w:val="00E53A6F"/>
    <w:rsid w:val="00E53BB0"/>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0677"/>
    <w:rsid w:val="00E6068A"/>
    <w:rsid w:val="00E61114"/>
    <w:rsid w:val="00E61237"/>
    <w:rsid w:val="00E62605"/>
    <w:rsid w:val="00E62B88"/>
    <w:rsid w:val="00E63143"/>
    <w:rsid w:val="00E63523"/>
    <w:rsid w:val="00E636DE"/>
    <w:rsid w:val="00E63DB6"/>
    <w:rsid w:val="00E63E95"/>
    <w:rsid w:val="00E63F63"/>
    <w:rsid w:val="00E6450A"/>
    <w:rsid w:val="00E646F6"/>
    <w:rsid w:val="00E64C61"/>
    <w:rsid w:val="00E64CF8"/>
    <w:rsid w:val="00E6532B"/>
    <w:rsid w:val="00E65725"/>
    <w:rsid w:val="00E65AF0"/>
    <w:rsid w:val="00E65F69"/>
    <w:rsid w:val="00E66B6A"/>
    <w:rsid w:val="00E67460"/>
    <w:rsid w:val="00E67624"/>
    <w:rsid w:val="00E70167"/>
    <w:rsid w:val="00E70359"/>
    <w:rsid w:val="00E714FF"/>
    <w:rsid w:val="00E71C7D"/>
    <w:rsid w:val="00E72D95"/>
    <w:rsid w:val="00E72D98"/>
    <w:rsid w:val="00E7376C"/>
    <w:rsid w:val="00E74B9A"/>
    <w:rsid w:val="00E74BC6"/>
    <w:rsid w:val="00E74E8A"/>
    <w:rsid w:val="00E74F3F"/>
    <w:rsid w:val="00E74FF6"/>
    <w:rsid w:val="00E750F1"/>
    <w:rsid w:val="00E753CE"/>
    <w:rsid w:val="00E755B3"/>
    <w:rsid w:val="00E7576F"/>
    <w:rsid w:val="00E757A4"/>
    <w:rsid w:val="00E75B5F"/>
    <w:rsid w:val="00E76115"/>
    <w:rsid w:val="00E7626E"/>
    <w:rsid w:val="00E769E9"/>
    <w:rsid w:val="00E77519"/>
    <w:rsid w:val="00E77DA7"/>
    <w:rsid w:val="00E8053E"/>
    <w:rsid w:val="00E806EB"/>
    <w:rsid w:val="00E8115D"/>
    <w:rsid w:val="00E81424"/>
    <w:rsid w:val="00E8147A"/>
    <w:rsid w:val="00E81745"/>
    <w:rsid w:val="00E81E88"/>
    <w:rsid w:val="00E82521"/>
    <w:rsid w:val="00E82623"/>
    <w:rsid w:val="00E82B08"/>
    <w:rsid w:val="00E82BB7"/>
    <w:rsid w:val="00E841B0"/>
    <w:rsid w:val="00E84932"/>
    <w:rsid w:val="00E84B1A"/>
    <w:rsid w:val="00E84BDB"/>
    <w:rsid w:val="00E84F57"/>
    <w:rsid w:val="00E851DC"/>
    <w:rsid w:val="00E85452"/>
    <w:rsid w:val="00E85598"/>
    <w:rsid w:val="00E85A6A"/>
    <w:rsid w:val="00E863B6"/>
    <w:rsid w:val="00E864DD"/>
    <w:rsid w:val="00E86D95"/>
    <w:rsid w:val="00E87A27"/>
    <w:rsid w:val="00E87EB2"/>
    <w:rsid w:val="00E87F50"/>
    <w:rsid w:val="00E90405"/>
    <w:rsid w:val="00E90677"/>
    <w:rsid w:val="00E90B79"/>
    <w:rsid w:val="00E90BB2"/>
    <w:rsid w:val="00E910A5"/>
    <w:rsid w:val="00E910D0"/>
    <w:rsid w:val="00E914B5"/>
    <w:rsid w:val="00E91B6E"/>
    <w:rsid w:val="00E91E53"/>
    <w:rsid w:val="00E91E6E"/>
    <w:rsid w:val="00E92415"/>
    <w:rsid w:val="00E92886"/>
    <w:rsid w:val="00E92D2F"/>
    <w:rsid w:val="00E9347A"/>
    <w:rsid w:val="00E93556"/>
    <w:rsid w:val="00E93861"/>
    <w:rsid w:val="00E93A42"/>
    <w:rsid w:val="00E94048"/>
    <w:rsid w:val="00E94504"/>
    <w:rsid w:val="00E949BD"/>
    <w:rsid w:val="00E94A6A"/>
    <w:rsid w:val="00E94F24"/>
    <w:rsid w:val="00E94FB5"/>
    <w:rsid w:val="00E959F9"/>
    <w:rsid w:val="00E95A97"/>
    <w:rsid w:val="00E95AC7"/>
    <w:rsid w:val="00E95DC7"/>
    <w:rsid w:val="00E962A3"/>
    <w:rsid w:val="00E96415"/>
    <w:rsid w:val="00E9685C"/>
    <w:rsid w:val="00E96C57"/>
    <w:rsid w:val="00E96EF4"/>
    <w:rsid w:val="00E97153"/>
    <w:rsid w:val="00E97642"/>
    <w:rsid w:val="00E97AD2"/>
    <w:rsid w:val="00E97B6D"/>
    <w:rsid w:val="00EA012D"/>
    <w:rsid w:val="00EA0726"/>
    <w:rsid w:val="00EA0F0A"/>
    <w:rsid w:val="00EA1AF7"/>
    <w:rsid w:val="00EA1C44"/>
    <w:rsid w:val="00EA28D6"/>
    <w:rsid w:val="00EA29CD"/>
    <w:rsid w:val="00EA2CA6"/>
    <w:rsid w:val="00EA2EB4"/>
    <w:rsid w:val="00EA3C51"/>
    <w:rsid w:val="00EA3E7F"/>
    <w:rsid w:val="00EA4545"/>
    <w:rsid w:val="00EA4951"/>
    <w:rsid w:val="00EA4A6E"/>
    <w:rsid w:val="00EA56E0"/>
    <w:rsid w:val="00EA5863"/>
    <w:rsid w:val="00EA596B"/>
    <w:rsid w:val="00EA5E4B"/>
    <w:rsid w:val="00EA6C53"/>
    <w:rsid w:val="00EA6EED"/>
    <w:rsid w:val="00EA755B"/>
    <w:rsid w:val="00EA7C3B"/>
    <w:rsid w:val="00EA7F99"/>
    <w:rsid w:val="00EB0848"/>
    <w:rsid w:val="00EB0CBC"/>
    <w:rsid w:val="00EB0E12"/>
    <w:rsid w:val="00EB1DAA"/>
    <w:rsid w:val="00EB2544"/>
    <w:rsid w:val="00EB2CF1"/>
    <w:rsid w:val="00EB32D6"/>
    <w:rsid w:val="00EB32EB"/>
    <w:rsid w:val="00EB352F"/>
    <w:rsid w:val="00EB3978"/>
    <w:rsid w:val="00EB3F08"/>
    <w:rsid w:val="00EB529D"/>
    <w:rsid w:val="00EB5540"/>
    <w:rsid w:val="00EB55D3"/>
    <w:rsid w:val="00EB58A9"/>
    <w:rsid w:val="00EB5932"/>
    <w:rsid w:val="00EB6969"/>
    <w:rsid w:val="00EB6F1B"/>
    <w:rsid w:val="00EB709E"/>
    <w:rsid w:val="00EB7C5E"/>
    <w:rsid w:val="00EC01C2"/>
    <w:rsid w:val="00EC02DF"/>
    <w:rsid w:val="00EC10EF"/>
    <w:rsid w:val="00EC12C1"/>
    <w:rsid w:val="00EC1620"/>
    <w:rsid w:val="00EC1C39"/>
    <w:rsid w:val="00EC1C9C"/>
    <w:rsid w:val="00EC205C"/>
    <w:rsid w:val="00EC291B"/>
    <w:rsid w:val="00EC2B69"/>
    <w:rsid w:val="00EC2D0D"/>
    <w:rsid w:val="00EC2D4F"/>
    <w:rsid w:val="00EC3506"/>
    <w:rsid w:val="00EC40B0"/>
    <w:rsid w:val="00EC4410"/>
    <w:rsid w:val="00EC4569"/>
    <w:rsid w:val="00EC4A58"/>
    <w:rsid w:val="00EC522B"/>
    <w:rsid w:val="00EC55E1"/>
    <w:rsid w:val="00EC6418"/>
    <w:rsid w:val="00EC6E7D"/>
    <w:rsid w:val="00EC7525"/>
    <w:rsid w:val="00EC7C7F"/>
    <w:rsid w:val="00EC7D72"/>
    <w:rsid w:val="00EC7F6A"/>
    <w:rsid w:val="00EC7F97"/>
    <w:rsid w:val="00ED0C89"/>
    <w:rsid w:val="00ED0CC1"/>
    <w:rsid w:val="00ED0CD2"/>
    <w:rsid w:val="00ED0CEB"/>
    <w:rsid w:val="00ED0D33"/>
    <w:rsid w:val="00ED1493"/>
    <w:rsid w:val="00ED18B3"/>
    <w:rsid w:val="00ED19D8"/>
    <w:rsid w:val="00ED26AE"/>
    <w:rsid w:val="00ED275B"/>
    <w:rsid w:val="00ED2816"/>
    <w:rsid w:val="00ED2C4D"/>
    <w:rsid w:val="00ED40D1"/>
    <w:rsid w:val="00ED4E2B"/>
    <w:rsid w:val="00ED4FBF"/>
    <w:rsid w:val="00ED503D"/>
    <w:rsid w:val="00ED52A8"/>
    <w:rsid w:val="00ED5324"/>
    <w:rsid w:val="00ED532E"/>
    <w:rsid w:val="00ED5A86"/>
    <w:rsid w:val="00ED5ADB"/>
    <w:rsid w:val="00ED5EA7"/>
    <w:rsid w:val="00ED63AF"/>
    <w:rsid w:val="00ED66F2"/>
    <w:rsid w:val="00ED67A1"/>
    <w:rsid w:val="00ED6F8A"/>
    <w:rsid w:val="00ED7E63"/>
    <w:rsid w:val="00EE0133"/>
    <w:rsid w:val="00EE089E"/>
    <w:rsid w:val="00EE0973"/>
    <w:rsid w:val="00EE09CA"/>
    <w:rsid w:val="00EE136A"/>
    <w:rsid w:val="00EE15AA"/>
    <w:rsid w:val="00EE19FE"/>
    <w:rsid w:val="00EE2859"/>
    <w:rsid w:val="00EE3AC9"/>
    <w:rsid w:val="00EE3B36"/>
    <w:rsid w:val="00EE3CDD"/>
    <w:rsid w:val="00EE3D92"/>
    <w:rsid w:val="00EE3E4F"/>
    <w:rsid w:val="00EE3E67"/>
    <w:rsid w:val="00EE4A28"/>
    <w:rsid w:val="00EE4AE7"/>
    <w:rsid w:val="00EE6235"/>
    <w:rsid w:val="00EE65E4"/>
    <w:rsid w:val="00EE6685"/>
    <w:rsid w:val="00EE7129"/>
    <w:rsid w:val="00EE79F6"/>
    <w:rsid w:val="00EF10D1"/>
    <w:rsid w:val="00EF1239"/>
    <w:rsid w:val="00EF12D4"/>
    <w:rsid w:val="00EF1313"/>
    <w:rsid w:val="00EF139C"/>
    <w:rsid w:val="00EF1C2F"/>
    <w:rsid w:val="00EF2214"/>
    <w:rsid w:val="00EF290A"/>
    <w:rsid w:val="00EF2C71"/>
    <w:rsid w:val="00EF306E"/>
    <w:rsid w:val="00EF3879"/>
    <w:rsid w:val="00EF3E39"/>
    <w:rsid w:val="00EF3FCC"/>
    <w:rsid w:val="00EF4055"/>
    <w:rsid w:val="00EF4209"/>
    <w:rsid w:val="00EF4EF9"/>
    <w:rsid w:val="00EF544A"/>
    <w:rsid w:val="00EF5AD0"/>
    <w:rsid w:val="00EF5FE4"/>
    <w:rsid w:val="00EF653A"/>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09D"/>
    <w:rsid w:val="00F042F0"/>
    <w:rsid w:val="00F0438A"/>
    <w:rsid w:val="00F05293"/>
    <w:rsid w:val="00F0530A"/>
    <w:rsid w:val="00F056BD"/>
    <w:rsid w:val="00F058C8"/>
    <w:rsid w:val="00F059EC"/>
    <w:rsid w:val="00F05D78"/>
    <w:rsid w:val="00F06370"/>
    <w:rsid w:val="00F068A2"/>
    <w:rsid w:val="00F06931"/>
    <w:rsid w:val="00F06CB8"/>
    <w:rsid w:val="00F0749D"/>
    <w:rsid w:val="00F07EA9"/>
    <w:rsid w:val="00F10549"/>
    <w:rsid w:val="00F111E0"/>
    <w:rsid w:val="00F12029"/>
    <w:rsid w:val="00F12576"/>
    <w:rsid w:val="00F12BCC"/>
    <w:rsid w:val="00F13021"/>
    <w:rsid w:val="00F1316A"/>
    <w:rsid w:val="00F13238"/>
    <w:rsid w:val="00F139EE"/>
    <w:rsid w:val="00F13D2C"/>
    <w:rsid w:val="00F13F1A"/>
    <w:rsid w:val="00F1435C"/>
    <w:rsid w:val="00F14650"/>
    <w:rsid w:val="00F14657"/>
    <w:rsid w:val="00F1495A"/>
    <w:rsid w:val="00F14D8A"/>
    <w:rsid w:val="00F150CD"/>
    <w:rsid w:val="00F15214"/>
    <w:rsid w:val="00F153AF"/>
    <w:rsid w:val="00F16021"/>
    <w:rsid w:val="00F16580"/>
    <w:rsid w:val="00F16752"/>
    <w:rsid w:val="00F1692C"/>
    <w:rsid w:val="00F175E9"/>
    <w:rsid w:val="00F17691"/>
    <w:rsid w:val="00F1775A"/>
    <w:rsid w:val="00F17FD7"/>
    <w:rsid w:val="00F20810"/>
    <w:rsid w:val="00F20B87"/>
    <w:rsid w:val="00F20E15"/>
    <w:rsid w:val="00F210B2"/>
    <w:rsid w:val="00F21177"/>
    <w:rsid w:val="00F2176B"/>
    <w:rsid w:val="00F22FA5"/>
    <w:rsid w:val="00F2365A"/>
    <w:rsid w:val="00F236A8"/>
    <w:rsid w:val="00F239E2"/>
    <w:rsid w:val="00F23B8F"/>
    <w:rsid w:val="00F23BE2"/>
    <w:rsid w:val="00F2477E"/>
    <w:rsid w:val="00F247D3"/>
    <w:rsid w:val="00F248CD"/>
    <w:rsid w:val="00F249C1"/>
    <w:rsid w:val="00F25093"/>
    <w:rsid w:val="00F2538E"/>
    <w:rsid w:val="00F2634B"/>
    <w:rsid w:val="00F26F05"/>
    <w:rsid w:val="00F27321"/>
    <w:rsid w:val="00F2766F"/>
    <w:rsid w:val="00F27B93"/>
    <w:rsid w:val="00F27C08"/>
    <w:rsid w:val="00F27C13"/>
    <w:rsid w:val="00F27CC0"/>
    <w:rsid w:val="00F303F7"/>
    <w:rsid w:val="00F30806"/>
    <w:rsid w:val="00F308E7"/>
    <w:rsid w:val="00F3112F"/>
    <w:rsid w:val="00F3135A"/>
    <w:rsid w:val="00F3149B"/>
    <w:rsid w:val="00F31993"/>
    <w:rsid w:val="00F31C66"/>
    <w:rsid w:val="00F32AC6"/>
    <w:rsid w:val="00F32C6F"/>
    <w:rsid w:val="00F33E3E"/>
    <w:rsid w:val="00F347ED"/>
    <w:rsid w:val="00F3488D"/>
    <w:rsid w:val="00F34E67"/>
    <w:rsid w:val="00F351FF"/>
    <w:rsid w:val="00F352E5"/>
    <w:rsid w:val="00F35B82"/>
    <w:rsid w:val="00F35FD5"/>
    <w:rsid w:val="00F363C7"/>
    <w:rsid w:val="00F364C7"/>
    <w:rsid w:val="00F36BD7"/>
    <w:rsid w:val="00F37773"/>
    <w:rsid w:val="00F3792B"/>
    <w:rsid w:val="00F379C5"/>
    <w:rsid w:val="00F4089D"/>
    <w:rsid w:val="00F40CD0"/>
    <w:rsid w:val="00F415E0"/>
    <w:rsid w:val="00F41742"/>
    <w:rsid w:val="00F41C28"/>
    <w:rsid w:val="00F41F62"/>
    <w:rsid w:val="00F42033"/>
    <w:rsid w:val="00F4227F"/>
    <w:rsid w:val="00F423C1"/>
    <w:rsid w:val="00F424E0"/>
    <w:rsid w:val="00F425D1"/>
    <w:rsid w:val="00F426B7"/>
    <w:rsid w:val="00F42789"/>
    <w:rsid w:val="00F43107"/>
    <w:rsid w:val="00F43265"/>
    <w:rsid w:val="00F43603"/>
    <w:rsid w:val="00F43638"/>
    <w:rsid w:val="00F43B5D"/>
    <w:rsid w:val="00F44226"/>
    <w:rsid w:val="00F44400"/>
    <w:rsid w:val="00F44E47"/>
    <w:rsid w:val="00F454E7"/>
    <w:rsid w:val="00F45724"/>
    <w:rsid w:val="00F45DDA"/>
    <w:rsid w:val="00F45F61"/>
    <w:rsid w:val="00F463AE"/>
    <w:rsid w:val="00F4688B"/>
    <w:rsid w:val="00F46FA1"/>
    <w:rsid w:val="00F47B1F"/>
    <w:rsid w:val="00F47B70"/>
    <w:rsid w:val="00F50BAA"/>
    <w:rsid w:val="00F51240"/>
    <w:rsid w:val="00F51527"/>
    <w:rsid w:val="00F51714"/>
    <w:rsid w:val="00F5230A"/>
    <w:rsid w:val="00F52AF0"/>
    <w:rsid w:val="00F52E17"/>
    <w:rsid w:val="00F52FBF"/>
    <w:rsid w:val="00F53517"/>
    <w:rsid w:val="00F536E9"/>
    <w:rsid w:val="00F537FE"/>
    <w:rsid w:val="00F53B2E"/>
    <w:rsid w:val="00F53D98"/>
    <w:rsid w:val="00F53EE0"/>
    <w:rsid w:val="00F54166"/>
    <w:rsid w:val="00F541B8"/>
    <w:rsid w:val="00F54EC8"/>
    <w:rsid w:val="00F55C21"/>
    <w:rsid w:val="00F568F7"/>
    <w:rsid w:val="00F56C30"/>
    <w:rsid w:val="00F5717C"/>
    <w:rsid w:val="00F6018C"/>
    <w:rsid w:val="00F6059A"/>
    <w:rsid w:val="00F609E3"/>
    <w:rsid w:val="00F60B3C"/>
    <w:rsid w:val="00F61AA8"/>
    <w:rsid w:val="00F61B28"/>
    <w:rsid w:val="00F61CB2"/>
    <w:rsid w:val="00F61FBB"/>
    <w:rsid w:val="00F62358"/>
    <w:rsid w:val="00F6265C"/>
    <w:rsid w:val="00F62AD8"/>
    <w:rsid w:val="00F63135"/>
    <w:rsid w:val="00F6369C"/>
    <w:rsid w:val="00F63B46"/>
    <w:rsid w:val="00F6468A"/>
    <w:rsid w:val="00F64BD9"/>
    <w:rsid w:val="00F64DA4"/>
    <w:rsid w:val="00F6551F"/>
    <w:rsid w:val="00F65BC4"/>
    <w:rsid w:val="00F65C31"/>
    <w:rsid w:val="00F6636E"/>
    <w:rsid w:val="00F668D9"/>
    <w:rsid w:val="00F66F92"/>
    <w:rsid w:val="00F6728A"/>
    <w:rsid w:val="00F67AA6"/>
    <w:rsid w:val="00F67D9A"/>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3F75"/>
    <w:rsid w:val="00F74089"/>
    <w:rsid w:val="00F74153"/>
    <w:rsid w:val="00F74AB6"/>
    <w:rsid w:val="00F75058"/>
    <w:rsid w:val="00F7589C"/>
    <w:rsid w:val="00F75AB1"/>
    <w:rsid w:val="00F75B8F"/>
    <w:rsid w:val="00F75C2E"/>
    <w:rsid w:val="00F76033"/>
    <w:rsid w:val="00F764A3"/>
    <w:rsid w:val="00F76B60"/>
    <w:rsid w:val="00F76D27"/>
    <w:rsid w:val="00F77190"/>
    <w:rsid w:val="00F77C3C"/>
    <w:rsid w:val="00F77CAD"/>
    <w:rsid w:val="00F80A90"/>
    <w:rsid w:val="00F812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2CD"/>
    <w:rsid w:val="00F84FDA"/>
    <w:rsid w:val="00F85170"/>
    <w:rsid w:val="00F856DA"/>
    <w:rsid w:val="00F85768"/>
    <w:rsid w:val="00F85BC5"/>
    <w:rsid w:val="00F85F92"/>
    <w:rsid w:val="00F8668C"/>
    <w:rsid w:val="00F87947"/>
    <w:rsid w:val="00F87FFD"/>
    <w:rsid w:val="00F91CF2"/>
    <w:rsid w:val="00F9228F"/>
    <w:rsid w:val="00F9253C"/>
    <w:rsid w:val="00F927A0"/>
    <w:rsid w:val="00F934B9"/>
    <w:rsid w:val="00F934DB"/>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335"/>
    <w:rsid w:val="00FA078A"/>
    <w:rsid w:val="00FA084B"/>
    <w:rsid w:val="00FA0C01"/>
    <w:rsid w:val="00FA0DB5"/>
    <w:rsid w:val="00FA133A"/>
    <w:rsid w:val="00FA1377"/>
    <w:rsid w:val="00FA152A"/>
    <w:rsid w:val="00FA1839"/>
    <w:rsid w:val="00FA1D12"/>
    <w:rsid w:val="00FA1D1B"/>
    <w:rsid w:val="00FA3014"/>
    <w:rsid w:val="00FA3A6A"/>
    <w:rsid w:val="00FA3C83"/>
    <w:rsid w:val="00FA3F69"/>
    <w:rsid w:val="00FA40FE"/>
    <w:rsid w:val="00FA4413"/>
    <w:rsid w:val="00FA49E9"/>
    <w:rsid w:val="00FA4A64"/>
    <w:rsid w:val="00FA4CFE"/>
    <w:rsid w:val="00FA502D"/>
    <w:rsid w:val="00FA6007"/>
    <w:rsid w:val="00FA6121"/>
    <w:rsid w:val="00FA627D"/>
    <w:rsid w:val="00FA628D"/>
    <w:rsid w:val="00FA6344"/>
    <w:rsid w:val="00FA768C"/>
    <w:rsid w:val="00FA7715"/>
    <w:rsid w:val="00FA7E22"/>
    <w:rsid w:val="00FA7E4E"/>
    <w:rsid w:val="00FA7FE7"/>
    <w:rsid w:val="00FB0665"/>
    <w:rsid w:val="00FB0C65"/>
    <w:rsid w:val="00FB14A8"/>
    <w:rsid w:val="00FB1A40"/>
    <w:rsid w:val="00FB1A45"/>
    <w:rsid w:val="00FB1CF2"/>
    <w:rsid w:val="00FB1CF4"/>
    <w:rsid w:val="00FB3216"/>
    <w:rsid w:val="00FB355E"/>
    <w:rsid w:val="00FB389C"/>
    <w:rsid w:val="00FB4797"/>
    <w:rsid w:val="00FB51B8"/>
    <w:rsid w:val="00FB5657"/>
    <w:rsid w:val="00FB5BFC"/>
    <w:rsid w:val="00FB5D10"/>
    <w:rsid w:val="00FB6C27"/>
    <w:rsid w:val="00FB6CCA"/>
    <w:rsid w:val="00FB724C"/>
    <w:rsid w:val="00FB7544"/>
    <w:rsid w:val="00FB7642"/>
    <w:rsid w:val="00FB7E5F"/>
    <w:rsid w:val="00FC023E"/>
    <w:rsid w:val="00FC02E9"/>
    <w:rsid w:val="00FC0612"/>
    <w:rsid w:val="00FC0721"/>
    <w:rsid w:val="00FC0E25"/>
    <w:rsid w:val="00FC1ABD"/>
    <w:rsid w:val="00FC21C3"/>
    <w:rsid w:val="00FC2233"/>
    <w:rsid w:val="00FC23CC"/>
    <w:rsid w:val="00FC24C4"/>
    <w:rsid w:val="00FC29B6"/>
    <w:rsid w:val="00FC32DA"/>
    <w:rsid w:val="00FC332F"/>
    <w:rsid w:val="00FC408E"/>
    <w:rsid w:val="00FC451E"/>
    <w:rsid w:val="00FC4579"/>
    <w:rsid w:val="00FC4853"/>
    <w:rsid w:val="00FC491B"/>
    <w:rsid w:val="00FC5742"/>
    <w:rsid w:val="00FC5C86"/>
    <w:rsid w:val="00FC6043"/>
    <w:rsid w:val="00FC60C9"/>
    <w:rsid w:val="00FC6303"/>
    <w:rsid w:val="00FC66BF"/>
    <w:rsid w:val="00FC680F"/>
    <w:rsid w:val="00FC75AA"/>
    <w:rsid w:val="00FC7C09"/>
    <w:rsid w:val="00FC7C70"/>
    <w:rsid w:val="00FC7EA1"/>
    <w:rsid w:val="00FD1590"/>
    <w:rsid w:val="00FD180C"/>
    <w:rsid w:val="00FD1900"/>
    <w:rsid w:val="00FD2143"/>
    <w:rsid w:val="00FD23FE"/>
    <w:rsid w:val="00FD2589"/>
    <w:rsid w:val="00FD36BC"/>
    <w:rsid w:val="00FD3BAA"/>
    <w:rsid w:val="00FD3E8D"/>
    <w:rsid w:val="00FD4A3E"/>
    <w:rsid w:val="00FD505C"/>
    <w:rsid w:val="00FD5557"/>
    <w:rsid w:val="00FD562C"/>
    <w:rsid w:val="00FD571A"/>
    <w:rsid w:val="00FD5CF9"/>
    <w:rsid w:val="00FD5F43"/>
    <w:rsid w:val="00FD60BD"/>
    <w:rsid w:val="00FD616A"/>
    <w:rsid w:val="00FD62E1"/>
    <w:rsid w:val="00FD657F"/>
    <w:rsid w:val="00FD6BE0"/>
    <w:rsid w:val="00FD6F85"/>
    <w:rsid w:val="00FD7118"/>
    <w:rsid w:val="00FD711D"/>
    <w:rsid w:val="00FD78C1"/>
    <w:rsid w:val="00FD7F96"/>
    <w:rsid w:val="00FE0AE8"/>
    <w:rsid w:val="00FE0BCD"/>
    <w:rsid w:val="00FE0E9D"/>
    <w:rsid w:val="00FE130B"/>
    <w:rsid w:val="00FE15B3"/>
    <w:rsid w:val="00FE190D"/>
    <w:rsid w:val="00FE2873"/>
    <w:rsid w:val="00FE2E2E"/>
    <w:rsid w:val="00FE30B8"/>
    <w:rsid w:val="00FE3DF2"/>
    <w:rsid w:val="00FE400D"/>
    <w:rsid w:val="00FE4158"/>
    <w:rsid w:val="00FE418B"/>
    <w:rsid w:val="00FE4253"/>
    <w:rsid w:val="00FE47C0"/>
    <w:rsid w:val="00FE4939"/>
    <w:rsid w:val="00FE4AA1"/>
    <w:rsid w:val="00FE4BAD"/>
    <w:rsid w:val="00FE56E8"/>
    <w:rsid w:val="00FE57B2"/>
    <w:rsid w:val="00FE5966"/>
    <w:rsid w:val="00FE5C44"/>
    <w:rsid w:val="00FE6655"/>
    <w:rsid w:val="00FE75A2"/>
    <w:rsid w:val="00FE7694"/>
    <w:rsid w:val="00FE770D"/>
    <w:rsid w:val="00FE7850"/>
    <w:rsid w:val="00FF005E"/>
    <w:rsid w:val="00FF00BB"/>
    <w:rsid w:val="00FF02DA"/>
    <w:rsid w:val="00FF23B5"/>
    <w:rsid w:val="00FF3798"/>
    <w:rsid w:val="00FF388F"/>
    <w:rsid w:val="00FF3D4B"/>
    <w:rsid w:val="00FF488C"/>
    <w:rsid w:val="00FF492B"/>
    <w:rsid w:val="00FF4E8A"/>
    <w:rsid w:val="00FF5849"/>
    <w:rsid w:val="00FF599A"/>
    <w:rsid w:val="00FF6833"/>
    <w:rsid w:val="00FF6A21"/>
    <w:rsid w:val="00FF6A50"/>
    <w:rsid w:val="00FF6BC4"/>
    <w:rsid w:val="00FF72FE"/>
    <w:rsid w:val="00FF75C3"/>
    <w:rsid w:val="00FF791B"/>
    <w:rsid w:val="00FF7EC3"/>
    <w:rsid w:val="017A7CFF"/>
    <w:rsid w:val="01D72088"/>
    <w:rsid w:val="022FF575"/>
    <w:rsid w:val="024DE951"/>
    <w:rsid w:val="028CE5D1"/>
    <w:rsid w:val="02F003AD"/>
    <w:rsid w:val="0327C5A0"/>
    <w:rsid w:val="034E6A2E"/>
    <w:rsid w:val="039009C2"/>
    <w:rsid w:val="03A48C71"/>
    <w:rsid w:val="03B24AF6"/>
    <w:rsid w:val="03D6AC75"/>
    <w:rsid w:val="0404837B"/>
    <w:rsid w:val="044E4791"/>
    <w:rsid w:val="04758397"/>
    <w:rsid w:val="050CEDA6"/>
    <w:rsid w:val="05150D02"/>
    <w:rsid w:val="05473A05"/>
    <w:rsid w:val="05C9421E"/>
    <w:rsid w:val="06B07648"/>
    <w:rsid w:val="06B16EC3"/>
    <w:rsid w:val="06DE4CC8"/>
    <w:rsid w:val="07984A7B"/>
    <w:rsid w:val="07C5826D"/>
    <w:rsid w:val="0820CD0E"/>
    <w:rsid w:val="085DA166"/>
    <w:rsid w:val="098AF8F5"/>
    <w:rsid w:val="09A54F47"/>
    <w:rsid w:val="09FDC14E"/>
    <w:rsid w:val="0A5ECCB0"/>
    <w:rsid w:val="0A6ABE8A"/>
    <w:rsid w:val="0A91AAA1"/>
    <w:rsid w:val="0B9991AF"/>
    <w:rsid w:val="0BA24188"/>
    <w:rsid w:val="0BD5FA01"/>
    <w:rsid w:val="0C056FD8"/>
    <w:rsid w:val="0C1E484B"/>
    <w:rsid w:val="0C2E8703"/>
    <w:rsid w:val="0C549419"/>
    <w:rsid w:val="0C710FD2"/>
    <w:rsid w:val="0C787620"/>
    <w:rsid w:val="0DF20051"/>
    <w:rsid w:val="0E666B0F"/>
    <w:rsid w:val="0EE8628E"/>
    <w:rsid w:val="0F1EA3C4"/>
    <w:rsid w:val="0F56FC07"/>
    <w:rsid w:val="0F7B2BDA"/>
    <w:rsid w:val="0F8281E8"/>
    <w:rsid w:val="0FC4837F"/>
    <w:rsid w:val="0FEBBF85"/>
    <w:rsid w:val="0FFD7DDA"/>
    <w:rsid w:val="100E54FF"/>
    <w:rsid w:val="102740D7"/>
    <w:rsid w:val="10607F55"/>
    <w:rsid w:val="1065594C"/>
    <w:rsid w:val="10C61C41"/>
    <w:rsid w:val="115146BC"/>
    <w:rsid w:val="11B620FF"/>
    <w:rsid w:val="1274C714"/>
    <w:rsid w:val="1377E9E0"/>
    <w:rsid w:val="14C227F0"/>
    <w:rsid w:val="14C5508D"/>
    <w:rsid w:val="1504EABE"/>
    <w:rsid w:val="15F5C4A0"/>
    <w:rsid w:val="1616DC17"/>
    <w:rsid w:val="169A03AB"/>
    <w:rsid w:val="169F6DBC"/>
    <w:rsid w:val="16BECC72"/>
    <w:rsid w:val="16E61DD7"/>
    <w:rsid w:val="16F503ED"/>
    <w:rsid w:val="174F68B0"/>
    <w:rsid w:val="18A4D325"/>
    <w:rsid w:val="18B7CA99"/>
    <w:rsid w:val="1935D3BE"/>
    <w:rsid w:val="19410630"/>
    <w:rsid w:val="194E7CD9"/>
    <w:rsid w:val="1992A1CB"/>
    <w:rsid w:val="1995616E"/>
    <w:rsid w:val="19C4B4A7"/>
    <w:rsid w:val="1A338346"/>
    <w:rsid w:val="1AC76242"/>
    <w:rsid w:val="1B02A2D1"/>
    <w:rsid w:val="1B1B68C9"/>
    <w:rsid w:val="1B622138"/>
    <w:rsid w:val="1BAE5821"/>
    <w:rsid w:val="1C170E12"/>
    <w:rsid w:val="1C18E2D0"/>
    <w:rsid w:val="1C393172"/>
    <w:rsid w:val="1C4054AF"/>
    <w:rsid w:val="1C411EF8"/>
    <w:rsid w:val="1C802DC7"/>
    <w:rsid w:val="1C93F963"/>
    <w:rsid w:val="1D26A325"/>
    <w:rsid w:val="1E38E29B"/>
    <w:rsid w:val="1EC1D45A"/>
    <w:rsid w:val="1EC8C4C6"/>
    <w:rsid w:val="1F79D94B"/>
    <w:rsid w:val="1FD36FA8"/>
    <w:rsid w:val="1FEB260E"/>
    <w:rsid w:val="1FF77365"/>
    <w:rsid w:val="20358222"/>
    <w:rsid w:val="206C9F24"/>
    <w:rsid w:val="2085ABFD"/>
    <w:rsid w:val="20B2A791"/>
    <w:rsid w:val="20E4CD9E"/>
    <w:rsid w:val="20F1850B"/>
    <w:rsid w:val="22217C5E"/>
    <w:rsid w:val="222974C3"/>
    <w:rsid w:val="225B2D79"/>
    <w:rsid w:val="22AF3430"/>
    <w:rsid w:val="2331BCB1"/>
    <w:rsid w:val="23469B9B"/>
    <w:rsid w:val="235888FB"/>
    <w:rsid w:val="251A8B6E"/>
    <w:rsid w:val="25255508"/>
    <w:rsid w:val="253FF3D0"/>
    <w:rsid w:val="25BB1B24"/>
    <w:rsid w:val="25CB4274"/>
    <w:rsid w:val="25D21E4A"/>
    <w:rsid w:val="266E64F0"/>
    <w:rsid w:val="26BC74B6"/>
    <w:rsid w:val="27996D2C"/>
    <w:rsid w:val="27AAA803"/>
    <w:rsid w:val="28F1758E"/>
    <w:rsid w:val="2918E36A"/>
    <w:rsid w:val="294EC400"/>
    <w:rsid w:val="296C8E29"/>
    <w:rsid w:val="2987F85F"/>
    <w:rsid w:val="29BAF2F9"/>
    <w:rsid w:val="2A119E8B"/>
    <w:rsid w:val="2A39D6B0"/>
    <w:rsid w:val="2A529129"/>
    <w:rsid w:val="2A62FF34"/>
    <w:rsid w:val="2B72049A"/>
    <w:rsid w:val="2BAC3E44"/>
    <w:rsid w:val="2BACF4E6"/>
    <w:rsid w:val="2C124BD3"/>
    <w:rsid w:val="2D6F0D7B"/>
    <w:rsid w:val="2DE7FE6F"/>
    <w:rsid w:val="2DF0B543"/>
    <w:rsid w:val="2F478EB5"/>
    <w:rsid w:val="2F931169"/>
    <w:rsid w:val="2FA8E2C1"/>
    <w:rsid w:val="30229191"/>
    <w:rsid w:val="308C3CE2"/>
    <w:rsid w:val="3112A519"/>
    <w:rsid w:val="31313FAA"/>
    <w:rsid w:val="319454B0"/>
    <w:rsid w:val="31CA961F"/>
    <w:rsid w:val="31DDD50C"/>
    <w:rsid w:val="3246FA09"/>
    <w:rsid w:val="326D19D7"/>
    <w:rsid w:val="32F23D79"/>
    <w:rsid w:val="331F841E"/>
    <w:rsid w:val="332FE2B9"/>
    <w:rsid w:val="3357386E"/>
    <w:rsid w:val="33D26570"/>
    <w:rsid w:val="33D8AA64"/>
    <w:rsid w:val="33F20109"/>
    <w:rsid w:val="348E0DDA"/>
    <w:rsid w:val="34A1DC9D"/>
    <w:rsid w:val="34BC5CE7"/>
    <w:rsid w:val="34BED7C9"/>
    <w:rsid w:val="34DF532E"/>
    <w:rsid w:val="34EFDB96"/>
    <w:rsid w:val="354FF07C"/>
    <w:rsid w:val="356B1BAF"/>
    <w:rsid w:val="35B51280"/>
    <w:rsid w:val="35FE2508"/>
    <w:rsid w:val="360415A7"/>
    <w:rsid w:val="360E63C0"/>
    <w:rsid w:val="36242F3A"/>
    <w:rsid w:val="36E542AA"/>
    <w:rsid w:val="3725A318"/>
    <w:rsid w:val="3753CCA6"/>
    <w:rsid w:val="37E5ABE1"/>
    <w:rsid w:val="3825841A"/>
    <w:rsid w:val="383FA5F2"/>
    <w:rsid w:val="383FD7C8"/>
    <w:rsid w:val="38D9083F"/>
    <w:rsid w:val="38DE3243"/>
    <w:rsid w:val="3900761B"/>
    <w:rsid w:val="3957E169"/>
    <w:rsid w:val="399CA587"/>
    <w:rsid w:val="3A0A0F20"/>
    <w:rsid w:val="3A0D3BD6"/>
    <w:rsid w:val="3A75D4BF"/>
    <w:rsid w:val="3A9D10C5"/>
    <w:rsid w:val="3B1B0B42"/>
    <w:rsid w:val="3B1BBFCD"/>
    <w:rsid w:val="3B2242E3"/>
    <w:rsid w:val="3BF780A4"/>
    <w:rsid w:val="3C5D4546"/>
    <w:rsid w:val="3D1A4486"/>
    <w:rsid w:val="3D2CA50C"/>
    <w:rsid w:val="3D57DDD7"/>
    <w:rsid w:val="3DE19640"/>
    <w:rsid w:val="3E77D15F"/>
    <w:rsid w:val="3EB5403F"/>
    <w:rsid w:val="3EBD2CF5"/>
    <w:rsid w:val="3F132CE5"/>
    <w:rsid w:val="3F3BD743"/>
    <w:rsid w:val="3FE17BE3"/>
    <w:rsid w:val="40A17A51"/>
    <w:rsid w:val="40E7B091"/>
    <w:rsid w:val="40F9F5BE"/>
    <w:rsid w:val="41010BBF"/>
    <w:rsid w:val="418A4CC6"/>
    <w:rsid w:val="422790A0"/>
    <w:rsid w:val="42449560"/>
    <w:rsid w:val="42A822AA"/>
    <w:rsid w:val="42D78997"/>
    <w:rsid w:val="42FEAAEC"/>
    <w:rsid w:val="43091FF2"/>
    <w:rsid w:val="43910D71"/>
    <w:rsid w:val="43CC86C8"/>
    <w:rsid w:val="4466A622"/>
    <w:rsid w:val="44CF8D23"/>
    <w:rsid w:val="452328DC"/>
    <w:rsid w:val="45F9C253"/>
    <w:rsid w:val="4617DF3F"/>
    <w:rsid w:val="4638D2F5"/>
    <w:rsid w:val="463F60D7"/>
    <w:rsid w:val="4659270E"/>
    <w:rsid w:val="47402798"/>
    <w:rsid w:val="476F82FA"/>
    <w:rsid w:val="47B3FE2F"/>
    <w:rsid w:val="47CBA2CB"/>
    <w:rsid w:val="47E065ED"/>
    <w:rsid w:val="480FAF8F"/>
    <w:rsid w:val="4872A4FD"/>
    <w:rsid w:val="48D6CDF5"/>
    <w:rsid w:val="499B0FF1"/>
    <w:rsid w:val="49CCC3AB"/>
    <w:rsid w:val="4AECBF5F"/>
    <w:rsid w:val="4B0F0337"/>
    <w:rsid w:val="4B83B145"/>
    <w:rsid w:val="4C072415"/>
    <w:rsid w:val="4C98C13C"/>
    <w:rsid w:val="4CA4A9D6"/>
    <w:rsid w:val="4CBCA0CF"/>
    <w:rsid w:val="4CFCA204"/>
    <w:rsid w:val="4D16AA8A"/>
    <w:rsid w:val="4E23A39E"/>
    <w:rsid w:val="4E3A6749"/>
    <w:rsid w:val="500DD109"/>
    <w:rsid w:val="50BC376B"/>
    <w:rsid w:val="5117615F"/>
    <w:rsid w:val="512DFA06"/>
    <w:rsid w:val="516A0F04"/>
    <w:rsid w:val="520502E6"/>
    <w:rsid w:val="52511DE1"/>
    <w:rsid w:val="52A5E860"/>
    <w:rsid w:val="52BD24C0"/>
    <w:rsid w:val="52DBC29A"/>
    <w:rsid w:val="530B0459"/>
    <w:rsid w:val="5328EF6F"/>
    <w:rsid w:val="54913F38"/>
    <w:rsid w:val="549A5659"/>
    <w:rsid w:val="54EE8B8C"/>
    <w:rsid w:val="55613FF3"/>
    <w:rsid w:val="55B4ED49"/>
    <w:rsid w:val="5688CA44"/>
    <w:rsid w:val="57225D74"/>
    <w:rsid w:val="577F1E2D"/>
    <w:rsid w:val="579BD9C9"/>
    <w:rsid w:val="57BC42AF"/>
    <w:rsid w:val="57D16985"/>
    <w:rsid w:val="57FF2BC8"/>
    <w:rsid w:val="580084DA"/>
    <w:rsid w:val="58363930"/>
    <w:rsid w:val="588C7832"/>
    <w:rsid w:val="588E7070"/>
    <w:rsid w:val="58BDFCF2"/>
    <w:rsid w:val="5945BDD3"/>
    <w:rsid w:val="5958ECCB"/>
    <w:rsid w:val="598A52BF"/>
    <w:rsid w:val="59FDE55F"/>
    <w:rsid w:val="5AF28860"/>
    <w:rsid w:val="5B185C1B"/>
    <w:rsid w:val="5BF60168"/>
    <w:rsid w:val="5C298AAF"/>
    <w:rsid w:val="5C5FE13D"/>
    <w:rsid w:val="5D24D312"/>
    <w:rsid w:val="5DB9ACFB"/>
    <w:rsid w:val="5EC7DC25"/>
    <w:rsid w:val="5F49994F"/>
    <w:rsid w:val="5F91D272"/>
    <w:rsid w:val="5FA58D8C"/>
    <w:rsid w:val="5FF80A4B"/>
    <w:rsid w:val="601C1211"/>
    <w:rsid w:val="60278B40"/>
    <w:rsid w:val="60753903"/>
    <w:rsid w:val="6105B516"/>
    <w:rsid w:val="6113937E"/>
    <w:rsid w:val="61308CCD"/>
    <w:rsid w:val="61336C6D"/>
    <w:rsid w:val="6165A02B"/>
    <w:rsid w:val="61E14BFF"/>
    <w:rsid w:val="634E24EF"/>
    <w:rsid w:val="635891C9"/>
    <w:rsid w:val="63B0B918"/>
    <w:rsid w:val="64301FE8"/>
    <w:rsid w:val="644AE3A9"/>
    <w:rsid w:val="64E9F550"/>
    <w:rsid w:val="6542459A"/>
    <w:rsid w:val="659DBA38"/>
    <w:rsid w:val="65D76A9D"/>
    <w:rsid w:val="663166C8"/>
    <w:rsid w:val="66CDB31D"/>
    <w:rsid w:val="677429E1"/>
    <w:rsid w:val="67990807"/>
    <w:rsid w:val="67E08B86"/>
    <w:rsid w:val="68417C0A"/>
    <w:rsid w:val="684B2E0A"/>
    <w:rsid w:val="6850EF86"/>
    <w:rsid w:val="69621A9A"/>
    <w:rsid w:val="69933239"/>
    <w:rsid w:val="69B7E316"/>
    <w:rsid w:val="69CF2339"/>
    <w:rsid w:val="6A331897"/>
    <w:rsid w:val="6AB4F35A"/>
    <w:rsid w:val="6AD9F59C"/>
    <w:rsid w:val="6BC08688"/>
    <w:rsid w:val="6BE54DD3"/>
    <w:rsid w:val="6C5DCE53"/>
    <w:rsid w:val="6C60B2B2"/>
    <w:rsid w:val="6CA2C4F8"/>
    <w:rsid w:val="6CCAD2FB"/>
    <w:rsid w:val="6CE2DA94"/>
    <w:rsid w:val="6DC2567D"/>
    <w:rsid w:val="6DC4E821"/>
    <w:rsid w:val="6E66A35C"/>
    <w:rsid w:val="6E6E0E2D"/>
    <w:rsid w:val="6EB24880"/>
    <w:rsid w:val="6EDCB086"/>
    <w:rsid w:val="6F3B4F2D"/>
    <w:rsid w:val="6F6620A7"/>
    <w:rsid w:val="6F85C78B"/>
    <w:rsid w:val="6FAD9B09"/>
    <w:rsid w:val="6FAF5595"/>
    <w:rsid w:val="6FE1BBC8"/>
    <w:rsid w:val="7019BBDA"/>
    <w:rsid w:val="706AD4C5"/>
    <w:rsid w:val="70F46799"/>
    <w:rsid w:val="719B49B6"/>
    <w:rsid w:val="719DDF0F"/>
    <w:rsid w:val="71BDAFB4"/>
    <w:rsid w:val="7220172D"/>
    <w:rsid w:val="7261E6EE"/>
    <w:rsid w:val="7284AE04"/>
    <w:rsid w:val="72C42E97"/>
    <w:rsid w:val="72C5FA87"/>
    <w:rsid w:val="7371F871"/>
    <w:rsid w:val="7374EB25"/>
    <w:rsid w:val="73A24A6A"/>
    <w:rsid w:val="73CECA68"/>
    <w:rsid w:val="741E2783"/>
    <w:rsid w:val="754411FC"/>
    <w:rsid w:val="7549213A"/>
    <w:rsid w:val="75902AE3"/>
    <w:rsid w:val="75B142FE"/>
    <w:rsid w:val="76292BBC"/>
    <w:rsid w:val="763879A3"/>
    <w:rsid w:val="7665C3F8"/>
    <w:rsid w:val="76828E56"/>
    <w:rsid w:val="78D81114"/>
    <w:rsid w:val="78E01DF2"/>
    <w:rsid w:val="78F3A022"/>
    <w:rsid w:val="79A1AD59"/>
    <w:rsid w:val="79CDF9A4"/>
    <w:rsid w:val="79F146D7"/>
    <w:rsid w:val="7A6BFCB4"/>
    <w:rsid w:val="7A753DC4"/>
    <w:rsid w:val="7AA26D1C"/>
    <w:rsid w:val="7B7181D6"/>
    <w:rsid w:val="7B895968"/>
    <w:rsid w:val="7BC0D255"/>
    <w:rsid w:val="7BE021D0"/>
    <w:rsid w:val="7C503174"/>
    <w:rsid w:val="7C514954"/>
    <w:rsid w:val="7CEDA9A8"/>
    <w:rsid w:val="7D2F4B25"/>
    <w:rsid w:val="7D5C8451"/>
    <w:rsid w:val="7DC056B8"/>
    <w:rsid w:val="7DC11852"/>
    <w:rsid w:val="7DC3118B"/>
    <w:rsid w:val="7E070B60"/>
    <w:rsid w:val="7E7F342B"/>
    <w:rsid w:val="7EA5CB7D"/>
    <w:rsid w:val="7EC83113"/>
    <w:rsid w:val="7EE232D6"/>
    <w:rsid w:val="7F1D6041"/>
    <w:rsid w:val="7F47A5EE"/>
    <w:rsid w:val="7F6D276B"/>
    <w:rsid w:val="7FAFC929"/>
    <w:rsid w:val="7FCF3BA7"/>
    <w:rsid w:val="7FD85E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12DC165F-5CE7-4489-AC04-E7D90ED2E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 w:type="character" w:customStyle="1" w:styleId="scxw124215723">
    <w:name w:val="scxw124215723"/>
    <w:basedOn w:val="DefaultParagraphFont"/>
    <w:rsid w:val="00A85E92"/>
  </w:style>
  <w:style w:type="character" w:customStyle="1" w:styleId="scxw127031168">
    <w:name w:val="scxw127031168"/>
    <w:basedOn w:val="DefaultParagraphFont"/>
    <w:rsid w:val="00142424"/>
  </w:style>
  <w:style w:type="character" w:customStyle="1" w:styleId="scxw158413129">
    <w:name w:val="scxw158413129"/>
    <w:basedOn w:val="DefaultParagraphFont"/>
    <w:rsid w:val="009C4ADE"/>
  </w:style>
  <w:style w:type="character" w:customStyle="1" w:styleId="scxw237298823">
    <w:name w:val="scxw237298823"/>
    <w:basedOn w:val="DefaultParagraphFont"/>
    <w:rsid w:val="009C4ADE"/>
  </w:style>
  <w:style w:type="character" w:customStyle="1" w:styleId="scxw2242163">
    <w:name w:val="scxw2242163"/>
    <w:basedOn w:val="DefaultParagraphFont"/>
    <w:rsid w:val="009C4ADE"/>
  </w:style>
  <w:style w:type="character" w:customStyle="1" w:styleId="scxw217940311">
    <w:name w:val="scxw217940311"/>
    <w:basedOn w:val="DefaultParagraphFont"/>
    <w:rsid w:val="00893917"/>
  </w:style>
  <w:style w:type="character" w:styleId="IntenseReference">
    <w:name w:val="Intense Reference"/>
    <w:basedOn w:val="DefaultParagraphFont"/>
    <w:uiPriority w:val="32"/>
    <w:qFormat/>
    <w:rsid w:val="00F0749D"/>
    <w:rPr>
      <w:b/>
      <w:bCs/>
      <w:smallCaps/>
      <w:color w:val="4472C4" w:themeColor="accent1"/>
      <w:spacing w:val="5"/>
    </w:rPr>
  </w:style>
  <w:style w:type="character" w:customStyle="1" w:styleId="scxw250076644">
    <w:name w:val="scxw250076644"/>
    <w:basedOn w:val="DefaultParagraphFont"/>
    <w:rsid w:val="00C119DC"/>
  </w:style>
  <w:style w:type="character" w:customStyle="1" w:styleId="scxw15433395">
    <w:name w:val="scxw15433395"/>
    <w:basedOn w:val="DefaultParagraphFont"/>
    <w:rsid w:val="00643E50"/>
  </w:style>
  <w:style w:type="character" w:customStyle="1" w:styleId="scxw70757985">
    <w:name w:val="scxw70757985"/>
    <w:basedOn w:val="DefaultParagraphFont"/>
    <w:rsid w:val="00870356"/>
  </w:style>
  <w:style w:type="paragraph" w:styleId="Revision">
    <w:name w:val="Revision"/>
    <w:hidden/>
    <w:uiPriority w:val="99"/>
    <w:semiHidden/>
    <w:rsid w:val="009A2045"/>
    <w:pPr>
      <w:spacing w:after="0" w:line="240" w:lineRule="auto"/>
    </w:pPr>
  </w:style>
  <w:style w:type="character" w:customStyle="1" w:styleId="scxw215991038">
    <w:name w:val="scxw215991038"/>
    <w:basedOn w:val="DefaultParagraphFont"/>
    <w:rsid w:val="006F437F"/>
  </w:style>
  <w:style w:type="character" w:customStyle="1" w:styleId="scxw40621543">
    <w:name w:val="scxw40621543"/>
    <w:basedOn w:val="DefaultParagraphFont"/>
    <w:rsid w:val="006F437F"/>
  </w:style>
  <w:style w:type="character" w:customStyle="1" w:styleId="scxw257872928">
    <w:name w:val="scxw257872928"/>
    <w:basedOn w:val="DefaultParagraphFont"/>
    <w:rsid w:val="00002438"/>
  </w:style>
  <w:style w:type="character" w:customStyle="1" w:styleId="scxw227433378">
    <w:name w:val="scxw227433378"/>
    <w:basedOn w:val="DefaultParagraphFont"/>
    <w:rsid w:val="00E82B08"/>
  </w:style>
  <w:style w:type="character" w:customStyle="1" w:styleId="scxw193657032">
    <w:name w:val="scxw193657032"/>
    <w:basedOn w:val="DefaultParagraphFont"/>
    <w:rsid w:val="009F73EB"/>
  </w:style>
  <w:style w:type="character" w:customStyle="1" w:styleId="scxw256381762">
    <w:name w:val="scxw256381762"/>
    <w:basedOn w:val="DefaultParagraphFont"/>
    <w:rsid w:val="001526BF"/>
  </w:style>
  <w:style w:type="character" w:customStyle="1" w:styleId="scxw202753128">
    <w:name w:val="scxw202753128"/>
    <w:basedOn w:val="DefaultParagraphFont"/>
    <w:rsid w:val="00A677A3"/>
  </w:style>
  <w:style w:type="character" w:customStyle="1" w:styleId="scxw46681282">
    <w:name w:val="scxw46681282"/>
    <w:basedOn w:val="DefaultParagraphFont"/>
    <w:rsid w:val="004A6311"/>
  </w:style>
  <w:style w:type="character" w:customStyle="1" w:styleId="scxw110422706">
    <w:name w:val="scxw110422706"/>
    <w:basedOn w:val="DefaultParagraphFont"/>
    <w:rsid w:val="004A6311"/>
  </w:style>
  <w:style w:type="character" w:customStyle="1" w:styleId="scxw80676492">
    <w:name w:val="scxw80676492"/>
    <w:basedOn w:val="DefaultParagraphFont"/>
    <w:rsid w:val="004A6311"/>
  </w:style>
  <w:style w:type="character" w:customStyle="1" w:styleId="scxw49163752">
    <w:name w:val="scxw49163752"/>
    <w:basedOn w:val="DefaultParagraphFont"/>
    <w:rsid w:val="004A6311"/>
  </w:style>
  <w:style w:type="character" w:customStyle="1" w:styleId="scxw100267300">
    <w:name w:val="scxw100267300"/>
    <w:basedOn w:val="DefaultParagraphFont"/>
    <w:rsid w:val="004A6311"/>
  </w:style>
  <w:style w:type="character" w:customStyle="1" w:styleId="scxw160028431">
    <w:name w:val="scxw160028431"/>
    <w:basedOn w:val="DefaultParagraphFont"/>
    <w:rsid w:val="00FA084B"/>
  </w:style>
  <w:style w:type="character" w:customStyle="1" w:styleId="scxw124067953">
    <w:name w:val="scxw124067953"/>
    <w:basedOn w:val="DefaultParagraphFont"/>
    <w:rsid w:val="00FA084B"/>
  </w:style>
  <w:style w:type="character" w:customStyle="1" w:styleId="scxw98853530">
    <w:name w:val="scxw98853530"/>
    <w:basedOn w:val="DefaultParagraphFont"/>
    <w:rsid w:val="00FA084B"/>
  </w:style>
  <w:style w:type="character" w:customStyle="1" w:styleId="scxw131615683">
    <w:name w:val="scxw131615683"/>
    <w:basedOn w:val="DefaultParagraphFont"/>
    <w:rsid w:val="00FA084B"/>
  </w:style>
  <w:style w:type="character" w:customStyle="1" w:styleId="scxw182392987">
    <w:name w:val="scxw182392987"/>
    <w:basedOn w:val="DefaultParagraphFont"/>
    <w:rsid w:val="00FA084B"/>
  </w:style>
  <w:style w:type="character" w:customStyle="1" w:styleId="scxw170036376">
    <w:name w:val="scxw170036376"/>
    <w:basedOn w:val="DefaultParagraphFont"/>
    <w:rsid w:val="00FA084B"/>
  </w:style>
  <w:style w:type="character" w:customStyle="1" w:styleId="scxw15492598">
    <w:name w:val="scxw15492598"/>
    <w:basedOn w:val="DefaultParagraphFont"/>
    <w:rsid w:val="00FA084B"/>
  </w:style>
  <w:style w:type="character" w:customStyle="1" w:styleId="scxw53920631">
    <w:name w:val="scxw53920631"/>
    <w:basedOn w:val="DefaultParagraphFont"/>
    <w:rsid w:val="00FA084B"/>
  </w:style>
  <w:style w:type="character" w:customStyle="1" w:styleId="scxw267283011">
    <w:name w:val="scxw267283011"/>
    <w:basedOn w:val="DefaultParagraphFont"/>
    <w:rsid w:val="00FA0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651">
      <w:bodyDiv w:val="1"/>
      <w:marLeft w:val="0"/>
      <w:marRight w:val="0"/>
      <w:marTop w:val="0"/>
      <w:marBottom w:val="0"/>
      <w:divBdr>
        <w:top w:val="none" w:sz="0" w:space="0" w:color="auto"/>
        <w:left w:val="none" w:sz="0" w:space="0" w:color="auto"/>
        <w:bottom w:val="none" w:sz="0" w:space="0" w:color="auto"/>
        <w:right w:val="none" w:sz="0" w:space="0" w:color="auto"/>
      </w:divBdr>
      <w:divsChild>
        <w:div w:id="91049151">
          <w:marLeft w:val="0"/>
          <w:marRight w:val="0"/>
          <w:marTop w:val="0"/>
          <w:marBottom w:val="0"/>
          <w:divBdr>
            <w:top w:val="none" w:sz="0" w:space="0" w:color="auto"/>
            <w:left w:val="none" w:sz="0" w:space="0" w:color="auto"/>
            <w:bottom w:val="none" w:sz="0" w:space="0" w:color="auto"/>
            <w:right w:val="none" w:sz="0" w:space="0" w:color="auto"/>
          </w:divBdr>
        </w:div>
        <w:div w:id="647199971">
          <w:marLeft w:val="0"/>
          <w:marRight w:val="0"/>
          <w:marTop w:val="0"/>
          <w:marBottom w:val="0"/>
          <w:divBdr>
            <w:top w:val="none" w:sz="0" w:space="0" w:color="auto"/>
            <w:left w:val="none" w:sz="0" w:space="0" w:color="auto"/>
            <w:bottom w:val="none" w:sz="0" w:space="0" w:color="auto"/>
            <w:right w:val="none" w:sz="0" w:space="0" w:color="auto"/>
          </w:divBdr>
          <w:divsChild>
            <w:div w:id="254676929">
              <w:marLeft w:val="0"/>
              <w:marRight w:val="0"/>
              <w:marTop w:val="0"/>
              <w:marBottom w:val="0"/>
              <w:divBdr>
                <w:top w:val="none" w:sz="0" w:space="0" w:color="auto"/>
                <w:left w:val="none" w:sz="0" w:space="0" w:color="auto"/>
                <w:bottom w:val="none" w:sz="0" w:space="0" w:color="auto"/>
                <w:right w:val="none" w:sz="0" w:space="0" w:color="auto"/>
              </w:divBdr>
            </w:div>
            <w:div w:id="1499612679">
              <w:marLeft w:val="0"/>
              <w:marRight w:val="0"/>
              <w:marTop w:val="0"/>
              <w:marBottom w:val="0"/>
              <w:divBdr>
                <w:top w:val="none" w:sz="0" w:space="0" w:color="auto"/>
                <w:left w:val="none" w:sz="0" w:space="0" w:color="auto"/>
                <w:bottom w:val="none" w:sz="0" w:space="0" w:color="auto"/>
                <w:right w:val="none" w:sz="0" w:space="0" w:color="auto"/>
              </w:divBdr>
            </w:div>
            <w:div w:id="1617709814">
              <w:marLeft w:val="0"/>
              <w:marRight w:val="0"/>
              <w:marTop w:val="0"/>
              <w:marBottom w:val="0"/>
              <w:divBdr>
                <w:top w:val="none" w:sz="0" w:space="0" w:color="auto"/>
                <w:left w:val="none" w:sz="0" w:space="0" w:color="auto"/>
                <w:bottom w:val="none" w:sz="0" w:space="0" w:color="auto"/>
                <w:right w:val="none" w:sz="0" w:space="0" w:color="auto"/>
              </w:divBdr>
            </w:div>
            <w:div w:id="2087996352">
              <w:marLeft w:val="0"/>
              <w:marRight w:val="0"/>
              <w:marTop w:val="0"/>
              <w:marBottom w:val="0"/>
              <w:divBdr>
                <w:top w:val="none" w:sz="0" w:space="0" w:color="auto"/>
                <w:left w:val="none" w:sz="0" w:space="0" w:color="auto"/>
                <w:bottom w:val="none" w:sz="0" w:space="0" w:color="auto"/>
                <w:right w:val="none" w:sz="0" w:space="0" w:color="auto"/>
              </w:divBdr>
            </w:div>
          </w:divsChild>
        </w:div>
        <w:div w:id="789975859">
          <w:marLeft w:val="0"/>
          <w:marRight w:val="0"/>
          <w:marTop w:val="0"/>
          <w:marBottom w:val="0"/>
          <w:divBdr>
            <w:top w:val="none" w:sz="0" w:space="0" w:color="auto"/>
            <w:left w:val="none" w:sz="0" w:space="0" w:color="auto"/>
            <w:bottom w:val="none" w:sz="0" w:space="0" w:color="auto"/>
            <w:right w:val="none" w:sz="0" w:space="0" w:color="auto"/>
          </w:divBdr>
        </w:div>
        <w:div w:id="922228868">
          <w:marLeft w:val="0"/>
          <w:marRight w:val="0"/>
          <w:marTop w:val="0"/>
          <w:marBottom w:val="0"/>
          <w:divBdr>
            <w:top w:val="none" w:sz="0" w:space="0" w:color="auto"/>
            <w:left w:val="none" w:sz="0" w:space="0" w:color="auto"/>
            <w:bottom w:val="none" w:sz="0" w:space="0" w:color="auto"/>
            <w:right w:val="none" w:sz="0" w:space="0" w:color="auto"/>
          </w:divBdr>
          <w:divsChild>
            <w:div w:id="944114580">
              <w:marLeft w:val="0"/>
              <w:marRight w:val="0"/>
              <w:marTop w:val="0"/>
              <w:marBottom w:val="0"/>
              <w:divBdr>
                <w:top w:val="none" w:sz="0" w:space="0" w:color="auto"/>
                <w:left w:val="none" w:sz="0" w:space="0" w:color="auto"/>
                <w:bottom w:val="none" w:sz="0" w:space="0" w:color="auto"/>
                <w:right w:val="none" w:sz="0" w:space="0" w:color="auto"/>
              </w:divBdr>
            </w:div>
            <w:div w:id="1036001450">
              <w:marLeft w:val="0"/>
              <w:marRight w:val="0"/>
              <w:marTop w:val="0"/>
              <w:marBottom w:val="0"/>
              <w:divBdr>
                <w:top w:val="none" w:sz="0" w:space="0" w:color="auto"/>
                <w:left w:val="none" w:sz="0" w:space="0" w:color="auto"/>
                <w:bottom w:val="none" w:sz="0" w:space="0" w:color="auto"/>
                <w:right w:val="none" w:sz="0" w:space="0" w:color="auto"/>
              </w:divBdr>
            </w:div>
            <w:div w:id="1510752168">
              <w:marLeft w:val="0"/>
              <w:marRight w:val="0"/>
              <w:marTop w:val="0"/>
              <w:marBottom w:val="0"/>
              <w:divBdr>
                <w:top w:val="none" w:sz="0" w:space="0" w:color="auto"/>
                <w:left w:val="none" w:sz="0" w:space="0" w:color="auto"/>
                <w:bottom w:val="none" w:sz="0" w:space="0" w:color="auto"/>
                <w:right w:val="none" w:sz="0" w:space="0" w:color="auto"/>
              </w:divBdr>
            </w:div>
          </w:divsChild>
        </w:div>
        <w:div w:id="941063424">
          <w:marLeft w:val="0"/>
          <w:marRight w:val="0"/>
          <w:marTop w:val="0"/>
          <w:marBottom w:val="0"/>
          <w:divBdr>
            <w:top w:val="none" w:sz="0" w:space="0" w:color="auto"/>
            <w:left w:val="none" w:sz="0" w:space="0" w:color="auto"/>
            <w:bottom w:val="none" w:sz="0" w:space="0" w:color="auto"/>
            <w:right w:val="none" w:sz="0" w:space="0" w:color="auto"/>
          </w:divBdr>
        </w:div>
        <w:div w:id="941181086">
          <w:marLeft w:val="0"/>
          <w:marRight w:val="0"/>
          <w:marTop w:val="0"/>
          <w:marBottom w:val="0"/>
          <w:divBdr>
            <w:top w:val="none" w:sz="0" w:space="0" w:color="auto"/>
            <w:left w:val="none" w:sz="0" w:space="0" w:color="auto"/>
            <w:bottom w:val="none" w:sz="0" w:space="0" w:color="auto"/>
            <w:right w:val="none" w:sz="0" w:space="0" w:color="auto"/>
          </w:divBdr>
        </w:div>
        <w:div w:id="1039550023">
          <w:marLeft w:val="0"/>
          <w:marRight w:val="0"/>
          <w:marTop w:val="0"/>
          <w:marBottom w:val="0"/>
          <w:divBdr>
            <w:top w:val="none" w:sz="0" w:space="0" w:color="auto"/>
            <w:left w:val="none" w:sz="0" w:space="0" w:color="auto"/>
            <w:bottom w:val="none" w:sz="0" w:space="0" w:color="auto"/>
            <w:right w:val="none" w:sz="0" w:space="0" w:color="auto"/>
          </w:divBdr>
        </w:div>
        <w:div w:id="1410417870">
          <w:marLeft w:val="0"/>
          <w:marRight w:val="0"/>
          <w:marTop w:val="0"/>
          <w:marBottom w:val="0"/>
          <w:divBdr>
            <w:top w:val="none" w:sz="0" w:space="0" w:color="auto"/>
            <w:left w:val="none" w:sz="0" w:space="0" w:color="auto"/>
            <w:bottom w:val="none" w:sz="0" w:space="0" w:color="auto"/>
            <w:right w:val="none" w:sz="0" w:space="0" w:color="auto"/>
          </w:divBdr>
        </w:div>
        <w:div w:id="1709257753">
          <w:marLeft w:val="0"/>
          <w:marRight w:val="0"/>
          <w:marTop w:val="0"/>
          <w:marBottom w:val="0"/>
          <w:divBdr>
            <w:top w:val="none" w:sz="0" w:space="0" w:color="auto"/>
            <w:left w:val="none" w:sz="0" w:space="0" w:color="auto"/>
            <w:bottom w:val="none" w:sz="0" w:space="0" w:color="auto"/>
            <w:right w:val="none" w:sz="0" w:space="0" w:color="auto"/>
          </w:divBdr>
        </w:div>
      </w:divsChild>
    </w:div>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12189774">
      <w:bodyDiv w:val="1"/>
      <w:marLeft w:val="0"/>
      <w:marRight w:val="0"/>
      <w:marTop w:val="0"/>
      <w:marBottom w:val="0"/>
      <w:divBdr>
        <w:top w:val="none" w:sz="0" w:space="0" w:color="auto"/>
        <w:left w:val="none" w:sz="0" w:space="0" w:color="auto"/>
        <w:bottom w:val="none" w:sz="0" w:space="0" w:color="auto"/>
        <w:right w:val="none" w:sz="0" w:space="0" w:color="auto"/>
      </w:divBdr>
      <w:divsChild>
        <w:div w:id="2242977">
          <w:marLeft w:val="0"/>
          <w:marRight w:val="0"/>
          <w:marTop w:val="0"/>
          <w:marBottom w:val="0"/>
          <w:divBdr>
            <w:top w:val="none" w:sz="0" w:space="0" w:color="auto"/>
            <w:left w:val="none" w:sz="0" w:space="0" w:color="auto"/>
            <w:bottom w:val="none" w:sz="0" w:space="0" w:color="auto"/>
            <w:right w:val="none" w:sz="0" w:space="0" w:color="auto"/>
          </w:divBdr>
        </w:div>
        <w:div w:id="96681596">
          <w:marLeft w:val="0"/>
          <w:marRight w:val="0"/>
          <w:marTop w:val="0"/>
          <w:marBottom w:val="0"/>
          <w:divBdr>
            <w:top w:val="none" w:sz="0" w:space="0" w:color="auto"/>
            <w:left w:val="none" w:sz="0" w:space="0" w:color="auto"/>
            <w:bottom w:val="none" w:sz="0" w:space="0" w:color="auto"/>
            <w:right w:val="none" w:sz="0" w:space="0" w:color="auto"/>
          </w:divBdr>
        </w:div>
        <w:div w:id="366873404">
          <w:marLeft w:val="0"/>
          <w:marRight w:val="0"/>
          <w:marTop w:val="0"/>
          <w:marBottom w:val="0"/>
          <w:divBdr>
            <w:top w:val="none" w:sz="0" w:space="0" w:color="auto"/>
            <w:left w:val="none" w:sz="0" w:space="0" w:color="auto"/>
            <w:bottom w:val="none" w:sz="0" w:space="0" w:color="auto"/>
            <w:right w:val="none" w:sz="0" w:space="0" w:color="auto"/>
          </w:divBdr>
        </w:div>
        <w:div w:id="711148305">
          <w:marLeft w:val="0"/>
          <w:marRight w:val="0"/>
          <w:marTop w:val="0"/>
          <w:marBottom w:val="0"/>
          <w:divBdr>
            <w:top w:val="none" w:sz="0" w:space="0" w:color="auto"/>
            <w:left w:val="none" w:sz="0" w:space="0" w:color="auto"/>
            <w:bottom w:val="none" w:sz="0" w:space="0" w:color="auto"/>
            <w:right w:val="none" w:sz="0" w:space="0" w:color="auto"/>
          </w:divBdr>
        </w:div>
        <w:div w:id="737441479">
          <w:marLeft w:val="0"/>
          <w:marRight w:val="0"/>
          <w:marTop w:val="0"/>
          <w:marBottom w:val="0"/>
          <w:divBdr>
            <w:top w:val="none" w:sz="0" w:space="0" w:color="auto"/>
            <w:left w:val="none" w:sz="0" w:space="0" w:color="auto"/>
            <w:bottom w:val="none" w:sz="0" w:space="0" w:color="auto"/>
            <w:right w:val="none" w:sz="0" w:space="0" w:color="auto"/>
          </w:divBdr>
        </w:div>
        <w:div w:id="830829238">
          <w:marLeft w:val="0"/>
          <w:marRight w:val="0"/>
          <w:marTop w:val="0"/>
          <w:marBottom w:val="0"/>
          <w:divBdr>
            <w:top w:val="none" w:sz="0" w:space="0" w:color="auto"/>
            <w:left w:val="none" w:sz="0" w:space="0" w:color="auto"/>
            <w:bottom w:val="none" w:sz="0" w:space="0" w:color="auto"/>
            <w:right w:val="none" w:sz="0" w:space="0" w:color="auto"/>
          </w:divBdr>
        </w:div>
        <w:div w:id="1165171886">
          <w:marLeft w:val="0"/>
          <w:marRight w:val="0"/>
          <w:marTop w:val="0"/>
          <w:marBottom w:val="0"/>
          <w:divBdr>
            <w:top w:val="none" w:sz="0" w:space="0" w:color="auto"/>
            <w:left w:val="none" w:sz="0" w:space="0" w:color="auto"/>
            <w:bottom w:val="none" w:sz="0" w:space="0" w:color="auto"/>
            <w:right w:val="none" w:sz="0" w:space="0" w:color="auto"/>
          </w:divBdr>
        </w:div>
        <w:div w:id="1565874887">
          <w:marLeft w:val="0"/>
          <w:marRight w:val="0"/>
          <w:marTop w:val="0"/>
          <w:marBottom w:val="0"/>
          <w:divBdr>
            <w:top w:val="none" w:sz="0" w:space="0" w:color="auto"/>
            <w:left w:val="none" w:sz="0" w:space="0" w:color="auto"/>
            <w:bottom w:val="none" w:sz="0" w:space="0" w:color="auto"/>
            <w:right w:val="none" w:sz="0" w:space="0" w:color="auto"/>
          </w:divBdr>
        </w:div>
        <w:div w:id="1682395760">
          <w:marLeft w:val="0"/>
          <w:marRight w:val="0"/>
          <w:marTop w:val="0"/>
          <w:marBottom w:val="0"/>
          <w:divBdr>
            <w:top w:val="none" w:sz="0" w:space="0" w:color="auto"/>
            <w:left w:val="none" w:sz="0" w:space="0" w:color="auto"/>
            <w:bottom w:val="none" w:sz="0" w:space="0" w:color="auto"/>
            <w:right w:val="none" w:sz="0" w:space="0" w:color="auto"/>
          </w:divBdr>
        </w:div>
        <w:div w:id="1711026074">
          <w:marLeft w:val="0"/>
          <w:marRight w:val="0"/>
          <w:marTop w:val="0"/>
          <w:marBottom w:val="0"/>
          <w:divBdr>
            <w:top w:val="none" w:sz="0" w:space="0" w:color="auto"/>
            <w:left w:val="none" w:sz="0" w:space="0" w:color="auto"/>
            <w:bottom w:val="none" w:sz="0" w:space="0" w:color="auto"/>
            <w:right w:val="none" w:sz="0" w:space="0" w:color="auto"/>
          </w:divBdr>
        </w:div>
      </w:divsChild>
    </w:div>
    <w:div w:id="18431368">
      <w:bodyDiv w:val="1"/>
      <w:marLeft w:val="0"/>
      <w:marRight w:val="0"/>
      <w:marTop w:val="0"/>
      <w:marBottom w:val="0"/>
      <w:divBdr>
        <w:top w:val="none" w:sz="0" w:space="0" w:color="auto"/>
        <w:left w:val="none" w:sz="0" w:space="0" w:color="auto"/>
        <w:bottom w:val="none" w:sz="0" w:space="0" w:color="auto"/>
        <w:right w:val="none" w:sz="0" w:space="0" w:color="auto"/>
      </w:divBdr>
      <w:divsChild>
        <w:div w:id="581135759">
          <w:marLeft w:val="0"/>
          <w:marRight w:val="0"/>
          <w:marTop w:val="0"/>
          <w:marBottom w:val="0"/>
          <w:divBdr>
            <w:top w:val="none" w:sz="0" w:space="0" w:color="auto"/>
            <w:left w:val="none" w:sz="0" w:space="0" w:color="auto"/>
            <w:bottom w:val="none" w:sz="0" w:space="0" w:color="auto"/>
            <w:right w:val="none" w:sz="0" w:space="0" w:color="auto"/>
          </w:divBdr>
        </w:div>
        <w:div w:id="725490640">
          <w:marLeft w:val="0"/>
          <w:marRight w:val="0"/>
          <w:marTop w:val="0"/>
          <w:marBottom w:val="0"/>
          <w:divBdr>
            <w:top w:val="none" w:sz="0" w:space="0" w:color="auto"/>
            <w:left w:val="none" w:sz="0" w:space="0" w:color="auto"/>
            <w:bottom w:val="none" w:sz="0" w:space="0" w:color="auto"/>
            <w:right w:val="none" w:sz="0" w:space="0" w:color="auto"/>
          </w:divBdr>
        </w:div>
        <w:div w:id="752359411">
          <w:marLeft w:val="0"/>
          <w:marRight w:val="0"/>
          <w:marTop w:val="0"/>
          <w:marBottom w:val="0"/>
          <w:divBdr>
            <w:top w:val="none" w:sz="0" w:space="0" w:color="auto"/>
            <w:left w:val="none" w:sz="0" w:space="0" w:color="auto"/>
            <w:bottom w:val="none" w:sz="0" w:space="0" w:color="auto"/>
            <w:right w:val="none" w:sz="0" w:space="0" w:color="auto"/>
          </w:divBdr>
        </w:div>
        <w:div w:id="771362027">
          <w:marLeft w:val="0"/>
          <w:marRight w:val="0"/>
          <w:marTop w:val="0"/>
          <w:marBottom w:val="0"/>
          <w:divBdr>
            <w:top w:val="none" w:sz="0" w:space="0" w:color="auto"/>
            <w:left w:val="none" w:sz="0" w:space="0" w:color="auto"/>
            <w:bottom w:val="none" w:sz="0" w:space="0" w:color="auto"/>
            <w:right w:val="none" w:sz="0" w:space="0" w:color="auto"/>
          </w:divBdr>
        </w:div>
        <w:div w:id="928655728">
          <w:marLeft w:val="0"/>
          <w:marRight w:val="0"/>
          <w:marTop w:val="0"/>
          <w:marBottom w:val="0"/>
          <w:divBdr>
            <w:top w:val="none" w:sz="0" w:space="0" w:color="auto"/>
            <w:left w:val="none" w:sz="0" w:space="0" w:color="auto"/>
            <w:bottom w:val="none" w:sz="0" w:space="0" w:color="auto"/>
            <w:right w:val="none" w:sz="0" w:space="0" w:color="auto"/>
          </w:divBdr>
        </w:div>
        <w:div w:id="931550254">
          <w:marLeft w:val="0"/>
          <w:marRight w:val="0"/>
          <w:marTop w:val="0"/>
          <w:marBottom w:val="0"/>
          <w:divBdr>
            <w:top w:val="none" w:sz="0" w:space="0" w:color="auto"/>
            <w:left w:val="none" w:sz="0" w:space="0" w:color="auto"/>
            <w:bottom w:val="none" w:sz="0" w:space="0" w:color="auto"/>
            <w:right w:val="none" w:sz="0" w:space="0" w:color="auto"/>
          </w:divBdr>
        </w:div>
        <w:div w:id="1262909829">
          <w:marLeft w:val="0"/>
          <w:marRight w:val="0"/>
          <w:marTop w:val="0"/>
          <w:marBottom w:val="0"/>
          <w:divBdr>
            <w:top w:val="none" w:sz="0" w:space="0" w:color="auto"/>
            <w:left w:val="none" w:sz="0" w:space="0" w:color="auto"/>
            <w:bottom w:val="none" w:sz="0" w:space="0" w:color="auto"/>
            <w:right w:val="none" w:sz="0" w:space="0" w:color="auto"/>
          </w:divBdr>
        </w:div>
        <w:div w:id="2045131017">
          <w:marLeft w:val="0"/>
          <w:marRight w:val="0"/>
          <w:marTop w:val="0"/>
          <w:marBottom w:val="0"/>
          <w:divBdr>
            <w:top w:val="none" w:sz="0" w:space="0" w:color="auto"/>
            <w:left w:val="none" w:sz="0" w:space="0" w:color="auto"/>
            <w:bottom w:val="none" w:sz="0" w:space="0" w:color="auto"/>
            <w:right w:val="none" w:sz="0" w:space="0" w:color="auto"/>
          </w:divBdr>
        </w:div>
        <w:div w:id="2103985281">
          <w:marLeft w:val="0"/>
          <w:marRight w:val="0"/>
          <w:marTop w:val="0"/>
          <w:marBottom w:val="0"/>
          <w:divBdr>
            <w:top w:val="none" w:sz="0" w:space="0" w:color="auto"/>
            <w:left w:val="none" w:sz="0" w:space="0" w:color="auto"/>
            <w:bottom w:val="none" w:sz="0" w:space="0" w:color="auto"/>
            <w:right w:val="none" w:sz="0" w:space="0" w:color="auto"/>
          </w:divBdr>
        </w:div>
      </w:divsChild>
    </w:div>
    <w:div w:id="86927448">
      <w:bodyDiv w:val="1"/>
      <w:marLeft w:val="0"/>
      <w:marRight w:val="0"/>
      <w:marTop w:val="0"/>
      <w:marBottom w:val="0"/>
      <w:divBdr>
        <w:top w:val="none" w:sz="0" w:space="0" w:color="auto"/>
        <w:left w:val="none" w:sz="0" w:space="0" w:color="auto"/>
        <w:bottom w:val="none" w:sz="0" w:space="0" w:color="auto"/>
        <w:right w:val="none" w:sz="0" w:space="0" w:color="auto"/>
      </w:divBdr>
      <w:divsChild>
        <w:div w:id="494224331">
          <w:marLeft w:val="0"/>
          <w:marRight w:val="0"/>
          <w:marTop w:val="0"/>
          <w:marBottom w:val="0"/>
          <w:divBdr>
            <w:top w:val="none" w:sz="0" w:space="0" w:color="auto"/>
            <w:left w:val="none" w:sz="0" w:space="0" w:color="auto"/>
            <w:bottom w:val="none" w:sz="0" w:space="0" w:color="auto"/>
            <w:right w:val="none" w:sz="0" w:space="0" w:color="auto"/>
          </w:divBdr>
        </w:div>
        <w:div w:id="584145741">
          <w:marLeft w:val="0"/>
          <w:marRight w:val="0"/>
          <w:marTop w:val="0"/>
          <w:marBottom w:val="0"/>
          <w:divBdr>
            <w:top w:val="none" w:sz="0" w:space="0" w:color="auto"/>
            <w:left w:val="none" w:sz="0" w:space="0" w:color="auto"/>
            <w:bottom w:val="none" w:sz="0" w:space="0" w:color="auto"/>
            <w:right w:val="none" w:sz="0" w:space="0" w:color="auto"/>
          </w:divBdr>
          <w:divsChild>
            <w:div w:id="57481598">
              <w:marLeft w:val="0"/>
              <w:marRight w:val="0"/>
              <w:marTop w:val="0"/>
              <w:marBottom w:val="0"/>
              <w:divBdr>
                <w:top w:val="none" w:sz="0" w:space="0" w:color="auto"/>
                <w:left w:val="none" w:sz="0" w:space="0" w:color="auto"/>
                <w:bottom w:val="none" w:sz="0" w:space="0" w:color="auto"/>
                <w:right w:val="none" w:sz="0" w:space="0" w:color="auto"/>
              </w:divBdr>
            </w:div>
            <w:div w:id="231937366">
              <w:marLeft w:val="0"/>
              <w:marRight w:val="0"/>
              <w:marTop w:val="0"/>
              <w:marBottom w:val="0"/>
              <w:divBdr>
                <w:top w:val="none" w:sz="0" w:space="0" w:color="auto"/>
                <w:left w:val="none" w:sz="0" w:space="0" w:color="auto"/>
                <w:bottom w:val="none" w:sz="0" w:space="0" w:color="auto"/>
                <w:right w:val="none" w:sz="0" w:space="0" w:color="auto"/>
              </w:divBdr>
            </w:div>
            <w:div w:id="501167355">
              <w:marLeft w:val="0"/>
              <w:marRight w:val="0"/>
              <w:marTop w:val="0"/>
              <w:marBottom w:val="0"/>
              <w:divBdr>
                <w:top w:val="none" w:sz="0" w:space="0" w:color="auto"/>
                <w:left w:val="none" w:sz="0" w:space="0" w:color="auto"/>
                <w:bottom w:val="none" w:sz="0" w:space="0" w:color="auto"/>
                <w:right w:val="none" w:sz="0" w:space="0" w:color="auto"/>
              </w:divBdr>
            </w:div>
            <w:div w:id="963193906">
              <w:marLeft w:val="0"/>
              <w:marRight w:val="0"/>
              <w:marTop w:val="0"/>
              <w:marBottom w:val="0"/>
              <w:divBdr>
                <w:top w:val="none" w:sz="0" w:space="0" w:color="auto"/>
                <w:left w:val="none" w:sz="0" w:space="0" w:color="auto"/>
                <w:bottom w:val="none" w:sz="0" w:space="0" w:color="auto"/>
                <w:right w:val="none" w:sz="0" w:space="0" w:color="auto"/>
              </w:divBdr>
            </w:div>
            <w:div w:id="1422486511">
              <w:marLeft w:val="0"/>
              <w:marRight w:val="0"/>
              <w:marTop w:val="0"/>
              <w:marBottom w:val="0"/>
              <w:divBdr>
                <w:top w:val="none" w:sz="0" w:space="0" w:color="auto"/>
                <w:left w:val="none" w:sz="0" w:space="0" w:color="auto"/>
                <w:bottom w:val="none" w:sz="0" w:space="0" w:color="auto"/>
                <w:right w:val="none" w:sz="0" w:space="0" w:color="auto"/>
              </w:divBdr>
            </w:div>
          </w:divsChild>
        </w:div>
        <w:div w:id="597836773">
          <w:marLeft w:val="0"/>
          <w:marRight w:val="0"/>
          <w:marTop w:val="0"/>
          <w:marBottom w:val="0"/>
          <w:divBdr>
            <w:top w:val="none" w:sz="0" w:space="0" w:color="auto"/>
            <w:left w:val="none" w:sz="0" w:space="0" w:color="auto"/>
            <w:bottom w:val="none" w:sz="0" w:space="0" w:color="auto"/>
            <w:right w:val="none" w:sz="0" w:space="0" w:color="auto"/>
          </w:divBdr>
        </w:div>
        <w:div w:id="900210170">
          <w:marLeft w:val="0"/>
          <w:marRight w:val="0"/>
          <w:marTop w:val="0"/>
          <w:marBottom w:val="0"/>
          <w:divBdr>
            <w:top w:val="none" w:sz="0" w:space="0" w:color="auto"/>
            <w:left w:val="none" w:sz="0" w:space="0" w:color="auto"/>
            <w:bottom w:val="none" w:sz="0" w:space="0" w:color="auto"/>
            <w:right w:val="none" w:sz="0" w:space="0" w:color="auto"/>
          </w:divBdr>
        </w:div>
        <w:div w:id="1245070121">
          <w:marLeft w:val="0"/>
          <w:marRight w:val="0"/>
          <w:marTop w:val="0"/>
          <w:marBottom w:val="0"/>
          <w:divBdr>
            <w:top w:val="none" w:sz="0" w:space="0" w:color="auto"/>
            <w:left w:val="none" w:sz="0" w:space="0" w:color="auto"/>
            <w:bottom w:val="none" w:sz="0" w:space="0" w:color="auto"/>
            <w:right w:val="none" w:sz="0" w:space="0" w:color="auto"/>
          </w:divBdr>
          <w:divsChild>
            <w:div w:id="1017002925">
              <w:marLeft w:val="0"/>
              <w:marRight w:val="0"/>
              <w:marTop w:val="0"/>
              <w:marBottom w:val="0"/>
              <w:divBdr>
                <w:top w:val="none" w:sz="0" w:space="0" w:color="auto"/>
                <w:left w:val="none" w:sz="0" w:space="0" w:color="auto"/>
                <w:bottom w:val="none" w:sz="0" w:space="0" w:color="auto"/>
                <w:right w:val="none" w:sz="0" w:space="0" w:color="auto"/>
              </w:divBdr>
            </w:div>
            <w:div w:id="1576628490">
              <w:marLeft w:val="0"/>
              <w:marRight w:val="0"/>
              <w:marTop w:val="0"/>
              <w:marBottom w:val="0"/>
              <w:divBdr>
                <w:top w:val="none" w:sz="0" w:space="0" w:color="auto"/>
                <w:left w:val="none" w:sz="0" w:space="0" w:color="auto"/>
                <w:bottom w:val="none" w:sz="0" w:space="0" w:color="auto"/>
                <w:right w:val="none" w:sz="0" w:space="0" w:color="auto"/>
              </w:divBdr>
            </w:div>
            <w:div w:id="1827015849">
              <w:marLeft w:val="0"/>
              <w:marRight w:val="0"/>
              <w:marTop w:val="0"/>
              <w:marBottom w:val="0"/>
              <w:divBdr>
                <w:top w:val="none" w:sz="0" w:space="0" w:color="auto"/>
                <w:left w:val="none" w:sz="0" w:space="0" w:color="auto"/>
                <w:bottom w:val="none" w:sz="0" w:space="0" w:color="auto"/>
                <w:right w:val="none" w:sz="0" w:space="0" w:color="auto"/>
              </w:divBdr>
            </w:div>
            <w:div w:id="2026395327">
              <w:marLeft w:val="0"/>
              <w:marRight w:val="0"/>
              <w:marTop w:val="0"/>
              <w:marBottom w:val="0"/>
              <w:divBdr>
                <w:top w:val="none" w:sz="0" w:space="0" w:color="auto"/>
                <w:left w:val="none" w:sz="0" w:space="0" w:color="auto"/>
                <w:bottom w:val="none" w:sz="0" w:space="0" w:color="auto"/>
                <w:right w:val="none" w:sz="0" w:space="0" w:color="auto"/>
              </w:divBdr>
            </w:div>
            <w:div w:id="2051611811">
              <w:marLeft w:val="0"/>
              <w:marRight w:val="0"/>
              <w:marTop w:val="0"/>
              <w:marBottom w:val="0"/>
              <w:divBdr>
                <w:top w:val="none" w:sz="0" w:space="0" w:color="auto"/>
                <w:left w:val="none" w:sz="0" w:space="0" w:color="auto"/>
                <w:bottom w:val="none" w:sz="0" w:space="0" w:color="auto"/>
                <w:right w:val="none" w:sz="0" w:space="0" w:color="auto"/>
              </w:divBdr>
            </w:div>
          </w:divsChild>
        </w:div>
        <w:div w:id="1305355076">
          <w:marLeft w:val="0"/>
          <w:marRight w:val="0"/>
          <w:marTop w:val="0"/>
          <w:marBottom w:val="0"/>
          <w:divBdr>
            <w:top w:val="none" w:sz="0" w:space="0" w:color="auto"/>
            <w:left w:val="none" w:sz="0" w:space="0" w:color="auto"/>
            <w:bottom w:val="none" w:sz="0" w:space="0" w:color="auto"/>
            <w:right w:val="none" w:sz="0" w:space="0" w:color="auto"/>
          </w:divBdr>
        </w:div>
        <w:div w:id="1408646552">
          <w:marLeft w:val="0"/>
          <w:marRight w:val="0"/>
          <w:marTop w:val="0"/>
          <w:marBottom w:val="0"/>
          <w:divBdr>
            <w:top w:val="none" w:sz="0" w:space="0" w:color="auto"/>
            <w:left w:val="none" w:sz="0" w:space="0" w:color="auto"/>
            <w:bottom w:val="none" w:sz="0" w:space="0" w:color="auto"/>
            <w:right w:val="none" w:sz="0" w:space="0" w:color="auto"/>
          </w:divBdr>
        </w:div>
        <w:div w:id="1457480185">
          <w:marLeft w:val="0"/>
          <w:marRight w:val="0"/>
          <w:marTop w:val="0"/>
          <w:marBottom w:val="0"/>
          <w:divBdr>
            <w:top w:val="none" w:sz="0" w:space="0" w:color="auto"/>
            <w:left w:val="none" w:sz="0" w:space="0" w:color="auto"/>
            <w:bottom w:val="none" w:sz="0" w:space="0" w:color="auto"/>
            <w:right w:val="none" w:sz="0" w:space="0" w:color="auto"/>
          </w:divBdr>
          <w:divsChild>
            <w:div w:id="347760521">
              <w:marLeft w:val="0"/>
              <w:marRight w:val="0"/>
              <w:marTop w:val="0"/>
              <w:marBottom w:val="0"/>
              <w:divBdr>
                <w:top w:val="none" w:sz="0" w:space="0" w:color="auto"/>
                <w:left w:val="none" w:sz="0" w:space="0" w:color="auto"/>
                <w:bottom w:val="none" w:sz="0" w:space="0" w:color="auto"/>
                <w:right w:val="none" w:sz="0" w:space="0" w:color="auto"/>
              </w:divBdr>
            </w:div>
            <w:div w:id="377897510">
              <w:marLeft w:val="0"/>
              <w:marRight w:val="0"/>
              <w:marTop w:val="0"/>
              <w:marBottom w:val="0"/>
              <w:divBdr>
                <w:top w:val="none" w:sz="0" w:space="0" w:color="auto"/>
                <w:left w:val="none" w:sz="0" w:space="0" w:color="auto"/>
                <w:bottom w:val="none" w:sz="0" w:space="0" w:color="auto"/>
                <w:right w:val="none" w:sz="0" w:space="0" w:color="auto"/>
              </w:divBdr>
            </w:div>
            <w:div w:id="1756584316">
              <w:marLeft w:val="0"/>
              <w:marRight w:val="0"/>
              <w:marTop w:val="0"/>
              <w:marBottom w:val="0"/>
              <w:divBdr>
                <w:top w:val="none" w:sz="0" w:space="0" w:color="auto"/>
                <w:left w:val="none" w:sz="0" w:space="0" w:color="auto"/>
                <w:bottom w:val="none" w:sz="0" w:space="0" w:color="auto"/>
                <w:right w:val="none" w:sz="0" w:space="0" w:color="auto"/>
              </w:divBdr>
            </w:div>
            <w:div w:id="1850833857">
              <w:marLeft w:val="0"/>
              <w:marRight w:val="0"/>
              <w:marTop w:val="0"/>
              <w:marBottom w:val="0"/>
              <w:divBdr>
                <w:top w:val="none" w:sz="0" w:space="0" w:color="auto"/>
                <w:left w:val="none" w:sz="0" w:space="0" w:color="auto"/>
                <w:bottom w:val="none" w:sz="0" w:space="0" w:color="auto"/>
                <w:right w:val="none" w:sz="0" w:space="0" w:color="auto"/>
              </w:divBdr>
            </w:div>
            <w:div w:id="1975522915">
              <w:marLeft w:val="0"/>
              <w:marRight w:val="0"/>
              <w:marTop w:val="0"/>
              <w:marBottom w:val="0"/>
              <w:divBdr>
                <w:top w:val="none" w:sz="0" w:space="0" w:color="auto"/>
                <w:left w:val="none" w:sz="0" w:space="0" w:color="auto"/>
                <w:bottom w:val="none" w:sz="0" w:space="0" w:color="auto"/>
                <w:right w:val="none" w:sz="0" w:space="0" w:color="auto"/>
              </w:divBdr>
            </w:div>
          </w:divsChild>
        </w:div>
        <w:div w:id="1613391274">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08862886">
      <w:bodyDiv w:val="1"/>
      <w:marLeft w:val="0"/>
      <w:marRight w:val="0"/>
      <w:marTop w:val="0"/>
      <w:marBottom w:val="0"/>
      <w:divBdr>
        <w:top w:val="none" w:sz="0" w:space="0" w:color="auto"/>
        <w:left w:val="none" w:sz="0" w:space="0" w:color="auto"/>
        <w:bottom w:val="none" w:sz="0" w:space="0" w:color="auto"/>
        <w:right w:val="none" w:sz="0" w:space="0" w:color="auto"/>
      </w:divBdr>
      <w:divsChild>
        <w:div w:id="392776359">
          <w:marLeft w:val="0"/>
          <w:marRight w:val="0"/>
          <w:marTop w:val="0"/>
          <w:marBottom w:val="0"/>
          <w:divBdr>
            <w:top w:val="none" w:sz="0" w:space="0" w:color="auto"/>
            <w:left w:val="none" w:sz="0" w:space="0" w:color="auto"/>
            <w:bottom w:val="none" w:sz="0" w:space="0" w:color="auto"/>
            <w:right w:val="none" w:sz="0" w:space="0" w:color="auto"/>
          </w:divBdr>
        </w:div>
        <w:div w:id="1592622885">
          <w:marLeft w:val="0"/>
          <w:marRight w:val="0"/>
          <w:marTop w:val="0"/>
          <w:marBottom w:val="0"/>
          <w:divBdr>
            <w:top w:val="none" w:sz="0" w:space="0" w:color="auto"/>
            <w:left w:val="none" w:sz="0" w:space="0" w:color="auto"/>
            <w:bottom w:val="none" w:sz="0" w:space="0" w:color="auto"/>
            <w:right w:val="none" w:sz="0" w:space="0" w:color="auto"/>
          </w:divBdr>
          <w:divsChild>
            <w:div w:id="231089164">
              <w:marLeft w:val="0"/>
              <w:marRight w:val="0"/>
              <w:marTop w:val="0"/>
              <w:marBottom w:val="0"/>
              <w:divBdr>
                <w:top w:val="none" w:sz="0" w:space="0" w:color="auto"/>
                <w:left w:val="none" w:sz="0" w:space="0" w:color="auto"/>
                <w:bottom w:val="none" w:sz="0" w:space="0" w:color="auto"/>
                <w:right w:val="none" w:sz="0" w:space="0" w:color="auto"/>
              </w:divBdr>
            </w:div>
            <w:div w:id="859855687">
              <w:marLeft w:val="0"/>
              <w:marRight w:val="0"/>
              <w:marTop w:val="0"/>
              <w:marBottom w:val="0"/>
              <w:divBdr>
                <w:top w:val="none" w:sz="0" w:space="0" w:color="auto"/>
                <w:left w:val="none" w:sz="0" w:space="0" w:color="auto"/>
                <w:bottom w:val="none" w:sz="0" w:space="0" w:color="auto"/>
                <w:right w:val="none" w:sz="0" w:space="0" w:color="auto"/>
              </w:divBdr>
            </w:div>
            <w:div w:id="1215045258">
              <w:marLeft w:val="0"/>
              <w:marRight w:val="0"/>
              <w:marTop w:val="0"/>
              <w:marBottom w:val="0"/>
              <w:divBdr>
                <w:top w:val="none" w:sz="0" w:space="0" w:color="auto"/>
                <w:left w:val="none" w:sz="0" w:space="0" w:color="auto"/>
                <w:bottom w:val="none" w:sz="0" w:space="0" w:color="auto"/>
                <w:right w:val="none" w:sz="0" w:space="0" w:color="auto"/>
              </w:divBdr>
            </w:div>
            <w:div w:id="2104835742">
              <w:marLeft w:val="0"/>
              <w:marRight w:val="0"/>
              <w:marTop w:val="0"/>
              <w:marBottom w:val="0"/>
              <w:divBdr>
                <w:top w:val="none" w:sz="0" w:space="0" w:color="auto"/>
                <w:left w:val="none" w:sz="0" w:space="0" w:color="auto"/>
                <w:bottom w:val="none" w:sz="0" w:space="0" w:color="auto"/>
                <w:right w:val="none" w:sz="0" w:space="0" w:color="auto"/>
              </w:divBdr>
            </w:div>
          </w:divsChild>
        </w:div>
        <w:div w:id="1763647998">
          <w:marLeft w:val="0"/>
          <w:marRight w:val="0"/>
          <w:marTop w:val="0"/>
          <w:marBottom w:val="0"/>
          <w:divBdr>
            <w:top w:val="none" w:sz="0" w:space="0" w:color="auto"/>
            <w:left w:val="none" w:sz="0" w:space="0" w:color="auto"/>
            <w:bottom w:val="none" w:sz="0" w:space="0" w:color="auto"/>
            <w:right w:val="none" w:sz="0" w:space="0" w:color="auto"/>
          </w:divBdr>
          <w:divsChild>
            <w:div w:id="1160000675">
              <w:marLeft w:val="0"/>
              <w:marRight w:val="0"/>
              <w:marTop w:val="0"/>
              <w:marBottom w:val="0"/>
              <w:divBdr>
                <w:top w:val="none" w:sz="0" w:space="0" w:color="auto"/>
                <w:left w:val="none" w:sz="0" w:space="0" w:color="auto"/>
                <w:bottom w:val="none" w:sz="0" w:space="0" w:color="auto"/>
                <w:right w:val="none" w:sz="0" w:space="0" w:color="auto"/>
              </w:divBdr>
            </w:div>
            <w:div w:id="1700163051">
              <w:marLeft w:val="0"/>
              <w:marRight w:val="0"/>
              <w:marTop w:val="0"/>
              <w:marBottom w:val="0"/>
              <w:divBdr>
                <w:top w:val="none" w:sz="0" w:space="0" w:color="auto"/>
                <w:left w:val="none" w:sz="0" w:space="0" w:color="auto"/>
                <w:bottom w:val="none" w:sz="0" w:space="0" w:color="auto"/>
                <w:right w:val="none" w:sz="0" w:space="0" w:color="auto"/>
              </w:divBdr>
            </w:div>
            <w:div w:id="1899389935">
              <w:marLeft w:val="0"/>
              <w:marRight w:val="0"/>
              <w:marTop w:val="0"/>
              <w:marBottom w:val="0"/>
              <w:divBdr>
                <w:top w:val="none" w:sz="0" w:space="0" w:color="auto"/>
                <w:left w:val="none" w:sz="0" w:space="0" w:color="auto"/>
                <w:bottom w:val="none" w:sz="0" w:space="0" w:color="auto"/>
                <w:right w:val="none" w:sz="0" w:space="0" w:color="auto"/>
              </w:divBdr>
            </w:div>
            <w:div w:id="1936280915">
              <w:marLeft w:val="0"/>
              <w:marRight w:val="0"/>
              <w:marTop w:val="0"/>
              <w:marBottom w:val="0"/>
              <w:divBdr>
                <w:top w:val="none" w:sz="0" w:space="0" w:color="auto"/>
                <w:left w:val="none" w:sz="0" w:space="0" w:color="auto"/>
                <w:bottom w:val="none" w:sz="0" w:space="0" w:color="auto"/>
                <w:right w:val="none" w:sz="0" w:space="0" w:color="auto"/>
              </w:divBdr>
            </w:div>
            <w:div w:id="19655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805">
      <w:bodyDiv w:val="1"/>
      <w:marLeft w:val="0"/>
      <w:marRight w:val="0"/>
      <w:marTop w:val="0"/>
      <w:marBottom w:val="0"/>
      <w:divBdr>
        <w:top w:val="none" w:sz="0" w:space="0" w:color="auto"/>
        <w:left w:val="none" w:sz="0" w:space="0" w:color="auto"/>
        <w:bottom w:val="none" w:sz="0" w:space="0" w:color="auto"/>
        <w:right w:val="none" w:sz="0" w:space="0" w:color="auto"/>
      </w:divBdr>
      <w:divsChild>
        <w:div w:id="109858595">
          <w:marLeft w:val="0"/>
          <w:marRight w:val="0"/>
          <w:marTop w:val="0"/>
          <w:marBottom w:val="0"/>
          <w:divBdr>
            <w:top w:val="none" w:sz="0" w:space="0" w:color="auto"/>
            <w:left w:val="none" w:sz="0" w:space="0" w:color="auto"/>
            <w:bottom w:val="none" w:sz="0" w:space="0" w:color="auto"/>
            <w:right w:val="none" w:sz="0" w:space="0" w:color="auto"/>
          </w:divBdr>
        </w:div>
        <w:div w:id="265843557">
          <w:marLeft w:val="0"/>
          <w:marRight w:val="0"/>
          <w:marTop w:val="0"/>
          <w:marBottom w:val="0"/>
          <w:divBdr>
            <w:top w:val="none" w:sz="0" w:space="0" w:color="auto"/>
            <w:left w:val="none" w:sz="0" w:space="0" w:color="auto"/>
            <w:bottom w:val="none" w:sz="0" w:space="0" w:color="auto"/>
            <w:right w:val="none" w:sz="0" w:space="0" w:color="auto"/>
          </w:divBdr>
        </w:div>
        <w:div w:id="285501797">
          <w:marLeft w:val="0"/>
          <w:marRight w:val="0"/>
          <w:marTop w:val="0"/>
          <w:marBottom w:val="0"/>
          <w:divBdr>
            <w:top w:val="none" w:sz="0" w:space="0" w:color="auto"/>
            <w:left w:val="none" w:sz="0" w:space="0" w:color="auto"/>
            <w:bottom w:val="none" w:sz="0" w:space="0" w:color="auto"/>
            <w:right w:val="none" w:sz="0" w:space="0" w:color="auto"/>
          </w:divBdr>
        </w:div>
        <w:div w:id="524830135">
          <w:marLeft w:val="0"/>
          <w:marRight w:val="0"/>
          <w:marTop w:val="0"/>
          <w:marBottom w:val="0"/>
          <w:divBdr>
            <w:top w:val="none" w:sz="0" w:space="0" w:color="auto"/>
            <w:left w:val="none" w:sz="0" w:space="0" w:color="auto"/>
            <w:bottom w:val="none" w:sz="0" w:space="0" w:color="auto"/>
            <w:right w:val="none" w:sz="0" w:space="0" w:color="auto"/>
          </w:divBdr>
        </w:div>
        <w:div w:id="535461106">
          <w:marLeft w:val="0"/>
          <w:marRight w:val="0"/>
          <w:marTop w:val="0"/>
          <w:marBottom w:val="0"/>
          <w:divBdr>
            <w:top w:val="none" w:sz="0" w:space="0" w:color="auto"/>
            <w:left w:val="none" w:sz="0" w:space="0" w:color="auto"/>
            <w:bottom w:val="none" w:sz="0" w:space="0" w:color="auto"/>
            <w:right w:val="none" w:sz="0" w:space="0" w:color="auto"/>
          </w:divBdr>
        </w:div>
        <w:div w:id="549923109">
          <w:marLeft w:val="0"/>
          <w:marRight w:val="0"/>
          <w:marTop w:val="0"/>
          <w:marBottom w:val="0"/>
          <w:divBdr>
            <w:top w:val="none" w:sz="0" w:space="0" w:color="auto"/>
            <w:left w:val="none" w:sz="0" w:space="0" w:color="auto"/>
            <w:bottom w:val="none" w:sz="0" w:space="0" w:color="auto"/>
            <w:right w:val="none" w:sz="0" w:space="0" w:color="auto"/>
          </w:divBdr>
        </w:div>
        <w:div w:id="996766942">
          <w:marLeft w:val="0"/>
          <w:marRight w:val="0"/>
          <w:marTop w:val="0"/>
          <w:marBottom w:val="0"/>
          <w:divBdr>
            <w:top w:val="none" w:sz="0" w:space="0" w:color="auto"/>
            <w:left w:val="none" w:sz="0" w:space="0" w:color="auto"/>
            <w:bottom w:val="none" w:sz="0" w:space="0" w:color="auto"/>
            <w:right w:val="none" w:sz="0" w:space="0" w:color="auto"/>
          </w:divBdr>
        </w:div>
        <w:div w:id="1271015100">
          <w:marLeft w:val="0"/>
          <w:marRight w:val="0"/>
          <w:marTop w:val="0"/>
          <w:marBottom w:val="0"/>
          <w:divBdr>
            <w:top w:val="none" w:sz="0" w:space="0" w:color="auto"/>
            <w:left w:val="none" w:sz="0" w:space="0" w:color="auto"/>
            <w:bottom w:val="none" w:sz="0" w:space="0" w:color="auto"/>
            <w:right w:val="none" w:sz="0" w:space="0" w:color="auto"/>
          </w:divBdr>
        </w:div>
        <w:div w:id="1705134944">
          <w:marLeft w:val="0"/>
          <w:marRight w:val="0"/>
          <w:marTop w:val="0"/>
          <w:marBottom w:val="0"/>
          <w:divBdr>
            <w:top w:val="none" w:sz="0" w:space="0" w:color="auto"/>
            <w:left w:val="none" w:sz="0" w:space="0" w:color="auto"/>
            <w:bottom w:val="none" w:sz="0" w:space="0" w:color="auto"/>
            <w:right w:val="none" w:sz="0" w:space="0" w:color="auto"/>
          </w:divBdr>
        </w:div>
      </w:divsChild>
    </w:div>
    <w:div w:id="137888372">
      <w:bodyDiv w:val="1"/>
      <w:marLeft w:val="0"/>
      <w:marRight w:val="0"/>
      <w:marTop w:val="0"/>
      <w:marBottom w:val="0"/>
      <w:divBdr>
        <w:top w:val="none" w:sz="0" w:space="0" w:color="auto"/>
        <w:left w:val="none" w:sz="0" w:space="0" w:color="auto"/>
        <w:bottom w:val="none" w:sz="0" w:space="0" w:color="auto"/>
        <w:right w:val="none" w:sz="0" w:space="0" w:color="auto"/>
      </w:divBdr>
      <w:divsChild>
        <w:div w:id="116065326">
          <w:marLeft w:val="0"/>
          <w:marRight w:val="0"/>
          <w:marTop w:val="0"/>
          <w:marBottom w:val="0"/>
          <w:divBdr>
            <w:top w:val="none" w:sz="0" w:space="0" w:color="auto"/>
            <w:left w:val="none" w:sz="0" w:space="0" w:color="auto"/>
            <w:bottom w:val="none" w:sz="0" w:space="0" w:color="auto"/>
            <w:right w:val="none" w:sz="0" w:space="0" w:color="auto"/>
          </w:divBdr>
        </w:div>
        <w:div w:id="257298567">
          <w:marLeft w:val="0"/>
          <w:marRight w:val="0"/>
          <w:marTop w:val="0"/>
          <w:marBottom w:val="0"/>
          <w:divBdr>
            <w:top w:val="none" w:sz="0" w:space="0" w:color="auto"/>
            <w:left w:val="none" w:sz="0" w:space="0" w:color="auto"/>
            <w:bottom w:val="none" w:sz="0" w:space="0" w:color="auto"/>
            <w:right w:val="none" w:sz="0" w:space="0" w:color="auto"/>
          </w:divBdr>
        </w:div>
        <w:div w:id="324166843">
          <w:marLeft w:val="0"/>
          <w:marRight w:val="0"/>
          <w:marTop w:val="0"/>
          <w:marBottom w:val="0"/>
          <w:divBdr>
            <w:top w:val="none" w:sz="0" w:space="0" w:color="auto"/>
            <w:left w:val="none" w:sz="0" w:space="0" w:color="auto"/>
            <w:bottom w:val="none" w:sz="0" w:space="0" w:color="auto"/>
            <w:right w:val="none" w:sz="0" w:space="0" w:color="auto"/>
          </w:divBdr>
        </w:div>
        <w:div w:id="630938752">
          <w:marLeft w:val="0"/>
          <w:marRight w:val="0"/>
          <w:marTop w:val="0"/>
          <w:marBottom w:val="0"/>
          <w:divBdr>
            <w:top w:val="none" w:sz="0" w:space="0" w:color="auto"/>
            <w:left w:val="none" w:sz="0" w:space="0" w:color="auto"/>
            <w:bottom w:val="none" w:sz="0" w:space="0" w:color="auto"/>
            <w:right w:val="none" w:sz="0" w:space="0" w:color="auto"/>
          </w:divBdr>
        </w:div>
        <w:div w:id="858815208">
          <w:marLeft w:val="0"/>
          <w:marRight w:val="0"/>
          <w:marTop w:val="0"/>
          <w:marBottom w:val="0"/>
          <w:divBdr>
            <w:top w:val="none" w:sz="0" w:space="0" w:color="auto"/>
            <w:left w:val="none" w:sz="0" w:space="0" w:color="auto"/>
            <w:bottom w:val="none" w:sz="0" w:space="0" w:color="auto"/>
            <w:right w:val="none" w:sz="0" w:space="0" w:color="auto"/>
          </w:divBdr>
        </w:div>
        <w:div w:id="1433548454">
          <w:marLeft w:val="0"/>
          <w:marRight w:val="0"/>
          <w:marTop w:val="0"/>
          <w:marBottom w:val="0"/>
          <w:divBdr>
            <w:top w:val="none" w:sz="0" w:space="0" w:color="auto"/>
            <w:left w:val="none" w:sz="0" w:space="0" w:color="auto"/>
            <w:bottom w:val="none" w:sz="0" w:space="0" w:color="auto"/>
            <w:right w:val="none" w:sz="0" w:space="0" w:color="auto"/>
          </w:divBdr>
        </w:div>
        <w:div w:id="1653296104">
          <w:marLeft w:val="0"/>
          <w:marRight w:val="0"/>
          <w:marTop w:val="0"/>
          <w:marBottom w:val="0"/>
          <w:divBdr>
            <w:top w:val="none" w:sz="0" w:space="0" w:color="auto"/>
            <w:left w:val="none" w:sz="0" w:space="0" w:color="auto"/>
            <w:bottom w:val="none" w:sz="0" w:space="0" w:color="auto"/>
            <w:right w:val="none" w:sz="0" w:space="0" w:color="auto"/>
          </w:divBdr>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06068096">
      <w:bodyDiv w:val="1"/>
      <w:marLeft w:val="0"/>
      <w:marRight w:val="0"/>
      <w:marTop w:val="0"/>
      <w:marBottom w:val="0"/>
      <w:divBdr>
        <w:top w:val="none" w:sz="0" w:space="0" w:color="auto"/>
        <w:left w:val="none" w:sz="0" w:space="0" w:color="auto"/>
        <w:bottom w:val="none" w:sz="0" w:space="0" w:color="auto"/>
        <w:right w:val="none" w:sz="0" w:space="0" w:color="auto"/>
      </w:divBdr>
      <w:divsChild>
        <w:div w:id="493255696">
          <w:marLeft w:val="0"/>
          <w:marRight w:val="0"/>
          <w:marTop w:val="0"/>
          <w:marBottom w:val="0"/>
          <w:divBdr>
            <w:top w:val="none" w:sz="0" w:space="0" w:color="auto"/>
            <w:left w:val="none" w:sz="0" w:space="0" w:color="auto"/>
            <w:bottom w:val="none" w:sz="0" w:space="0" w:color="auto"/>
            <w:right w:val="none" w:sz="0" w:space="0" w:color="auto"/>
          </w:divBdr>
        </w:div>
        <w:div w:id="722488491">
          <w:marLeft w:val="0"/>
          <w:marRight w:val="0"/>
          <w:marTop w:val="0"/>
          <w:marBottom w:val="0"/>
          <w:divBdr>
            <w:top w:val="none" w:sz="0" w:space="0" w:color="auto"/>
            <w:left w:val="none" w:sz="0" w:space="0" w:color="auto"/>
            <w:bottom w:val="none" w:sz="0" w:space="0" w:color="auto"/>
            <w:right w:val="none" w:sz="0" w:space="0" w:color="auto"/>
          </w:divBdr>
        </w:div>
        <w:div w:id="864095697">
          <w:marLeft w:val="0"/>
          <w:marRight w:val="0"/>
          <w:marTop w:val="0"/>
          <w:marBottom w:val="0"/>
          <w:divBdr>
            <w:top w:val="none" w:sz="0" w:space="0" w:color="auto"/>
            <w:left w:val="none" w:sz="0" w:space="0" w:color="auto"/>
            <w:bottom w:val="none" w:sz="0" w:space="0" w:color="auto"/>
            <w:right w:val="none" w:sz="0" w:space="0" w:color="auto"/>
          </w:divBdr>
          <w:divsChild>
            <w:div w:id="4022248">
              <w:marLeft w:val="0"/>
              <w:marRight w:val="0"/>
              <w:marTop w:val="0"/>
              <w:marBottom w:val="0"/>
              <w:divBdr>
                <w:top w:val="none" w:sz="0" w:space="0" w:color="auto"/>
                <w:left w:val="none" w:sz="0" w:space="0" w:color="auto"/>
                <w:bottom w:val="none" w:sz="0" w:space="0" w:color="auto"/>
                <w:right w:val="none" w:sz="0" w:space="0" w:color="auto"/>
              </w:divBdr>
            </w:div>
            <w:div w:id="1218129644">
              <w:marLeft w:val="0"/>
              <w:marRight w:val="0"/>
              <w:marTop w:val="0"/>
              <w:marBottom w:val="0"/>
              <w:divBdr>
                <w:top w:val="none" w:sz="0" w:space="0" w:color="auto"/>
                <w:left w:val="none" w:sz="0" w:space="0" w:color="auto"/>
                <w:bottom w:val="none" w:sz="0" w:space="0" w:color="auto"/>
                <w:right w:val="none" w:sz="0" w:space="0" w:color="auto"/>
              </w:divBdr>
            </w:div>
            <w:div w:id="1656956046">
              <w:marLeft w:val="0"/>
              <w:marRight w:val="0"/>
              <w:marTop w:val="0"/>
              <w:marBottom w:val="0"/>
              <w:divBdr>
                <w:top w:val="none" w:sz="0" w:space="0" w:color="auto"/>
                <w:left w:val="none" w:sz="0" w:space="0" w:color="auto"/>
                <w:bottom w:val="none" w:sz="0" w:space="0" w:color="auto"/>
                <w:right w:val="none" w:sz="0" w:space="0" w:color="auto"/>
              </w:divBdr>
            </w:div>
          </w:divsChild>
        </w:div>
        <w:div w:id="1199053333">
          <w:marLeft w:val="0"/>
          <w:marRight w:val="0"/>
          <w:marTop w:val="0"/>
          <w:marBottom w:val="0"/>
          <w:divBdr>
            <w:top w:val="none" w:sz="0" w:space="0" w:color="auto"/>
            <w:left w:val="none" w:sz="0" w:space="0" w:color="auto"/>
            <w:bottom w:val="none" w:sz="0" w:space="0" w:color="auto"/>
            <w:right w:val="none" w:sz="0" w:space="0" w:color="auto"/>
          </w:divBdr>
        </w:div>
        <w:div w:id="1690452224">
          <w:marLeft w:val="0"/>
          <w:marRight w:val="0"/>
          <w:marTop w:val="0"/>
          <w:marBottom w:val="0"/>
          <w:divBdr>
            <w:top w:val="none" w:sz="0" w:space="0" w:color="auto"/>
            <w:left w:val="none" w:sz="0" w:space="0" w:color="auto"/>
            <w:bottom w:val="none" w:sz="0" w:space="0" w:color="auto"/>
            <w:right w:val="none" w:sz="0" w:space="0" w:color="auto"/>
          </w:divBdr>
        </w:div>
      </w:divsChild>
    </w:div>
    <w:div w:id="215439213">
      <w:bodyDiv w:val="1"/>
      <w:marLeft w:val="0"/>
      <w:marRight w:val="0"/>
      <w:marTop w:val="0"/>
      <w:marBottom w:val="0"/>
      <w:divBdr>
        <w:top w:val="none" w:sz="0" w:space="0" w:color="auto"/>
        <w:left w:val="none" w:sz="0" w:space="0" w:color="auto"/>
        <w:bottom w:val="none" w:sz="0" w:space="0" w:color="auto"/>
        <w:right w:val="none" w:sz="0" w:space="0" w:color="auto"/>
      </w:divBdr>
      <w:divsChild>
        <w:div w:id="533737174">
          <w:marLeft w:val="0"/>
          <w:marRight w:val="0"/>
          <w:marTop w:val="0"/>
          <w:marBottom w:val="0"/>
          <w:divBdr>
            <w:top w:val="none" w:sz="0" w:space="0" w:color="auto"/>
            <w:left w:val="none" w:sz="0" w:space="0" w:color="auto"/>
            <w:bottom w:val="none" w:sz="0" w:space="0" w:color="auto"/>
            <w:right w:val="none" w:sz="0" w:space="0" w:color="auto"/>
          </w:divBdr>
        </w:div>
        <w:div w:id="992828930">
          <w:marLeft w:val="0"/>
          <w:marRight w:val="0"/>
          <w:marTop w:val="0"/>
          <w:marBottom w:val="0"/>
          <w:divBdr>
            <w:top w:val="none" w:sz="0" w:space="0" w:color="auto"/>
            <w:left w:val="none" w:sz="0" w:space="0" w:color="auto"/>
            <w:bottom w:val="none" w:sz="0" w:space="0" w:color="auto"/>
            <w:right w:val="none" w:sz="0" w:space="0" w:color="auto"/>
          </w:divBdr>
        </w:div>
        <w:div w:id="1077164848">
          <w:marLeft w:val="0"/>
          <w:marRight w:val="0"/>
          <w:marTop w:val="0"/>
          <w:marBottom w:val="0"/>
          <w:divBdr>
            <w:top w:val="none" w:sz="0" w:space="0" w:color="auto"/>
            <w:left w:val="none" w:sz="0" w:space="0" w:color="auto"/>
            <w:bottom w:val="none" w:sz="0" w:space="0" w:color="auto"/>
            <w:right w:val="none" w:sz="0" w:space="0" w:color="auto"/>
          </w:divBdr>
        </w:div>
        <w:div w:id="1347101739">
          <w:marLeft w:val="0"/>
          <w:marRight w:val="0"/>
          <w:marTop w:val="0"/>
          <w:marBottom w:val="0"/>
          <w:divBdr>
            <w:top w:val="none" w:sz="0" w:space="0" w:color="auto"/>
            <w:left w:val="none" w:sz="0" w:space="0" w:color="auto"/>
            <w:bottom w:val="none" w:sz="0" w:space="0" w:color="auto"/>
            <w:right w:val="none" w:sz="0" w:space="0" w:color="auto"/>
          </w:divBdr>
        </w:div>
        <w:div w:id="2002074460">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60458077">
      <w:bodyDiv w:val="1"/>
      <w:marLeft w:val="0"/>
      <w:marRight w:val="0"/>
      <w:marTop w:val="0"/>
      <w:marBottom w:val="0"/>
      <w:divBdr>
        <w:top w:val="none" w:sz="0" w:space="0" w:color="auto"/>
        <w:left w:val="none" w:sz="0" w:space="0" w:color="auto"/>
        <w:bottom w:val="none" w:sz="0" w:space="0" w:color="auto"/>
        <w:right w:val="none" w:sz="0" w:space="0" w:color="auto"/>
      </w:divBdr>
      <w:divsChild>
        <w:div w:id="25956834">
          <w:marLeft w:val="0"/>
          <w:marRight w:val="0"/>
          <w:marTop w:val="0"/>
          <w:marBottom w:val="0"/>
          <w:divBdr>
            <w:top w:val="none" w:sz="0" w:space="0" w:color="auto"/>
            <w:left w:val="none" w:sz="0" w:space="0" w:color="auto"/>
            <w:bottom w:val="none" w:sz="0" w:space="0" w:color="auto"/>
            <w:right w:val="none" w:sz="0" w:space="0" w:color="auto"/>
          </w:divBdr>
        </w:div>
        <w:div w:id="614556487">
          <w:marLeft w:val="0"/>
          <w:marRight w:val="0"/>
          <w:marTop w:val="0"/>
          <w:marBottom w:val="0"/>
          <w:divBdr>
            <w:top w:val="none" w:sz="0" w:space="0" w:color="auto"/>
            <w:left w:val="none" w:sz="0" w:space="0" w:color="auto"/>
            <w:bottom w:val="none" w:sz="0" w:space="0" w:color="auto"/>
            <w:right w:val="none" w:sz="0" w:space="0" w:color="auto"/>
          </w:divBdr>
        </w:div>
        <w:div w:id="744838702">
          <w:marLeft w:val="0"/>
          <w:marRight w:val="0"/>
          <w:marTop w:val="0"/>
          <w:marBottom w:val="0"/>
          <w:divBdr>
            <w:top w:val="none" w:sz="0" w:space="0" w:color="auto"/>
            <w:left w:val="none" w:sz="0" w:space="0" w:color="auto"/>
            <w:bottom w:val="none" w:sz="0" w:space="0" w:color="auto"/>
            <w:right w:val="none" w:sz="0" w:space="0" w:color="auto"/>
          </w:divBdr>
        </w:div>
        <w:div w:id="763649137">
          <w:marLeft w:val="0"/>
          <w:marRight w:val="0"/>
          <w:marTop w:val="0"/>
          <w:marBottom w:val="0"/>
          <w:divBdr>
            <w:top w:val="none" w:sz="0" w:space="0" w:color="auto"/>
            <w:left w:val="none" w:sz="0" w:space="0" w:color="auto"/>
            <w:bottom w:val="none" w:sz="0" w:space="0" w:color="auto"/>
            <w:right w:val="none" w:sz="0" w:space="0" w:color="auto"/>
          </w:divBdr>
        </w:div>
        <w:div w:id="1376082289">
          <w:marLeft w:val="0"/>
          <w:marRight w:val="0"/>
          <w:marTop w:val="0"/>
          <w:marBottom w:val="0"/>
          <w:divBdr>
            <w:top w:val="none" w:sz="0" w:space="0" w:color="auto"/>
            <w:left w:val="none" w:sz="0" w:space="0" w:color="auto"/>
            <w:bottom w:val="none" w:sz="0" w:space="0" w:color="auto"/>
            <w:right w:val="none" w:sz="0" w:space="0" w:color="auto"/>
          </w:divBdr>
        </w:div>
        <w:div w:id="1467162698">
          <w:marLeft w:val="0"/>
          <w:marRight w:val="0"/>
          <w:marTop w:val="0"/>
          <w:marBottom w:val="0"/>
          <w:divBdr>
            <w:top w:val="none" w:sz="0" w:space="0" w:color="auto"/>
            <w:left w:val="none" w:sz="0" w:space="0" w:color="auto"/>
            <w:bottom w:val="none" w:sz="0" w:space="0" w:color="auto"/>
            <w:right w:val="none" w:sz="0" w:space="0" w:color="auto"/>
          </w:divBdr>
        </w:div>
        <w:div w:id="2014145423">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13068342">
      <w:bodyDiv w:val="1"/>
      <w:marLeft w:val="0"/>
      <w:marRight w:val="0"/>
      <w:marTop w:val="0"/>
      <w:marBottom w:val="0"/>
      <w:divBdr>
        <w:top w:val="none" w:sz="0" w:space="0" w:color="auto"/>
        <w:left w:val="none" w:sz="0" w:space="0" w:color="auto"/>
        <w:bottom w:val="none" w:sz="0" w:space="0" w:color="auto"/>
        <w:right w:val="none" w:sz="0" w:space="0" w:color="auto"/>
      </w:divBdr>
      <w:divsChild>
        <w:div w:id="338393755">
          <w:marLeft w:val="0"/>
          <w:marRight w:val="0"/>
          <w:marTop w:val="0"/>
          <w:marBottom w:val="0"/>
          <w:divBdr>
            <w:top w:val="none" w:sz="0" w:space="0" w:color="auto"/>
            <w:left w:val="none" w:sz="0" w:space="0" w:color="auto"/>
            <w:bottom w:val="none" w:sz="0" w:space="0" w:color="auto"/>
            <w:right w:val="none" w:sz="0" w:space="0" w:color="auto"/>
          </w:divBdr>
        </w:div>
        <w:div w:id="1065106691">
          <w:marLeft w:val="0"/>
          <w:marRight w:val="0"/>
          <w:marTop w:val="0"/>
          <w:marBottom w:val="0"/>
          <w:divBdr>
            <w:top w:val="none" w:sz="0" w:space="0" w:color="auto"/>
            <w:left w:val="none" w:sz="0" w:space="0" w:color="auto"/>
            <w:bottom w:val="none" w:sz="0" w:space="0" w:color="auto"/>
            <w:right w:val="none" w:sz="0" w:space="0" w:color="auto"/>
          </w:divBdr>
        </w:div>
        <w:div w:id="1073313340">
          <w:marLeft w:val="0"/>
          <w:marRight w:val="0"/>
          <w:marTop w:val="0"/>
          <w:marBottom w:val="0"/>
          <w:divBdr>
            <w:top w:val="none" w:sz="0" w:space="0" w:color="auto"/>
            <w:left w:val="none" w:sz="0" w:space="0" w:color="auto"/>
            <w:bottom w:val="none" w:sz="0" w:space="0" w:color="auto"/>
            <w:right w:val="none" w:sz="0" w:space="0" w:color="auto"/>
          </w:divBdr>
        </w:div>
        <w:div w:id="1883130054">
          <w:marLeft w:val="0"/>
          <w:marRight w:val="0"/>
          <w:marTop w:val="0"/>
          <w:marBottom w:val="0"/>
          <w:divBdr>
            <w:top w:val="none" w:sz="0" w:space="0" w:color="auto"/>
            <w:left w:val="none" w:sz="0" w:space="0" w:color="auto"/>
            <w:bottom w:val="none" w:sz="0" w:space="0" w:color="auto"/>
            <w:right w:val="none" w:sz="0" w:space="0" w:color="auto"/>
          </w:divBdr>
        </w:div>
        <w:div w:id="2110345509">
          <w:marLeft w:val="0"/>
          <w:marRight w:val="0"/>
          <w:marTop w:val="0"/>
          <w:marBottom w:val="0"/>
          <w:divBdr>
            <w:top w:val="none" w:sz="0" w:space="0" w:color="auto"/>
            <w:left w:val="none" w:sz="0" w:space="0" w:color="auto"/>
            <w:bottom w:val="none" w:sz="0" w:space="0" w:color="auto"/>
            <w:right w:val="none" w:sz="0" w:space="0" w:color="auto"/>
          </w:divBdr>
        </w:div>
      </w:divsChild>
    </w:div>
    <w:div w:id="313336897">
      <w:bodyDiv w:val="1"/>
      <w:marLeft w:val="0"/>
      <w:marRight w:val="0"/>
      <w:marTop w:val="0"/>
      <w:marBottom w:val="0"/>
      <w:divBdr>
        <w:top w:val="none" w:sz="0" w:space="0" w:color="auto"/>
        <w:left w:val="none" w:sz="0" w:space="0" w:color="auto"/>
        <w:bottom w:val="none" w:sz="0" w:space="0" w:color="auto"/>
        <w:right w:val="none" w:sz="0" w:space="0" w:color="auto"/>
      </w:divBdr>
      <w:divsChild>
        <w:div w:id="86925004">
          <w:marLeft w:val="0"/>
          <w:marRight w:val="0"/>
          <w:marTop w:val="0"/>
          <w:marBottom w:val="0"/>
          <w:divBdr>
            <w:top w:val="none" w:sz="0" w:space="0" w:color="auto"/>
            <w:left w:val="none" w:sz="0" w:space="0" w:color="auto"/>
            <w:bottom w:val="none" w:sz="0" w:space="0" w:color="auto"/>
            <w:right w:val="none" w:sz="0" w:space="0" w:color="auto"/>
          </w:divBdr>
        </w:div>
        <w:div w:id="194847947">
          <w:marLeft w:val="0"/>
          <w:marRight w:val="0"/>
          <w:marTop w:val="0"/>
          <w:marBottom w:val="0"/>
          <w:divBdr>
            <w:top w:val="none" w:sz="0" w:space="0" w:color="auto"/>
            <w:left w:val="none" w:sz="0" w:space="0" w:color="auto"/>
            <w:bottom w:val="none" w:sz="0" w:space="0" w:color="auto"/>
            <w:right w:val="none" w:sz="0" w:space="0" w:color="auto"/>
          </w:divBdr>
        </w:div>
        <w:div w:id="497304450">
          <w:marLeft w:val="0"/>
          <w:marRight w:val="0"/>
          <w:marTop w:val="0"/>
          <w:marBottom w:val="0"/>
          <w:divBdr>
            <w:top w:val="none" w:sz="0" w:space="0" w:color="auto"/>
            <w:left w:val="none" w:sz="0" w:space="0" w:color="auto"/>
            <w:bottom w:val="none" w:sz="0" w:space="0" w:color="auto"/>
            <w:right w:val="none" w:sz="0" w:space="0" w:color="auto"/>
          </w:divBdr>
        </w:div>
        <w:div w:id="1404454154">
          <w:marLeft w:val="0"/>
          <w:marRight w:val="0"/>
          <w:marTop w:val="0"/>
          <w:marBottom w:val="0"/>
          <w:divBdr>
            <w:top w:val="none" w:sz="0" w:space="0" w:color="auto"/>
            <w:left w:val="none" w:sz="0" w:space="0" w:color="auto"/>
            <w:bottom w:val="none" w:sz="0" w:space="0" w:color="auto"/>
            <w:right w:val="none" w:sz="0" w:space="0" w:color="auto"/>
          </w:divBdr>
        </w:div>
        <w:div w:id="1773235602">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4765858">
      <w:bodyDiv w:val="1"/>
      <w:marLeft w:val="0"/>
      <w:marRight w:val="0"/>
      <w:marTop w:val="0"/>
      <w:marBottom w:val="0"/>
      <w:divBdr>
        <w:top w:val="none" w:sz="0" w:space="0" w:color="auto"/>
        <w:left w:val="none" w:sz="0" w:space="0" w:color="auto"/>
        <w:bottom w:val="none" w:sz="0" w:space="0" w:color="auto"/>
        <w:right w:val="none" w:sz="0" w:space="0" w:color="auto"/>
      </w:divBdr>
      <w:divsChild>
        <w:div w:id="100300622">
          <w:marLeft w:val="0"/>
          <w:marRight w:val="0"/>
          <w:marTop w:val="0"/>
          <w:marBottom w:val="0"/>
          <w:divBdr>
            <w:top w:val="none" w:sz="0" w:space="0" w:color="auto"/>
            <w:left w:val="none" w:sz="0" w:space="0" w:color="auto"/>
            <w:bottom w:val="none" w:sz="0" w:space="0" w:color="auto"/>
            <w:right w:val="none" w:sz="0" w:space="0" w:color="auto"/>
          </w:divBdr>
        </w:div>
        <w:div w:id="647439873">
          <w:marLeft w:val="0"/>
          <w:marRight w:val="0"/>
          <w:marTop w:val="0"/>
          <w:marBottom w:val="0"/>
          <w:divBdr>
            <w:top w:val="none" w:sz="0" w:space="0" w:color="auto"/>
            <w:left w:val="none" w:sz="0" w:space="0" w:color="auto"/>
            <w:bottom w:val="none" w:sz="0" w:space="0" w:color="auto"/>
            <w:right w:val="none" w:sz="0" w:space="0" w:color="auto"/>
          </w:divBdr>
        </w:div>
        <w:div w:id="1092118340">
          <w:marLeft w:val="0"/>
          <w:marRight w:val="0"/>
          <w:marTop w:val="0"/>
          <w:marBottom w:val="0"/>
          <w:divBdr>
            <w:top w:val="none" w:sz="0" w:space="0" w:color="auto"/>
            <w:left w:val="none" w:sz="0" w:space="0" w:color="auto"/>
            <w:bottom w:val="none" w:sz="0" w:space="0" w:color="auto"/>
            <w:right w:val="none" w:sz="0" w:space="0" w:color="auto"/>
          </w:divBdr>
        </w:div>
        <w:div w:id="1212689550">
          <w:marLeft w:val="0"/>
          <w:marRight w:val="0"/>
          <w:marTop w:val="0"/>
          <w:marBottom w:val="0"/>
          <w:divBdr>
            <w:top w:val="none" w:sz="0" w:space="0" w:color="auto"/>
            <w:left w:val="none" w:sz="0" w:space="0" w:color="auto"/>
            <w:bottom w:val="none" w:sz="0" w:space="0" w:color="auto"/>
            <w:right w:val="none" w:sz="0" w:space="0" w:color="auto"/>
          </w:divBdr>
        </w:div>
        <w:div w:id="1772050221">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0349440">
      <w:bodyDiv w:val="1"/>
      <w:marLeft w:val="0"/>
      <w:marRight w:val="0"/>
      <w:marTop w:val="0"/>
      <w:marBottom w:val="0"/>
      <w:divBdr>
        <w:top w:val="none" w:sz="0" w:space="0" w:color="auto"/>
        <w:left w:val="none" w:sz="0" w:space="0" w:color="auto"/>
        <w:bottom w:val="none" w:sz="0" w:space="0" w:color="auto"/>
        <w:right w:val="none" w:sz="0" w:space="0" w:color="auto"/>
      </w:divBdr>
      <w:divsChild>
        <w:div w:id="127749977">
          <w:marLeft w:val="0"/>
          <w:marRight w:val="0"/>
          <w:marTop w:val="0"/>
          <w:marBottom w:val="0"/>
          <w:divBdr>
            <w:top w:val="none" w:sz="0" w:space="0" w:color="auto"/>
            <w:left w:val="none" w:sz="0" w:space="0" w:color="auto"/>
            <w:bottom w:val="none" w:sz="0" w:space="0" w:color="auto"/>
            <w:right w:val="none" w:sz="0" w:space="0" w:color="auto"/>
          </w:divBdr>
        </w:div>
        <w:div w:id="1118718108">
          <w:marLeft w:val="0"/>
          <w:marRight w:val="0"/>
          <w:marTop w:val="0"/>
          <w:marBottom w:val="0"/>
          <w:divBdr>
            <w:top w:val="none" w:sz="0" w:space="0" w:color="auto"/>
            <w:left w:val="none" w:sz="0" w:space="0" w:color="auto"/>
            <w:bottom w:val="none" w:sz="0" w:space="0" w:color="auto"/>
            <w:right w:val="none" w:sz="0" w:space="0" w:color="auto"/>
          </w:divBdr>
        </w:div>
        <w:div w:id="1512405971">
          <w:marLeft w:val="0"/>
          <w:marRight w:val="0"/>
          <w:marTop w:val="0"/>
          <w:marBottom w:val="0"/>
          <w:divBdr>
            <w:top w:val="none" w:sz="0" w:space="0" w:color="auto"/>
            <w:left w:val="none" w:sz="0" w:space="0" w:color="auto"/>
            <w:bottom w:val="none" w:sz="0" w:space="0" w:color="auto"/>
            <w:right w:val="none" w:sz="0" w:space="0" w:color="auto"/>
          </w:divBdr>
        </w:div>
        <w:div w:id="1728383455">
          <w:marLeft w:val="0"/>
          <w:marRight w:val="0"/>
          <w:marTop w:val="0"/>
          <w:marBottom w:val="0"/>
          <w:divBdr>
            <w:top w:val="none" w:sz="0" w:space="0" w:color="auto"/>
            <w:left w:val="none" w:sz="0" w:space="0" w:color="auto"/>
            <w:bottom w:val="none" w:sz="0" w:space="0" w:color="auto"/>
            <w:right w:val="none" w:sz="0" w:space="0" w:color="auto"/>
          </w:divBdr>
        </w:div>
        <w:div w:id="1800757702">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36028835">
      <w:bodyDiv w:val="1"/>
      <w:marLeft w:val="0"/>
      <w:marRight w:val="0"/>
      <w:marTop w:val="0"/>
      <w:marBottom w:val="0"/>
      <w:divBdr>
        <w:top w:val="none" w:sz="0" w:space="0" w:color="auto"/>
        <w:left w:val="none" w:sz="0" w:space="0" w:color="auto"/>
        <w:bottom w:val="none" w:sz="0" w:space="0" w:color="auto"/>
        <w:right w:val="none" w:sz="0" w:space="0" w:color="auto"/>
      </w:divBdr>
      <w:divsChild>
        <w:div w:id="103891020">
          <w:marLeft w:val="0"/>
          <w:marRight w:val="0"/>
          <w:marTop w:val="0"/>
          <w:marBottom w:val="0"/>
          <w:divBdr>
            <w:top w:val="none" w:sz="0" w:space="0" w:color="auto"/>
            <w:left w:val="none" w:sz="0" w:space="0" w:color="auto"/>
            <w:bottom w:val="none" w:sz="0" w:space="0" w:color="auto"/>
            <w:right w:val="none" w:sz="0" w:space="0" w:color="auto"/>
          </w:divBdr>
        </w:div>
        <w:div w:id="450982507">
          <w:marLeft w:val="0"/>
          <w:marRight w:val="0"/>
          <w:marTop w:val="0"/>
          <w:marBottom w:val="0"/>
          <w:divBdr>
            <w:top w:val="none" w:sz="0" w:space="0" w:color="auto"/>
            <w:left w:val="none" w:sz="0" w:space="0" w:color="auto"/>
            <w:bottom w:val="none" w:sz="0" w:space="0" w:color="auto"/>
            <w:right w:val="none" w:sz="0" w:space="0" w:color="auto"/>
          </w:divBdr>
        </w:div>
        <w:div w:id="642854080">
          <w:marLeft w:val="0"/>
          <w:marRight w:val="0"/>
          <w:marTop w:val="0"/>
          <w:marBottom w:val="0"/>
          <w:divBdr>
            <w:top w:val="none" w:sz="0" w:space="0" w:color="auto"/>
            <w:left w:val="none" w:sz="0" w:space="0" w:color="auto"/>
            <w:bottom w:val="none" w:sz="0" w:space="0" w:color="auto"/>
            <w:right w:val="none" w:sz="0" w:space="0" w:color="auto"/>
          </w:divBdr>
        </w:div>
        <w:div w:id="824200428">
          <w:marLeft w:val="0"/>
          <w:marRight w:val="0"/>
          <w:marTop w:val="0"/>
          <w:marBottom w:val="0"/>
          <w:divBdr>
            <w:top w:val="none" w:sz="0" w:space="0" w:color="auto"/>
            <w:left w:val="none" w:sz="0" w:space="0" w:color="auto"/>
            <w:bottom w:val="none" w:sz="0" w:space="0" w:color="auto"/>
            <w:right w:val="none" w:sz="0" w:space="0" w:color="auto"/>
          </w:divBdr>
        </w:div>
        <w:div w:id="1154638369">
          <w:marLeft w:val="0"/>
          <w:marRight w:val="0"/>
          <w:marTop w:val="0"/>
          <w:marBottom w:val="0"/>
          <w:divBdr>
            <w:top w:val="none" w:sz="0" w:space="0" w:color="auto"/>
            <w:left w:val="none" w:sz="0" w:space="0" w:color="auto"/>
            <w:bottom w:val="none" w:sz="0" w:space="0" w:color="auto"/>
            <w:right w:val="none" w:sz="0" w:space="0" w:color="auto"/>
          </w:divBdr>
        </w:div>
        <w:div w:id="1649475938">
          <w:marLeft w:val="0"/>
          <w:marRight w:val="0"/>
          <w:marTop w:val="0"/>
          <w:marBottom w:val="0"/>
          <w:divBdr>
            <w:top w:val="none" w:sz="0" w:space="0" w:color="auto"/>
            <w:left w:val="none" w:sz="0" w:space="0" w:color="auto"/>
            <w:bottom w:val="none" w:sz="0" w:space="0" w:color="auto"/>
            <w:right w:val="none" w:sz="0" w:space="0" w:color="auto"/>
          </w:divBdr>
        </w:div>
        <w:div w:id="2057386642">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490759469">
      <w:bodyDiv w:val="1"/>
      <w:marLeft w:val="0"/>
      <w:marRight w:val="0"/>
      <w:marTop w:val="0"/>
      <w:marBottom w:val="0"/>
      <w:divBdr>
        <w:top w:val="none" w:sz="0" w:space="0" w:color="auto"/>
        <w:left w:val="none" w:sz="0" w:space="0" w:color="auto"/>
        <w:bottom w:val="none" w:sz="0" w:space="0" w:color="auto"/>
        <w:right w:val="none" w:sz="0" w:space="0" w:color="auto"/>
      </w:divBdr>
      <w:divsChild>
        <w:div w:id="75523254">
          <w:marLeft w:val="0"/>
          <w:marRight w:val="0"/>
          <w:marTop w:val="0"/>
          <w:marBottom w:val="0"/>
          <w:divBdr>
            <w:top w:val="none" w:sz="0" w:space="0" w:color="auto"/>
            <w:left w:val="none" w:sz="0" w:space="0" w:color="auto"/>
            <w:bottom w:val="none" w:sz="0" w:space="0" w:color="auto"/>
            <w:right w:val="none" w:sz="0" w:space="0" w:color="auto"/>
          </w:divBdr>
        </w:div>
        <w:div w:id="86926280">
          <w:marLeft w:val="0"/>
          <w:marRight w:val="0"/>
          <w:marTop w:val="0"/>
          <w:marBottom w:val="0"/>
          <w:divBdr>
            <w:top w:val="none" w:sz="0" w:space="0" w:color="auto"/>
            <w:left w:val="none" w:sz="0" w:space="0" w:color="auto"/>
            <w:bottom w:val="none" w:sz="0" w:space="0" w:color="auto"/>
            <w:right w:val="none" w:sz="0" w:space="0" w:color="auto"/>
          </w:divBdr>
        </w:div>
        <w:div w:id="202406672">
          <w:marLeft w:val="0"/>
          <w:marRight w:val="0"/>
          <w:marTop w:val="0"/>
          <w:marBottom w:val="0"/>
          <w:divBdr>
            <w:top w:val="none" w:sz="0" w:space="0" w:color="auto"/>
            <w:left w:val="none" w:sz="0" w:space="0" w:color="auto"/>
            <w:bottom w:val="none" w:sz="0" w:space="0" w:color="auto"/>
            <w:right w:val="none" w:sz="0" w:space="0" w:color="auto"/>
          </w:divBdr>
        </w:div>
        <w:div w:id="387385581">
          <w:marLeft w:val="0"/>
          <w:marRight w:val="0"/>
          <w:marTop w:val="0"/>
          <w:marBottom w:val="0"/>
          <w:divBdr>
            <w:top w:val="none" w:sz="0" w:space="0" w:color="auto"/>
            <w:left w:val="none" w:sz="0" w:space="0" w:color="auto"/>
            <w:bottom w:val="none" w:sz="0" w:space="0" w:color="auto"/>
            <w:right w:val="none" w:sz="0" w:space="0" w:color="auto"/>
          </w:divBdr>
        </w:div>
        <w:div w:id="938871199">
          <w:marLeft w:val="0"/>
          <w:marRight w:val="0"/>
          <w:marTop w:val="0"/>
          <w:marBottom w:val="0"/>
          <w:divBdr>
            <w:top w:val="none" w:sz="0" w:space="0" w:color="auto"/>
            <w:left w:val="none" w:sz="0" w:space="0" w:color="auto"/>
            <w:bottom w:val="none" w:sz="0" w:space="0" w:color="auto"/>
            <w:right w:val="none" w:sz="0" w:space="0" w:color="auto"/>
          </w:divBdr>
        </w:div>
        <w:div w:id="939875487">
          <w:marLeft w:val="0"/>
          <w:marRight w:val="0"/>
          <w:marTop w:val="0"/>
          <w:marBottom w:val="0"/>
          <w:divBdr>
            <w:top w:val="none" w:sz="0" w:space="0" w:color="auto"/>
            <w:left w:val="none" w:sz="0" w:space="0" w:color="auto"/>
            <w:bottom w:val="none" w:sz="0" w:space="0" w:color="auto"/>
            <w:right w:val="none" w:sz="0" w:space="0" w:color="auto"/>
          </w:divBdr>
        </w:div>
        <w:div w:id="945117899">
          <w:marLeft w:val="0"/>
          <w:marRight w:val="0"/>
          <w:marTop w:val="0"/>
          <w:marBottom w:val="0"/>
          <w:divBdr>
            <w:top w:val="none" w:sz="0" w:space="0" w:color="auto"/>
            <w:left w:val="none" w:sz="0" w:space="0" w:color="auto"/>
            <w:bottom w:val="none" w:sz="0" w:space="0" w:color="auto"/>
            <w:right w:val="none" w:sz="0" w:space="0" w:color="auto"/>
          </w:divBdr>
        </w:div>
        <w:div w:id="954943387">
          <w:marLeft w:val="0"/>
          <w:marRight w:val="0"/>
          <w:marTop w:val="0"/>
          <w:marBottom w:val="0"/>
          <w:divBdr>
            <w:top w:val="none" w:sz="0" w:space="0" w:color="auto"/>
            <w:left w:val="none" w:sz="0" w:space="0" w:color="auto"/>
            <w:bottom w:val="none" w:sz="0" w:space="0" w:color="auto"/>
            <w:right w:val="none" w:sz="0" w:space="0" w:color="auto"/>
          </w:divBdr>
        </w:div>
        <w:div w:id="987129556">
          <w:marLeft w:val="0"/>
          <w:marRight w:val="0"/>
          <w:marTop w:val="0"/>
          <w:marBottom w:val="0"/>
          <w:divBdr>
            <w:top w:val="none" w:sz="0" w:space="0" w:color="auto"/>
            <w:left w:val="none" w:sz="0" w:space="0" w:color="auto"/>
            <w:bottom w:val="none" w:sz="0" w:space="0" w:color="auto"/>
            <w:right w:val="none" w:sz="0" w:space="0" w:color="auto"/>
          </w:divBdr>
        </w:div>
        <w:div w:id="1275594160">
          <w:marLeft w:val="0"/>
          <w:marRight w:val="0"/>
          <w:marTop w:val="0"/>
          <w:marBottom w:val="0"/>
          <w:divBdr>
            <w:top w:val="none" w:sz="0" w:space="0" w:color="auto"/>
            <w:left w:val="none" w:sz="0" w:space="0" w:color="auto"/>
            <w:bottom w:val="none" w:sz="0" w:space="0" w:color="auto"/>
            <w:right w:val="none" w:sz="0" w:space="0" w:color="auto"/>
          </w:divBdr>
        </w:div>
        <w:div w:id="1468624043">
          <w:marLeft w:val="0"/>
          <w:marRight w:val="0"/>
          <w:marTop w:val="0"/>
          <w:marBottom w:val="0"/>
          <w:divBdr>
            <w:top w:val="none" w:sz="0" w:space="0" w:color="auto"/>
            <w:left w:val="none" w:sz="0" w:space="0" w:color="auto"/>
            <w:bottom w:val="none" w:sz="0" w:space="0" w:color="auto"/>
            <w:right w:val="none" w:sz="0" w:space="0" w:color="auto"/>
          </w:divBdr>
        </w:div>
        <w:div w:id="1539854960">
          <w:marLeft w:val="0"/>
          <w:marRight w:val="0"/>
          <w:marTop w:val="0"/>
          <w:marBottom w:val="0"/>
          <w:divBdr>
            <w:top w:val="none" w:sz="0" w:space="0" w:color="auto"/>
            <w:left w:val="none" w:sz="0" w:space="0" w:color="auto"/>
            <w:bottom w:val="none" w:sz="0" w:space="0" w:color="auto"/>
            <w:right w:val="none" w:sz="0" w:space="0" w:color="auto"/>
          </w:divBdr>
        </w:div>
        <w:div w:id="1561330994">
          <w:marLeft w:val="0"/>
          <w:marRight w:val="0"/>
          <w:marTop w:val="0"/>
          <w:marBottom w:val="0"/>
          <w:divBdr>
            <w:top w:val="none" w:sz="0" w:space="0" w:color="auto"/>
            <w:left w:val="none" w:sz="0" w:space="0" w:color="auto"/>
            <w:bottom w:val="none" w:sz="0" w:space="0" w:color="auto"/>
            <w:right w:val="none" w:sz="0" w:space="0" w:color="auto"/>
          </w:divBdr>
        </w:div>
        <w:div w:id="1957372819">
          <w:marLeft w:val="0"/>
          <w:marRight w:val="0"/>
          <w:marTop w:val="0"/>
          <w:marBottom w:val="0"/>
          <w:divBdr>
            <w:top w:val="none" w:sz="0" w:space="0" w:color="auto"/>
            <w:left w:val="none" w:sz="0" w:space="0" w:color="auto"/>
            <w:bottom w:val="none" w:sz="0" w:space="0" w:color="auto"/>
            <w:right w:val="none" w:sz="0" w:space="0" w:color="auto"/>
          </w:divBdr>
        </w:div>
      </w:divsChild>
    </w:div>
    <w:div w:id="502361879">
      <w:bodyDiv w:val="1"/>
      <w:marLeft w:val="0"/>
      <w:marRight w:val="0"/>
      <w:marTop w:val="0"/>
      <w:marBottom w:val="0"/>
      <w:divBdr>
        <w:top w:val="none" w:sz="0" w:space="0" w:color="auto"/>
        <w:left w:val="none" w:sz="0" w:space="0" w:color="auto"/>
        <w:bottom w:val="none" w:sz="0" w:space="0" w:color="auto"/>
        <w:right w:val="none" w:sz="0" w:space="0" w:color="auto"/>
      </w:divBdr>
      <w:divsChild>
        <w:div w:id="299384032">
          <w:marLeft w:val="0"/>
          <w:marRight w:val="0"/>
          <w:marTop w:val="0"/>
          <w:marBottom w:val="0"/>
          <w:divBdr>
            <w:top w:val="none" w:sz="0" w:space="0" w:color="auto"/>
            <w:left w:val="none" w:sz="0" w:space="0" w:color="auto"/>
            <w:bottom w:val="none" w:sz="0" w:space="0" w:color="auto"/>
            <w:right w:val="none" w:sz="0" w:space="0" w:color="auto"/>
          </w:divBdr>
        </w:div>
        <w:div w:id="712386457">
          <w:marLeft w:val="0"/>
          <w:marRight w:val="0"/>
          <w:marTop w:val="0"/>
          <w:marBottom w:val="0"/>
          <w:divBdr>
            <w:top w:val="none" w:sz="0" w:space="0" w:color="auto"/>
            <w:left w:val="none" w:sz="0" w:space="0" w:color="auto"/>
            <w:bottom w:val="none" w:sz="0" w:space="0" w:color="auto"/>
            <w:right w:val="none" w:sz="0" w:space="0" w:color="auto"/>
          </w:divBdr>
        </w:div>
        <w:div w:id="1194727339">
          <w:marLeft w:val="0"/>
          <w:marRight w:val="0"/>
          <w:marTop w:val="0"/>
          <w:marBottom w:val="0"/>
          <w:divBdr>
            <w:top w:val="none" w:sz="0" w:space="0" w:color="auto"/>
            <w:left w:val="none" w:sz="0" w:space="0" w:color="auto"/>
            <w:bottom w:val="none" w:sz="0" w:space="0" w:color="auto"/>
            <w:right w:val="none" w:sz="0" w:space="0" w:color="auto"/>
          </w:divBdr>
        </w:div>
        <w:div w:id="1304576703">
          <w:marLeft w:val="0"/>
          <w:marRight w:val="0"/>
          <w:marTop w:val="0"/>
          <w:marBottom w:val="0"/>
          <w:divBdr>
            <w:top w:val="none" w:sz="0" w:space="0" w:color="auto"/>
            <w:left w:val="none" w:sz="0" w:space="0" w:color="auto"/>
            <w:bottom w:val="none" w:sz="0" w:space="0" w:color="auto"/>
            <w:right w:val="none" w:sz="0" w:space="0" w:color="auto"/>
          </w:divBdr>
        </w:div>
        <w:div w:id="1785417972">
          <w:marLeft w:val="0"/>
          <w:marRight w:val="0"/>
          <w:marTop w:val="0"/>
          <w:marBottom w:val="0"/>
          <w:divBdr>
            <w:top w:val="none" w:sz="0" w:space="0" w:color="auto"/>
            <w:left w:val="none" w:sz="0" w:space="0" w:color="auto"/>
            <w:bottom w:val="none" w:sz="0" w:space="0" w:color="auto"/>
            <w:right w:val="none" w:sz="0" w:space="0" w:color="auto"/>
          </w:divBdr>
        </w:div>
      </w:divsChild>
    </w:div>
    <w:div w:id="513769219">
      <w:bodyDiv w:val="1"/>
      <w:marLeft w:val="0"/>
      <w:marRight w:val="0"/>
      <w:marTop w:val="0"/>
      <w:marBottom w:val="0"/>
      <w:divBdr>
        <w:top w:val="none" w:sz="0" w:space="0" w:color="auto"/>
        <w:left w:val="none" w:sz="0" w:space="0" w:color="auto"/>
        <w:bottom w:val="none" w:sz="0" w:space="0" w:color="auto"/>
        <w:right w:val="none" w:sz="0" w:space="0" w:color="auto"/>
      </w:divBdr>
      <w:divsChild>
        <w:div w:id="590315164">
          <w:marLeft w:val="0"/>
          <w:marRight w:val="0"/>
          <w:marTop w:val="0"/>
          <w:marBottom w:val="0"/>
          <w:divBdr>
            <w:top w:val="none" w:sz="0" w:space="0" w:color="auto"/>
            <w:left w:val="none" w:sz="0" w:space="0" w:color="auto"/>
            <w:bottom w:val="none" w:sz="0" w:space="0" w:color="auto"/>
            <w:right w:val="none" w:sz="0" w:space="0" w:color="auto"/>
          </w:divBdr>
        </w:div>
        <w:div w:id="631442380">
          <w:marLeft w:val="0"/>
          <w:marRight w:val="0"/>
          <w:marTop w:val="0"/>
          <w:marBottom w:val="0"/>
          <w:divBdr>
            <w:top w:val="none" w:sz="0" w:space="0" w:color="auto"/>
            <w:left w:val="none" w:sz="0" w:space="0" w:color="auto"/>
            <w:bottom w:val="none" w:sz="0" w:space="0" w:color="auto"/>
            <w:right w:val="none" w:sz="0" w:space="0" w:color="auto"/>
          </w:divBdr>
        </w:div>
        <w:div w:id="1690251807">
          <w:marLeft w:val="0"/>
          <w:marRight w:val="0"/>
          <w:marTop w:val="0"/>
          <w:marBottom w:val="0"/>
          <w:divBdr>
            <w:top w:val="none" w:sz="0" w:space="0" w:color="auto"/>
            <w:left w:val="none" w:sz="0" w:space="0" w:color="auto"/>
            <w:bottom w:val="none" w:sz="0" w:space="0" w:color="auto"/>
            <w:right w:val="none" w:sz="0" w:space="0" w:color="auto"/>
          </w:divBdr>
        </w:div>
        <w:div w:id="1703245059">
          <w:marLeft w:val="0"/>
          <w:marRight w:val="0"/>
          <w:marTop w:val="0"/>
          <w:marBottom w:val="0"/>
          <w:divBdr>
            <w:top w:val="none" w:sz="0" w:space="0" w:color="auto"/>
            <w:left w:val="none" w:sz="0" w:space="0" w:color="auto"/>
            <w:bottom w:val="none" w:sz="0" w:space="0" w:color="auto"/>
            <w:right w:val="none" w:sz="0" w:space="0" w:color="auto"/>
          </w:divBdr>
        </w:div>
        <w:div w:id="1773088831">
          <w:marLeft w:val="0"/>
          <w:marRight w:val="0"/>
          <w:marTop w:val="0"/>
          <w:marBottom w:val="0"/>
          <w:divBdr>
            <w:top w:val="none" w:sz="0" w:space="0" w:color="auto"/>
            <w:left w:val="none" w:sz="0" w:space="0" w:color="auto"/>
            <w:bottom w:val="none" w:sz="0" w:space="0" w:color="auto"/>
            <w:right w:val="none" w:sz="0" w:space="0" w:color="auto"/>
          </w:divBdr>
        </w:div>
      </w:divsChild>
    </w:div>
    <w:div w:id="552696580">
      <w:bodyDiv w:val="1"/>
      <w:marLeft w:val="0"/>
      <w:marRight w:val="0"/>
      <w:marTop w:val="0"/>
      <w:marBottom w:val="0"/>
      <w:divBdr>
        <w:top w:val="none" w:sz="0" w:space="0" w:color="auto"/>
        <w:left w:val="none" w:sz="0" w:space="0" w:color="auto"/>
        <w:bottom w:val="none" w:sz="0" w:space="0" w:color="auto"/>
        <w:right w:val="none" w:sz="0" w:space="0" w:color="auto"/>
      </w:divBdr>
      <w:divsChild>
        <w:div w:id="142041570">
          <w:marLeft w:val="0"/>
          <w:marRight w:val="0"/>
          <w:marTop w:val="0"/>
          <w:marBottom w:val="0"/>
          <w:divBdr>
            <w:top w:val="none" w:sz="0" w:space="0" w:color="auto"/>
            <w:left w:val="none" w:sz="0" w:space="0" w:color="auto"/>
            <w:bottom w:val="none" w:sz="0" w:space="0" w:color="auto"/>
            <w:right w:val="none" w:sz="0" w:space="0" w:color="auto"/>
          </w:divBdr>
        </w:div>
        <w:div w:id="280501673">
          <w:marLeft w:val="0"/>
          <w:marRight w:val="0"/>
          <w:marTop w:val="0"/>
          <w:marBottom w:val="0"/>
          <w:divBdr>
            <w:top w:val="none" w:sz="0" w:space="0" w:color="auto"/>
            <w:left w:val="none" w:sz="0" w:space="0" w:color="auto"/>
            <w:bottom w:val="none" w:sz="0" w:space="0" w:color="auto"/>
            <w:right w:val="none" w:sz="0" w:space="0" w:color="auto"/>
          </w:divBdr>
        </w:div>
        <w:div w:id="283191658">
          <w:marLeft w:val="0"/>
          <w:marRight w:val="0"/>
          <w:marTop w:val="0"/>
          <w:marBottom w:val="0"/>
          <w:divBdr>
            <w:top w:val="none" w:sz="0" w:space="0" w:color="auto"/>
            <w:left w:val="none" w:sz="0" w:space="0" w:color="auto"/>
            <w:bottom w:val="none" w:sz="0" w:space="0" w:color="auto"/>
            <w:right w:val="none" w:sz="0" w:space="0" w:color="auto"/>
          </w:divBdr>
        </w:div>
        <w:div w:id="684596517">
          <w:marLeft w:val="0"/>
          <w:marRight w:val="0"/>
          <w:marTop w:val="0"/>
          <w:marBottom w:val="0"/>
          <w:divBdr>
            <w:top w:val="none" w:sz="0" w:space="0" w:color="auto"/>
            <w:left w:val="none" w:sz="0" w:space="0" w:color="auto"/>
            <w:bottom w:val="none" w:sz="0" w:space="0" w:color="auto"/>
            <w:right w:val="none" w:sz="0" w:space="0" w:color="auto"/>
          </w:divBdr>
        </w:div>
        <w:div w:id="717439669">
          <w:marLeft w:val="0"/>
          <w:marRight w:val="0"/>
          <w:marTop w:val="0"/>
          <w:marBottom w:val="0"/>
          <w:divBdr>
            <w:top w:val="none" w:sz="0" w:space="0" w:color="auto"/>
            <w:left w:val="none" w:sz="0" w:space="0" w:color="auto"/>
            <w:bottom w:val="none" w:sz="0" w:space="0" w:color="auto"/>
            <w:right w:val="none" w:sz="0" w:space="0" w:color="auto"/>
          </w:divBdr>
        </w:div>
        <w:div w:id="734085930">
          <w:marLeft w:val="0"/>
          <w:marRight w:val="0"/>
          <w:marTop w:val="0"/>
          <w:marBottom w:val="0"/>
          <w:divBdr>
            <w:top w:val="none" w:sz="0" w:space="0" w:color="auto"/>
            <w:left w:val="none" w:sz="0" w:space="0" w:color="auto"/>
            <w:bottom w:val="none" w:sz="0" w:space="0" w:color="auto"/>
            <w:right w:val="none" w:sz="0" w:space="0" w:color="auto"/>
          </w:divBdr>
        </w:div>
        <w:div w:id="793595163">
          <w:marLeft w:val="0"/>
          <w:marRight w:val="0"/>
          <w:marTop w:val="0"/>
          <w:marBottom w:val="0"/>
          <w:divBdr>
            <w:top w:val="none" w:sz="0" w:space="0" w:color="auto"/>
            <w:left w:val="none" w:sz="0" w:space="0" w:color="auto"/>
            <w:bottom w:val="none" w:sz="0" w:space="0" w:color="auto"/>
            <w:right w:val="none" w:sz="0" w:space="0" w:color="auto"/>
          </w:divBdr>
        </w:div>
        <w:div w:id="938180453">
          <w:marLeft w:val="0"/>
          <w:marRight w:val="0"/>
          <w:marTop w:val="0"/>
          <w:marBottom w:val="0"/>
          <w:divBdr>
            <w:top w:val="none" w:sz="0" w:space="0" w:color="auto"/>
            <w:left w:val="none" w:sz="0" w:space="0" w:color="auto"/>
            <w:bottom w:val="none" w:sz="0" w:space="0" w:color="auto"/>
            <w:right w:val="none" w:sz="0" w:space="0" w:color="auto"/>
          </w:divBdr>
        </w:div>
        <w:div w:id="1165435063">
          <w:marLeft w:val="0"/>
          <w:marRight w:val="0"/>
          <w:marTop w:val="0"/>
          <w:marBottom w:val="0"/>
          <w:divBdr>
            <w:top w:val="none" w:sz="0" w:space="0" w:color="auto"/>
            <w:left w:val="none" w:sz="0" w:space="0" w:color="auto"/>
            <w:bottom w:val="none" w:sz="0" w:space="0" w:color="auto"/>
            <w:right w:val="none" w:sz="0" w:space="0" w:color="auto"/>
          </w:divBdr>
        </w:div>
        <w:div w:id="1480029589">
          <w:marLeft w:val="0"/>
          <w:marRight w:val="0"/>
          <w:marTop w:val="0"/>
          <w:marBottom w:val="0"/>
          <w:divBdr>
            <w:top w:val="none" w:sz="0" w:space="0" w:color="auto"/>
            <w:left w:val="none" w:sz="0" w:space="0" w:color="auto"/>
            <w:bottom w:val="none" w:sz="0" w:space="0" w:color="auto"/>
            <w:right w:val="none" w:sz="0" w:space="0" w:color="auto"/>
          </w:divBdr>
        </w:div>
        <w:div w:id="1750422585">
          <w:marLeft w:val="0"/>
          <w:marRight w:val="0"/>
          <w:marTop w:val="0"/>
          <w:marBottom w:val="0"/>
          <w:divBdr>
            <w:top w:val="none" w:sz="0" w:space="0" w:color="auto"/>
            <w:left w:val="none" w:sz="0" w:space="0" w:color="auto"/>
            <w:bottom w:val="none" w:sz="0" w:space="0" w:color="auto"/>
            <w:right w:val="none" w:sz="0" w:space="0" w:color="auto"/>
          </w:divBdr>
        </w:div>
        <w:div w:id="1985238398">
          <w:marLeft w:val="0"/>
          <w:marRight w:val="0"/>
          <w:marTop w:val="0"/>
          <w:marBottom w:val="0"/>
          <w:divBdr>
            <w:top w:val="none" w:sz="0" w:space="0" w:color="auto"/>
            <w:left w:val="none" w:sz="0" w:space="0" w:color="auto"/>
            <w:bottom w:val="none" w:sz="0" w:space="0" w:color="auto"/>
            <w:right w:val="none" w:sz="0" w:space="0" w:color="auto"/>
          </w:divBdr>
        </w:div>
        <w:div w:id="1998533442">
          <w:marLeft w:val="0"/>
          <w:marRight w:val="0"/>
          <w:marTop w:val="0"/>
          <w:marBottom w:val="0"/>
          <w:divBdr>
            <w:top w:val="none" w:sz="0" w:space="0" w:color="auto"/>
            <w:left w:val="none" w:sz="0" w:space="0" w:color="auto"/>
            <w:bottom w:val="none" w:sz="0" w:space="0" w:color="auto"/>
            <w:right w:val="none" w:sz="0" w:space="0" w:color="auto"/>
          </w:divBdr>
        </w:div>
        <w:div w:id="2090416678">
          <w:marLeft w:val="0"/>
          <w:marRight w:val="0"/>
          <w:marTop w:val="0"/>
          <w:marBottom w:val="0"/>
          <w:divBdr>
            <w:top w:val="none" w:sz="0" w:space="0" w:color="auto"/>
            <w:left w:val="none" w:sz="0" w:space="0" w:color="auto"/>
            <w:bottom w:val="none" w:sz="0" w:space="0" w:color="auto"/>
            <w:right w:val="none" w:sz="0" w:space="0" w:color="auto"/>
          </w:divBdr>
        </w:div>
      </w:divsChild>
    </w:div>
    <w:div w:id="554319911">
      <w:bodyDiv w:val="1"/>
      <w:marLeft w:val="0"/>
      <w:marRight w:val="0"/>
      <w:marTop w:val="0"/>
      <w:marBottom w:val="0"/>
      <w:divBdr>
        <w:top w:val="none" w:sz="0" w:space="0" w:color="auto"/>
        <w:left w:val="none" w:sz="0" w:space="0" w:color="auto"/>
        <w:bottom w:val="none" w:sz="0" w:space="0" w:color="auto"/>
        <w:right w:val="none" w:sz="0" w:space="0" w:color="auto"/>
      </w:divBdr>
      <w:divsChild>
        <w:div w:id="33820351">
          <w:marLeft w:val="0"/>
          <w:marRight w:val="0"/>
          <w:marTop w:val="0"/>
          <w:marBottom w:val="0"/>
          <w:divBdr>
            <w:top w:val="none" w:sz="0" w:space="0" w:color="auto"/>
            <w:left w:val="none" w:sz="0" w:space="0" w:color="auto"/>
            <w:bottom w:val="none" w:sz="0" w:space="0" w:color="auto"/>
            <w:right w:val="none" w:sz="0" w:space="0" w:color="auto"/>
          </w:divBdr>
        </w:div>
        <w:div w:id="98961804">
          <w:marLeft w:val="0"/>
          <w:marRight w:val="0"/>
          <w:marTop w:val="0"/>
          <w:marBottom w:val="0"/>
          <w:divBdr>
            <w:top w:val="none" w:sz="0" w:space="0" w:color="auto"/>
            <w:left w:val="none" w:sz="0" w:space="0" w:color="auto"/>
            <w:bottom w:val="none" w:sz="0" w:space="0" w:color="auto"/>
            <w:right w:val="none" w:sz="0" w:space="0" w:color="auto"/>
          </w:divBdr>
        </w:div>
        <w:div w:id="997420676">
          <w:marLeft w:val="0"/>
          <w:marRight w:val="0"/>
          <w:marTop w:val="0"/>
          <w:marBottom w:val="0"/>
          <w:divBdr>
            <w:top w:val="none" w:sz="0" w:space="0" w:color="auto"/>
            <w:left w:val="none" w:sz="0" w:space="0" w:color="auto"/>
            <w:bottom w:val="none" w:sz="0" w:space="0" w:color="auto"/>
            <w:right w:val="none" w:sz="0" w:space="0" w:color="auto"/>
          </w:divBdr>
        </w:div>
        <w:div w:id="1038703861">
          <w:marLeft w:val="0"/>
          <w:marRight w:val="0"/>
          <w:marTop w:val="0"/>
          <w:marBottom w:val="0"/>
          <w:divBdr>
            <w:top w:val="none" w:sz="0" w:space="0" w:color="auto"/>
            <w:left w:val="none" w:sz="0" w:space="0" w:color="auto"/>
            <w:bottom w:val="none" w:sz="0" w:space="0" w:color="auto"/>
            <w:right w:val="none" w:sz="0" w:space="0" w:color="auto"/>
          </w:divBdr>
        </w:div>
        <w:div w:id="1213032311">
          <w:marLeft w:val="0"/>
          <w:marRight w:val="0"/>
          <w:marTop w:val="0"/>
          <w:marBottom w:val="0"/>
          <w:divBdr>
            <w:top w:val="none" w:sz="0" w:space="0" w:color="auto"/>
            <w:left w:val="none" w:sz="0" w:space="0" w:color="auto"/>
            <w:bottom w:val="none" w:sz="0" w:space="0" w:color="auto"/>
            <w:right w:val="none" w:sz="0" w:space="0" w:color="auto"/>
          </w:divBdr>
        </w:div>
        <w:div w:id="1700351592">
          <w:marLeft w:val="0"/>
          <w:marRight w:val="0"/>
          <w:marTop w:val="0"/>
          <w:marBottom w:val="0"/>
          <w:divBdr>
            <w:top w:val="none" w:sz="0" w:space="0" w:color="auto"/>
            <w:left w:val="none" w:sz="0" w:space="0" w:color="auto"/>
            <w:bottom w:val="none" w:sz="0" w:space="0" w:color="auto"/>
            <w:right w:val="none" w:sz="0" w:space="0" w:color="auto"/>
          </w:divBdr>
        </w:div>
        <w:div w:id="1942688622">
          <w:marLeft w:val="0"/>
          <w:marRight w:val="0"/>
          <w:marTop w:val="0"/>
          <w:marBottom w:val="0"/>
          <w:divBdr>
            <w:top w:val="none" w:sz="0" w:space="0" w:color="auto"/>
            <w:left w:val="none" w:sz="0" w:space="0" w:color="auto"/>
            <w:bottom w:val="none" w:sz="0" w:space="0" w:color="auto"/>
            <w:right w:val="none" w:sz="0" w:space="0" w:color="auto"/>
          </w:divBdr>
        </w:div>
        <w:div w:id="1986659005">
          <w:marLeft w:val="0"/>
          <w:marRight w:val="0"/>
          <w:marTop w:val="0"/>
          <w:marBottom w:val="0"/>
          <w:divBdr>
            <w:top w:val="none" w:sz="0" w:space="0" w:color="auto"/>
            <w:left w:val="none" w:sz="0" w:space="0" w:color="auto"/>
            <w:bottom w:val="none" w:sz="0" w:space="0" w:color="auto"/>
            <w:right w:val="none" w:sz="0" w:space="0" w:color="auto"/>
          </w:divBdr>
        </w:div>
        <w:div w:id="2015762166">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08507534">
      <w:bodyDiv w:val="1"/>
      <w:marLeft w:val="0"/>
      <w:marRight w:val="0"/>
      <w:marTop w:val="0"/>
      <w:marBottom w:val="0"/>
      <w:divBdr>
        <w:top w:val="none" w:sz="0" w:space="0" w:color="auto"/>
        <w:left w:val="none" w:sz="0" w:space="0" w:color="auto"/>
        <w:bottom w:val="none" w:sz="0" w:space="0" w:color="auto"/>
        <w:right w:val="none" w:sz="0" w:space="0" w:color="auto"/>
      </w:divBdr>
      <w:divsChild>
        <w:div w:id="213082967">
          <w:marLeft w:val="0"/>
          <w:marRight w:val="0"/>
          <w:marTop w:val="0"/>
          <w:marBottom w:val="0"/>
          <w:divBdr>
            <w:top w:val="none" w:sz="0" w:space="0" w:color="auto"/>
            <w:left w:val="none" w:sz="0" w:space="0" w:color="auto"/>
            <w:bottom w:val="none" w:sz="0" w:space="0" w:color="auto"/>
            <w:right w:val="none" w:sz="0" w:space="0" w:color="auto"/>
          </w:divBdr>
        </w:div>
        <w:div w:id="291520676">
          <w:marLeft w:val="0"/>
          <w:marRight w:val="0"/>
          <w:marTop w:val="0"/>
          <w:marBottom w:val="0"/>
          <w:divBdr>
            <w:top w:val="none" w:sz="0" w:space="0" w:color="auto"/>
            <w:left w:val="none" w:sz="0" w:space="0" w:color="auto"/>
            <w:bottom w:val="none" w:sz="0" w:space="0" w:color="auto"/>
            <w:right w:val="none" w:sz="0" w:space="0" w:color="auto"/>
          </w:divBdr>
        </w:div>
        <w:div w:id="357850112">
          <w:marLeft w:val="0"/>
          <w:marRight w:val="0"/>
          <w:marTop w:val="0"/>
          <w:marBottom w:val="0"/>
          <w:divBdr>
            <w:top w:val="none" w:sz="0" w:space="0" w:color="auto"/>
            <w:left w:val="none" w:sz="0" w:space="0" w:color="auto"/>
            <w:bottom w:val="none" w:sz="0" w:space="0" w:color="auto"/>
            <w:right w:val="none" w:sz="0" w:space="0" w:color="auto"/>
          </w:divBdr>
        </w:div>
        <w:div w:id="364984421">
          <w:marLeft w:val="0"/>
          <w:marRight w:val="0"/>
          <w:marTop w:val="0"/>
          <w:marBottom w:val="0"/>
          <w:divBdr>
            <w:top w:val="none" w:sz="0" w:space="0" w:color="auto"/>
            <w:left w:val="none" w:sz="0" w:space="0" w:color="auto"/>
            <w:bottom w:val="none" w:sz="0" w:space="0" w:color="auto"/>
            <w:right w:val="none" w:sz="0" w:space="0" w:color="auto"/>
          </w:divBdr>
        </w:div>
        <w:div w:id="371806784">
          <w:marLeft w:val="0"/>
          <w:marRight w:val="0"/>
          <w:marTop w:val="0"/>
          <w:marBottom w:val="0"/>
          <w:divBdr>
            <w:top w:val="none" w:sz="0" w:space="0" w:color="auto"/>
            <w:left w:val="none" w:sz="0" w:space="0" w:color="auto"/>
            <w:bottom w:val="none" w:sz="0" w:space="0" w:color="auto"/>
            <w:right w:val="none" w:sz="0" w:space="0" w:color="auto"/>
          </w:divBdr>
        </w:div>
        <w:div w:id="768282217">
          <w:marLeft w:val="0"/>
          <w:marRight w:val="0"/>
          <w:marTop w:val="0"/>
          <w:marBottom w:val="0"/>
          <w:divBdr>
            <w:top w:val="none" w:sz="0" w:space="0" w:color="auto"/>
            <w:left w:val="none" w:sz="0" w:space="0" w:color="auto"/>
            <w:bottom w:val="none" w:sz="0" w:space="0" w:color="auto"/>
            <w:right w:val="none" w:sz="0" w:space="0" w:color="auto"/>
          </w:divBdr>
        </w:div>
        <w:div w:id="159259076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30551658">
      <w:bodyDiv w:val="1"/>
      <w:marLeft w:val="0"/>
      <w:marRight w:val="0"/>
      <w:marTop w:val="0"/>
      <w:marBottom w:val="0"/>
      <w:divBdr>
        <w:top w:val="none" w:sz="0" w:space="0" w:color="auto"/>
        <w:left w:val="none" w:sz="0" w:space="0" w:color="auto"/>
        <w:bottom w:val="none" w:sz="0" w:space="0" w:color="auto"/>
        <w:right w:val="none" w:sz="0" w:space="0" w:color="auto"/>
      </w:divBdr>
      <w:divsChild>
        <w:div w:id="175970071">
          <w:marLeft w:val="0"/>
          <w:marRight w:val="0"/>
          <w:marTop w:val="0"/>
          <w:marBottom w:val="0"/>
          <w:divBdr>
            <w:top w:val="none" w:sz="0" w:space="0" w:color="auto"/>
            <w:left w:val="none" w:sz="0" w:space="0" w:color="auto"/>
            <w:bottom w:val="none" w:sz="0" w:space="0" w:color="auto"/>
            <w:right w:val="none" w:sz="0" w:space="0" w:color="auto"/>
          </w:divBdr>
        </w:div>
        <w:div w:id="1468669049">
          <w:marLeft w:val="0"/>
          <w:marRight w:val="0"/>
          <w:marTop w:val="0"/>
          <w:marBottom w:val="0"/>
          <w:divBdr>
            <w:top w:val="none" w:sz="0" w:space="0" w:color="auto"/>
            <w:left w:val="none" w:sz="0" w:space="0" w:color="auto"/>
            <w:bottom w:val="none" w:sz="0" w:space="0" w:color="auto"/>
            <w:right w:val="none" w:sz="0" w:space="0" w:color="auto"/>
          </w:divBdr>
        </w:div>
        <w:div w:id="1487822514">
          <w:marLeft w:val="0"/>
          <w:marRight w:val="0"/>
          <w:marTop w:val="0"/>
          <w:marBottom w:val="0"/>
          <w:divBdr>
            <w:top w:val="none" w:sz="0" w:space="0" w:color="auto"/>
            <w:left w:val="none" w:sz="0" w:space="0" w:color="auto"/>
            <w:bottom w:val="none" w:sz="0" w:space="0" w:color="auto"/>
            <w:right w:val="none" w:sz="0" w:space="0" w:color="auto"/>
          </w:divBdr>
        </w:div>
        <w:div w:id="1554611947">
          <w:marLeft w:val="0"/>
          <w:marRight w:val="0"/>
          <w:marTop w:val="0"/>
          <w:marBottom w:val="0"/>
          <w:divBdr>
            <w:top w:val="none" w:sz="0" w:space="0" w:color="auto"/>
            <w:left w:val="none" w:sz="0" w:space="0" w:color="auto"/>
            <w:bottom w:val="none" w:sz="0" w:space="0" w:color="auto"/>
            <w:right w:val="none" w:sz="0" w:space="0" w:color="auto"/>
          </w:divBdr>
        </w:div>
        <w:div w:id="2143231872">
          <w:marLeft w:val="0"/>
          <w:marRight w:val="0"/>
          <w:marTop w:val="0"/>
          <w:marBottom w:val="0"/>
          <w:divBdr>
            <w:top w:val="none" w:sz="0" w:space="0" w:color="auto"/>
            <w:left w:val="none" w:sz="0" w:space="0" w:color="auto"/>
            <w:bottom w:val="none" w:sz="0" w:space="0" w:color="auto"/>
            <w:right w:val="none" w:sz="0" w:space="0" w:color="auto"/>
          </w:divBdr>
        </w:div>
      </w:divsChild>
    </w:div>
    <w:div w:id="670521908">
      <w:bodyDiv w:val="1"/>
      <w:marLeft w:val="0"/>
      <w:marRight w:val="0"/>
      <w:marTop w:val="0"/>
      <w:marBottom w:val="0"/>
      <w:divBdr>
        <w:top w:val="none" w:sz="0" w:space="0" w:color="auto"/>
        <w:left w:val="none" w:sz="0" w:space="0" w:color="auto"/>
        <w:bottom w:val="none" w:sz="0" w:space="0" w:color="auto"/>
        <w:right w:val="none" w:sz="0" w:space="0" w:color="auto"/>
      </w:divBdr>
      <w:divsChild>
        <w:div w:id="62029020">
          <w:marLeft w:val="0"/>
          <w:marRight w:val="0"/>
          <w:marTop w:val="0"/>
          <w:marBottom w:val="0"/>
          <w:divBdr>
            <w:top w:val="none" w:sz="0" w:space="0" w:color="auto"/>
            <w:left w:val="none" w:sz="0" w:space="0" w:color="auto"/>
            <w:bottom w:val="none" w:sz="0" w:space="0" w:color="auto"/>
            <w:right w:val="none" w:sz="0" w:space="0" w:color="auto"/>
          </w:divBdr>
        </w:div>
        <w:div w:id="505288336">
          <w:marLeft w:val="0"/>
          <w:marRight w:val="0"/>
          <w:marTop w:val="0"/>
          <w:marBottom w:val="0"/>
          <w:divBdr>
            <w:top w:val="none" w:sz="0" w:space="0" w:color="auto"/>
            <w:left w:val="none" w:sz="0" w:space="0" w:color="auto"/>
            <w:bottom w:val="none" w:sz="0" w:space="0" w:color="auto"/>
            <w:right w:val="none" w:sz="0" w:space="0" w:color="auto"/>
          </w:divBdr>
        </w:div>
        <w:div w:id="603608965">
          <w:marLeft w:val="0"/>
          <w:marRight w:val="0"/>
          <w:marTop w:val="0"/>
          <w:marBottom w:val="0"/>
          <w:divBdr>
            <w:top w:val="none" w:sz="0" w:space="0" w:color="auto"/>
            <w:left w:val="none" w:sz="0" w:space="0" w:color="auto"/>
            <w:bottom w:val="none" w:sz="0" w:space="0" w:color="auto"/>
            <w:right w:val="none" w:sz="0" w:space="0" w:color="auto"/>
          </w:divBdr>
        </w:div>
        <w:div w:id="607079881">
          <w:marLeft w:val="0"/>
          <w:marRight w:val="0"/>
          <w:marTop w:val="0"/>
          <w:marBottom w:val="0"/>
          <w:divBdr>
            <w:top w:val="none" w:sz="0" w:space="0" w:color="auto"/>
            <w:left w:val="none" w:sz="0" w:space="0" w:color="auto"/>
            <w:bottom w:val="none" w:sz="0" w:space="0" w:color="auto"/>
            <w:right w:val="none" w:sz="0" w:space="0" w:color="auto"/>
          </w:divBdr>
        </w:div>
        <w:div w:id="646710725">
          <w:marLeft w:val="0"/>
          <w:marRight w:val="0"/>
          <w:marTop w:val="0"/>
          <w:marBottom w:val="0"/>
          <w:divBdr>
            <w:top w:val="none" w:sz="0" w:space="0" w:color="auto"/>
            <w:left w:val="none" w:sz="0" w:space="0" w:color="auto"/>
            <w:bottom w:val="none" w:sz="0" w:space="0" w:color="auto"/>
            <w:right w:val="none" w:sz="0" w:space="0" w:color="auto"/>
          </w:divBdr>
        </w:div>
        <w:div w:id="661203022">
          <w:marLeft w:val="0"/>
          <w:marRight w:val="0"/>
          <w:marTop w:val="0"/>
          <w:marBottom w:val="0"/>
          <w:divBdr>
            <w:top w:val="none" w:sz="0" w:space="0" w:color="auto"/>
            <w:left w:val="none" w:sz="0" w:space="0" w:color="auto"/>
            <w:bottom w:val="none" w:sz="0" w:space="0" w:color="auto"/>
            <w:right w:val="none" w:sz="0" w:space="0" w:color="auto"/>
          </w:divBdr>
        </w:div>
        <w:div w:id="766384098">
          <w:marLeft w:val="0"/>
          <w:marRight w:val="0"/>
          <w:marTop w:val="0"/>
          <w:marBottom w:val="0"/>
          <w:divBdr>
            <w:top w:val="none" w:sz="0" w:space="0" w:color="auto"/>
            <w:left w:val="none" w:sz="0" w:space="0" w:color="auto"/>
            <w:bottom w:val="none" w:sz="0" w:space="0" w:color="auto"/>
            <w:right w:val="none" w:sz="0" w:space="0" w:color="auto"/>
          </w:divBdr>
        </w:div>
        <w:div w:id="965044962">
          <w:marLeft w:val="0"/>
          <w:marRight w:val="0"/>
          <w:marTop w:val="0"/>
          <w:marBottom w:val="0"/>
          <w:divBdr>
            <w:top w:val="none" w:sz="0" w:space="0" w:color="auto"/>
            <w:left w:val="none" w:sz="0" w:space="0" w:color="auto"/>
            <w:bottom w:val="none" w:sz="0" w:space="0" w:color="auto"/>
            <w:right w:val="none" w:sz="0" w:space="0" w:color="auto"/>
          </w:divBdr>
          <w:divsChild>
            <w:div w:id="903566593">
              <w:marLeft w:val="-75"/>
              <w:marRight w:val="0"/>
              <w:marTop w:val="30"/>
              <w:marBottom w:val="30"/>
              <w:divBdr>
                <w:top w:val="none" w:sz="0" w:space="0" w:color="auto"/>
                <w:left w:val="none" w:sz="0" w:space="0" w:color="auto"/>
                <w:bottom w:val="none" w:sz="0" w:space="0" w:color="auto"/>
                <w:right w:val="none" w:sz="0" w:space="0" w:color="auto"/>
              </w:divBdr>
              <w:divsChild>
                <w:div w:id="637493371">
                  <w:marLeft w:val="0"/>
                  <w:marRight w:val="0"/>
                  <w:marTop w:val="0"/>
                  <w:marBottom w:val="0"/>
                  <w:divBdr>
                    <w:top w:val="none" w:sz="0" w:space="0" w:color="auto"/>
                    <w:left w:val="none" w:sz="0" w:space="0" w:color="auto"/>
                    <w:bottom w:val="none" w:sz="0" w:space="0" w:color="auto"/>
                    <w:right w:val="none" w:sz="0" w:space="0" w:color="auto"/>
                  </w:divBdr>
                  <w:divsChild>
                    <w:div w:id="1562593546">
                      <w:marLeft w:val="0"/>
                      <w:marRight w:val="0"/>
                      <w:marTop w:val="0"/>
                      <w:marBottom w:val="0"/>
                      <w:divBdr>
                        <w:top w:val="none" w:sz="0" w:space="0" w:color="auto"/>
                        <w:left w:val="none" w:sz="0" w:space="0" w:color="auto"/>
                        <w:bottom w:val="none" w:sz="0" w:space="0" w:color="auto"/>
                        <w:right w:val="none" w:sz="0" w:space="0" w:color="auto"/>
                      </w:divBdr>
                    </w:div>
                  </w:divsChild>
                </w:div>
                <w:div w:id="978607443">
                  <w:marLeft w:val="0"/>
                  <w:marRight w:val="0"/>
                  <w:marTop w:val="0"/>
                  <w:marBottom w:val="0"/>
                  <w:divBdr>
                    <w:top w:val="none" w:sz="0" w:space="0" w:color="auto"/>
                    <w:left w:val="none" w:sz="0" w:space="0" w:color="auto"/>
                    <w:bottom w:val="none" w:sz="0" w:space="0" w:color="auto"/>
                    <w:right w:val="none" w:sz="0" w:space="0" w:color="auto"/>
                  </w:divBdr>
                  <w:divsChild>
                    <w:div w:id="541405639">
                      <w:marLeft w:val="0"/>
                      <w:marRight w:val="0"/>
                      <w:marTop w:val="0"/>
                      <w:marBottom w:val="0"/>
                      <w:divBdr>
                        <w:top w:val="none" w:sz="0" w:space="0" w:color="auto"/>
                        <w:left w:val="none" w:sz="0" w:space="0" w:color="auto"/>
                        <w:bottom w:val="none" w:sz="0" w:space="0" w:color="auto"/>
                        <w:right w:val="none" w:sz="0" w:space="0" w:color="auto"/>
                      </w:divBdr>
                    </w:div>
                  </w:divsChild>
                </w:div>
                <w:div w:id="1496917313">
                  <w:marLeft w:val="0"/>
                  <w:marRight w:val="0"/>
                  <w:marTop w:val="0"/>
                  <w:marBottom w:val="0"/>
                  <w:divBdr>
                    <w:top w:val="none" w:sz="0" w:space="0" w:color="auto"/>
                    <w:left w:val="none" w:sz="0" w:space="0" w:color="auto"/>
                    <w:bottom w:val="none" w:sz="0" w:space="0" w:color="auto"/>
                    <w:right w:val="none" w:sz="0" w:space="0" w:color="auto"/>
                  </w:divBdr>
                  <w:divsChild>
                    <w:div w:id="1472599474">
                      <w:marLeft w:val="0"/>
                      <w:marRight w:val="0"/>
                      <w:marTop w:val="0"/>
                      <w:marBottom w:val="0"/>
                      <w:divBdr>
                        <w:top w:val="none" w:sz="0" w:space="0" w:color="auto"/>
                        <w:left w:val="none" w:sz="0" w:space="0" w:color="auto"/>
                        <w:bottom w:val="none" w:sz="0" w:space="0" w:color="auto"/>
                        <w:right w:val="none" w:sz="0" w:space="0" w:color="auto"/>
                      </w:divBdr>
                    </w:div>
                  </w:divsChild>
                </w:div>
                <w:div w:id="1772119265">
                  <w:marLeft w:val="0"/>
                  <w:marRight w:val="0"/>
                  <w:marTop w:val="0"/>
                  <w:marBottom w:val="0"/>
                  <w:divBdr>
                    <w:top w:val="none" w:sz="0" w:space="0" w:color="auto"/>
                    <w:left w:val="none" w:sz="0" w:space="0" w:color="auto"/>
                    <w:bottom w:val="none" w:sz="0" w:space="0" w:color="auto"/>
                    <w:right w:val="none" w:sz="0" w:space="0" w:color="auto"/>
                  </w:divBdr>
                  <w:divsChild>
                    <w:div w:id="11543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53499">
          <w:marLeft w:val="0"/>
          <w:marRight w:val="0"/>
          <w:marTop w:val="0"/>
          <w:marBottom w:val="0"/>
          <w:divBdr>
            <w:top w:val="none" w:sz="0" w:space="0" w:color="auto"/>
            <w:left w:val="none" w:sz="0" w:space="0" w:color="auto"/>
            <w:bottom w:val="none" w:sz="0" w:space="0" w:color="auto"/>
            <w:right w:val="none" w:sz="0" w:space="0" w:color="auto"/>
          </w:divBdr>
        </w:div>
        <w:div w:id="1025906452">
          <w:marLeft w:val="0"/>
          <w:marRight w:val="0"/>
          <w:marTop w:val="0"/>
          <w:marBottom w:val="0"/>
          <w:divBdr>
            <w:top w:val="none" w:sz="0" w:space="0" w:color="auto"/>
            <w:left w:val="none" w:sz="0" w:space="0" w:color="auto"/>
            <w:bottom w:val="none" w:sz="0" w:space="0" w:color="auto"/>
            <w:right w:val="none" w:sz="0" w:space="0" w:color="auto"/>
          </w:divBdr>
        </w:div>
        <w:div w:id="1381519967">
          <w:marLeft w:val="0"/>
          <w:marRight w:val="0"/>
          <w:marTop w:val="0"/>
          <w:marBottom w:val="0"/>
          <w:divBdr>
            <w:top w:val="none" w:sz="0" w:space="0" w:color="auto"/>
            <w:left w:val="none" w:sz="0" w:space="0" w:color="auto"/>
            <w:bottom w:val="none" w:sz="0" w:space="0" w:color="auto"/>
            <w:right w:val="none" w:sz="0" w:space="0" w:color="auto"/>
          </w:divBdr>
        </w:div>
        <w:div w:id="1444612202">
          <w:marLeft w:val="0"/>
          <w:marRight w:val="0"/>
          <w:marTop w:val="0"/>
          <w:marBottom w:val="0"/>
          <w:divBdr>
            <w:top w:val="none" w:sz="0" w:space="0" w:color="auto"/>
            <w:left w:val="none" w:sz="0" w:space="0" w:color="auto"/>
            <w:bottom w:val="none" w:sz="0" w:space="0" w:color="auto"/>
            <w:right w:val="none" w:sz="0" w:space="0" w:color="auto"/>
          </w:divBdr>
        </w:div>
        <w:div w:id="1601373468">
          <w:marLeft w:val="0"/>
          <w:marRight w:val="0"/>
          <w:marTop w:val="0"/>
          <w:marBottom w:val="0"/>
          <w:divBdr>
            <w:top w:val="none" w:sz="0" w:space="0" w:color="auto"/>
            <w:left w:val="none" w:sz="0" w:space="0" w:color="auto"/>
            <w:bottom w:val="none" w:sz="0" w:space="0" w:color="auto"/>
            <w:right w:val="none" w:sz="0" w:space="0" w:color="auto"/>
          </w:divBdr>
        </w:div>
      </w:divsChild>
    </w:div>
    <w:div w:id="676466435">
      <w:bodyDiv w:val="1"/>
      <w:marLeft w:val="0"/>
      <w:marRight w:val="0"/>
      <w:marTop w:val="0"/>
      <w:marBottom w:val="0"/>
      <w:divBdr>
        <w:top w:val="none" w:sz="0" w:space="0" w:color="auto"/>
        <w:left w:val="none" w:sz="0" w:space="0" w:color="auto"/>
        <w:bottom w:val="none" w:sz="0" w:space="0" w:color="auto"/>
        <w:right w:val="none" w:sz="0" w:space="0" w:color="auto"/>
      </w:divBdr>
      <w:divsChild>
        <w:div w:id="236286424">
          <w:marLeft w:val="0"/>
          <w:marRight w:val="0"/>
          <w:marTop w:val="0"/>
          <w:marBottom w:val="0"/>
          <w:divBdr>
            <w:top w:val="none" w:sz="0" w:space="0" w:color="auto"/>
            <w:left w:val="none" w:sz="0" w:space="0" w:color="auto"/>
            <w:bottom w:val="none" w:sz="0" w:space="0" w:color="auto"/>
            <w:right w:val="none" w:sz="0" w:space="0" w:color="auto"/>
          </w:divBdr>
        </w:div>
        <w:div w:id="484398730">
          <w:marLeft w:val="0"/>
          <w:marRight w:val="0"/>
          <w:marTop w:val="0"/>
          <w:marBottom w:val="0"/>
          <w:divBdr>
            <w:top w:val="none" w:sz="0" w:space="0" w:color="auto"/>
            <w:left w:val="none" w:sz="0" w:space="0" w:color="auto"/>
            <w:bottom w:val="none" w:sz="0" w:space="0" w:color="auto"/>
            <w:right w:val="none" w:sz="0" w:space="0" w:color="auto"/>
          </w:divBdr>
        </w:div>
        <w:div w:id="524946624">
          <w:marLeft w:val="0"/>
          <w:marRight w:val="0"/>
          <w:marTop w:val="0"/>
          <w:marBottom w:val="0"/>
          <w:divBdr>
            <w:top w:val="none" w:sz="0" w:space="0" w:color="auto"/>
            <w:left w:val="none" w:sz="0" w:space="0" w:color="auto"/>
            <w:bottom w:val="none" w:sz="0" w:space="0" w:color="auto"/>
            <w:right w:val="none" w:sz="0" w:space="0" w:color="auto"/>
          </w:divBdr>
        </w:div>
        <w:div w:id="532807706">
          <w:marLeft w:val="0"/>
          <w:marRight w:val="0"/>
          <w:marTop w:val="0"/>
          <w:marBottom w:val="0"/>
          <w:divBdr>
            <w:top w:val="none" w:sz="0" w:space="0" w:color="auto"/>
            <w:left w:val="none" w:sz="0" w:space="0" w:color="auto"/>
            <w:bottom w:val="none" w:sz="0" w:space="0" w:color="auto"/>
            <w:right w:val="none" w:sz="0" w:space="0" w:color="auto"/>
          </w:divBdr>
        </w:div>
        <w:div w:id="1758090243">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4761652">
      <w:bodyDiv w:val="1"/>
      <w:marLeft w:val="0"/>
      <w:marRight w:val="0"/>
      <w:marTop w:val="0"/>
      <w:marBottom w:val="0"/>
      <w:divBdr>
        <w:top w:val="none" w:sz="0" w:space="0" w:color="auto"/>
        <w:left w:val="none" w:sz="0" w:space="0" w:color="auto"/>
        <w:bottom w:val="none" w:sz="0" w:space="0" w:color="auto"/>
        <w:right w:val="none" w:sz="0" w:space="0" w:color="auto"/>
      </w:divBdr>
      <w:divsChild>
        <w:div w:id="124930607">
          <w:marLeft w:val="0"/>
          <w:marRight w:val="0"/>
          <w:marTop w:val="0"/>
          <w:marBottom w:val="0"/>
          <w:divBdr>
            <w:top w:val="none" w:sz="0" w:space="0" w:color="auto"/>
            <w:left w:val="none" w:sz="0" w:space="0" w:color="auto"/>
            <w:bottom w:val="none" w:sz="0" w:space="0" w:color="auto"/>
            <w:right w:val="none" w:sz="0" w:space="0" w:color="auto"/>
          </w:divBdr>
        </w:div>
        <w:div w:id="188954969">
          <w:marLeft w:val="0"/>
          <w:marRight w:val="0"/>
          <w:marTop w:val="0"/>
          <w:marBottom w:val="0"/>
          <w:divBdr>
            <w:top w:val="none" w:sz="0" w:space="0" w:color="auto"/>
            <w:left w:val="none" w:sz="0" w:space="0" w:color="auto"/>
            <w:bottom w:val="none" w:sz="0" w:space="0" w:color="auto"/>
            <w:right w:val="none" w:sz="0" w:space="0" w:color="auto"/>
          </w:divBdr>
        </w:div>
        <w:div w:id="646402030">
          <w:marLeft w:val="0"/>
          <w:marRight w:val="0"/>
          <w:marTop w:val="0"/>
          <w:marBottom w:val="0"/>
          <w:divBdr>
            <w:top w:val="none" w:sz="0" w:space="0" w:color="auto"/>
            <w:left w:val="none" w:sz="0" w:space="0" w:color="auto"/>
            <w:bottom w:val="none" w:sz="0" w:space="0" w:color="auto"/>
            <w:right w:val="none" w:sz="0" w:space="0" w:color="auto"/>
          </w:divBdr>
        </w:div>
        <w:div w:id="930745976">
          <w:marLeft w:val="0"/>
          <w:marRight w:val="0"/>
          <w:marTop w:val="0"/>
          <w:marBottom w:val="0"/>
          <w:divBdr>
            <w:top w:val="none" w:sz="0" w:space="0" w:color="auto"/>
            <w:left w:val="none" w:sz="0" w:space="0" w:color="auto"/>
            <w:bottom w:val="none" w:sz="0" w:space="0" w:color="auto"/>
            <w:right w:val="none" w:sz="0" w:space="0" w:color="auto"/>
          </w:divBdr>
        </w:div>
        <w:div w:id="1806897890">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59453537">
      <w:bodyDiv w:val="1"/>
      <w:marLeft w:val="0"/>
      <w:marRight w:val="0"/>
      <w:marTop w:val="0"/>
      <w:marBottom w:val="0"/>
      <w:divBdr>
        <w:top w:val="none" w:sz="0" w:space="0" w:color="auto"/>
        <w:left w:val="none" w:sz="0" w:space="0" w:color="auto"/>
        <w:bottom w:val="none" w:sz="0" w:space="0" w:color="auto"/>
        <w:right w:val="none" w:sz="0" w:space="0" w:color="auto"/>
      </w:divBdr>
      <w:divsChild>
        <w:div w:id="479225969">
          <w:marLeft w:val="0"/>
          <w:marRight w:val="0"/>
          <w:marTop w:val="0"/>
          <w:marBottom w:val="0"/>
          <w:divBdr>
            <w:top w:val="none" w:sz="0" w:space="0" w:color="auto"/>
            <w:left w:val="none" w:sz="0" w:space="0" w:color="auto"/>
            <w:bottom w:val="none" w:sz="0" w:space="0" w:color="auto"/>
            <w:right w:val="none" w:sz="0" w:space="0" w:color="auto"/>
          </w:divBdr>
        </w:div>
        <w:div w:id="1739401747">
          <w:marLeft w:val="0"/>
          <w:marRight w:val="0"/>
          <w:marTop w:val="0"/>
          <w:marBottom w:val="0"/>
          <w:divBdr>
            <w:top w:val="none" w:sz="0" w:space="0" w:color="auto"/>
            <w:left w:val="none" w:sz="0" w:space="0" w:color="auto"/>
            <w:bottom w:val="none" w:sz="0" w:space="0" w:color="auto"/>
            <w:right w:val="none" w:sz="0" w:space="0" w:color="auto"/>
          </w:divBdr>
        </w:div>
        <w:div w:id="1875576245">
          <w:marLeft w:val="0"/>
          <w:marRight w:val="0"/>
          <w:marTop w:val="0"/>
          <w:marBottom w:val="0"/>
          <w:divBdr>
            <w:top w:val="none" w:sz="0" w:space="0" w:color="auto"/>
            <w:left w:val="none" w:sz="0" w:space="0" w:color="auto"/>
            <w:bottom w:val="none" w:sz="0" w:space="0" w:color="auto"/>
            <w:right w:val="none" w:sz="0" w:space="0" w:color="auto"/>
          </w:divBdr>
        </w:div>
        <w:div w:id="2005627377">
          <w:marLeft w:val="0"/>
          <w:marRight w:val="0"/>
          <w:marTop w:val="0"/>
          <w:marBottom w:val="0"/>
          <w:divBdr>
            <w:top w:val="none" w:sz="0" w:space="0" w:color="auto"/>
            <w:left w:val="none" w:sz="0" w:space="0" w:color="auto"/>
            <w:bottom w:val="none" w:sz="0" w:space="0" w:color="auto"/>
            <w:right w:val="none" w:sz="0" w:space="0" w:color="auto"/>
          </w:divBdr>
        </w:div>
        <w:div w:id="2102753970">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778137135">
      <w:bodyDiv w:val="1"/>
      <w:marLeft w:val="0"/>
      <w:marRight w:val="0"/>
      <w:marTop w:val="0"/>
      <w:marBottom w:val="0"/>
      <w:divBdr>
        <w:top w:val="none" w:sz="0" w:space="0" w:color="auto"/>
        <w:left w:val="none" w:sz="0" w:space="0" w:color="auto"/>
        <w:bottom w:val="none" w:sz="0" w:space="0" w:color="auto"/>
        <w:right w:val="none" w:sz="0" w:space="0" w:color="auto"/>
      </w:divBdr>
      <w:divsChild>
        <w:div w:id="580213564">
          <w:marLeft w:val="0"/>
          <w:marRight w:val="0"/>
          <w:marTop w:val="0"/>
          <w:marBottom w:val="0"/>
          <w:divBdr>
            <w:top w:val="none" w:sz="0" w:space="0" w:color="auto"/>
            <w:left w:val="none" w:sz="0" w:space="0" w:color="auto"/>
            <w:bottom w:val="none" w:sz="0" w:space="0" w:color="auto"/>
            <w:right w:val="none" w:sz="0" w:space="0" w:color="auto"/>
          </w:divBdr>
        </w:div>
        <w:div w:id="597566980">
          <w:marLeft w:val="0"/>
          <w:marRight w:val="0"/>
          <w:marTop w:val="0"/>
          <w:marBottom w:val="0"/>
          <w:divBdr>
            <w:top w:val="none" w:sz="0" w:space="0" w:color="auto"/>
            <w:left w:val="none" w:sz="0" w:space="0" w:color="auto"/>
            <w:bottom w:val="none" w:sz="0" w:space="0" w:color="auto"/>
            <w:right w:val="none" w:sz="0" w:space="0" w:color="auto"/>
          </w:divBdr>
        </w:div>
        <w:div w:id="1158568924">
          <w:marLeft w:val="0"/>
          <w:marRight w:val="0"/>
          <w:marTop w:val="0"/>
          <w:marBottom w:val="0"/>
          <w:divBdr>
            <w:top w:val="none" w:sz="0" w:space="0" w:color="auto"/>
            <w:left w:val="none" w:sz="0" w:space="0" w:color="auto"/>
            <w:bottom w:val="none" w:sz="0" w:space="0" w:color="auto"/>
            <w:right w:val="none" w:sz="0" w:space="0" w:color="auto"/>
          </w:divBdr>
        </w:div>
        <w:div w:id="1776365603">
          <w:marLeft w:val="0"/>
          <w:marRight w:val="0"/>
          <w:marTop w:val="0"/>
          <w:marBottom w:val="0"/>
          <w:divBdr>
            <w:top w:val="none" w:sz="0" w:space="0" w:color="auto"/>
            <w:left w:val="none" w:sz="0" w:space="0" w:color="auto"/>
            <w:bottom w:val="none" w:sz="0" w:space="0" w:color="auto"/>
            <w:right w:val="none" w:sz="0" w:space="0" w:color="auto"/>
          </w:divBdr>
        </w:div>
        <w:div w:id="1936354509">
          <w:marLeft w:val="0"/>
          <w:marRight w:val="0"/>
          <w:marTop w:val="0"/>
          <w:marBottom w:val="0"/>
          <w:divBdr>
            <w:top w:val="none" w:sz="0" w:space="0" w:color="auto"/>
            <w:left w:val="none" w:sz="0" w:space="0" w:color="auto"/>
            <w:bottom w:val="none" w:sz="0" w:space="0" w:color="auto"/>
            <w:right w:val="none" w:sz="0" w:space="0" w:color="auto"/>
          </w:divBdr>
        </w:div>
      </w:divsChild>
    </w:div>
    <w:div w:id="797184055">
      <w:bodyDiv w:val="1"/>
      <w:marLeft w:val="0"/>
      <w:marRight w:val="0"/>
      <w:marTop w:val="0"/>
      <w:marBottom w:val="0"/>
      <w:divBdr>
        <w:top w:val="none" w:sz="0" w:space="0" w:color="auto"/>
        <w:left w:val="none" w:sz="0" w:space="0" w:color="auto"/>
        <w:bottom w:val="none" w:sz="0" w:space="0" w:color="auto"/>
        <w:right w:val="none" w:sz="0" w:space="0" w:color="auto"/>
      </w:divBdr>
      <w:divsChild>
        <w:div w:id="440537254">
          <w:marLeft w:val="0"/>
          <w:marRight w:val="0"/>
          <w:marTop w:val="0"/>
          <w:marBottom w:val="0"/>
          <w:divBdr>
            <w:top w:val="none" w:sz="0" w:space="0" w:color="auto"/>
            <w:left w:val="none" w:sz="0" w:space="0" w:color="auto"/>
            <w:bottom w:val="none" w:sz="0" w:space="0" w:color="auto"/>
            <w:right w:val="none" w:sz="0" w:space="0" w:color="auto"/>
          </w:divBdr>
        </w:div>
        <w:div w:id="549221266">
          <w:marLeft w:val="0"/>
          <w:marRight w:val="0"/>
          <w:marTop w:val="0"/>
          <w:marBottom w:val="0"/>
          <w:divBdr>
            <w:top w:val="none" w:sz="0" w:space="0" w:color="auto"/>
            <w:left w:val="none" w:sz="0" w:space="0" w:color="auto"/>
            <w:bottom w:val="none" w:sz="0" w:space="0" w:color="auto"/>
            <w:right w:val="none" w:sz="0" w:space="0" w:color="auto"/>
          </w:divBdr>
        </w:div>
        <w:div w:id="1144008071">
          <w:marLeft w:val="0"/>
          <w:marRight w:val="0"/>
          <w:marTop w:val="0"/>
          <w:marBottom w:val="0"/>
          <w:divBdr>
            <w:top w:val="none" w:sz="0" w:space="0" w:color="auto"/>
            <w:left w:val="none" w:sz="0" w:space="0" w:color="auto"/>
            <w:bottom w:val="none" w:sz="0" w:space="0" w:color="auto"/>
            <w:right w:val="none" w:sz="0" w:space="0" w:color="auto"/>
          </w:divBdr>
        </w:div>
        <w:div w:id="1416897382">
          <w:marLeft w:val="0"/>
          <w:marRight w:val="0"/>
          <w:marTop w:val="0"/>
          <w:marBottom w:val="0"/>
          <w:divBdr>
            <w:top w:val="none" w:sz="0" w:space="0" w:color="auto"/>
            <w:left w:val="none" w:sz="0" w:space="0" w:color="auto"/>
            <w:bottom w:val="none" w:sz="0" w:space="0" w:color="auto"/>
            <w:right w:val="none" w:sz="0" w:space="0" w:color="auto"/>
          </w:divBdr>
        </w:div>
        <w:div w:id="1534030474">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13176409">
      <w:bodyDiv w:val="1"/>
      <w:marLeft w:val="0"/>
      <w:marRight w:val="0"/>
      <w:marTop w:val="0"/>
      <w:marBottom w:val="0"/>
      <w:divBdr>
        <w:top w:val="none" w:sz="0" w:space="0" w:color="auto"/>
        <w:left w:val="none" w:sz="0" w:space="0" w:color="auto"/>
        <w:bottom w:val="none" w:sz="0" w:space="0" w:color="auto"/>
        <w:right w:val="none" w:sz="0" w:space="0" w:color="auto"/>
      </w:divBdr>
      <w:divsChild>
        <w:div w:id="263001125">
          <w:marLeft w:val="0"/>
          <w:marRight w:val="0"/>
          <w:marTop w:val="0"/>
          <w:marBottom w:val="0"/>
          <w:divBdr>
            <w:top w:val="none" w:sz="0" w:space="0" w:color="auto"/>
            <w:left w:val="none" w:sz="0" w:space="0" w:color="auto"/>
            <w:bottom w:val="none" w:sz="0" w:space="0" w:color="auto"/>
            <w:right w:val="none" w:sz="0" w:space="0" w:color="auto"/>
          </w:divBdr>
        </w:div>
        <w:div w:id="430397393">
          <w:marLeft w:val="0"/>
          <w:marRight w:val="0"/>
          <w:marTop w:val="0"/>
          <w:marBottom w:val="0"/>
          <w:divBdr>
            <w:top w:val="none" w:sz="0" w:space="0" w:color="auto"/>
            <w:left w:val="none" w:sz="0" w:space="0" w:color="auto"/>
            <w:bottom w:val="none" w:sz="0" w:space="0" w:color="auto"/>
            <w:right w:val="none" w:sz="0" w:space="0" w:color="auto"/>
          </w:divBdr>
        </w:div>
        <w:div w:id="923034221">
          <w:marLeft w:val="0"/>
          <w:marRight w:val="0"/>
          <w:marTop w:val="0"/>
          <w:marBottom w:val="0"/>
          <w:divBdr>
            <w:top w:val="none" w:sz="0" w:space="0" w:color="auto"/>
            <w:left w:val="none" w:sz="0" w:space="0" w:color="auto"/>
            <w:bottom w:val="none" w:sz="0" w:space="0" w:color="auto"/>
            <w:right w:val="none" w:sz="0" w:space="0" w:color="auto"/>
          </w:divBdr>
        </w:div>
        <w:div w:id="1016660580">
          <w:marLeft w:val="0"/>
          <w:marRight w:val="0"/>
          <w:marTop w:val="0"/>
          <w:marBottom w:val="0"/>
          <w:divBdr>
            <w:top w:val="none" w:sz="0" w:space="0" w:color="auto"/>
            <w:left w:val="none" w:sz="0" w:space="0" w:color="auto"/>
            <w:bottom w:val="none" w:sz="0" w:space="0" w:color="auto"/>
            <w:right w:val="none" w:sz="0" w:space="0" w:color="auto"/>
          </w:divBdr>
        </w:div>
        <w:div w:id="1160578107">
          <w:marLeft w:val="0"/>
          <w:marRight w:val="0"/>
          <w:marTop w:val="0"/>
          <w:marBottom w:val="0"/>
          <w:divBdr>
            <w:top w:val="none" w:sz="0" w:space="0" w:color="auto"/>
            <w:left w:val="none" w:sz="0" w:space="0" w:color="auto"/>
            <w:bottom w:val="none" w:sz="0" w:space="0" w:color="auto"/>
            <w:right w:val="none" w:sz="0" w:space="0" w:color="auto"/>
          </w:divBdr>
        </w:div>
        <w:div w:id="1366056881">
          <w:marLeft w:val="0"/>
          <w:marRight w:val="0"/>
          <w:marTop w:val="0"/>
          <w:marBottom w:val="0"/>
          <w:divBdr>
            <w:top w:val="none" w:sz="0" w:space="0" w:color="auto"/>
            <w:left w:val="none" w:sz="0" w:space="0" w:color="auto"/>
            <w:bottom w:val="none" w:sz="0" w:space="0" w:color="auto"/>
            <w:right w:val="none" w:sz="0" w:space="0" w:color="auto"/>
          </w:divBdr>
        </w:div>
        <w:div w:id="1732073057">
          <w:marLeft w:val="0"/>
          <w:marRight w:val="0"/>
          <w:marTop w:val="0"/>
          <w:marBottom w:val="0"/>
          <w:divBdr>
            <w:top w:val="none" w:sz="0" w:space="0" w:color="auto"/>
            <w:left w:val="none" w:sz="0" w:space="0" w:color="auto"/>
            <w:bottom w:val="none" w:sz="0" w:space="0" w:color="auto"/>
            <w:right w:val="none" w:sz="0" w:space="0" w:color="auto"/>
          </w:divBdr>
        </w:div>
        <w:div w:id="1799374838">
          <w:marLeft w:val="0"/>
          <w:marRight w:val="0"/>
          <w:marTop w:val="0"/>
          <w:marBottom w:val="0"/>
          <w:divBdr>
            <w:top w:val="none" w:sz="0" w:space="0" w:color="auto"/>
            <w:left w:val="none" w:sz="0" w:space="0" w:color="auto"/>
            <w:bottom w:val="none" w:sz="0" w:space="0" w:color="auto"/>
            <w:right w:val="none" w:sz="0" w:space="0" w:color="auto"/>
          </w:divBdr>
        </w:div>
        <w:div w:id="1973823734">
          <w:marLeft w:val="0"/>
          <w:marRight w:val="0"/>
          <w:marTop w:val="0"/>
          <w:marBottom w:val="0"/>
          <w:divBdr>
            <w:top w:val="none" w:sz="0" w:space="0" w:color="auto"/>
            <w:left w:val="none" w:sz="0" w:space="0" w:color="auto"/>
            <w:bottom w:val="none" w:sz="0" w:space="0" w:color="auto"/>
            <w:right w:val="none" w:sz="0" w:space="0" w:color="auto"/>
          </w:divBdr>
        </w:div>
      </w:divsChild>
    </w:div>
    <w:div w:id="820077431">
      <w:bodyDiv w:val="1"/>
      <w:marLeft w:val="0"/>
      <w:marRight w:val="0"/>
      <w:marTop w:val="0"/>
      <w:marBottom w:val="0"/>
      <w:divBdr>
        <w:top w:val="none" w:sz="0" w:space="0" w:color="auto"/>
        <w:left w:val="none" w:sz="0" w:space="0" w:color="auto"/>
        <w:bottom w:val="none" w:sz="0" w:space="0" w:color="auto"/>
        <w:right w:val="none" w:sz="0" w:space="0" w:color="auto"/>
      </w:divBdr>
      <w:divsChild>
        <w:div w:id="339159285">
          <w:marLeft w:val="0"/>
          <w:marRight w:val="0"/>
          <w:marTop w:val="0"/>
          <w:marBottom w:val="0"/>
          <w:divBdr>
            <w:top w:val="none" w:sz="0" w:space="0" w:color="auto"/>
            <w:left w:val="none" w:sz="0" w:space="0" w:color="auto"/>
            <w:bottom w:val="none" w:sz="0" w:space="0" w:color="auto"/>
            <w:right w:val="none" w:sz="0" w:space="0" w:color="auto"/>
          </w:divBdr>
        </w:div>
        <w:div w:id="493566048">
          <w:marLeft w:val="0"/>
          <w:marRight w:val="0"/>
          <w:marTop w:val="0"/>
          <w:marBottom w:val="0"/>
          <w:divBdr>
            <w:top w:val="none" w:sz="0" w:space="0" w:color="auto"/>
            <w:left w:val="none" w:sz="0" w:space="0" w:color="auto"/>
            <w:bottom w:val="none" w:sz="0" w:space="0" w:color="auto"/>
            <w:right w:val="none" w:sz="0" w:space="0" w:color="auto"/>
          </w:divBdr>
        </w:div>
        <w:div w:id="1516068555">
          <w:marLeft w:val="0"/>
          <w:marRight w:val="0"/>
          <w:marTop w:val="0"/>
          <w:marBottom w:val="0"/>
          <w:divBdr>
            <w:top w:val="none" w:sz="0" w:space="0" w:color="auto"/>
            <w:left w:val="none" w:sz="0" w:space="0" w:color="auto"/>
            <w:bottom w:val="none" w:sz="0" w:space="0" w:color="auto"/>
            <w:right w:val="none" w:sz="0" w:space="0" w:color="auto"/>
          </w:divBdr>
        </w:div>
        <w:div w:id="1571185291">
          <w:marLeft w:val="0"/>
          <w:marRight w:val="0"/>
          <w:marTop w:val="0"/>
          <w:marBottom w:val="0"/>
          <w:divBdr>
            <w:top w:val="none" w:sz="0" w:space="0" w:color="auto"/>
            <w:left w:val="none" w:sz="0" w:space="0" w:color="auto"/>
            <w:bottom w:val="none" w:sz="0" w:space="0" w:color="auto"/>
            <w:right w:val="none" w:sz="0" w:space="0" w:color="auto"/>
          </w:divBdr>
        </w:div>
        <w:div w:id="1640693919">
          <w:marLeft w:val="0"/>
          <w:marRight w:val="0"/>
          <w:marTop w:val="0"/>
          <w:marBottom w:val="0"/>
          <w:divBdr>
            <w:top w:val="none" w:sz="0" w:space="0" w:color="auto"/>
            <w:left w:val="none" w:sz="0" w:space="0" w:color="auto"/>
            <w:bottom w:val="none" w:sz="0" w:space="0" w:color="auto"/>
            <w:right w:val="none" w:sz="0" w:space="0" w:color="auto"/>
          </w:divBdr>
        </w:div>
      </w:divsChild>
    </w:div>
    <w:div w:id="826897697">
      <w:bodyDiv w:val="1"/>
      <w:marLeft w:val="0"/>
      <w:marRight w:val="0"/>
      <w:marTop w:val="0"/>
      <w:marBottom w:val="0"/>
      <w:divBdr>
        <w:top w:val="none" w:sz="0" w:space="0" w:color="auto"/>
        <w:left w:val="none" w:sz="0" w:space="0" w:color="auto"/>
        <w:bottom w:val="none" w:sz="0" w:space="0" w:color="auto"/>
        <w:right w:val="none" w:sz="0" w:space="0" w:color="auto"/>
      </w:divBdr>
      <w:divsChild>
        <w:div w:id="550075866">
          <w:marLeft w:val="0"/>
          <w:marRight w:val="0"/>
          <w:marTop w:val="0"/>
          <w:marBottom w:val="0"/>
          <w:divBdr>
            <w:top w:val="none" w:sz="0" w:space="0" w:color="auto"/>
            <w:left w:val="none" w:sz="0" w:space="0" w:color="auto"/>
            <w:bottom w:val="none" w:sz="0" w:space="0" w:color="auto"/>
            <w:right w:val="none" w:sz="0" w:space="0" w:color="auto"/>
          </w:divBdr>
        </w:div>
        <w:div w:id="551119087">
          <w:marLeft w:val="0"/>
          <w:marRight w:val="0"/>
          <w:marTop w:val="0"/>
          <w:marBottom w:val="0"/>
          <w:divBdr>
            <w:top w:val="none" w:sz="0" w:space="0" w:color="auto"/>
            <w:left w:val="none" w:sz="0" w:space="0" w:color="auto"/>
            <w:bottom w:val="none" w:sz="0" w:space="0" w:color="auto"/>
            <w:right w:val="none" w:sz="0" w:space="0" w:color="auto"/>
          </w:divBdr>
        </w:div>
        <w:div w:id="832836313">
          <w:marLeft w:val="0"/>
          <w:marRight w:val="0"/>
          <w:marTop w:val="0"/>
          <w:marBottom w:val="0"/>
          <w:divBdr>
            <w:top w:val="none" w:sz="0" w:space="0" w:color="auto"/>
            <w:left w:val="none" w:sz="0" w:space="0" w:color="auto"/>
            <w:bottom w:val="none" w:sz="0" w:space="0" w:color="auto"/>
            <w:right w:val="none" w:sz="0" w:space="0" w:color="auto"/>
          </w:divBdr>
        </w:div>
        <w:div w:id="838275605">
          <w:marLeft w:val="0"/>
          <w:marRight w:val="0"/>
          <w:marTop w:val="0"/>
          <w:marBottom w:val="0"/>
          <w:divBdr>
            <w:top w:val="none" w:sz="0" w:space="0" w:color="auto"/>
            <w:left w:val="none" w:sz="0" w:space="0" w:color="auto"/>
            <w:bottom w:val="none" w:sz="0" w:space="0" w:color="auto"/>
            <w:right w:val="none" w:sz="0" w:space="0" w:color="auto"/>
          </w:divBdr>
        </w:div>
        <w:div w:id="885029435">
          <w:marLeft w:val="0"/>
          <w:marRight w:val="0"/>
          <w:marTop w:val="0"/>
          <w:marBottom w:val="0"/>
          <w:divBdr>
            <w:top w:val="none" w:sz="0" w:space="0" w:color="auto"/>
            <w:left w:val="none" w:sz="0" w:space="0" w:color="auto"/>
            <w:bottom w:val="none" w:sz="0" w:space="0" w:color="auto"/>
            <w:right w:val="none" w:sz="0" w:space="0" w:color="auto"/>
          </w:divBdr>
        </w:div>
        <w:div w:id="1040782934">
          <w:marLeft w:val="0"/>
          <w:marRight w:val="0"/>
          <w:marTop w:val="0"/>
          <w:marBottom w:val="0"/>
          <w:divBdr>
            <w:top w:val="none" w:sz="0" w:space="0" w:color="auto"/>
            <w:left w:val="none" w:sz="0" w:space="0" w:color="auto"/>
            <w:bottom w:val="none" w:sz="0" w:space="0" w:color="auto"/>
            <w:right w:val="none" w:sz="0" w:space="0" w:color="auto"/>
          </w:divBdr>
        </w:div>
        <w:div w:id="1287008291">
          <w:marLeft w:val="0"/>
          <w:marRight w:val="0"/>
          <w:marTop w:val="0"/>
          <w:marBottom w:val="0"/>
          <w:divBdr>
            <w:top w:val="none" w:sz="0" w:space="0" w:color="auto"/>
            <w:left w:val="none" w:sz="0" w:space="0" w:color="auto"/>
            <w:bottom w:val="none" w:sz="0" w:space="0" w:color="auto"/>
            <w:right w:val="none" w:sz="0" w:space="0" w:color="auto"/>
          </w:divBdr>
        </w:div>
        <w:div w:id="1551572932">
          <w:marLeft w:val="0"/>
          <w:marRight w:val="0"/>
          <w:marTop w:val="0"/>
          <w:marBottom w:val="0"/>
          <w:divBdr>
            <w:top w:val="none" w:sz="0" w:space="0" w:color="auto"/>
            <w:left w:val="none" w:sz="0" w:space="0" w:color="auto"/>
            <w:bottom w:val="none" w:sz="0" w:space="0" w:color="auto"/>
            <w:right w:val="none" w:sz="0" w:space="0" w:color="auto"/>
          </w:divBdr>
        </w:div>
        <w:div w:id="1641571515">
          <w:marLeft w:val="0"/>
          <w:marRight w:val="0"/>
          <w:marTop w:val="0"/>
          <w:marBottom w:val="0"/>
          <w:divBdr>
            <w:top w:val="none" w:sz="0" w:space="0" w:color="auto"/>
            <w:left w:val="none" w:sz="0" w:space="0" w:color="auto"/>
            <w:bottom w:val="none" w:sz="0" w:space="0" w:color="auto"/>
            <w:right w:val="none" w:sz="0" w:space="0" w:color="auto"/>
          </w:divBdr>
        </w:div>
        <w:div w:id="1926724718">
          <w:marLeft w:val="0"/>
          <w:marRight w:val="0"/>
          <w:marTop w:val="0"/>
          <w:marBottom w:val="0"/>
          <w:divBdr>
            <w:top w:val="none" w:sz="0" w:space="0" w:color="auto"/>
            <w:left w:val="none" w:sz="0" w:space="0" w:color="auto"/>
            <w:bottom w:val="none" w:sz="0" w:space="0" w:color="auto"/>
            <w:right w:val="none" w:sz="0" w:space="0" w:color="auto"/>
          </w:divBdr>
        </w:div>
        <w:div w:id="2096703215">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866791256">
      <w:bodyDiv w:val="1"/>
      <w:marLeft w:val="0"/>
      <w:marRight w:val="0"/>
      <w:marTop w:val="0"/>
      <w:marBottom w:val="0"/>
      <w:divBdr>
        <w:top w:val="none" w:sz="0" w:space="0" w:color="auto"/>
        <w:left w:val="none" w:sz="0" w:space="0" w:color="auto"/>
        <w:bottom w:val="none" w:sz="0" w:space="0" w:color="auto"/>
        <w:right w:val="none" w:sz="0" w:space="0" w:color="auto"/>
      </w:divBdr>
      <w:divsChild>
        <w:div w:id="250117780">
          <w:marLeft w:val="0"/>
          <w:marRight w:val="0"/>
          <w:marTop w:val="0"/>
          <w:marBottom w:val="0"/>
          <w:divBdr>
            <w:top w:val="none" w:sz="0" w:space="0" w:color="auto"/>
            <w:left w:val="none" w:sz="0" w:space="0" w:color="auto"/>
            <w:bottom w:val="none" w:sz="0" w:space="0" w:color="auto"/>
            <w:right w:val="none" w:sz="0" w:space="0" w:color="auto"/>
          </w:divBdr>
        </w:div>
        <w:div w:id="400104814">
          <w:marLeft w:val="0"/>
          <w:marRight w:val="0"/>
          <w:marTop w:val="0"/>
          <w:marBottom w:val="0"/>
          <w:divBdr>
            <w:top w:val="none" w:sz="0" w:space="0" w:color="auto"/>
            <w:left w:val="none" w:sz="0" w:space="0" w:color="auto"/>
            <w:bottom w:val="none" w:sz="0" w:space="0" w:color="auto"/>
            <w:right w:val="none" w:sz="0" w:space="0" w:color="auto"/>
          </w:divBdr>
        </w:div>
        <w:div w:id="413286391">
          <w:marLeft w:val="0"/>
          <w:marRight w:val="0"/>
          <w:marTop w:val="0"/>
          <w:marBottom w:val="0"/>
          <w:divBdr>
            <w:top w:val="none" w:sz="0" w:space="0" w:color="auto"/>
            <w:left w:val="none" w:sz="0" w:space="0" w:color="auto"/>
            <w:bottom w:val="none" w:sz="0" w:space="0" w:color="auto"/>
            <w:right w:val="none" w:sz="0" w:space="0" w:color="auto"/>
          </w:divBdr>
        </w:div>
        <w:div w:id="770200133">
          <w:marLeft w:val="0"/>
          <w:marRight w:val="0"/>
          <w:marTop w:val="0"/>
          <w:marBottom w:val="0"/>
          <w:divBdr>
            <w:top w:val="none" w:sz="0" w:space="0" w:color="auto"/>
            <w:left w:val="none" w:sz="0" w:space="0" w:color="auto"/>
            <w:bottom w:val="none" w:sz="0" w:space="0" w:color="auto"/>
            <w:right w:val="none" w:sz="0" w:space="0" w:color="auto"/>
          </w:divBdr>
        </w:div>
        <w:div w:id="1898517709">
          <w:marLeft w:val="0"/>
          <w:marRight w:val="0"/>
          <w:marTop w:val="0"/>
          <w:marBottom w:val="0"/>
          <w:divBdr>
            <w:top w:val="none" w:sz="0" w:space="0" w:color="auto"/>
            <w:left w:val="none" w:sz="0" w:space="0" w:color="auto"/>
            <w:bottom w:val="none" w:sz="0" w:space="0" w:color="auto"/>
            <w:right w:val="none" w:sz="0" w:space="0" w:color="auto"/>
          </w:divBdr>
        </w:div>
        <w:div w:id="1971743948">
          <w:marLeft w:val="0"/>
          <w:marRight w:val="0"/>
          <w:marTop w:val="0"/>
          <w:marBottom w:val="0"/>
          <w:divBdr>
            <w:top w:val="none" w:sz="0" w:space="0" w:color="auto"/>
            <w:left w:val="none" w:sz="0" w:space="0" w:color="auto"/>
            <w:bottom w:val="none" w:sz="0" w:space="0" w:color="auto"/>
            <w:right w:val="none" w:sz="0" w:space="0" w:color="auto"/>
          </w:divBdr>
        </w:div>
        <w:div w:id="2086413883">
          <w:marLeft w:val="0"/>
          <w:marRight w:val="0"/>
          <w:marTop w:val="0"/>
          <w:marBottom w:val="0"/>
          <w:divBdr>
            <w:top w:val="none" w:sz="0" w:space="0" w:color="auto"/>
            <w:left w:val="none" w:sz="0" w:space="0" w:color="auto"/>
            <w:bottom w:val="none" w:sz="0" w:space="0" w:color="auto"/>
            <w:right w:val="none" w:sz="0" w:space="0" w:color="auto"/>
          </w:divBdr>
        </w:div>
      </w:divsChild>
    </w:div>
    <w:div w:id="876088511">
      <w:bodyDiv w:val="1"/>
      <w:marLeft w:val="0"/>
      <w:marRight w:val="0"/>
      <w:marTop w:val="0"/>
      <w:marBottom w:val="0"/>
      <w:divBdr>
        <w:top w:val="none" w:sz="0" w:space="0" w:color="auto"/>
        <w:left w:val="none" w:sz="0" w:space="0" w:color="auto"/>
        <w:bottom w:val="none" w:sz="0" w:space="0" w:color="auto"/>
        <w:right w:val="none" w:sz="0" w:space="0" w:color="auto"/>
      </w:divBdr>
      <w:divsChild>
        <w:div w:id="238560262">
          <w:marLeft w:val="0"/>
          <w:marRight w:val="0"/>
          <w:marTop w:val="0"/>
          <w:marBottom w:val="0"/>
          <w:divBdr>
            <w:top w:val="none" w:sz="0" w:space="0" w:color="auto"/>
            <w:left w:val="none" w:sz="0" w:space="0" w:color="auto"/>
            <w:bottom w:val="none" w:sz="0" w:space="0" w:color="auto"/>
            <w:right w:val="none" w:sz="0" w:space="0" w:color="auto"/>
          </w:divBdr>
        </w:div>
        <w:div w:id="528445859">
          <w:marLeft w:val="0"/>
          <w:marRight w:val="0"/>
          <w:marTop w:val="0"/>
          <w:marBottom w:val="0"/>
          <w:divBdr>
            <w:top w:val="none" w:sz="0" w:space="0" w:color="auto"/>
            <w:left w:val="none" w:sz="0" w:space="0" w:color="auto"/>
            <w:bottom w:val="none" w:sz="0" w:space="0" w:color="auto"/>
            <w:right w:val="none" w:sz="0" w:space="0" w:color="auto"/>
          </w:divBdr>
        </w:div>
        <w:div w:id="544174461">
          <w:marLeft w:val="0"/>
          <w:marRight w:val="0"/>
          <w:marTop w:val="0"/>
          <w:marBottom w:val="0"/>
          <w:divBdr>
            <w:top w:val="none" w:sz="0" w:space="0" w:color="auto"/>
            <w:left w:val="none" w:sz="0" w:space="0" w:color="auto"/>
            <w:bottom w:val="none" w:sz="0" w:space="0" w:color="auto"/>
            <w:right w:val="none" w:sz="0" w:space="0" w:color="auto"/>
          </w:divBdr>
        </w:div>
        <w:div w:id="552234037">
          <w:marLeft w:val="0"/>
          <w:marRight w:val="0"/>
          <w:marTop w:val="0"/>
          <w:marBottom w:val="0"/>
          <w:divBdr>
            <w:top w:val="none" w:sz="0" w:space="0" w:color="auto"/>
            <w:left w:val="none" w:sz="0" w:space="0" w:color="auto"/>
            <w:bottom w:val="none" w:sz="0" w:space="0" w:color="auto"/>
            <w:right w:val="none" w:sz="0" w:space="0" w:color="auto"/>
          </w:divBdr>
        </w:div>
        <w:div w:id="693045029">
          <w:marLeft w:val="0"/>
          <w:marRight w:val="0"/>
          <w:marTop w:val="0"/>
          <w:marBottom w:val="0"/>
          <w:divBdr>
            <w:top w:val="none" w:sz="0" w:space="0" w:color="auto"/>
            <w:left w:val="none" w:sz="0" w:space="0" w:color="auto"/>
            <w:bottom w:val="none" w:sz="0" w:space="0" w:color="auto"/>
            <w:right w:val="none" w:sz="0" w:space="0" w:color="auto"/>
          </w:divBdr>
        </w:div>
        <w:div w:id="1168712335">
          <w:marLeft w:val="0"/>
          <w:marRight w:val="0"/>
          <w:marTop w:val="0"/>
          <w:marBottom w:val="0"/>
          <w:divBdr>
            <w:top w:val="none" w:sz="0" w:space="0" w:color="auto"/>
            <w:left w:val="none" w:sz="0" w:space="0" w:color="auto"/>
            <w:bottom w:val="none" w:sz="0" w:space="0" w:color="auto"/>
            <w:right w:val="none" w:sz="0" w:space="0" w:color="auto"/>
          </w:divBdr>
        </w:div>
        <w:div w:id="1266234641">
          <w:marLeft w:val="0"/>
          <w:marRight w:val="0"/>
          <w:marTop w:val="0"/>
          <w:marBottom w:val="0"/>
          <w:divBdr>
            <w:top w:val="none" w:sz="0" w:space="0" w:color="auto"/>
            <w:left w:val="none" w:sz="0" w:space="0" w:color="auto"/>
            <w:bottom w:val="none" w:sz="0" w:space="0" w:color="auto"/>
            <w:right w:val="none" w:sz="0" w:space="0" w:color="auto"/>
          </w:divBdr>
        </w:div>
        <w:div w:id="1467040267">
          <w:marLeft w:val="0"/>
          <w:marRight w:val="0"/>
          <w:marTop w:val="0"/>
          <w:marBottom w:val="0"/>
          <w:divBdr>
            <w:top w:val="none" w:sz="0" w:space="0" w:color="auto"/>
            <w:left w:val="none" w:sz="0" w:space="0" w:color="auto"/>
            <w:bottom w:val="none" w:sz="0" w:space="0" w:color="auto"/>
            <w:right w:val="none" w:sz="0" w:space="0" w:color="auto"/>
          </w:divBdr>
        </w:div>
        <w:div w:id="1520584989">
          <w:marLeft w:val="0"/>
          <w:marRight w:val="0"/>
          <w:marTop w:val="0"/>
          <w:marBottom w:val="0"/>
          <w:divBdr>
            <w:top w:val="none" w:sz="0" w:space="0" w:color="auto"/>
            <w:left w:val="none" w:sz="0" w:space="0" w:color="auto"/>
            <w:bottom w:val="none" w:sz="0" w:space="0" w:color="auto"/>
            <w:right w:val="none" w:sz="0" w:space="0" w:color="auto"/>
          </w:divBdr>
        </w:div>
        <w:div w:id="1520772201">
          <w:marLeft w:val="0"/>
          <w:marRight w:val="0"/>
          <w:marTop w:val="0"/>
          <w:marBottom w:val="0"/>
          <w:divBdr>
            <w:top w:val="none" w:sz="0" w:space="0" w:color="auto"/>
            <w:left w:val="none" w:sz="0" w:space="0" w:color="auto"/>
            <w:bottom w:val="none" w:sz="0" w:space="0" w:color="auto"/>
            <w:right w:val="none" w:sz="0" w:space="0" w:color="auto"/>
          </w:divBdr>
        </w:div>
        <w:div w:id="1832405315">
          <w:marLeft w:val="0"/>
          <w:marRight w:val="0"/>
          <w:marTop w:val="0"/>
          <w:marBottom w:val="0"/>
          <w:divBdr>
            <w:top w:val="none" w:sz="0" w:space="0" w:color="auto"/>
            <w:left w:val="none" w:sz="0" w:space="0" w:color="auto"/>
            <w:bottom w:val="none" w:sz="0" w:space="0" w:color="auto"/>
            <w:right w:val="none" w:sz="0" w:space="0" w:color="auto"/>
          </w:divBdr>
        </w:div>
      </w:divsChild>
    </w:div>
    <w:div w:id="916939294">
      <w:bodyDiv w:val="1"/>
      <w:marLeft w:val="0"/>
      <w:marRight w:val="0"/>
      <w:marTop w:val="0"/>
      <w:marBottom w:val="0"/>
      <w:divBdr>
        <w:top w:val="none" w:sz="0" w:space="0" w:color="auto"/>
        <w:left w:val="none" w:sz="0" w:space="0" w:color="auto"/>
        <w:bottom w:val="none" w:sz="0" w:space="0" w:color="auto"/>
        <w:right w:val="none" w:sz="0" w:space="0" w:color="auto"/>
      </w:divBdr>
      <w:divsChild>
        <w:div w:id="761294121">
          <w:marLeft w:val="0"/>
          <w:marRight w:val="0"/>
          <w:marTop w:val="0"/>
          <w:marBottom w:val="0"/>
          <w:divBdr>
            <w:top w:val="none" w:sz="0" w:space="0" w:color="auto"/>
            <w:left w:val="none" w:sz="0" w:space="0" w:color="auto"/>
            <w:bottom w:val="none" w:sz="0" w:space="0" w:color="auto"/>
            <w:right w:val="none" w:sz="0" w:space="0" w:color="auto"/>
          </w:divBdr>
        </w:div>
        <w:div w:id="879131309">
          <w:marLeft w:val="0"/>
          <w:marRight w:val="0"/>
          <w:marTop w:val="0"/>
          <w:marBottom w:val="0"/>
          <w:divBdr>
            <w:top w:val="none" w:sz="0" w:space="0" w:color="auto"/>
            <w:left w:val="none" w:sz="0" w:space="0" w:color="auto"/>
            <w:bottom w:val="none" w:sz="0" w:space="0" w:color="auto"/>
            <w:right w:val="none" w:sz="0" w:space="0" w:color="auto"/>
          </w:divBdr>
        </w:div>
        <w:div w:id="1483811132">
          <w:marLeft w:val="0"/>
          <w:marRight w:val="0"/>
          <w:marTop w:val="0"/>
          <w:marBottom w:val="0"/>
          <w:divBdr>
            <w:top w:val="none" w:sz="0" w:space="0" w:color="auto"/>
            <w:left w:val="none" w:sz="0" w:space="0" w:color="auto"/>
            <w:bottom w:val="none" w:sz="0" w:space="0" w:color="auto"/>
            <w:right w:val="none" w:sz="0" w:space="0" w:color="auto"/>
          </w:divBdr>
        </w:div>
        <w:div w:id="1516191126">
          <w:marLeft w:val="0"/>
          <w:marRight w:val="0"/>
          <w:marTop w:val="0"/>
          <w:marBottom w:val="0"/>
          <w:divBdr>
            <w:top w:val="none" w:sz="0" w:space="0" w:color="auto"/>
            <w:left w:val="none" w:sz="0" w:space="0" w:color="auto"/>
            <w:bottom w:val="none" w:sz="0" w:space="0" w:color="auto"/>
            <w:right w:val="none" w:sz="0" w:space="0" w:color="auto"/>
          </w:divBdr>
        </w:div>
        <w:div w:id="2034528906">
          <w:marLeft w:val="0"/>
          <w:marRight w:val="0"/>
          <w:marTop w:val="0"/>
          <w:marBottom w:val="0"/>
          <w:divBdr>
            <w:top w:val="none" w:sz="0" w:space="0" w:color="auto"/>
            <w:left w:val="none" w:sz="0" w:space="0" w:color="auto"/>
            <w:bottom w:val="none" w:sz="0" w:space="0" w:color="auto"/>
            <w:right w:val="none" w:sz="0" w:space="0" w:color="auto"/>
          </w:divBdr>
        </w:div>
      </w:divsChild>
    </w:div>
    <w:div w:id="922298550">
      <w:bodyDiv w:val="1"/>
      <w:marLeft w:val="0"/>
      <w:marRight w:val="0"/>
      <w:marTop w:val="0"/>
      <w:marBottom w:val="0"/>
      <w:divBdr>
        <w:top w:val="none" w:sz="0" w:space="0" w:color="auto"/>
        <w:left w:val="none" w:sz="0" w:space="0" w:color="auto"/>
        <w:bottom w:val="none" w:sz="0" w:space="0" w:color="auto"/>
        <w:right w:val="none" w:sz="0" w:space="0" w:color="auto"/>
      </w:divBdr>
      <w:divsChild>
        <w:div w:id="379675020">
          <w:marLeft w:val="0"/>
          <w:marRight w:val="0"/>
          <w:marTop w:val="0"/>
          <w:marBottom w:val="0"/>
          <w:divBdr>
            <w:top w:val="none" w:sz="0" w:space="0" w:color="auto"/>
            <w:left w:val="none" w:sz="0" w:space="0" w:color="auto"/>
            <w:bottom w:val="none" w:sz="0" w:space="0" w:color="auto"/>
            <w:right w:val="none" w:sz="0" w:space="0" w:color="auto"/>
          </w:divBdr>
        </w:div>
        <w:div w:id="510098117">
          <w:marLeft w:val="0"/>
          <w:marRight w:val="0"/>
          <w:marTop w:val="0"/>
          <w:marBottom w:val="0"/>
          <w:divBdr>
            <w:top w:val="none" w:sz="0" w:space="0" w:color="auto"/>
            <w:left w:val="none" w:sz="0" w:space="0" w:color="auto"/>
            <w:bottom w:val="none" w:sz="0" w:space="0" w:color="auto"/>
            <w:right w:val="none" w:sz="0" w:space="0" w:color="auto"/>
          </w:divBdr>
        </w:div>
        <w:div w:id="883324448">
          <w:marLeft w:val="0"/>
          <w:marRight w:val="0"/>
          <w:marTop w:val="0"/>
          <w:marBottom w:val="0"/>
          <w:divBdr>
            <w:top w:val="none" w:sz="0" w:space="0" w:color="auto"/>
            <w:left w:val="none" w:sz="0" w:space="0" w:color="auto"/>
            <w:bottom w:val="none" w:sz="0" w:space="0" w:color="auto"/>
            <w:right w:val="none" w:sz="0" w:space="0" w:color="auto"/>
          </w:divBdr>
        </w:div>
        <w:div w:id="1383017820">
          <w:marLeft w:val="0"/>
          <w:marRight w:val="0"/>
          <w:marTop w:val="0"/>
          <w:marBottom w:val="0"/>
          <w:divBdr>
            <w:top w:val="none" w:sz="0" w:space="0" w:color="auto"/>
            <w:left w:val="none" w:sz="0" w:space="0" w:color="auto"/>
            <w:bottom w:val="none" w:sz="0" w:space="0" w:color="auto"/>
            <w:right w:val="none" w:sz="0" w:space="0" w:color="auto"/>
          </w:divBdr>
        </w:div>
        <w:div w:id="1413115593">
          <w:marLeft w:val="0"/>
          <w:marRight w:val="0"/>
          <w:marTop w:val="0"/>
          <w:marBottom w:val="0"/>
          <w:divBdr>
            <w:top w:val="none" w:sz="0" w:space="0" w:color="auto"/>
            <w:left w:val="none" w:sz="0" w:space="0" w:color="auto"/>
            <w:bottom w:val="none" w:sz="0" w:space="0" w:color="auto"/>
            <w:right w:val="none" w:sz="0" w:space="0" w:color="auto"/>
          </w:divBdr>
          <w:divsChild>
            <w:div w:id="1078986875">
              <w:marLeft w:val="0"/>
              <w:marRight w:val="0"/>
              <w:marTop w:val="0"/>
              <w:marBottom w:val="0"/>
              <w:divBdr>
                <w:top w:val="none" w:sz="0" w:space="0" w:color="auto"/>
                <w:left w:val="none" w:sz="0" w:space="0" w:color="auto"/>
                <w:bottom w:val="none" w:sz="0" w:space="0" w:color="auto"/>
                <w:right w:val="none" w:sz="0" w:space="0" w:color="auto"/>
              </w:divBdr>
            </w:div>
            <w:div w:id="1086347773">
              <w:marLeft w:val="0"/>
              <w:marRight w:val="0"/>
              <w:marTop w:val="0"/>
              <w:marBottom w:val="0"/>
              <w:divBdr>
                <w:top w:val="none" w:sz="0" w:space="0" w:color="auto"/>
                <w:left w:val="none" w:sz="0" w:space="0" w:color="auto"/>
                <w:bottom w:val="none" w:sz="0" w:space="0" w:color="auto"/>
                <w:right w:val="none" w:sz="0" w:space="0" w:color="auto"/>
              </w:divBdr>
            </w:div>
            <w:div w:id="1095899466">
              <w:marLeft w:val="0"/>
              <w:marRight w:val="0"/>
              <w:marTop w:val="0"/>
              <w:marBottom w:val="0"/>
              <w:divBdr>
                <w:top w:val="none" w:sz="0" w:space="0" w:color="auto"/>
                <w:left w:val="none" w:sz="0" w:space="0" w:color="auto"/>
                <w:bottom w:val="none" w:sz="0" w:space="0" w:color="auto"/>
                <w:right w:val="none" w:sz="0" w:space="0" w:color="auto"/>
              </w:divBdr>
            </w:div>
            <w:div w:id="1344282856">
              <w:marLeft w:val="0"/>
              <w:marRight w:val="0"/>
              <w:marTop w:val="0"/>
              <w:marBottom w:val="0"/>
              <w:divBdr>
                <w:top w:val="none" w:sz="0" w:space="0" w:color="auto"/>
                <w:left w:val="none" w:sz="0" w:space="0" w:color="auto"/>
                <w:bottom w:val="none" w:sz="0" w:space="0" w:color="auto"/>
                <w:right w:val="none" w:sz="0" w:space="0" w:color="auto"/>
              </w:divBdr>
            </w:div>
          </w:divsChild>
        </w:div>
        <w:div w:id="1426421259">
          <w:marLeft w:val="0"/>
          <w:marRight w:val="0"/>
          <w:marTop w:val="0"/>
          <w:marBottom w:val="0"/>
          <w:divBdr>
            <w:top w:val="none" w:sz="0" w:space="0" w:color="auto"/>
            <w:left w:val="none" w:sz="0" w:space="0" w:color="auto"/>
            <w:bottom w:val="none" w:sz="0" w:space="0" w:color="auto"/>
            <w:right w:val="none" w:sz="0" w:space="0" w:color="auto"/>
          </w:divBdr>
        </w:div>
        <w:div w:id="1536305176">
          <w:marLeft w:val="0"/>
          <w:marRight w:val="0"/>
          <w:marTop w:val="0"/>
          <w:marBottom w:val="0"/>
          <w:divBdr>
            <w:top w:val="none" w:sz="0" w:space="0" w:color="auto"/>
            <w:left w:val="none" w:sz="0" w:space="0" w:color="auto"/>
            <w:bottom w:val="none" w:sz="0" w:space="0" w:color="auto"/>
            <w:right w:val="none" w:sz="0" w:space="0" w:color="auto"/>
          </w:divBdr>
        </w:div>
      </w:divsChild>
    </w:div>
    <w:div w:id="927274441">
      <w:bodyDiv w:val="1"/>
      <w:marLeft w:val="0"/>
      <w:marRight w:val="0"/>
      <w:marTop w:val="0"/>
      <w:marBottom w:val="0"/>
      <w:divBdr>
        <w:top w:val="none" w:sz="0" w:space="0" w:color="auto"/>
        <w:left w:val="none" w:sz="0" w:space="0" w:color="auto"/>
        <w:bottom w:val="none" w:sz="0" w:space="0" w:color="auto"/>
        <w:right w:val="none" w:sz="0" w:space="0" w:color="auto"/>
      </w:divBdr>
      <w:divsChild>
        <w:div w:id="213011509">
          <w:marLeft w:val="0"/>
          <w:marRight w:val="0"/>
          <w:marTop w:val="0"/>
          <w:marBottom w:val="0"/>
          <w:divBdr>
            <w:top w:val="none" w:sz="0" w:space="0" w:color="auto"/>
            <w:left w:val="none" w:sz="0" w:space="0" w:color="auto"/>
            <w:bottom w:val="none" w:sz="0" w:space="0" w:color="auto"/>
            <w:right w:val="none" w:sz="0" w:space="0" w:color="auto"/>
          </w:divBdr>
        </w:div>
        <w:div w:id="409229709">
          <w:marLeft w:val="0"/>
          <w:marRight w:val="0"/>
          <w:marTop w:val="0"/>
          <w:marBottom w:val="0"/>
          <w:divBdr>
            <w:top w:val="none" w:sz="0" w:space="0" w:color="auto"/>
            <w:left w:val="none" w:sz="0" w:space="0" w:color="auto"/>
            <w:bottom w:val="none" w:sz="0" w:space="0" w:color="auto"/>
            <w:right w:val="none" w:sz="0" w:space="0" w:color="auto"/>
          </w:divBdr>
        </w:div>
        <w:div w:id="446659586">
          <w:marLeft w:val="0"/>
          <w:marRight w:val="0"/>
          <w:marTop w:val="0"/>
          <w:marBottom w:val="0"/>
          <w:divBdr>
            <w:top w:val="none" w:sz="0" w:space="0" w:color="auto"/>
            <w:left w:val="none" w:sz="0" w:space="0" w:color="auto"/>
            <w:bottom w:val="none" w:sz="0" w:space="0" w:color="auto"/>
            <w:right w:val="none" w:sz="0" w:space="0" w:color="auto"/>
          </w:divBdr>
        </w:div>
        <w:div w:id="556940726">
          <w:marLeft w:val="0"/>
          <w:marRight w:val="0"/>
          <w:marTop w:val="0"/>
          <w:marBottom w:val="0"/>
          <w:divBdr>
            <w:top w:val="none" w:sz="0" w:space="0" w:color="auto"/>
            <w:left w:val="none" w:sz="0" w:space="0" w:color="auto"/>
            <w:bottom w:val="none" w:sz="0" w:space="0" w:color="auto"/>
            <w:right w:val="none" w:sz="0" w:space="0" w:color="auto"/>
          </w:divBdr>
        </w:div>
        <w:div w:id="576979733">
          <w:marLeft w:val="0"/>
          <w:marRight w:val="0"/>
          <w:marTop w:val="0"/>
          <w:marBottom w:val="0"/>
          <w:divBdr>
            <w:top w:val="none" w:sz="0" w:space="0" w:color="auto"/>
            <w:left w:val="none" w:sz="0" w:space="0" w:color="auto"/>
            <w:bottom w:val="none" w:sz="0" w:space="0" w:color="auto"/>
            <w:right w:val="none" w:sz="0" w:space="0" w:color="auto"/>
          </w:divBdr>
        </w:div>
        <w:div w:id="1373378929">
          <w:marLeft w:val="0"/>
          <w:marRight w:val="0"/>
          <w:marTop w:val="0"/>
          <w:marBottom w:val="0"/>
          <w:divBdr>
            <w:top w:val="none" w:sz="0" w:space="0" w:color="auto"/>
            <w:left w:val="none" w:sz="0" w:space="0" w:color="auto"/>
            <w:bottom w:val="none" w:sz="0" w:space="0" w:color="auto"/>
            <w:right w:val="none" w:sz="0" w:space="0" w:color="auto"/>
          </w:divBdr>
        </w:div>
        <w:div w:id="1940482497">
          <w:marLeft w:val="0"/>
          <w:marRight w:val="0"/>
          <w:marTop w:val="0"/>
          <w:marBottom w:val="0"/>
          <w:divBdr>
            <w:top w:val="none" w:sz="0" w:space="0" w:color="auto"/>
            <w:left w:val="none" w:sz="0" w:space="0" w:color="auto"/>
            <w:bottom w:val="none" w:sz="0" w:space="0" w:color="auto"/>
            <w:right w:val="none" w:sz="0" w:space="0" w:color="auto"/>
          </w:divBdr>
        </w:div>
      </w:divsChild>
    </w:div>
    <w:div w:id="928662368">
      <w:bodyDiv w:val="1"/>
      <w:marLeft w:val="0"/>
      <w:marRight w:val="0"/>
      <w:marTop w:val="0"/>
      <w:marBottom w:val="0"/>
      <w:divBdr>
        <w:top w:val="none" w:sz="0" w:space="0" w:color="auto"/>
        <w:left w:val="none" w:sz="0" w:space="0" w:color="auto"/>
        <w:bottom w:val="none" w:sz="0" w:space="0" w:color="auto"/>
        <w:right w:val="none" w:sz="0" w:space="0" w:color="auto"/>
      </w:divBdr>
      <w:divsChild>
        <w:div w:id="244340543">
          <w:marLeft w:val="0"/>
          <w:marRight w:val="0"/>
          <w:marTop w:val="0"/>
          <w:marBottom w:val="0"/>
          <w:divBdr>
            <w:top w:val="none" w:sz="0" w:space="0" w:color="auto"/>
            <w:left w:val="none" w:sz="0" w:space="0" w:color="auto"/>
            <w:bottom w:val="none" w:sz="0" w:space="0" w:color="auto"/>
            <w:right w:val="none" w:sz="0" w:space="0" w:color="auto"/>
          </w:divBdr>
        </w:div>
        <w:div w:id="613907488">
          <w:marLeft w:val="0"/>
          <w:marRight w:val="0"/>
          <w:marTop w:val="0"/>
          <w:marBottom w:val="0"/>
          <w:divBdr>
            <w:top w:val="none" w:sz="0" w:space="0" w:color="auto"/>
            <w:left w:val="none" w:sz="0" w:space="0" w:color="auto"/>
            <w:bottom w:val="none" w:sz="0" w:space="0" w:color="auto"/>
            <w:right w:val="none" w:sz="0" w:space="0" w:color="auto"/>
          </w:divBdr>
        </w:div>
        <w:div w:id="1321151338">
          <w:marLeft w:val="0"/>
          <w:marRight w:val="0"/>
          <w:marTop w:val="0"/>
          <w:marBottom w:val="0"/>
          <w:divBdr>
            <w:top w:val="none" w:sz="0" w:space="0" w:color="auto"/>
            <w:left w:val="none" w:sz="0" w:space="0" w:color="auto"/>
            <w:bottom w:val="none" w:sz="0" w:space="0" w:color="auto"/>
            <w:right w:val="none" w:sz="0" w:space="0" w:color="auto"/>
          </w:divBdr>
        </w:div>
        <w:div w:id="1702629630">
          <w:marLeft w:val="0"/>
          <w:marRight w:val="0"/>
          <w:marTop w:val="0"/>
          <w:marBottom w:val="0"/>
          <w:divBdr>
            <w:top w:val="none" w:sz="0" w:space="0" w:color="auto"/>
            <w:left w:val="none" w:sz="0" w:space="0" w:color="auto"/>
            <w:bottom w:val="none" w:sz="0" w:space="0" w:color="auto"/>
            <w:right w:val="none" w:sz="0" w:space="0" w:color="auto"/>
          </w:divBdr>
        </w:div>
        <w:div w:id="2006393136">
          <w:marLeft w:val="0"/>
          <w:marRight w:val="0"/>
          <w:marTop w:val="0"/>
          <w:marBottom w:val="0"/>
          <w:divBdr>
            <w:top w:val="none" w:sz="0" w:space="0" w:color="auto"/>
            <w:left w:val="none" w:sz="0" w:space="0" w:color="auto"/>
            <w:bottom w:val="none" w:sz="0" w:space="0" w:color="auto"/>
            <w:right w:val="none" w:sz="0" w:space="0" w:color="auto"/>
          </w:divBdr>
        </w:div>
      </w:divsChild>
    </w:div>
    <w:div w:id="935091388">
      <w:bodyDiv w:val="1"/>
      <w:marLeft w:val="0"/>
      <w:marRight w:val="0"/>
      <w:marTop w:val="0"/>
      <w:marBottom w:val="0"/>
      <w:divBdr>
        <w:top w:val="none" w:sz="0" w:space="0" w:color="auto"/>
        <w:left w:val="none" w:sz="0" w:space="0" w:color="auto"/>
        <w:bottom w:val="none" w:sz="0" w:space="0" w:color="auto"/>
        <w:right w:val="none" w:sz="0" w:space="0" w:color="auto"/>
      </w:divBdr>
      <w:divsChild>
        <w:div w:id="21981407">
          <w:marLeft w:val="0"/>
          <w:marRight w:val="0"/>
          <w:marTop w:val="0"/>
          <w:marBottom w:val="0"/>
          <w:divBdr>
            <w:top w:val="none" w:sz="0" w:space="0" w:color="auto"/>
            <w:left w:val="none" w:sz="0" w:space="0" w:color="auto"/>
            <w:bottom w:val="none" w:sz="0" w:space="0" w:color="auto"/>
            <w:right w:val="none" w:sz="0" w:space="0" w:color="auto"/>
          </w:divBdr>
        </w:div>
        <w:div w:id="256182385">
          <w:marLeft w:val="0"/>
          <w:marRight w:val="0"/>
          <w:marTop w:val="0"/>
          <w:marBottom w:val="0"/>
          <w:divBdr>
            <w:top w:val="none" w:sz="0" w:space="0" w:color="auto"/>
            <w:left w:val="none" w:sz="0" w:space="0" w:color="auto"/>
            <w:bottom w:val="none" w:sz="0" w:space="0" w:color="auto"/>
            <w:right w:val="none" w:sz="0" w:space="0" w:color="auto"/>
          </w:divBdr>
        </w:div>
        <w:div w:id="434909008">
          <w:marLeft w:val="0"/>
          <w:marRight w:val="0"/>
          <w:marTop w:val="0"/>
          <w:marBottom w:val="0"/>
          <w:divBdr>
            <w:top w:val="none" w:sz="0" w:space="0" w:color="auto"/>
            <w:left w:val="none" w:sz="0" w:space="0" w:color="auto"/>
            <w:bottom w:val="none" w:sz="0" w:space="0" w:color="auto"/>
            <w:right w:val="none" w:sz="0" w:space="0" w:color="auto"/>
          </w:divBdr>
        </w:div>
        <w:div w:id="596450781">
          <w:marLeft w:val="0"/>
          <w:marRight w:val="0"/>
          <w:marTop w:val="0"/>
          <w:marBottom w:val="0"/>
          <w:divBdr>
            <w:top w:val="none" w:sz="0" w:space="0" w:color="auto"/>
            <w:left w:val="none" w:sz="0" w:space="0" w:color="auto"/>
            <w:bottom w:val="none" w:sz="0" w:space="0" w:color="auto"/>
            <w:right w:val="none" w:sz="0" w:space="0" w:color="auto"/>
          </w:divBdr>
        </w:div>
        <w:div w:id="877206567">
          <w:marLeft w:val="0"/>
          <w:marRight w:val="0"/>
          <w:marTop w:val="0"/>
          <w:marBottom w:val="0"/>
          <w:divBdr>
            <w:top w:val="none" w:sz="0" w:space="0" w:color="auto"/>
            <w:left w:val="none" w:sz="0" w:space="0" w:color="auto"/>
            <w:bottom w:val="none" w:sz="0" w:space="0" w:color="auto"/>
            <w:right w:val="none" w:sz="0" w:space="0" w:color="auto"/>
          </w:divBdr>
        </w:div>
        <w:div w:id="1074736831">
          <w:marLeft w:val="0"/>
          <w:marRight w:val="0"/>
          <w:marTop w:val="0"/>
          <w:marBottom w:val="0"/>
          <w:divBdr>
            <w:top w:val="none" w:sz="0" w:space="0" w:color="auto"/>
            <w:left w:val="none" w:sz="0" w:space="0" w:color="auto"/>
            <w:bottom w:val="none" w:sz="0" w:space="0" w:color="auto"/>
            <w:right w:val="none" w:sz="0" w:space="0" w:color="auto"/>
          </w:divBdr>
        </w:div>
        <w:div w:id="1761440321">
          <w:marLeft w:val="0"/>
          <w:marRight w:val="0"/>
          <w:marTop w:val="0"/>
          <w:marBottom w:val="0"/>
          <w:divBdr>
            <w:top w:val="none" w:sz="0" w:space="0" w:color="auto"/>
            <w:left w:val="none" w:sz="0" w:space="0" w:color="auto"/>
            <w:bottom w:val="none" w:sz="0" w:space="0" w:color="auto"/>
            <w:right w:val="none" w:sz="0" w:space="0" w:color="auto"/>
          </w:divBdr>
        </w:div>
        <w:div w:id="1811284990">
          <w:marLeft w:val="0"/>
          <w:marRight w:val="0"/>
          <w:marTop w:val="0"/>
          <w:marBottom w:val="0"/>
          <w:divBdr>
            <w:top w:val="none" w:sz="0" w:space="0" w:color="auto"/>
            <w:left w:val="none" w:sz="0" w:space="0" w:color="auto"/>
            <w:bottom w:val="none" w:sz="0" w:space="0" w:color="auto"/>
            <w:right w:val="none" w:sz="0" w:space="0" w:color="auto"/>
          </w:divBdr>
        </w:div>
        <w:div w:id="1848443998">
          <w:marLeft w:val="0"/>
          <w:marRight w:val="0"/>
          <w:marTop w:val="0"/>
          <w:marBottom w:val="0"/>
          <w:divBdr>
            <w:top w:val="none" w:sz="0" w:space="0" w:color="auto"/>
            <w:left w:val="none" w:sz="0" w:space="0" w:color="auto"/>
            <w:bottom w:val="none" w:sz="0" w:space="0" w:color="auto"/>
            <w:right w:val="none" w:sz="0" w:space="0" w:color="auto"/>
          </w:divBdr>
        </w:div>
      </w:divsChild>
    </w:div>
    <w:div w:id="941650267">
      <w:bodyDiv w:val="1"/>
      <w:marLeft w:val="0"/>
      <w:marRight w:val="0"/>
      <w:marTop w:val="0"/>
      <w:marBottom w:val="0"/>
      <w:divBdr>
        <w:top w:val="none" w:sz="0" w:space="0" w:color="auto"/>
        <w:left w:val="none" w:sz="0" w:space="0" w:color="auto"/>
        <w:bottom w:val="none" w:sz="0" w:space="0" w:color="auto"/>
        <w:right w:val="none" w:sz="0" w:space="0" w:color="auto"/>
      </w:divBdr>
      <w:divsChild>
        <w:div w:id="353070496">
          <w:marLeft w:val="0"/>
          <w:marRight w:val="0"/>
          <w:marTop w:val="0"/>
          <w:marBottom w:val="0"/>
          <w:divBdr>
            <w:top w:val="none" w:sz="0" w:space="0" w:color="auto"/>
            <w:left w:val="none" w:sz="0" w:space="0" w:color="auto"/>
            <w:bottom w:val="none" w:sz="0" w:space="0" w:color="auto"/>
            <w:right w:val="none" w:sz="0" w:space="0" w:color="auto"/>
          </w:divBdr>
        </w:div>
        <w:div w:id="481586392">
          <w:marLeft w:val="0"/>
          <w:marRight w:val="0"/>
          <w:marTop w:val="0"/>
          <w:marBottom w:val="0"/>
          <w:divBdr>
            <w:top w:val="none" w:sz="0" w:space="0" w:color="auto"/>
            <w:left w:val="none" w:sz="0" w:space="0" w:color="auto"/>
            <w:bottom w:val="none" w:sz="0" w:space="0" w:color="auto"/>
            <w:right w:val="none" w:sz="0" w:space="0" w:color="auto"/>
          </w:divBdr>
        </w:div>
        <w:div w:id="874581294">
          <w:marLeft w:val="0"/>
          <w:marRight w:val="0"/>
          <w:marTop w:val="0"/>
          <w:marBottom w:val="0"/>
          <w:divBdr>
            <w:top w:val="none" w:sz="0" w:space="0" w:color="auto"/>
            <w:left w:val="none" w:sz="0" w:space="0" w:color="auto"/>
            <w:bottom w:val="none" w:sz="0" w:space="0" w:color="auto"/>
            <w:right w:val="none" w:sz="0" w:space="0" w:color="auto"/>
          </w:divBdr>
        </w:div>
        <w:div w:id="941299244">
          <w:marLeft w:val="0"/>
          <w:marRight w:val="0"/>
          <w:marTop w:val="0"/>
          <w:marBottom w:val="0"/>
          <w:divBdr>
            <w:top w:val="none" w:sz="0" w:space="0" w:color="auto"/>
            <w:left w:val="none" w:sz="0" w:space="0" w:color="auto"/>
            <w:bottom w:val="none" w:sz="0" w:space="0" w:color="auto"/>
            <w:right w:val="none" w:sz="0" w:space="0" w:color="auto"/>
          </w:divBdr>
        </w:div>
        <w:div w:id="1188637211">
          <w:marLeft w:val="0"/>
          <w:marRight w:val="0"/>
          <w:marTop w:val="0"/>
          <w:marBottom w:val="0"/>
          <w:divBdr>
            <w:top w:val="none" w:sz="0" w:space="0" w:color="auto"/>
            <w:left w:val="none" w:sz="0" w:space="0" w:color="auto"/>
            <w:bottom w:val="none" w:sz="0" w:space="0" w:color="auto"/>
            <w:right w:val="none" w:sz="0" w:space="0" w:color="auto"/>
          </w:divBdr>
        </w:div>
        <w:div w:id="1209106076">
          <w:marLeft w:val="0"/>
          <w:marRight w:val="0"/>
          <w:marTop w:val="0"/>
          <w:marBottom w:val="0"/>
          <w:divBdr>
            <w:top w:val="none" w:sz="0" w:space="0" w:color="auto"/>
            <w:left w:val="none" w:sz="0" w:space="0" w:color="auto"/>
            <w:bottom w:val="none" w:sz="0" w:space="0" w:color="auto"/>
            <w:right w:val="none" w:sz="0" w:space="0" w:color="auto"/>
          </w:divBdr>
        </w:div>
        <w:div w:id="1232304631">
          <w:marLeft w:val="0"/>
          <w:marRight w:val="0"/>
          <w:marTop w:val="0"/>
          <w:marBottom w:val="0"/>
          <w:divBdr>
            <w:top w:val="none" w:sz="0" w:space="0" w:color="auto"/>
            <w:left w:val="none" w:sz="0" w:space="0" w:color="auto"/>
            <w:bottom w:val="none" w:sz="0" w:space="0" w:color="auto"/>
            <w:right w:val="none" w:sz="0" w:space="0" w:color="auto"/>
          </w:divBdr>
        </w:div>
        <w:div w:id="1316760821">
          <w:marLeft w:val="0"/>
          <w:marRight w:val="0"/>
          <w:marTop w:val="0"/>
          <w:marBottom w:val="0"/>
          <w:divBdr>
            <w:top w:val="none" w:sz="0" w:space="0" w:color="auto"/>
            <w:left w:val="none" w:sz="0" w:space="0" w:color="auto"/>
            <w:bottom w:val="none" w:sz="0" w:space="0" w:color="auto"/>
            <w:right w:val="none" w:sz="0" w:space="0" w:color="auto"/>
          </w:divBdr>
        </w:div>
        <w:div w:id="1392074002">
          <w:marLeft w:val="0"/>
          <w:marRight w:val="0"/>
          <w:marTop w:val="0"/>
          <w:marBottom w:val="0"/>
          <w:divBdr>
            <w:top w:val="none" w:sz="0" w:space="0" w:color="auto"/>
            <w:left w:val="none" w:sz="0" w:space="0" w:color="auto"/>
            <w:bottom w:val="none" w:sz="0" w:space="0" w:color="auto"/>
            <w:right w:val="none" w:sz="0" w:space="0" w:color="auto"/>
          </w:divBdr>
        </w:div>
        <w:div w:id="1679850877">
          <w:marLeft w:val="0"/>
          <w:marRight w:val="0"/>
          <w:marTop w:val="0"/>
          <w:marBottom w:val="0"/>
          <w:divBdr>
            <w:top w:val="none" w:sz="0" w:space="0" w:color="auto"/>
            <w:left w:val="none" w:sz="0" w:space="0" w:color="auto"/>
            <w:bottom w:val="none" w:sz="0" w:space="0" w:color="auto"/>
            <w:right w:val="none" w:sz="0" w:space="0" w:color="auto"/>
          </w:divBdr>
        </w:div>
      </w:divsChild>
    </w:div>
    <w:div w:id="955795374">
      <w:bodyDiv w:val="1"/>
      <w:marLeft w:val="0"/>
      <w:marRight w:val="0"/>
      <w:marTop w:val="0"/>
      <w:marBottom w:val="0"/>
      <w:divBdr>
        <w:top w:val="none" w:sz="0" w:space="0" w:color="auto"/>
        <w:left w:val="none" w:sz="0" w:space="0" w:color="auto"/>
        <w:bottom w:val="none" w:sz="0" w:space="0" w:color="auto"/>
        <w:right w:val="none" w:sz="0" w:space="0" w:color="auto"/>
      </w:divBdr>
      <w:divsChild>
        <w:div w:id="12196324">
          <w:marLeft w:val="0"/>
          <w:marRight w:val="0"/>
          <w:marTop w:val="0"/>
          <w:marBottom w:val="0"/>
          <w:divBdr>
            <w:top w:val="none" w:sz="0" w:space="0" w:color="auto"/>
            <w:left w:val="none" w:sz="0" w:space="0" w:color="auto"/>
            <w:bottom w:val="none" w:sz="0" w:space="0" w:color="auto"/>
            <w:right w:val="none" w:sz="0" w:space="0" w:color="auto"/>
          </w:divBdr>
        </w:div>
        <w:div w:id="184103939">
          <w:marLeft w:val="0"/>
          <w:marRight w:val="0"/>
          <w:marTop w:val="0"/>
          <w:marBottom w:val="0"/>
          <w:divBdr>
            <w:top w:val="none" w:sz="0" w:space="0" w:color="auto"/>
            <w:left w:val="none" w:sz="0" w:space="0" w:color="auto"/>
            <w:bottom w:val="none" w:sz="0" w:space="0" w:color="auto"/>
            <w:right w:val="none" w:sz="0" w:space="0" w:color="auto"/>
          </w:divBdr>
        </w:div>
        <w:div w:id="804275372">
          <w:marLeft w:val="0"/>
          <w:marRight w:val="0"/>
          <w:marTop w:val="0"/>
          <w:marBottom w:val="0"/>
          <w:divBdr>
            <w:top w:val="none" w:sz="0" w:space="0" w:color="auto"/>
            <w:left w:val="none" w:sz="0" w:space="0" w:color="auto"/>
            <w:bottom w:val="none" w:sz="0" w:space="0" w:color="auto"/>
            <w:right w:val="none" w:sz="0" w:space="0" w:color="auto"/>
          </w:divBdr>
        </w:div>
        <w:div w:id="1403068359">
          <w:marLeft w:val="0"/>
          <w:marRight w:val="0"/>
          <w:marTop w:val="0"/>
          <w:marBottom w:val="0"/>
          <w:divBdr>
            <w:top w:val="none" w:sz="0" w:space="0" w:color="auto"/>
            <w:left w:val="none" w:sz="0" w:space="0" w:color="auto"/>
            <w:bottom w:val="none" w:sz="0" w:space="0" w:color="auto"/>
            <w:right w:val="none" w:sz="0" w:space="0" w:color="auto"/>
          </w:divBdr>
        </w:div>
        <w:div w:id="1655522636">
          <w:marLeft w:val="0"/>
          <w:marRight w:val="0"/>
          <w:marTop w:val="0"/>
          <w:marBottom w:val="0"/>
          <w:divBdr>
            <w:top w:val="none" w:sz="0" w:space="0" w:color="auto"/>
            <w:left w:val="none" w:sz="0" w:space="0" w:color="auto"/>
            <w:bottom w:val="none" w:sz="0" w:space="0" w:color="auto"/>
            <w:right w:val="none" w:sz="0" w:space="0" w:color="auto"/>
          </w:divBdr>
        </w:div>
        <w:div w:id="1680962277">
          <w:marLeft w:val="0"/>
          <w:marRight w:val="0"/>
          <w:marTop w:val="0"/>
          <w:marBottom w:val="0"/>
          <w:divBdr>
            <w:top w:val="none" w:sz="0" w:space="0" w:color="auto"/>
            <w:left w:val="none" w:sz="0" w:space="0" w:color="auto"/>
            <w:bottom w:val="none" w:sz="0" w:space="0" w:color="auto"/>
            <w:right w:val="none" w:sz="0" w:space="0" w:color="auto"/>
          </w:divBdr>
        </w:div>
        <w:div w:id="2007398903">
          <w:marLeft w:val="0"/>
          <w:marRight w:val="0"/>
          <w:marTop w:val="0"/>
          <w:marBottom w:val="0"/>
          <w:divBdr>
            <w:top w:val="none" w:sz="0" w:space="0" w:color="auto"/>
            <w:left w:val="none" w:sz="0" w:space="0" w:color="auto"/>
            <w:bottom w:val="none" w:sz="0" w:space="0" w:color="auto"/>
            <w:right w:val="none" w:sz="0" w:space="0" w:color="auto"/>
          </w:divBdr>
        </w:div>
      </w:divsChild>
    </w:div>
    <w:div w:id="958998442">
      <w:bodyDiv w:val="1"/>
      <w:marLeft w:val="0"/>
      <w:marRight w:val="0"/>
      <w:marTop w:val="0"/>
      <w:marBottom w:val="0"/>
      <w:divBdr>
        <w:top w:val="none" w:sz="0" w:space="0" w:color="auto"/>
        <w:left w:val="none" w:sz="0" w:space="0" w:color="auto"/>
        <w:bottom w:val="none" w:sz="0" w:space="0" w:color="auto"/>
        <w:right w:val="none" w:sz="0" w:space="0" w:color="auto"/>
      </w:divBdr>
      <w:divsChild>
        <w:div w:id="80952623">
          <w:marLeft w:val="0"/>
          <w:marRight w:val="0"/>
          <w:marTop w:val="0"/>
          <w:marBottom w:val="0"/>
          <w:divBdr>
            <w:top w:val="none" w:sz="0" w:space="0" w:color="auto"/>
            <w:left w:val="none" w:sz="0" w:space="0" w:color="auto"/>
            <w:bottom w:val="none" w:sz="0" w:space="0" w:color="auto"/>
            <w:right w:val="none" w:sz="0" w:space="0" w:color="auto"/>
          </w:divBdr>
        </w:div>
        <w:div w:id="392048204">
          <w:marLeft w:val="0"/>
          <w:marRight w:val="0"/>
          <w:marTop w:val="0"/>
          <w:marBottom w:val="0"/>
          <w:divBdr>
            <w:top w:val="none" w:sz="0" w:space="0" w:color="auto"/>
            <w:left w:val="none" w:sz="0" w:space="0" w:color="auto"/>
            <w:bottom w:val="none" w:sz="0" w:space="0" w:color="auto"/>
            <w:right w:val="none" w:sz="0" w:space="0" w:color="auto"/>
          </w:divBdr>
        </w:div>
        <w:div w:id="806779333">
          <w:marLeft w:val="0"/>
          <w:marRight w:val="0"/>
          <w:marTop w:val="0"/>
          <w:marBottom w:val="0"/>
          <w:divBdr>
            <w:top w:val="none" w:sz="0" w:space="0" w:color="auto"/>
            <w:left w:val="none" w:sz="0" w:space="0" w:color="auto"/>
            <w:bottom w:val="none" w:sz="0" w:space="0" w:color="auto"/>
            <w:right w:val="none" w:sz="0" w:space="0" w:color="auto"/>
          </w:divBdr>
        </w:div>
        <w:div w:id="851798624">
          <w:marLeft w:val="0"/>
          <w:marRight w:val="0"/>
          <w:marTop w:val="0"/>
          <w:marBottom w:val="0"/>
          <w:divBdr>
            <w:top w:val="none" w:sz="0" w:space="0" w:color="auto"/>
            <w:left w:val="none" w:sz="0" w:space="0" w:color="auto"/>
            <w:bottom w:val="none" w:sz="0" w:space="0" w:color="auto"/>
            <w:right w:val="none" w:sz="0" w:space="0" w:color="auto"/>
          </w:divBdr>
        </w:div>
        <w:div w:id="1016032769">
          <w:marLeft w:val="0"/>
          <w:marRight w:val="0"/>
          <w:marTop w:val="0"/>
          <w:marBottom w:val="0"/>
          <w:divBdr>
            <w:top w:val="none" w:sz="0" w:space="0" w:color="auto"/>
            <w:left w:val="none" w:sz="0" w:space="0" w:color="auto"/>
            <w:bottom w:val="none" w:sz="0" w:space="0" w:color="auto"/>
            <w:right w:val="none" w:sz="0" w:space="0" w:color="auto"/>
          </w:divBdr>
        </w:div>
        <w:div w:id="1127503375">
          <w:marLeft w:val="0"/>
          <w:marRight w:val="0"/>
          <w:marTop w:val="0"/>
          <w:marBottom w:val="0"/>
          <w:divBdr>
            <w:top w:val="none" w:sz="0" w:space="0" w:color="auto"/>
            <w:left w:val="none" w:sz="0" w:space="0" w:color="auto"/>
            <w:bottom w:val="none" w:sz="0" w:space="0" w:color="auto"/>
            <w:right w:val="none" w:sz="0" w:space="0" w:color="auto"/>
          </w:divBdr>
        </w:div>
        <w:div w:id="1163474086">
          <w:marLeft w:val="0"/>
          <w:marRight w:val="0"/>
          <w:marTop w:val="0"/>
          <w:marBottom w:val="0"/>
          <w:divBdr>
            <w:top w:val="none" w:sz="0" w:space="0" w:color="auto"/>
            <w:left w:val="none" w:sz="0" w:space="0" w:color="auto"/>
            <w:bottom w:val="none" w:sz="0" w:space="0" w:color="auto"/>
            <w:right w:val="none" w:sz="0" w:space="0" w:color="auto"/>
          </w:divBdr>
        </w:div>
        <w:div w:id="1269848774">
          <w:marLeft w:val="0"/>
          <w:marRight w:val="0"/>
          <w:marTop w:val="0"/>
          <w:marBottom w:val="0"/>
          <w:divBdr>
            <w:top w:val="none" w:sz="0" w:space="0" w:color="auto"/>
            <w:left w:val="none" w:sz="0" w:space="0" w:color="auto"/>
            <w:bottom w:val="none" w:sz="0" w:space="0" w:color="auto"/>
            <w:right w:val="none" w:sz="0" w:space="0" w:color="auto"/>
          </w:divBdr>
        </w:div>
        <w:div w:id="1549367998">
          <w:marLeft w:val="0"/>
          <w:marRight w:val="0"/>
          <w:marTop w:val="0"/>
          <w:marBottom w:val="0"/>
          <w:divBdr>
            <w:top w:val="none" w:sz="0" w:space="0" w:color="auto"/>
            <w:left w:val="none" w:sz="0" w:space="0" w:color="auto"/>
            <w:bottom w:val="none" w:sz="0" w:space="0" w:color="auto"/>
            <w:right w:val="none" w:sz="0" w:space="0" w:color="auto"/>
          </w:divBdr>
        </w:div>
        <w:div w:id="2035231253">
          <w:marLeft w:val="0"/>
          <w:marRight w:val="0"/>
          <w:marTop w:val="0"/>
          <w:marBottom w:val="0"/>
          <w:divBdr>
            <w:top w:val="none" w:sz="0" w:space="0" w:color="auto"/>
            <w:left w:val="none" w:sz="0" w:space="0" w:color="auto"/>
            <w:bottom w:val="none" w:sz="0" w:space="0" w:color="auto"/>
            <w:right w:val="none" w:sz="0" w:space="0" w:color="auto"/>
          </w:divBdr>
        </w:div>
        <w:div w:id="2037584216">
          <w:marLeft w:val="0"/>
          <w:marRight w:val="0"/>
          <w:marTop w:val="0"/>
          <w:marBottom w:val="0"/>
          <w:divBdr>
            <w:top w:val="none" w:sz="0" w:space="0" w:color="auto"/>
            <w:left w:val="none" w:sz="0" w:space="0" w:color="auto"/>
            <w:bottom w:val="none" w:sz="0" w:space="0" w:color="auto"/>
            <w:right w:val="none" w:sz="0" w:space="0" w:color="auto"/>
          </w:divBdr>
        </w:div>
        <w:div w:id="2050572324">
          <w:marLeft w:val="0"/>
          <w:marRight w:val="0"/>
          <w:marTop w:val="0"/>
          <w:marBottom w:val="0"/>
          <w:divBdr>
            <w:top w:val="none" w:sz="0" w:space="0" w:color="auto"/>
            <w:left w:val="none" w:sz="0" w:space="0" w:color="auto"/>
            <w:bottom w:val="none" w:sz="0" w:space="0" w:color="auto"/>
            <w:right w:val="none" w:sz="0" w:space="0" w:color="auto"/>
          </w:divBdr>
        </w:div>
        <w:div w:id="2052460892">
          <w:marLeft w:val="0"/>
          <w:marRight w:val="0"/>
          <w:marTop w:val="0"/>
          <w:marBottom w:val="0"/>
          <w:divBdr>
            <w:top w:val="none" w:sz="0" w:space="0" w:color="auto"/>
            <w:left w:val="none" w:sz="0" w:space="0" w:color="auto"/>
            <w:bottom w:val="none" w:sz="0" w:space="0" w:color="auto"/>
            <w:right w:val="none" w:sz="0" w:space="0" w:color="auto"/>
          </w:divBdr>
        </w:div>
        <w:div w:id="2071734696">
          <w:marLeft w:val="0"/>
          <w:marRight w:val="0"/>
          <w:marTop w:val="0"/>
          <w:marBottom w:val="0"/>
          <w:divBdr>
            <w:top w:val="none" w:sz="0" w:space="0" w:color="auto"/>
            <w:left w:val="none" w:sz="0" w:space="0" w:color="auto"/>
            <w:bottom w:val="none" w:sz="0" w:space="0" w:color="auto"/>
            <w:right w:val="none" w:sz="0" w:space="0" w:color="auto"/>
          </w:divBdr>
        </w:div>
        <w:div w:id="2092191025">
          <w:marLeft w:val="0"/>
          <w:marRight w:val="0"/>
          <w:marTop w:val="0"/>
          <w:marBottom w:val="0"/>
          <w:divBdr>
            <w:top w:val="none" w:sz="0" w:space="0" w:color="auto"/>
            <w:left w:val="none" w:sz="0" w:space="0" w:color="auto"/>
            <w:bottom w:val="none" w:sz="0" w:space="0" w:color="auto"/>
            <w:right w:val="none" w:sz="0" w:space="0" w:color="auto"/>
          </w:divBdr>
        </w:div>
      </w:divsChild>
    </w:div>
    <w:div w:id="963385001">
      <w:bodyDiv w:val="1"/>
      <w:marLeft w:val="0"/>
      <w:marRight w:val="0"/>
      <w:marTop w:val="0"/>
      <w:marBottom w:val="0"/>
      <w:divBdr>
        <w:top w:val="none" w:sz="0" w:space="0" w:color="auto"/>
        <w:left w:val="none" w:sz="0" w:space="0" w:color="auto"/>
        <w:bottom w:val="none" w:sz="0" w:space="0" w:color="auto"/>
        <w:right w:val="none" w:sz="0" w:space="0" w:color="auto"/>
      </w:divBdr>
      <w:divsChild>
        <w:div w:id="644705432">
          <w:marLeft w:val="0"/>
          <w:marRight w:val="0"/>
          <w:marTop w:val="0"/>
          <w:marBottom w:val="0"/>
          <w:divBdr>
            <w:top w:val="none" w:sz="0" w:space="0" w:color="auto"/>
            <w:left w:val="none" w:sz="0" w:space="0" w:color="auto"/>
            <w:bottom w:val="none" w:sz="0" w:space="0" w:color="auto"/>
            <w:right w:val="none" w:sz="0" w:space="0" w:color="auto"/>
          </w:divBdr>
        </w:div>
        <w:div w:id="673382693">
          <w:marLeft w:val="0"/>
          <w:marRight w:val="0"/>
          <w:marTop w:val="0"/>
          <w:marBottom w:val="0"/>
          <w:divBdr>
            <w:top w:val="none" w:sz="0" w:space="0" w:color="auto"/>
            <w:left w:val="none" w:sz="0" w:space="0" w:color="auto"/>
            <w:bottom w:val="none" w:sz="0" w:space="0" w:color="auto"/>
            <w:right w:val="none" w:sz="0" w:space="0" w:color="auto"/>
          </w:divBdr>
        </w:div>
        <w:div w:id="681586880">
          <w:marLeft w:val="0"/>
          <w:marRight w:val="0"/>
          <w:marTop w:val="0"/>
          <w:marBottom w:val="0"/>
          <w:divBdr>
            <w:top w:val="none" w:sz="0" w:space="0" w:color="auto"/>
            <w:left w:val="none" w:sz="0" w:space="0" w:color="auto"/>
            <w:bottom w:val="none" w:sz="0" w:space="0" w:color="auto"/>
            <w:right w:val="none" w:sz="0" w:space="0" w:color="auto"/>
          </w:divBdr>
        </w:div>
        <w:div w:id="742336728">
          <w:marLeft w:val="0"/>
          <w:marRight w:val="0"/>
          <w:marTop w:val="0"/>
          <w:marBottom w:val="0"/>
          <w:divBdr>
            <w:top w:val="none" w:sz="0" w:space="0" w:color="auto"/>
            <w:left w:val="none" w:sz="0" w:space="0" w:color="auto"/>
            <w:bottom w:val="none" w:sz="0" w:space="0" w:color="auto"/>
            <w:right w:val="none" w:sz="0" w:space="0" w:color="auto"/>
          </w:divBdr>
        </w:div>
        <w:div w:id="1006205640">
          <w:marLeft w:val="0"/>
          <w:marRight w:val="0"/>
          <w:marTop w:val="0"/>
          <w:marBottom w:val="0"/>
          <w:divBdr>
            <w:top w:val="none" w:sz="0" w:space="0" w:color="auto"/>
            <w:left w:val="none" w:sz="0" w:space="0" w:color="auto"/>
            <w:bottom w:val="none" w:sz="0" w:space="0" w:color="auto"/>
            <w:right w:val="none" w:sz="0" w:space="0" w:color="auto"/>
          </w:divBdr>
        </w:div>
        <w:div w:id="1198011906">
          <w:marLeft w:val="0"/>
          <w:marRight w:val="0"/>
          <w:marTop w:val="0"/>
          <w:marBottom w:val="0"/>
          <w:divBdr>
            <w:top w:val="none" w:sz="0" w:space="0" w:color="auto"/>
            <w:left w:val="none" w:sz="0" w:space="0" w:color="auto"/>
            <w:bottom w:val="none" w:sz="0" w:space="0" w:color="auto"/>
            <w:right w:val="none" w:sz="0" w:space="0" w:color="auto"/>
          </w:divBdr>
        </w:div>
        <w:div w:id="1496721939">
          <w:marLeft w:val="0"/>
          <w:marRight w:val="0"/>
          <w:marTop w:val="0"/>
          <w:marBottom w:val="0"/>
          <w:divBdr>
            <w:top w:val="none" w:sz="0" w:space="0" w:color="auto"/>
            <w:left w:val="none" w:sz="0" w:space="0" w:color="auto"/>
            <w:bottom w:val="none" w:sz="0" w:space="0" w:color="auto"/>
            <w:right w:val="none" w:sz="0" w:space="0" w:color="auto"/>
          </w:divBdr>
        </w:div>
        <w:div w:id="1597203004">
          <w:marLeft w:val="0"/>
          <w:marRight w:val="0"/>
          <w:marTop w:val="0"/>
          <w:marBottom w:val="0"/>
          <w:divBdr>
            <w:top w:val="none" w:sz="0" w:space="0" w:color="auto"/>
            <w:left w:val="none" w:sz="0" w:space="0" w:color="auto"/>
            <w:bottom w:val="none" w:sz="0" w:space="0" w:color="auto"/>
            <w:right w:val="none" w:sz="0" w:space="0" w:color="auto"/>
          </w:divBdr>
        </w:div>
        <w:div w:id="1919826495">
          <w:marLeft w:val="0"/>
          <w:marRight w:val="0"/>
          <w:marTop w:val="0"/>
          <w:marBottom w:val="0"/>
          <w:divBdr>
            <w:top w:val="none" w:sz="0" w:space="0" w:color="auto"/>
            <w:left w:val="none" w:sz="0" w:space="0" w:color="auto"/>
            <w:bottom w:val="none" w:sz="0" w:space="0" w:color="auto"/>
            <w:right w:val="none" w:sz="0" w:space="0" w:color="auto"/>
          </w:divBdr>
        </w:div>
        <w:div w:id="1999650275">
          <w:marLeft w:val="0"/>
          <w:marRight w:val="0"/>
          <w:marTop w:val="0"/>
          <w:marBottom w:val="0"/>
          <w:divBdr>
            <w:top w:val="none" w:sz="0" w:space="0" w:color="auto"/>
            <w:left w:val="none" w:sz="0" w:space="0" w:color="auto"/>
            <w:bottom w:val="none" w:sz="0" w:space="0" w:color="auto"/>
            <w:right w:val="none" w:sz="0" w:space="0" w:color="auto"/>
          </w:divBdr>
        </w:div>
        <w:div w:id="2136361159">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998459655">
      <w:bodyDiv w:val="1"/>
      <w:marLeft w:val="0"/>
      <w:marRight w:val="0"/>
      <w:marTop w:val="0"/>
      <w:marBottom w:val="0"/>
      <w:divBdr>
        <w:top w:val="none" w:sz="0" w:space="0" w:color="auto"/>
        <w:left w:val="none" w:sz="0" w:space="0" w:color="auto"/>
        <w:bottom w:val="none" w:sz="0" w:space="0" w:color="auto"/>
        <w:right w:val="none" w:sz="0" w:space="0" w:color="auto"/>
      </w:divBdr>
      <w:divsChild>
        <w:div w:id="273557766">
          <w:marLeft w:val="0"/>
          <w:marRight w:val="0"/>
          <w:marTop w:val="0"/>
          <w:marBottom w:val="0"/>
          <w:divBdr>
            <w:top w:val="none" w:sz="0" w:space="0" w:color="auto"/>
            <w:left w:val="none" w:sz="0" w:space="0" w:color="auto"/>
            <w:bottom w:val="none" w:sz="0" w:space="0" w:color="auto"/>
            <w:right w:val="none" w:sz="0" w:space="0" w:color="auto"/>
          </w:divBdr>
        </w:div>
        <w:div w:id="522018263">
          <w:marLeft w:val="0"/>
          <w:marRight w:val="0"/>
          <w:marTop w:val="0"/>
          <w:marBottom w:val="0"/>
          <w:divBdr>
            <w:top w:val="none" w:sz="0" w:space="0" w:color="auto"/>
            <w:left w:val="none" w:sz="0" w:space="0" w:color="auto"/>
            <w:bottom w:val="none" w:sz="0" w:space="0" w:color="auto"/>
            <w:right w:val="none" w:sz="0" w:space="0" w:color="auto"/>
          </w:divBdr>
        </w:div>
        <w:div w:id="758865016">
          <w:marLeft w:val="0"/>
          <w:marRight w:val="0"/>
          <w:marTop w:val="0"/>
          <w:marBottom w:val="0"/>
          <w:divBdr>
            <w:top w:val="none" w:sz="0" w:space="0" w:color="auto"/>
            <w:left w:val="none" w:sz="0" w:space="0" w:color="auto"/>
            <w:bottom w:val="none" w:sz="0" w:space="0" w:color="auto"/>
            <w:right w:val="none" w:sz="0" w:space="0" w:color="auto"/>
          </w:divBdr>
        </w:div>
        <w:div w:id="1854100931">
          <w:marLeft w:val="0"/>
          <w:marRight w:val="0"/>
          <w:marTop w:val="0"/>
          <w:marBottom w:val="0"/>
          <w:divBdr>
            <w:top w:val="none" w:sz="0" w:space="0" w:color="auto"/>
            <w:left w:val="none" w:sz="0" w:space="0" w:color="auto"/>
            <w:bottom w:val="none" w:sz="0" w:space="0" w:color="auto"/>
            <w:right w:val="none" w:sz="0" w:space="0" w:color="auto"/>
          </w:divBdr>
        </w:div>
        <w:div w:id="2045861278">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10596034">
      <w:bodyDiv w:val="1"/>
      <w:marLeft w:val="0"/>
      <w:marRight w:val="0"/>
      <w:marTop w:val="0"/>
      <w:marBottom w:val="0"/>
      <w:divBdr>
        <w:top w:val="none" w:sz="0" w:space="0" w:color="auto"/>
        <w:left w:val="none" w:sz="0" w:space="0" w:color="auto"/>
        <w:bottom w:val="none" w:sz="0" w:space="0" w:color="auto"/>
        <w:right w:val="none" w:sz="0" w:space="0" w:color="auto"/>
      </w:divBdr>
      <w:divsChild>
        <w:div w:id="80414654">
          <w:marLeft w:val="0"/>
          <w:marRight w:val="0"/>
          <w:marTop w:val="0"/>
          <w:marBottom w:val="0"/>
          <w:divBdr>
            <w:top w:val="none" w:sz="0" w:space="0" w:color="auto"/>
            <w:left w:val="none" w:sz="0" w:space="0" w:color="auto"/>
            <w:bottom w:val="none" w:sz="0" w:space="0" w:color="auto"/>
            <w:right w:val="none" w:sz="0" w:space="0" w:color="auto"/>
          </w:divBdr>
        </w:div>
        <w:div w:id="197162541">
          <w:marLeft w:val="0"/>
          <w:marRight w:val="0"/>
          <w:marTop w:val="0"/>
          <w:marBottom w:val="0"/>
          <w:divBdr>
            <w:top w:val="none" w:sz="0" w:space="0" w:color="auto"/>
            <w:left w:val="none" w:sz="0" w:space="0" w:color="auto"/>
            <w:bottom w:val="none" w:sz="0" w:space="0" w:color="auto"/>
            <w:right w:val="none" w:sz="0" w:space="0" w:color="auto"/>
          </w:divBdr>
        </w:div>
        <w:div w:id="496502621">
          <w:marLeft w:val="0"/>
          <w:marRight w:val="0"/>
          <w:marTop w:val="0"/>
          <w:marBottom w:val="0"/>
          <w:divBdr>
            <w:top w:val="none" w:sz="0" w:space="0" w:color="auto"/>
            <w:left w:val="none" w:sz="0" w:space="0" w:color="auto"/>
            <w:bottom w:val="none" w:sz="0" w:space="0" w:color="auto"/>
            <w:right w:val="none" w:sz="0" w:space="0" w:color="auto"/>
          </w:divBdr>
        </w:div>
        <w:div w:id="508954148">
          <w:marLeft w:val="0"/>
          <w:marRight w:val="0"/>
          <w:marTop w:val="0"/>
          <w:marBottom w:val="0"/>
          <w:divBdr>
            <w:top w:val="none" w:sz="0" w:space="0" w:color="auto"/>
            <w:left w:val="none" w:sz="0" w:space="0" w:color="auto"/>
            <w:bottom w:val="none" w:sz="0" w:space="0" w:color="auto"/>
            <w:right w:val="none" w:sz="0" w:space="0" w:color="auto"/>
          </w:divBdr>
        </w:div>
        <w:div w:id="963270481">
          <w:marLeft w:val="0"/>
          <w:marRight w:val="0"/>
          <w:marTop w:val="0"/>
          <w:marBottom w:val="0"/>
          <w:divBdr>
            <w:top w:val="none" w:sz="0" w:space="0" w:color="auto"/>
            <w:left w:val="none" w:sz="0" w:space="0" w:color="auto"/>
            <w:bottom w:val="none" w:sz="0" w:space="0" w:color="auto"/>
            <w:right w:val="none" w:sz="0" w:space="0" w:color="auto"/>
          </w:divBdr>
        </w:div>
        <w:div w:id="1106920846">
          <w:marLeft w:val="0"/>
          <w:marRight w:val="0"/>
          <w:marTop w:val="0"/>
          <w:marBottom w:val="0"/>
          <w:divBdr>
            <w:top w:val="none" w:sz="0" w:space="0" w:color="auto"/>
            <w:left w:val="none" w:sz="0" w:space="0" w:color="auto"/>
            <w:bottom w:val="none" w:sz="0" w:space="0" w:color="auto"/>
            <w:right w:val="none" w:sz="0" w:space="0" w:color="auto"/>
          </w:divBdr>
        </w:div>
        <w:div w:id="1802574718">
          <w:marLeft w:val="0"/>
          <w:marRight w:val="0"/>
          <w:marTop w:val="0"/>
          <w:marBottom w:val="0"/>
          <w:divBdr>
            <w:top w:val="none" w:sz="0" w:space="0" w:color="auto"/>
            <w:left w:val="none" w:sz="0" w:space="0" w:color="auto"/>
            <w:bottom w:val="none" w:sz="0" w:space="0" w:color="auto"/>
            <w:right w:val="none" w:sz="0" w:space="0" w:color="auto"/>
          </w:divBdr>
        </w:div>
        <w:div w:id="1828327019">
          <w:marLeft w:val="0"/>
          <w:marRight w:val="0"/>
          <w:marTop w:val="0"/>
          <w:marBottom w:val="0"/>
          <w:divBdr>
            <w:top w:val="none" w:sz="0" w:space="0" w:color="auto"/>
            <w:left w:val="none" w:sz="0" w:space="0" w:color="auto"/>
            <w:bottom w:val="none" w:sz="0" w:space="0" w:color="auto"/>
            <w:right w:val="none" w:sz="0" w:space="0" w:color="auto"/>
          </w:divBdr>
        </w:div>
        <w:div w:id="2092118558">
          <w:marLeft w:val="0"/>
          <w:marRight w:val="0"/>
          <w:marTop w:val="0"/>
          <w:marBottom w:val="0"/>
          <w:divBdr>
            <w:top w:val="none" w:sz="0" w:space="0" w:color="auto"/>
            <w:left w:val="none" w:sz="0" w:space="0" w:color="auto"/>
            <w:bottom w:val="none" w:sz="0" w:space="0" w:color="auto"/>
            <w:right w:val="none" w:sz="0" w:space="0" w:color="auto"/>
          </w:divBdr>
        </w:div>
      </w:divsChild>
    </w:div>
    <w:div w:id="1016346037">
      <w:bodyDiv w:val="1"/>
      <w:marLeft w:val="0"/>
      <w:marRight w:val="0"/>
      <w:marTop w:val="0"/>
      <w:marBottom w:val="0"/>
      <w:divBdr>
        <w:top w:val="none" w:sz="0" w:space="0" w:color="auto"/>
        <w:left w:val="none" w:sz="0" w:space="0" w:color="auto"/>
        <w:bottom w:val="none" w:sz="0" w:space="0" w:color="auto"/>
        <w:right w:val="none" w:sz="0" w:space="0" w:color="auto"/>
      </w:divBdr>
      <w:divsChild>
        <w:div w:id="82452887">
          <w:marLeft w:val="0"/>
          <w:marRight w:val="0"/>
          <w:marTop w:val="0"/>
          <w:marBottom w:val="0"/>
          <w:divBdr>
            <w:top w:val="none" w:sz="0" w:space="0" w:color="auto"/>
            <w:left w:val="none" w:sz="0" w:space="0" w:color="auto"/>
            <w:bottom w:val="none" w:sz="0" w:space="0" w:color="auto"/>
            <w:right w:val="none" w:sz="0" w:space="0" w:color="auto"/>
          </w:divBdr>
        </w:div>
        <w:div w:id="320013606">
          <w:marLeft w:val="0"/>
          <w:marRight w:val="0"/>
          <w:marTop w:val="0"/>
          <w:marBottom w:val="0"/>
          <w:divBdr>
            <w:top w:val="none" w:sz="0" w:space="0" w:color="auto"/>
            <w:left w:val="none" w:sz="0" w:space="0" w:color="auto"/>
            <w:bottom w:val="none" w:sz="0" w:space="0" w:color="auto"/>
            <w:right w:val="none" w:sz="0" w:space="0" w:color="auto"/>
          </w:divBdr>
        </w:div>
        <w:div w:id="394742142">
          <w:marLeft w:val="0"/>
          <w:marRight w:val="0"/>
          <w:marTop w:val="0"/>
          <w:marBottom w:val="0"/>
          <w:divBdr>
            <w:top w:val="none" w:sz="0" w:space="0" w:color="auto"/>
            <w:left w:val="none" w:sz="0" w:space="0" w:color="auto"/>
            <w:bottom w:val="none" w:sz="0" w:space="0" w:color="auto"/>
            <w:right w:val="none" w:sz="0" w:space="0" w:color="auto"/>
          </w:divBdr>
        </w:div>
        <w:div w:id="472336874">
          <w:marLeft w:val="0"/>
          <w:marRight w:val="0"/>
          <w:marTop w:val="0"/>
          <w:marBottom w:val="0"/>
          <w:divBdr>
            <w:top w:val="none" w:sz="0" w:space="0" w:color="auto"/>
            <w:left w:val="none" w:sz="0" w:space="0" w:color="auto"/>
            <w:bottom w:val="none" w:sz="0" w:space="0" w:color="auto"/>
            <w:right w:val="none" w:sz="0" w:space="0" w:color="auto"/>
          </w:divBdr>
        </w:div>
        <w:div w:id="475758531">
          <w:marLeft w:val="0"/>
          <w:marRight w:val="0"/>
          <w:marTop w:val="0"/>
          <w:marBottom w:val="0"/>
          <w:divBdr>
            <w:top w:val="none" w:sz="0" w:space="0" w:color="auto"/>
            <w:left w:val="none" w:sz="0" w:space="0" w:color="auto"/>
            <w:bottom w:val="none" w:sz="0" w:space="0" w:color="auto"/>
            <w:right w:val="none" w:sz="0" w:space="0" w:color="auto"/>
          </w:divBdr>
        </w:div>
        <w:div w:id="773210653">
          <w:marLeft w:val="0"/>
          <w:marRight w:val="0"/>
          <w:marTop w:val="0"/>
          <w:marBottom w:val="0"/>
          <w:divBdr>
            <w:top w:val="none" w:sz="0" w:space="0" w:color="auto"/>
            <w:left w:val="none" w:sz="0" w:space="0" w:color="auto"/>
            <w:bottom w:val="none" w:sz="0" w:space="0" w:color="auto"/>
            <w:right w:val="none" w:sz="0" w:space="0" w:color="auto"/>
          </w:divBdr>
        </w:div>
        <w:div w:id="807552500">
          <w:marLeft w:val="0"/>
          <w:marRight w:val="0"/>
          <w:marTop w:val="0"/>
          <w:marBottom w:val="0"/>
          <w:divBdr>
            <w:top w:val="none" w:sz="0" w:space="0" w:color="auto"/>
            <w:left w:val="none" w:sz="0" w:space="0" w:color="auto"/>
            <w:bottom w:val="none" w:sz="0" w:space="0" w:color="auto"/>
            <w:right w:val="none" w:sz="0" w:space="0" w:color="auto"/>
          </w:divBdr>
        </w:div>
        <w:div w:id="1543328140">
          <w:marLeft w:val="0"/>
          <w:marRight w:val="0"/>
          <w:marTop w:val="0"/>
          <w:marBottom w:val="0"/>
          <w:divBdr>
            <w:top w:val="none" w:sz="0" w:space="0" w:color="auto"/>
            <w:left w:val="none" w:sz="0" w:space="0" w:color="auto"/>
            <w:bottom w:val="none" w:sz="0" w:space="0" w:color="auto"/>
            <w:right w:val="none" w:sz="0" w:space="0" w:color="auto"/>
          </w:divBdr>
        </w:div>
        <w:div w:id="1639993502">
          <w:marLeft w:val="0"/>
          <w:marRight w:val="0"/>
          <w:marTop w:val="0"/>
          <w:marBottom w:val="0"/>
          <w:divBdr>
            <w:top w:val="none" w:sz="0" w:space="0" w:color="auto"/>
            <w:left w:val="none" w:sz="0" w:space="0" w:color="auto"/>
            <w:bottom w:val="none" w:sz="0" w:space="0" w:color="auto"/>
            <w:right w:val="none" w:sz="0" w:space="0" w:color="auto"/>
          </w:divBdr>
        </w:div>
        <w:div w:id="1652784311">
          <w:marLeft w:val="0"/>
          <w:marRight w:val="0"/>
          <w:marTop w:val="0"/>
          <w:marBottom w:val="0"/>
          <w:divBdr>
            <w:top w:val="none" w:sz="0" w:space="0" w:color="auto"/>
            <w:left w:val="none" w:sz="0" w:space="0" w:color="auto"/>
            <w:bottom w:val="none" w:sz="0" w:space="0" w:color="auto"/>
            <w:right w:val="none" w:sz="0" w:space="0" w:color="auto"/>
          </w:divBdr>
        </w:div>
        <w:div w:id="1974677404">
          <w:marLeft w:val="0"/>
          <w:marRight w:val="0"/>
          <w:marTop w:val="0"/>
          <w:marBottom w:val="0"/>
          <w:divBdr>
            <w:top w:val="none" w:sz="0" w:space="0" w:color="auto"/>
            <w:left w:val="none" w:sz="0" w:space="0" w:color="auto"/>
            <w:bottom w:val="none" w:sz="0" w:space="0" w:color="auto"/>
            <w:right w:val="none" w:sz="0" w:space="0" w:color="auto"/>
          </w:divBdr>
          <w:divsChild>
            <w:div w:id="519510428">
              <w:marLeft w:val="0"/>
              <w:marRight w:val="0"/>
              <w:marTop w:val="0"/>
              <w:marBottom w:val="0"/>
              <w:divBdr>
                <w:top w:val="none" w:sz="0" w:space="0" w:color="auto"/>
                <w:left w:val="none" w:sz="0" w:space="0" w:color="auto"/>
                <w:bottom w:val="none" w:sz="0" w:space="0" w:color="auto"/>
                <w:right w:val="none" w:sz="0" w:space="0" w:color="auto"/>
              </w:divBdr>
            </w:div>
            <w:div w:id="1601256225">
              <w:marLeft w:val="0"/>
              <w:marRight w:val="0"/>
              <w:marTop w:val="0"/>
              <w:marBottom w:val="0"/>
              <w:divBdr>
                <w:top w:val="none" w:sz="0" w:space="0" w:color="auto"/>
                <w:left w:val="none" w:sz="0" w:space="0" w:color="auto"/>
                <w:bottom w:val="none" w:sz="0" w:space="0" w:color="auto"/>
                <w:right w:val="none" w:sz="0" w:space="0" w:color="auto"/>
              </w:divBdr>
            </w:div>
            <w:div w:id="1631981018">
              <w:marLeft w:val="0"/>
              <w:marRight w:val="0"/>
              <w:marTop w:val="0"/>
              <w:marBottom w:val="0"/>
              <w:divBdr>
                <w:top w:val="none" w:sz="0" w:space="0" w:color="auto"/>
                <w:left w:val="none" w:sz="0" w:space="0" w:color="auto"/>
                <w:bottom w:val="none" w:sz="0" w:space="0" w:color="auto"/>
                <w:right w:val="none" w:sz="0" w:space="0" w:color="auto"/>
              </w:divBdr>
            </w:div>
            <w:div w:id="1828476060">
              <w:marLeft w:val="0"/>
              <w:marRight w:val="0"/>
              <w:marTop w:val="0"/>
              <w:marBottom w:val="0"/>
              <w:divBdr>
                <w:top w:val="none" w:sz="0" w:space="0" w:color="auto"/>
                <w:left w:val="none" w:sz="0" w:space="0" w:color="auto"/>
                <w:bottom w:val="none" w:sz="0" w:space="0" w:color="auto"/>
                <w:right w:val="none" w:sz="0" w:space="0" w:color="auto"/>
              </w:divBdr>
            </w:div>
            <w:div w:id="1876692954">
              <w:marLeft w:val="0"/>
              <w:marRight w:val="0"/>
              <w:marTop w:val="0"/>
              <w:marBottom w:val="0"/>
              <w:divBdr>
                <w:top w:val="none" w:sz="0" w:space="0" w:color="auto"/>
                <w:left w:val="none" w:sz="0" w:space="0" w:color="auto"/>
                <w:bottom w:val="none" w:sz="0" w:space="0" w:color="auto"/>
                <w:right w:val="none" w:sz="0" w:space="0" w:color="auto"/>
              </w:divBdr>
            </w:div>
          </w:divsChild>
        </w:div>
        <w:div w:id="2016375320">
          <w:marLeft w:val="0"/>
          <w:marRight w:val="0"/>
          <w:marTop w:val="0"/>
          <w:marBottom w:val="0"/>
          <w:divBdr>
            <w:top w:val="none" w:sz="0" w:space="0" w:color="auto"/>
            <w:left w:val="none" w:sz="0" w:space="0" w:color="auto"/>
            <w:bottom w:val="none" w:sz="0" w:space="0" w:color="auto"/>
            <w:right w:val="none" w:sz="0" w:space="0" w:color="auto"/>
          </w:divBdr>
        </w:div>
        <w:div w:id="2093502095">
          <w:marLeft w:val="0"/>
          <w:marRight w:val="0"/>
          <w:marTop w:val="0"/>
          <w:marBottom w:val="0"/>
          <w:divBdr>
            <w:top w:val="none" w:sz="0" w:space="0" w:color="auto"/>
            <w:left w:val="none" w:sz="0" w:space="0" w:color="auto"/>
            <w:bottom w:val="none" w:sz="0" w:space="0" w:color="auto"/>
            <w:right w:val="none" w:sz="0" w:space="0" w:color="auto"/>
          </w:divBdr>
        </w:div>
      </w:divsChild>
    </w:div>
    <w:div w:id="1018198337">
      <w:bodyDiv w:val="1"/>
      <w:marLeft w:val="0"/>
      <w:marRight w:val="0"/>
      <w:marTop w:val="0"/>
      <w:marBottom w:val="0"/>
      <w:divBdr>
        <w:top w:val="none" w:sz="0" w:space="0" w:color="auto"/>
        <w:left w:val="none" w:sz="0" w:space="0" w:color="auto"/>
        <w:bottom w:val="none" w:sz="0" w:space="0" w:color="auto"/>
        <w:right w:val="none" w:sz="0" w:space="0" w:color="auto"/>
      </w:divBdr>
      <w:divsChild>
        <w:div w:id="185169590">
          <w:marLeft w:val="0"/>
          <w:marRight w:val="0"/>
          <w:marTop w:val="0"/>
          <w:marBottom w:val="0"/>
          <w:divBdr>
            <w:top w:val="none" w:sz="0" w:space="0" w:color="auto"/>
            <w:left w:val="none" w:sz="0" w:space="0" w:color="auto"/>
            <w:bottom w:val="none" w:sz="0" w:space="0" w:color="auto"/>
            <w:right w:val="none" w:sz="0" w:space="0" w:color="auto"/>
          </w:divBdr>
        </w:div>
        <w:div w:id="444690767">
          <w:marLeft w:val="0"/>
          <w:marRight w:val="0"/>
          <w:marTop w:val="0"/>
          <w:marBottom w:val="0"/>
          <w:divBdr>
            <w:top w:val="none" w:sz="0" w:space="0" w:color="auto"/>
            <w:left w:val="none" w:sz="0" w:space="0" w:color="auto"/>
            <w:bottom w:val="none" w:sz="0" w:space="0" w:color="auto"/>
            <w:right w:val="none" w:sz="0" w:space="0" w:color="auto"/>
          </w:divBdr>
          <w:divsChild>
            <w:div w:id="276835359">
              <w:marLeft w:val="0"/>
              <w:marRight w:val="0"/>
              <w:marTop w:val="0"/>
              <w:marBottom w:val="0"/>
              <w:divBdr>
                <w:top w:val="none" w:sz="0" w:space="0" w:color="auto"/>
                <w:left w:val="none" w:sz="0" w:space="0" w:color="auto"/>
                <w:bottom w:val="none" w:sz="0" w:space="0" w:color="auto"/>
                <w:right w:val="none" w:sz="0" w:space="0" w:color="auto"/>
              </w:divBdr>
            </w:div>
            <w:div w:id="290062975">
              <w:marLeft w:val="0"/>
              <w:marRight w:val="0"/>
              <w:marTop w:val="0"/>
              <w:marBottom w:val="0"/>
              <w:divBdr>
                <w:top w:val="none" w:sz="0" w:space="0" w:color="auto"/>
                <w:left w:val="none" w:sz="0" w:space="0" w:color="auto"/>
                <w:bottom w:val="none" w:sz="0" w:space="0" w:color="auto"/>
                <w:right w:val="none" w:sz="0" w:space="0" w:color="auto"/>
              </w:divBdr>
            </w:div>
            <w:div w:id="667563960">
              <w:marLeft w:val="0"/>
              <w:marRight w:val="0"/>
              <w:marTop w:val="0"/>
              <w:marBottom w:val="0"/>
              <w:divBdr>
                <w:top w:val="none" w:sz="0" w:space="0" w:color="auto"/>
                <w:left w:val="none" w:sz="0" w:space="0" w:color="auto"/>
                <w:bottom w:val="none" w:sz="0" w:space="0" w:color="auto"/>
                <w:right w:val="none" w:sz="0" w:space="0" w:color="auto"/>
              </w:divBdr>
            </w:div>
            <w:div w:id="1175339388">
              <w:marLeft w:val="0"/>
              <w:marRight w:val="0"/>
              <w:marTop w:val="0"/>
              <w:marBottom w:val="0"/>
              <w:divBdr>
                <w:top w:val="none" w:sz="0" w:space="0" w:color="auto"/>
                <w:left w:val="none" w:sz="0" w:space="0" w:color="auto"/>
                <w:bottom w:val="none" w:sz="0" w:space="0" w:color="auto"/>
                <w:right w:val="none" w:sz="0" w:space="0" w:color="auto"/>
              </w:divBdr>
            </w:div>
            <w:div w:id="1484395295">
              <w:marLeft w:val="0"/>
              <w:marRight w:val="0"/>
              <w:marTop w:val="0"/>
              <w:marBottom w:val="0"/>
              <w:divBdr>
                <w:top w:val="none" w:sz="0" w:space="0" w:color="auto"/>
                <w:left w:val="none" w:sz="0" w:space="0" w:color="auto"/>
                <w:bottom w:val="none" w:sz="0" w:space="0" w:color="auto"/>
                <w:right w:val="none" w:sz="0" w:space="0" w:color="auto"/>
              </w:divBdr>
            </w:div>
          </w:divsChild>
        </w:div>
        <w:div w:id="533732337">
          <w:marLeft w:val="0"/>
          <w:marRight w:val="0"/>
          <w:marTop w:val="0"/>
          <w:marBottom w:val="0"/>
          <w:divBdr>
            <w:top w:val="none" w:sz="0" w:space="0" w:color="auto"/>
            <w:left w:val="none" w:sz="0" w:space="0" w:color="auto"/>
            <w:bottom w:val="none" w:sz="0" w:space="0" w:color="auto"/>
            <w:right w:val="none" w:sz="0" w:space="0" w:color="auto"/>
          </w:divBdr>
        </w:div>
        <w:div w:id="932005887">
          <w:marLeft w:val="0"/>
          <w:marRight w:val="0"/>
          <w:marTop w:val="0"/>
          <w:marBottom w:val="0"/>
          <w:divBdr>
            <w:top w:val="none" w:sz="0" w:space="0" w:color="auto"/>
            <w:left w:val="none" w:sz="0" w:space="0" w:color="auto"/>
            <w:bottom w:val="none" w:sz="0" w:space="0" w:color="auto"/>
            <w:right w:val="none" w:sz="0" w:space="0" w:color="auto"/>
          </w:divBdr>
          <w:divsChild>
            <w:div w:id="505680552">
              <w:marLeft w:val="0"/>
              <w:marRight w:val="0"/>
              <w:marTop w:val="0"/>
              <w:marBottom w:val="0"/>
              <w:divBdr>
                <w:top w:val="none" w:sz="0" w:space="0" w:color="auto"/>
                <w:left w:val="none" w:sz="0" w:space="0" w:color="auto"/>
                <w:bottom w:val="none" w:sz="0" w:space="0" w:color="auto"/>
                <w:right w:val="none" w:sz="0" w:space="0" w:color="auto"/>
              </w:divBdr>
            </w:div>
            <w:div w:id="844395270">
              <w:marLeft w:val="0"/>
              <w:marRight w:val="0"/>
              <w:marTop w:val="0"/>
              <w:marBottom w:val="0"/>
              <w:divBdr>
                <w:top w:val="none" w:sz="0" w:space="0" w:color="auto"/>
                <w:left w:val="none" w:sz="0" w:space="0" w:color="auto"/>
                <w:bottom w:val="none" w:sz="0" w:space="0" w:color="auto"/>
                <w:right w:val="none" w:sz="0" w:space="0" w:color="auto"/>
              </w:divBdr>
            </w:div>
            <w:div w:id="1501238495">
              <w:marLeft w:val="0"/>
              <w:marRight w:val="0"/>
              <w:marTop w:val="0"/>
              <w:marBottom w:val="0"/>
              <w:divBdr>
                <w:top w:val="none" w:sz="0" w:space="0" w:color="auto"/>
                <w:left w:val="none" w:sz="0" w:space="0" w:color="auto"/>
                <w:bottom w:val="none" w:sz="0" w:space="0" w:color="auto"/>
                <w:right w:val="none" w:sz="0" w:space="0" w:color="auto"/>
              </w:divBdr>
            </w:div>
            <w:div w:id="174594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081364776">
      <w:bodyDiv w:val="1"/>
      <w:marLeft w:val="0"/>
      <w:marRight w:val="0"/>
      <w:marTop w:val="0"/>
      <w:marBottom w:val="0"/>
      <w:divBdr>
        <w:top w:val="none" w:sz="0" w:space="0" w:color="auto"/>
        <w:left w:val="none" w:sz="0" w:space="0" w:color="auto"/>
        <w:bottom w:val="none" w:sz="0" w:space="0" w:color="auto"/>
        <w:right w:val="none" w:sz="0" w:space="0" w:color="auto"/>
      </w:divBdr>
      <w:divsChild>
        <w:div w:id="17200502">
          <w:marLeft w:val="0"/>
          <w:marRight w:val="0"/>
          <w:marTop w:val="0"/>
          <w:marBottom w:val="0"/>
          <w:divBdr>
            <w:top w:val="none" w:sz="0" w:space="0" w:color="auto"/>
            <w:left w:val="none" w:sz="0" w:space="0" w:color="auto"/>
            <w:bottom w:val="none" w:sz="0" w:space="0" w:color="auto"/>
            <w:right w:val="none" w:sz="0" w:space="0" w:color="auto"/>
          </w:divBdr>
        </w:div>
        <w:div w:id="106584121">
          <w:marLeft w:val="0"/>
          <w:marRight w:val="0"/>
          <w:marTop w:val="0"/>
          <w:marBottom w:val="0"/>
          <w:divBdr>
            <w:top w:val="none" w:sz="0" w:space="0" w:color="auto"/>
            <w:left w:val="none" w:sz="0" w:space="0" w:color="auto"/>
            <w:bottom w:val="none" w:sz="0" w:space="0" w:color="auto"/>
            <w:right w:val="none" w:sz="0" w:space="0" w:color="auto"/>
          </w:divBdr>
        </w:div>
        <w:div w:id="211582011">
          <w:marLeft w:val="0"/>
          <w:marRight w:val="0"/>
          <w:marTop w:val="0"/>
          <w:marBottom w:val="0"/>
          <w:divBdr>
            <w:top w:val="none" w:sz="0" w:space="0" w:color="auto"/>
            <w:left w:val="none" w:sz="0" w:space="0" w:color="auto"/>
            <w:bottom w:val="none" w:sz="0" w:space="0" w:color="auto"/>
            <w:right w:val="none" w:sz="0" w:space="0" w:color="auto"/>
          </w:divBdr>
        </w:div>
        <w:div w:id="383985065">
          <w:marLeft w:val="0"/>
          <w:marRight w:val="0"/>
          <w:marTop w:val="0"/>
          <w:marBottom w:val="0"/>
          <w:divBdr>
            <w:top w:val="none" w:sz="0" w:space="0" w:color="auto"/>
            <w:left w:val="none" w:sz="0" w:space="0" w:color="auto"/>
            <w:bottom w:val="none" w:sz="0" w:space="0" w:color="auto"/>
            <w:right w:val="none" w:sz="0" w:space="0" w:color="auto"/>
          </w:divBdr>
        </w:div>
        <w:div w:id="517156904">
          <w:marLeft w:val="0"/>
          <w:marRight w:val="0"/>
          <w:marTop w:val="0"/>
          <w:marBottom w:val="0"/>
          <w:divBdr>
            <w:top w:val="none" w:sz="0" w:space="0" w:color="auto"/>
            <w:left w:val="none" w:sz="0" w:space="0" w:color="auto"/>
            <w:bottom w:val="none" w:sz="0" w:space="0" w:color="auto"/>
            <w:right w:val="none" w:sz="0" w:space="0" w:color="auto"/>
          </w:divBdr>
        </w:div>
        <w:div w:id="581179732">
          <w:marLeft w:val="0"/>
          <w:marRight w:val="0"/>
          <w:marTop w:val="0"/>
          <w:marBottom w:val="0"/>
          <w:divBdr>
            <w:top w:val="none" w:sz="0" w:space="0" w:color="auto"/>
            <w:left w:val="none" w:sz="0" w:space="0" w:color="auto"/>
            <w:bottom w:val="none" w:sz="0" w:space="0" w:color="auto"/>
            <w:right w:val="none" w:sz="0" w:space="0" w:color="auto"/>
          </w:divBdr>
        </w:div>
        <w:div w:id="638730575">
          <w:marLeft w:val="0"/>
          <w:marRight w:val="0"/>
          <w:marTop w:val="0"/>
          <w:marBottom w:val="0"/>
          <w:divBdr>
            <w:top w:val="none" w:sz="0" w:space="0" w:color="auto"/>
            <w:left w:val="none" w:sz="0" w:space="0" w:color="auto"/>
            <w:bottom w:val="none" w:sz="0" w:space="0" w:color="auto"/>
            <w:right w:val="none" w:sz="0" w:space="0" w:color="auto"/>
          </w:divBdr>
        </w:div>
        <w:div w:id="1026447678">
          <w:marLeft w:val="0"/>
          <w:marRight w:val="0"/>
          <w:marTop w:val="0"/>
          <w:marBottom w:val="0"/>
          <w:divBdr>
            <w:top w:val="none" w:sz="0" w:space="0" w:color="auto"/>
            <w:left w:val="none" w:sz="0" w:space="0" w:color="auto"/>
            <w:bottom w:val="none" w:sz="0" w:space="0" w:color="auto"/>
            <w:right w:val="none" w:sz="0" w:space="0" w:color="auto"/>
          </w:divBdr>
        </w:div>
        <w:div w:id="1179001625">
          <w:marLeft w:val="0"/>
          <w:marRight w:val="0"/>
          <w:marTop w:val="0"/>
          <w:marBottom w:val="0"/>
          <w:divBdr>
            <w:top w:val="none" w:sz="0" w:space="0" w:color="auto"/>
            <w:left w:val="none" w:sz="0" w:space="0" w:color="auto"/>
            <w:bottom w:val="none" w:sz="0" w:space="0" w:color="auto"/>
            <w:right w:val="none" w:sz="0" w:space="0" w:color="auto"/>
          </w:divBdr>
        </w:div>
        <w:div w:id="1481144997">
          <w:marLeft w:val="0"/>
          <w:marRight w:val="0"/>
          <w:marTop w:val="0"/>
          <w:marBottom w:val="0"/>
          <w:divBdr>
            <w:top w:val="none" w:sz="0" w:space="0" w:color="auto"/>
            <w:left w:val="none" w:sz="0" w:space="0" w:color="auto"/>
            <w:bottom w:val="none" w:sz="0" w:space="0" w:color="auto"/>
            <w:right w:val="none" w:sz="0" w:space="0" w:color="auto"/>
          </w:divBdr>
        </w:div>
        <w:div w:id="1588612836">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149588983">
      <w:bodyDiv w:val="1"/>
      <w:marLeft w:val="0"/>
      <w:marRight w:val="0"/>
      <w:marTop w:val="0"/>
      <w:marBottom w:val="0"/>
      <w:divBdr>
        <w:top w:val="none" w:sz="0" w:space="0" w:color="auto"/>
        <w:left w:val="none" w:sz="0" w:space="0" w:color="auto"/>
        <w:bottom w:val="none" w:sz="0" w:space="0" w:color="auto"/>
        <w:right w:val="none" w:sz="0" w:space="0" w:color="auto"/>
      </w:divBdr>
      <w:divsChild>
        <w:div w:id="127820074">
          <w:marLeft w:val="0"/>
          <w:marRight w:val="0"/>
          <w:marTop w:val="0"/>
          <w:marBottom w:val="0"/>
          <w:divBdr>
            <w:top w:val="none" w:sz="0" w:space="0" w:color="auto"/>
            <w:left w:val="none" w:sz="0" w:space="0" w:color="auto"/>
            <w:bottom w:val="none" w:sz="0" w:space="0" w:color="auto"/>
            <w:right w:val="none" w:sz="0" w:space="0" w:color="auto"/>
          </w:divBdr>
        </w:div>
        <w:div w:id="619606426">
          <w:marLeft w:val="0"/>
          <w:marRight w:val="0"/>
          <w:marTop w:val="0"/>
          <w:marBottom w:val="0"/>
          <w:divBdr>
            <w:top w:val="none" w:sz="0" w:space="0" w:color="auto"/>
            <w:left w:val="none" w:sz="0" w:space="0" w:color="auto"/>
            <w:bottom w:val="none" w:sz="0" w:space="0" w:color="auto"/>
            <w:right w:val="none" w:sz="0" w:space="0" w:color="auto"/>
          </w:divBdr>
        </w:div>
        <w:div w:id="962073934">
          <w:marLeft w:val="0"/>
          <w:marRight w:val="0"/>
          <w:marTop w:val="0"/>
          <w:marBottom w:val="0"/>
          <w:divBdr>
            <w:top w:val="none" w:sz="0" w:space="0" w:color="auto"/>
            <w:left w:val="none" w:sz="0" w:space="0" w:color="auto"/>
            <w:bottom w:val="none" w:sz="0" w:space="0" w:color="auto"/>
            <w:right w:val="none" w:sz="0" w:space="0" w:color="auto"/>
          </w:divBdr>
        </w:div>
        <w:div w:id="1040857901">
          <w:marLeft w:val="0"/>
          <w:marRight w:val="0"/>
          <w:marTop w:val="0"/>
          <w:marBottom w:val="0"/>
          <w:divBdr>
            <w:top w:val="none" w:sz="0" w:space="0" w:color="auto"/>
            <w:left w:val="none" w:sz="0" w:space="0" w:color="auto"/>
            <w:bottom w:val="none" w:sz="0" w:space="0" w:color="auto"/>
            <w:right w:val="none" w:sz="0" w:space="0" w:color="auto"/>
          </w:divBdr>
        </w:div>
        <w:div w:id="1414087788">
          <w:marLeft w:val="0"/>
          <w:marRight w:val="0"/>
          <w:marTop w:val="0"/>
          <w:marBottom w:val="0"/>
          <w:divBdr>
            <w:top w:val="none" w:sz="0" w:space="0" w:color="auto"/>
            <w:left w:val="none" w:sz="0" w:space="0" w:color="auto"/>
            <w:bottom w:val="none" w:sz="0" w:space="0" w:color="auto"/>
            <w:right w:val="none" w:sz="0" w:space="0" w:color="auto"/>
          </w:divBdr>
        </w:div>
        <w:div w:id="1489324638">
          <w:marLeft w:val="0"/>
          <w:marRight w:val="0"/>
          <w:marTop w:val="0"/>
          <w:marBottom w:val="0"/>
          <w:divBdr>
            <w:top w:val="none" w:sz="0" w:space="0" w:color="auto"/>
            <w:left w:val="none" w:sz="0" w:space="0" w:color="auto"/>
            <w:bottom w:val="none" w:sz="0" w:space="0" w:color="auto"/>
            <w:right w:val="none" w:sz="0" w:space="0" w:color="auto"/>
          </w:divBdr>
        </w:div>
        <w:div w:id="1897469614">
          <w:marLeft w:val="0"/>
          <w:marRight w:val="0"/>
          <w:marTop w:val="0"/>
          <w:marBottom w:val="0"/>
          <w:divBdr>
            <w:top w:val="none" w:sz="0" w:space="0" w:color="auto"/>
            <w:left w:val="none" w:sz="0" w:space="0" w:color="auto"/>
            <w:bottom w:val="none" w:sz="0" w:space="0" w:color="auto"/>
            <w:right w:val="none" w:sz="0" w:space="0" w:color="auto"/>
          </w:divBdr>
        </w:div>
      </w:divsChild>
    </w:div>
    <w:div w:id="1150828864">
      <w:bodyDiv w:val="1"/>
      <w:marLeft w:val="0"/>
      <w:marRight w:val="0"/>
      <w:marTop w:val="0"/>
      <w:marBottom w:val="0"/>
      <w:divBdr>
        <w:top w:val="none" w:sz="0" w:space="0" w:color="auto"/>
        <w:left w:val="none" w:sz="0" w:space="0" w:color="auto"/>
        <w:bottom w:val="none" w:sz="0" w:space="0" w:color="auto"/>
        <w:right w:val="none" w:sz="0" w:space="0" w:color="auto"/>
      </w:divBdr>
      <w:divsChild>
        <w:div w:id="1124736197">
          <w:marLeft w:val="0"/>
          <w:marRight w:val="0"/>
          <w:marTop w:val="0"/>
          <w:marBottom w:val="0"/>
          <w:divBdr>
            <w:top w:val="none" w:sz="0" w:space="0" w:color="auto"/>
            <w:left w:val="none" w:sz="0" w:space="0" w:color="auto"/>
            <w:bottom w:val="none" w:sz="0" w:space="0" w:color="auto"/>
            <w:right w:val="none" w:sz="0" w:space="0" w:color="auto"/>
          </w:divBdr>
        </w:div>
        <w:div w:id="1609775748">
          <w:marLeft w:val="0"/>
          <w:marRight w:val="0"/>
          <w:marTop w:val="0"/>
          <w:marBottom w:val="0"/>
          <w:divBdr>
            <w:top w:val="none" w:sz="0" w:space="0" w:color="auto"/>
            <w:left w:val="none" w:sz="0" w:space="0" w:color="auto"/>
            <w:bottom w:val="none" w:sz="0" w:space="0" w:color="auto"/>
            <w:right w:val="none" w:sz="0" w:space="0" w:color="auto"/>
          </w:divBdr>
        </w:div>
        <w:div w:id="1732263830">
          <w:marLeft w:val="0"/>
          <w:marRight w:val="0"/>
          <w:marTop w:val="0"/>
          <w:marBottom w:val="0"/>
          <w:divBdr>
            <w:top w:val="none" w:sz="0" w:space="0" w:color="auto"/>
            <w:left w:val="none" w:sz="0" w:space="0" w:color="auto"/>
            <w:bottom w:val="none" w:sz="0" w:space="0" w:color="auto"/>
            <w:right w:val="none" w:sz="0" w:space="0" w:color="auto"/>
          </w:divBdr>
        </w:div>
        <w:div w:id="2134859494">
          <w:marLeft w:val="0"/>
          <w:marRight w:val="0"/>
          <w:marTop w:val="0"/>
          <w:marBottom w:val="0"/>
          <w:divBdr>
            <w:top w:val="none" w:sz="0" w:space="0" w:color="auto"/>
            <w:left w:val="none" w:sz="0" w:space="0" w:color="auto"/>
            <w:bottom w:val="none" w:sz="0" w:space="0" w:color="auto"/>
            <w:right w:val="none" w:sz="0" w:space="0" w:color="auto"/>
          </w:divBdr>
        </w:div>
      </w:divsChild>
    </w:div>
    <w:div w:id="1159343943">
      <w:bodyDiv w:val="1"/>
      <w:marLeft w:val="0"/>
      <w:marRight w:val="0"/>
      <w:marTop w:val="0"/>
      <w:marBottom w:val="0"/>
      <w:divBdr>
        <w:top w:val="none" w:sz="0" w:space="0" w:color="auto"/>
        <w:left w:val="none" w:sz="0" w:space="0" w:color="auto"/>
        <w:bottom w:val="none" w:sz="0" w:space="0" w:color="auto"/>
        <w:right w:val="none" w:sz="0" w:space="0" w:color="auto"/>
      </w:divBdr>
      <w:divsChild>
        <w:div w:id="73943089">
          <w:marLeft w:val="0"/>
          <w:marRight w:val="0"/>
          <w:marTop w:val="0"/>
          <w:marBottom w:val="0"/>
          <w:divBdr>
            <w:top w:val="none" w:sz="0" w:space="0" w:color="auto"/>
            <w:left w:val="none" w:sz="0" w:space="0" w:color="auto"/>
            <w:bottom w:val="none" w:sz="0" w:space="0" w:color="auto"/>
            <w:right w:val="none" w:sz="0" w:space="0" w:color="auto"/>
          </w:divBdr>
        </w:div>
        <w:div w:id="339553303">
          <w:marLeft w:val="0"/>
          <w:marRight w:val="0"/>
          <w:marTop w:val="0"/>
          <w:marBottom w:val="0"/>
          <w:divBdr>
            <w:top w:val="none" w:sz="0" w:space="0" w:color="auto"/>
            <w:left w:val="none" w:sz="0" w:space="0" w:color="auto"/>
            <w:bottom w:val="none" w:sz="0" w:space="0" w:color="auto"/>
            <w:right w:val="none" w:sz="0" w:space="0" w:color="auto"/>
          </w:divBdr>
        </w:div>
        <w:div w:id="398135330">
          <w:marLeft w:val="0"/>
          <w:marRight w:val="0"/>
          <w:marTop w:val="0"/>
          <w:marBottom w:val="0"/>
          <w:divBdr>
            <w:top w:val="none" w:sz="0" w:space="0" w:color="auto"/>
            <w:left w:val="none" w:sz="0" w:space="0" w:color="auto"/>
            <w:bottom w:val="none" w:sz="0" w:space="0" w:color="auto"/>
            <w:right w:val="none" w:sz="0" w:space="0" w:color="auto"/>
          </w:divBdr>
        </w:div>
        <w:div w:id="480082963">
          <w:marLeft w:val="0"/>
          <w:marRight w:val="0"/>
          <w:marTop w:val="0"/>
          <w:marBottom w:val="0"/>
          <w:divBdr>
            <w:top w:val="none" w:sz="0" w:space="0" w:color="auto"/>
            <w:left w:val="none" w:sz="0" w:space="0" w:color="auto"/>
            <w:bottom w:val="none" w:sz="0" w:space="0" w:color="auto"/>
            <w:right w:val="none" w:sz="0" w:space="0" w:color="auto"/>
          </w:divBdr>
        </w:div>
        <w:div w:id="2090760756">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38131696">
      <w:bodyDiv w:val="1"/>
      <w:marLeft w:val="0"/>
      <w:marRight w:val="0"/>
      <w:marTop w:val="0"/>
      <w:marBottom w:val="0"/>
      <w:divBdr>
        <w:top w:val="none" w:sz="0" w:space="0" w:color="auto"/>
        <w:left w:val="none" w:sz="0" w:space="0" w:color="auto"/>
        <w:bottom w:val="none" w:sz="0" w:space="0" w:color="auto"/>
        <w:right w:val="none" w:sz="0" w:space="0" w:color="auto"/>
      </w:divBdr>
      <w:divsChild>
        <w:div w:id="979457759">
          <w:marLeft w:val="0"/>
          <w:marRight w:val="0"/>
          <w:marTop w:val="0"/>
          <w:marBottom w:val="0"/>
          <w:divBdr>
            <w:top w:val="none" w:sz="0" w:space="0" w:color="auto"/>
            <w:left w:val="none" w:sz="0" w:space="0" w:color="auto"/>
            <w:bottom w:val="none" w:sz="0" w:space="0" w:color="auto"/>
            <w:right w:val="none" w:sz="0" w:space="0" w:color="auto"/>
          </w:divBdr>
          <w:divsChild>
            <w:div w:id="201551386">
              <w:marLeft w:val="0"/>
              <w:marRight w:val="0"/>
              <w:marTop w:val="0"/>
              <w:marBottom w:val="0"/>
              <w:divBdr>
                <w:top w:val="none" w:sz="0" w:space="0" w:color="auto"/>
                <w:left w:val="none" w:sz="0" w:space="0" w:color="auto"/>
                <w:bottom w:val="none" w:sz="0" w:space="0" w:color="auto"/>
                <w:right w:val="none" w:sz="0" w:space="0" w:color="auto"/>
              </w:divBdr>
            </w:div>
            <w:div w:id="339821624">
              <w:marLeft w:val="0"/>
              <w:marRight w:val="0"/>
              <w:marTop w:val="0"/>
              <w:marBottom w:val="0"/>
              <w:divBdr>
                <w:top w:val="none" w:sz="0" w:space="0" w:color="auto"/>
                <w:left w:val="none" w:sz="0" w:space="0" w:color="auto"/>
                <w:bottom w:val="none" w:sz="0" w:space="0" w:color="auto"/>
                <w:right w:val="none" w:sz="0" w:space="0" w:color="auto"/>
              </w:divBdr>
            </w:div>
            <w:div w:id="919757425">
              <w:marLeft w:val="0"/>
              <w:marRight w:val="0"/>
              <w:marTop w:val="0"/>
              <w:marBottom w:val="0"/>
              <w:divBdr>
                <w:top w:val="none" w:sz="0" w:space="0" w:color="auto"/>
                <w:left w:val="none" w:sz="0" w:space="0" w:color="auto"/>
                <w:bottom w:val="none" w:sz="0" w:space="0" w:color="auto"/>
                <w:right w:val="none" w:sz="0" w:space="0" w:color="auto"/>
              </w:divBdr>
            </w:div>
            <w:div w:id="2027322702">
              <w:marLeft w:val="0"/>
              <w:marRight w:val="0"/>
              <w:marTop w:val="0"/>
              <w:marBottom w:val="0"/>
              <w:divBdr>
                <w:top w:val="none" w:sz="0" w:space="0" w:color="auto"/>
                <w:left w:val="none" w:sz="0" w:space="0" w:color="auto"/>
                <w:bottom w:val="none" w:sz="0" w:space="0" w:color="auto"/>
                <w:right w:val="none" w:sz="0" w:space="0" w:color="auto"/>
              </w:divBdr>
            </w:div>
          </w:divsChild>
        </w:div>
        <w:div w:id="1353728513">
          <w:marLeft w:val="0"/>
          <w:marRight w:val="0"/>
          <w:marTop w:val="0"/>
          <w:marBottom w:val="0"/>
          <w:divBdr>
            <w:top w:val="none" w:sz="0" w:space="0" w:color="auto"/>
            <w:left w:val="none" w:sz="0" w:space="0" w:color="auto"/>
            <w:bottom w:val="none" w:sz="0" w:space="0" w:color="auto"/>
            <w:right w:val="none" w:sz="0" w:space="0" w:color="auto"/>
          </w:divBdr>
          <w:divsChild>
            <w:div w:id="71047911">
              <w:marLeft w:val="0"/>
              <w:marRight w:val="0"/>
              <w:marTop w:val="0"/>
              <w:marBottom w:val="0"/>
              <w:divBdr>
                <w:top w:val="none" w:sz="0" w:space="0" w:color="auto"/>
                <w:left w:val="none" w:sz="0" w:space="0" w:color="auto"/>
                <w:bottom w:val="none" w:sz="0" w:space="0" w:color="auto"/>
                <w:right w:val="none" w:sz="0" w:space="0" w:color="auto"/>
              </w:divBdr>
            </w:div>
            <w:div w:id="771055291">
              <w:marLeft w:val="0"/>
              <w:marRight w:val="0"/>
              <w:marTop w:val="0"/>
              <w:marBottom w:val="0"/>
              <w:divBdr>
                <w:top w:val="none" w:sz="0" w:space="0" w:color="auto"/>
                <w:left w:val="none" w:sz="0" w:space="0" w:color="auto"/>
                <w:bottom w:val="none" w:sz="0" w:space="0" w:color="auto"/>
                <w:right w:val="none" w:sz="0" w:space="0" w:color="auto"/>
              </w:divBdr>
            </w:div>
            <w:div w:id="1000894234">
              <w:marLeft w:val="0"/>
              <w:marRight w:val="0"/>
              <w:marTop w:val="0"/>
              <w:marBottom w:val="0"/>
              <w:divBdr>
                <w:top w:val="none" w:sz="0" w:space="0" w:color="auto"/>
                <w:left w:val="none" w:sz="0" w:space="0" w:color="auto"/>
                <w:bottom w:val="none" w:sz="0" w:space="0" w:color="auto"/>
                <w:right w:val="none" w:sz="0" w:space="0" w:color="auto"/>
              </w:divBdr>
            </w:div>
            <w:div w:id="1529682130">
              <w:marLeft w:val="0"/>
              <w:marRight w:val="0"/>
              <w:marTop w:val="0"/>
              <w:marBottom w:val="0"/>
              <w:divBdr>
                <w:top w:val="none" w:sz="0" w:space="0" w:color="auto"/>
                <w:left w:val="none" w:sz="0" w:space="0" w:color="auto"/>
                <w:bottom w:val="none" w:sz="0" w:space="0" w:color="auto"/>
                <w:right w:val="none" w:sz="0" w:space="0" w:color="auto"/>
              </w:divBdr>
            </w:div>
            <w:div w:id="18329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4435">
      <w:bodyDiv w:val="1"/>
      <w:marLeft w:val="0"/>
      <w:marRight w:val="0"/>
      <w:marTop w:val="0"/>
      <w:marBottom w:val="0"/>
      <w:divBdr>
        <w:top w:val="none" w:sz="0" w:space="0" w:color="auto"/>
        <w:left w:val="none" w:sz="0" w:space="0" w:color="auto"/>
        <w:bottom w:val="none" w:sz="0" w:space="0" w:color="auto"/>
        <w:right w:val="none" w:sz="0" w:space="0" w:color="auto"/>
      </w:divBdr>
      <w:divsChild>
        <w:div w:id="915044669">
          <w:marLeft w:val="0"/>
          <w:marRight w:val="0"/>
          <w:marTop w:val="0"/>
          <w:marBottom w:val="0"/>
          <w:divBdr>
            <w:top w:val="none" w:sz="0" w:space="0" w:color="auto"/>
            <w:left w:val="none" w:sz="0" w:space="0" w:color="auto"/>
            <w:bottom w:val="none" w:sz="0" w:space="0" w:color="auto"/>
            <w:right w:val="none" w:sz="0" w:space="0" w:color="auto"/>
          </w:divBdr>
        </w:div>
        <w:div w:id="1240210904">
          <w:marLeft w:val="0"/>
          <w:marRight w:val="0"/>
          <w:marTop w:val="0"/>
          <w:marBottom w:val="0"/>
          <w:divBdr>
            <w:top w:val="none" w:sz="0" w:space="0" w:color="auto"/>
            <w:left w:val="none" w:sz="0" w:space="0" w:color="auto"/>
            <w:bottom w:val="none" w:sz="0" w:space="0" w:color="auto"/>
            <w:right w:val="none" w:sz="0" w:space="0" w:color="auto"/>
          </w:divBdr>
        </w:div>
        <w:div w:id="1570581462">
          <w:marLeft w:val="0"/>
          <w:marRight w:val="0"/>
          <w:marTop w:val="0"/>
          <w:marBottom w:val="0"/>
          <w:divBdr>
            <w:top w:val="none" w:sz="0" w:space="0" w:color="auto"/>
            <w:left w:val="none" w:sz="0" w:space="0" w:color="auto"/>
            <w:bottom w:val="none" w:sz="0" w:space="0" w:color="auto"/>
            <w:right w:val="none" w:sz="0" w:space="0" w:color="auto"/>
          </w:divBdr>
        </w:div>
        <w:div w:id="1749888592">
          <w:marLeft w:val="0"/>
          <w:marRight w:val="0"/>
          <w:marTop w:val="0"/>
          <w:marBottom w:val="0"/>
          <w:divBdr>
            <w:top w:val="none" w:sz="0" w:space="0" w:color="auto"/>
            <w:left w:val="none" w:sz="0" w:space="0" w:color="auto"/>
            <w:bottom w:val="none" w:sz="0" w:space="0" w:color="auto"/>
            <w:right w:val="none" w:sz="0" w:space="0" w:color="auto"/>
          </w:divBdr>
        </w:div>
        <w:div w:id="1844473882">
          <w:marLeft w:val="0"/>
          <w:marRight w:val="0"/>
          <w:marTop w:val="0"/>
          <w:marBottom w:val="0"/>
          <w:divBdr>
            <w:top w:val="none" w:sz="0" w:space="0" w:color="auto"/>
            <w:left w:val="none" w:sz="0" w:space="0" w:color="auto"/>
            <w:bottom w:val="none" w:sz="0" w:space="0" w:color="auto"/>
            <w:right w:val="none" w:sz="0" w:space="0" w:color="auto"/>
          </w:divBdr>
        </w:div>
        <w:div w:id="1884360768">
          <w:marLeft w:val="0"/>
          <w:marRight w:val="0"/>
          <w:marTop w:val="0"/>
          <w:marBottom w:val="0"/>
          <w:divBdr>
            <w:top w:val="none" w:sz="0" w:space="0" w:color="auto"/>
            <w:left w:val="none" w:sz="0" w:space="0" w:color="auto"/>
            <w:bottom w:val="none" w:sz="0" w:space="0" w:color="auto"/>
            <w:right w:val="none" w:sz="0" w:space="0" w:color="auto"/>
          </w:divBdr>
          <w:divsChild>
            <w:div w:id="1547140852">
              <w:marLeft w:val="0"/>
              <w:marRight w:val="0"/>
              <w:marTop w:val="0"/>
              <w:marBottom w:val="0"/>
              <w:divBdr>
                <w:top w:val="none" w:sz="0" w:space="0" w:color="auto"/>
                <w:left w:val="none" w:sz="0" w:space="0" w:color="auto"/>
                <w:bottom w:val="none" w:sz="0" w:space="0" w:color="auto"/>
                <w:right w:val="none" w:sz="0" w:space="0" w:color="auto"/>
              </w:divBdr>
            </w:div>
            <w:div w:id="1557349203">
              <w:marLeft w:val="0"/>
              <w:marRight w:val="0"/>
              <w:marTop w:val="0"/>
              <w:marBottom w:val="0"/>
              <w:divBdr>
                <w:top w:val="none" w:sz="0" w:space="0" w:color="auto"/>
                <w:left w:val="none" w:sz="0" w:space="0" w:color="auto"/>
                <w:bottom w:val="none" w:sz="0" w:space="0" w:color="auto"/>
                <w:right w:val="none" w:sz="0" w:space="0" w:color="auto"/>
              </w:divBdr>
            </w:div>
            <w:div w:id="1903906284">
              <w:marLeft w:val="0"/>
              <w:marRight w:val="0"/>
              <w:marTop w:val="0"/>
              <w:marBottom w:val="0"/>
              <w:divBdr>
                <w:top w:val="none" w:sz="0" w:space="0" w:color="auto"/>
                <w:left w:val="none" w:sz="0" w:space="0" w:color="auto"/>
                <w:bottom w:val="none" w:sz="0" w:space="0" w:color="auto"/>
                <w:right w:val="none" w:sz="0" w:space="0" w:color="auto"/>
              </w:divBdr>
            </w:div>
            <w:div w:id="21238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1102">
      <w:bodyDiv w:val="1"/>
      <w:marLeft w:val="0"/>
      <w:marRight w:val="0"/>
      <w:marTop w:val="0"/>
      <w:marBottom w:val="0"/>
      <w:divBdr>
        <w:top w:val="none" w:sz="0" w:space="0" w:color="auto"/>
        <w:left w:val="none" w:sz="0" w:space="0" w:color="auto"/>
        <w:bottom w:val="none" w:sz="0" w:space="0" w:color="auto"/>
        <w:right w:val="none" w:sz="0" w:space="0" w:color="auto"/>
      </w:divBdr>
      <w:divsChild>
        <w:div w:id="58094715">
          <w:marLeft w:val="0"/>
          <w:marRight w:val="0"/>
          <w:marTop w:val="0"/>
          <w:marBottom w:val="0"/>
          <w:divBdr>
            <w:top w:val="none" w:sz="0" w:space="0" w:color="auto"/>
            <w:left w:val="none" w:sz="0" w:space="0" w:color="auto"/>
            <w:bottom w:val="none" w:sz="0" w:space="0" w:color="auto"/>
            <w:right w:val="none" w:sz="0" w:space="0" w:color="auto"/>
          </w:divBdr>
        </w:div>
        <w:div w:id="697438198">
          <w:marLeft w:val="0"/>
          <w:marRight w:val="0"/>
          <w:marTop w:val="0"/>
          <w:marBottom w:val="0"/>
          <w:divBdr>
            <w:top w:val="none" w:sz="0" w:space="0" w:color="auto"/>
            <w:left w:val="none" w:sz="0" w:space="0" w:color="auto"/>
            <w:bottom w:val="none" w:sz="0" w:space="0" w:color="auto"/>
            <w:right w:val="none" w:sz="0" w:space="0" w:color="auto"/>
          </w:divBdr>
        </w:div>
        <w:div w:id="953900109">
          <w:marLeft w:val="0"/>
          <w:marRight w:val="0"/>
          <w:marTop w:val="0"/>
          <w:marBottom w:val="0"/>
          <w:divBdr>
            <w:top w:val="none" w:sz="0" w:space="0" w:color="auto"/>
            <w:left w:val="none" w:sz="0" w:space="0" w:color="auto"/>
            <w:bottom w:val="none" w:sz="0" w:space="0" w:color="auto"/>
            <w:right w:val="none" w:sz="0" w:space="0" w:color="auto"/>
          </w:divBdr>
        </w:div>
        <w:div w:id="1383556637">
          <w:marLeft w:val="0"/>
          <w:marRight w:val="0"/>
          <w:marTop w:val="0"/>
          <w:marBottom w:val="0"/>
          <w:divBdr>
            <w:top w:val="none" w:sz="0" w:space="0" w:color="auto"/>
            <w:left w:val="none" w:sz="0" w:space="0" w:color="auto"/>
            <w:bottom w:val="none" w:sz="0" w:space="0" w:color="auto"/>
            <w:right w:val="none" w:sz="0" w:space="0" w:color="auto"/>
          </w:divBdr>
        </w:div>
        <w:div w:id="1429354181">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60018446">
      <w:bodyDiv w:val="1"/>
      <w:marLeft w:val="0"/>
      <w:marRight w:val="0"/>
      <w:marTop w:val="0"/>
      <w:marBottom w:val="0"/>
      <w:divBdr>
        <w:top w:val="none" w:sz="0" w:space="0" w:color="auto"/>
        <w:left w:val="none" w:sz="0" w:space="0" w:color="auto"/>
        <w:bottom w:val="none" w:sz="0" w:space="0" w:color="auto"/>
        <w:right w:val="none" w:sz="0" w:space="0" w:color="auto"/>
      </w:divBdr>
      <w:divsChild>
        <w:div w:id="4789808">
          <w:marLeft w:val="0"/>
          <w:marRight w:val="0"/>
          <w:marTop w:val="0"/>
          <w:marBottom w:val="0"/>
          <w:divBdr>
            <w:top w:val="none" w:sz="0" w:space="0" w:color="auto"/>
            <w:left w:val="none" w:sz="0" w:space="0" w:color="auto"/>
            <w:bottom w:val="none" w:sz="0" w:space="0" w:color="auto"/>
            <w:right w:val="none" w:sz="0" w:space="0" w:color="auto"/>
          </w:divBdr>
        </w:div>
        <w:div w:id="289627591">
          <w:marLeft w:val="0"/>
          <w:marRight w:val="0"/>
          <w:marTop w:val="0"/>
          <w:marBottom w:val="0"/>
          <w:divBdr>
            <w:top w:val="none" w:sz="0" w:space="0" w:color="auto"/>
            <w:left w:val="none" w:sz="0" w:space="0" w:color="auto"/>
            <w:bottom w:val="none" w:sz="0" w:space="0" w:color="auto"/>
            <w:right w:val="none" w:sz="0" w:space="0" w:color="auto"/>
          </w:divBdr>
        </w:div>
        <w:div w:id="520165958">
          <w:marLeft w:val="0"/>
          <w:marRight w:val="0"/>
          <w:marTop w:val="0"/>
          <w:marBottom w:val="0"/>
          <w:divBdr>
            <w:top w:val="none" w:sz="0" w:space="0" w:color="auto"/>
            <w:left w:val="none" w:sz="0" w:space="0" w:color="auto"/>
            <w:bottom w:val="none" w:sz="0" w:space="0" w:color="auto"/>
            <w:right w:val="none" w:sz="0" w:space="0" w:color="auto"/>
          </w:divBdr>
        </w:div>
        <w:div w:id="1238708801">
          <w:marLeft w:val="0"/>
          <w:marRight w:val="0"/>
          <w:marTop w:val="0"/>
          <w:marBottom w:val="0"/>
          <w:divBdr>
            <w:top w:val="none" w:sz="0" w:space="0" w:color="auto"/>
            <w:left w:val="none" w:sz="0" w:space="0" w:color="auto"/>
            <w:bottom w:val="none" w:sz="0" w:space="0" w:color="auto"/>
            <w:right w:val="none" w:sz="0" w:space="0" w:color="auto"/>
          </w:divBdr>
        </w:div>
        <w:div w:id="1326976296">
          <w:marLeft w:val="0"/>
          <w:marRight w:val="0"/>
          <w:marTop w:val="0"/>
          <w:marBottom w:val="0"/>
          <w:divBdr>
            <w:top w:val="none" w:sz="0" w:space="0" w:color="auto"/>
            <w:left w:val="none" w:sz="0" w:space="0" w:color="auto"/>
            <w:bottom w:val="none" w:sz="0" w:space="0" w:color="auto"/>
            <w:right w:val="none" w:sz="0" w:space="0" w:color="auto"/>
          </w:divBdr>
        </w:div>
        <w:div w:id="1341154383">
          <w:marLeft w:val="0"/>
          <w:marRight w:val="0"/>
          <w:marTop w:val="0"/>
          <w:marBottom w:val="0"/>
          <w:divBdr>
            <w:top w:val="none" w:sz="0" w:space="0" w:color="auto"/>
            <w:left w:val="none" w:sz="0" w:space="0" w:color="auto"/>
            <w:bottom w:val="none" w:sz="0" w:space="0" w:color="auto"/>
            <w:right w:val="none" w:sz="0" w:space="0" w:color="auto"/>
          </w:divBdr>
        </w:div>
        <w:div w:id="1960139105">
          <w:marLeft w:val="0"/>
          <w:marRight w:val="0"/>
          <w:marTop w:val="0"/>
          <w:marBottom w:val="0"/>
          <w:divBdr>
            <w:top w:val="none" w:sz="0" w:space="0" w:color="auto"/>
            <w:left w:val="none" w:sz="0" w:space="0" w:color="auto"/>
            <w:bottom w:val="none" w:sz="0" w:space="0" w:color="auto"/>
            <w:right w:val="none" w:sz="0" w:space="0" w:color="auto"/>
          </w:divBdr>
        </w:div>
      </w:divsChild>
    </w:div>
    <w:div w:id="1271819980">
      <w:bodyDiv w:val="1"/>
      <w:marLeft w:val="0"/>
      <w:marRight w:val="0"/>
      <w:marTop w:val="0"/>
      <w:marBottom w:val="0"/>
      <w:divBdr>
        <w:top w:val="none" w:sz="0" w:space="0" w:color="auto"/>
        <w:left w:val="none" w:sz="0" w:space="0" w:color="auto"/>
        <w:bottom w:val="none" w:sz="0" w:space="0" w:color="auto"/>
        <w:right w:val="none" w:sz="0" w:space="0" w:color="auto"/>
      </w:divBdr>
      <w:divsChild>
        <w:div w:id="166677904">
          <w:marLeft w:val="0"/>
          <w:marRight w:val="0"/>
          <w:marTop w:val="0"/>
          <w:marBottom w:val="0"/>
          <w:divBdr>
            <w:top w:val="none" w:sz="0" w:space="0" w:color="auto"/>
            <w:left w:val="none" w:sz="0" w:space="0" w:color="auto"/>
            <w:bottom w:val="none" w:sz="0" w:space="0" w:color="auto"/>
            <w:right w:val="none" w:sz="0" w:space="0" w:color="auto"/>
          </w:divBdr>
        </w:div>
        <w:div w:id="189227170">
          <w:marLeft w:val="0"/>
          <w:marRight w:val="0"/>
          <w:marTop w:val="0"/>
          <w:marBottom w:val="0"/>
          <w:divBdr>
            <w:top w:val="none" w:sz="0" w:space="0" w:color="auto"/>
            <w:left w:val="none" w:sz="0" w:space="0" w:color="auto"/>
            <w:bottom w:val="none" w:sz="0" w:space="0" w:color="auto"/>
            <w:right w:val="none" w:sz="0" w:space="0" w:color="auto"/>
          </w:divBdr>
        </w:div>
        <w:div w:id="814567405">
          <w:marLeft w:val="0"/>
          <w:marRight w:val="0"/>
          <w:marTop w:val="0"/>
          <w:marBottom w:val="0"/>
          <w:divBdr>
            <w:top w:val="none" w:sz="0" w:space="0" w:color="auto"/>
            <w:left w:val="none" w:sz="0" w:space="0" w:color="auto"/>
            <w:bottom w:val="none" w:sz="0" w:space="0" w:color="auto"/>
            <w:right w:val="none" w:sz="0" w:space="0" w:color="auto"/>
          </w:divBdr>
        </w:div>
        <w:div w:id="934019465">
          <w:marLeft w:val="0"/>
          <w:marRight w:val="0"/>
          <w:marTop w:val="0"/>
          <w:marBottom w:val="0"/>
          <w:divBdr>
            <w:top w:val="none" w:sz="0" w:space="0" w:color="auto"/>
            <w:left w:val="none" w:sz="0" w:space="0" w:color="auto"/>
            <w:bottom w:val="none" w:sz="0" w:space="0" w:color="auto"/>
            <w:right w:val="none" w:sz="0" w:space="0" w:color="auto"/>
          </w:divBdr>
        </w:div>
        <w:div w:id="1313755139">
          <w:marLeft w:val="0"/>
          <w:marRight w:val="0"/>
          <w:marTop w:val="0"/>
          <w:marBottom w:val="0"/>
          <w:divBdr>
            <w:top w:val="none" w:sz="0" w:space="0" w:color="auto"/>
            <w:left w:val="none" w:sz="0" w:space="0" w:color="auto"/>
            <w:bottom w:val="none" w:sz="0" w:space="0" w:color="auto"/>
            <w:right w:val="none" w:sz="0" w:space="0" w:color="auto"/>
          </w:divBdr>
        </w:div>
        <w:div w:id="1470131421">
          <w:marLeft w:val="0"/>
          <w:marRight w:val="0"/>
          <w:marTop w:val="0"/>
          <w:marBottom w:val="0"/>
          <w:divBdr>
            <w:top w:val="none" w:sz="0" w:space="0" w:color="auto"/>
            <w:left w:val="none" w:sz="0" w:space="0" w:color="auto"/>
            <w:bottom w:val="none" w:sz="0" w:space="0" w:color="auto"/>
            <w:right w:val="none" w:sz="0" w:space="0" w:color="auto"/>
          </w:divBdr>
        </w:div>
        <w:div w:id="1595893759">
          <w:marLeft w:val="0"/>
          <w:marRight w:val="0"/>
          <w:marTop w:val="0"/>
          <w:marBottom w:val="0"/>
          <w:divBdr>
            <w:top w:val="none" w:sz="0" w:space="0" w:color="auto"/>
            <w:left w:val="none" w:sz="0" w:space="0" w:color="auto"/>
            <w:bottom w:val="none" w:sz="0" w:space="0" w:color="auto"/>
            <w:right w:val="none" w:sz="0" w:space="0" w:color="auto"/>
          </w:divBdr>
        </w:div>
      </w:divsChild>
    </w:div>
    <w:div w:id="1290745219">
      <w:bodyDiv w:val="1"/>
      <w:marLeft w:val="0"/>
      <w:marRight w:val="0"/>
      <w:marTop w:val="0"/>
      <w:marBottom w:val="0"/>
      <w:divBdr>
        <w:top w:val="none" w:sz="0" w:space="0" w:color="auto"/>
        <w:left w:val="none" w:sz="0" w:space="0" w:color="auto"/>
        <w:bottom w:val="none" w:sz="0" w:space="0" w:color="auto"/>
        <w:right w:val="none" w:sz="0" w:space="0" w:color="auto"/>
      </w:divBdr>
      <w:divsChild>
        <w:div w:id="948896716">
          <w:marLeft w:val="0"/>
          <w:marRight w:val="0"/>
          <w:marTop w:val="0"/>
          <w:marBottom w:val="0"/>
          <w:divBdr>
            <w:top w:val="none" w:sz="0" w:space="0" w:color="auto"/>
            <w:left w:val="none" w:sz="0" w:space="0" w:color="auto"/>
            <w:bottom w:val="none" w:sz="0" w:space="0" w:color="auto"/>
            <w:right w:val="none" w:sz="0" w:space="0" w:color="auto"/>
          </w:divBdr>
        </w:div>
        <w:div w:id="1011953136">
          <w:marLeft w:val="0"/>
          <w:marRight w:val="0"/>
          <w:marTop w:val="0"/>
          <w:marBottom w:val="0"/>
          <w:divBdr>
            <w:top w:val="none" w:sz="0" w:space="0" w:color="auto"/>
            <w:left w:val="none" w:sz="0" w:space="0" w:color="auto"/>
            <w:bottom w:val="none" w:sz="0" w:space="0" w:color="auto"/>
            <w:right w:val="none" w:sz="0" w:space="0" w:color="auto"/>
          </w:divBdr>
        </w:div>
        <w:div w:id="1344166694">
          <w:marLeft w:val="0"/>
          <w:marRight w:val="0"/>
          <w:marTop w:val="0"/>
          <w:marBottom w:val="0"/>
          <w:divBdr>
            <w:top w:val="none" w:sz="0" w:space="0" w:color="auto"/>
            <w:left w:val="none" w:sz="0" w:space="0" w:color="auto"/>
            <w:bottom w:val="none" w:sz="0" w:space="0" w:color="auto"/>
            <w:right w:val="none" w:sz="0" w:space="0" w:color="auto"/>
          </w:divBdr>
        </w:div>
        <w:div w:id="1841584093">
          <w:marLeft w:val="0"/>
          <w:marRight w:val="0"/>
          <w:marTop w:val="0"/>
          <w:marBottom w:val="0"/>
          <w:divBdr>
            <w:top w:val="none" w:sz="0" w:space="0" w:color="auto"/>
            <w:left w:val="none" w:sz="0" w:space="0" w:color="auto"/>
            <w:bottom w:val="none" w:sz="0" w:space="0" w:color="auto"/>
            <w:right w:val="none" w:sz="0" w:space="0" w:color="auto"/>
          </w:divBdr>
        </w:div>
        <w:div w:id="1874464300">
          <w:marLeft w:val="0"/>
          <w:marRight w:val="0"/>
          <w:marTop w:val="0"/>
          <w:marBottom w:val="0"/>
          <w:divBdr>
            <w:top w:val="none" w:sz="0" w:space="0" w:color="auto"/>
            <w:left w:val="none" w:sz="0" w:space="0" w:color="auto"/>
            <w:bottom w:val="none" w:sz="0" w:space="0" w:color="auto"/>
            <w:right w:val="none" w:sz="0" w:space="0" w:color="auto"/>
          </w:divBdr>
        </w:div>
      </w:divsChild>
    </w:div>
    <w:div w:id="1291593477">
      <w:bodyDiv w:val="1"/>
      <w:marLeft w:val="0"/>
      <w:marRight w:val="0"/>
      <w:marTop w:val="0"/>
      <w:marBottom w:val="0"/>
      <w:divBdr>
        <w:top w:val="none" w:sz="0" w:space="0" w:color="auto"/>
        <w:left w:val="none" w:sz="0" w:space="0" w:color="auto"/>
        <w:bottom w:val="none" w:sz="0" w:space="0" w:color="auto"/>
        <w:right w:val="none" w:sz="0" w:space="0" w:color="auto"/>
      </w:divBdr>
      <w:divsChild>
        <w:div w:id="1277446515">
          <w:marLeft w:val="0"/>
          <w:marRight w:val="0"/>
          <w:marTop w:val="0"/>
          <w:marBottom w:val="0"/>
          <w:divBdr>
            <w:top w:val="none" w:sz="0" w:space="0" w:color="auto"/>
            <w:left w:val="none" w:sz="0" w:space="0" w:color="auto"/>
            <w:bottom w:val="none" w:sz="0" w:space="0" w:color="auto"/>
            <w:right w:val="none" w:sz="0" w:space="0" w:color="auto"/>
          </w:divBdr>
          <w:divsChild>
            <w:div w:id="852693425">
              <w:marLeft w:val="0"/>
              <w:marRight w:val="0"/>
              <w:marTop w:val="0"/>
              <w:marBottom w:val="0"/>
              <w:divBdr>
                <w:top w:val="none" w:sz="0" w:space="0" w:color="auto"/>
                <w:left w:val="none" w:sz="0" w:space="0" w:color="auto"/>
                <w:bottom w:val="none" w:sz="0" w:space="0" w:color="auto"/>
                <w:right w:val="none" w:sz="0" w:space="0" w:color="auto"/>
              </w:divBdr>
            </w:div>
            <w:div w:id="1326474810">
              <w:marLeft w:val="0"/>
              <w:marRight w:val="0"/>
              <w:marTop w:val="0"/>
              <w:marBottom w:val="0"/>
              <w:divBdr>
                <w:top w:val="none" w:sz="0" w:space="0" w:color="auto"/>
                <w:left w:val="none" w:sz="0" w:space="0" w:color="auto"/>
                <w:bottom w:val="none" w:sz="0" w:space="0" w:color="auto"/>
                <w:right w:val="none" w:sz="0" w:space="0" w:color="auto"/>
              </w:divBdr>
            </w:div>
            <w:div w:id="1650791788">
              <w:marLeft w:val="0"/>
              <w:marRight w:val="0"/>
              <w:marTop w:val="0"/>
              <w:marBottom w:val="0"/>
              <w:divBdr>
                <w:top w:val="none" w:sz="0" w:space="0" w:color="auto"/>
                <w:left w:val="none" w:sz="0" w:space="0" w:color="auto"/>
                <w:bottom w:val="none" w:sz="0" w:space="0" w:color="auto"/>
                <w:right w:val="none" w:sz="0" w:space="0" w:color="auto"/>
              </w:divBdr>
            </w:div>
            <w:div w:id="1754668179">
              <w:marLeft w:val="0"/>
              <w:marRight w:val="0"/>
              <w:marTop w:val="0"/>
              <w:marBottom w:val="0"/>
              <w:divBdr>
                <w:top w:val="none" w:sz="0" w:space="0" w:color="auto"/>
                <w:left w:val="none" w:sz="0" w:space="0" w:color="auto"/>
                <w:bottom w:val="none" w:sz="0" w:space="0" w:color="auto"/>
                <w:right w:val="none" w:sz="0" w:space="0" w:color="auto"/>
              </w:divBdr>
            </w:div>
          </w:divsChild>
        </w:div>
        <w:div w:id="1551841280">
          <w:marLeft w:val="0"/>
          <w:marRight w:val="0"/>
          <w:marTop w:val="0"/>
          <w:marBottom w:val="0"/>
          <w:divBdr>
            <w:top w:val="none" w:sz="0" w:space="0" w:color="auto"/>
            <w:left w:val="none" w:sz="0" w:space="0" w:color="auto"/>
            <w:bottom w:val="none" w:sz="0" w:space="0" w:color="auto"/>
            <w:right w:val="none" w:sz="0" w:space="0" w:color="auto"/>
          </w:divBdr>
          <w:divsChild>
            <w:div w:id="262422157">
              <w:marLeft w:val="0"/>
              <w:marRight w:val="0"/>
              <w:marTop w:val="0"/>
              <w:marBottom w:val="0"/>
              <w:divBdr>
                <w:top w:val="none" w:sz="0" w:space="0" w:color="auto"/>
                <w:left w:val="none" w:sz="0" w:space="0" w:color="auto"/>
                <w:bottom w:val="none" w:sz="0" w:space="0" w:color="auto"/>
                <w:right w:val="none" w:sz="0" w:space="0" w:color="auto"/>
              </w:divBdr>
            </w:div>
            <w:div w:id="428161244">
              <w:marLeft w:val="0"/>
              <w:marRight w:val="0"/>
              <w:marTop w:val="0"/>
              <w:marBottom w:val="0"/>
              <w:divBdr>
                <w:top w:val="none" w:sz="0" w:space="0" w:color="auto"/>
                <w:left w:val="none" w:sz="0" w:space="0" w:color="auto"/>
                <w:bottom w:val="none" w:sz="0" w:space="0" w:color="auto"/>
                <w:right w:val="none" w:sz="0" w:space="0" w:color="auto"/>
              </w:divBdr>
            </w:div>
            <w:div w:id="11567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298758139">
      <w:bodyDiv w:val="1"/>
      <w:marLeft w:val="0"/>
      <w:marRight w:val="0"/>
      <w:marTop w:val="0"/>
      <w:marBottom w:val="0"/>
      <w:divBdr>
        <w:top w:val="none" w:sz="0" w:space="0" w:color="auto"/>
        <w:left w:val="none" w:sz="0" w:space="0" w:color="auto"/>
        <w:bottom w:val="none" w:sz="0" w:space="0" w:color="auto"/>
        <w:right w:val="none" w:sz="0" w:space="0" w:color="auto"/>
      </w:divBdr>
      <w:divsChild>
        <w:div w:id="132606939">
          <w:marLeft w:val="0"/>
          <w:marRight w:val="0"/>
          <w:marTop w:val="0"/>
          <w:marBottom w:val="0"/>
          <w:divBdr>
            <w:top w:val="none" w:sz="0" w:space="0" w:color="auto"/>
            <w:left w:val="none" w:sz="0" w:space="0" w:color="auto"/>
            <w:bottom w:val="none" w:sz="0" w:space="0" w:color="auto"/>
            <w:right w:val="none" w:sz="0" w:space="0" w:color="auto"/>
          </w:divBdr>
        </w:div>
        <w:div w:id="546069307">
          <w:marLeft w:val="0"/>
          <w:marRight w:val="0"/>
          <w:marTop w:val="0"/>
          <w:marBottom w:val="0"/>
          <w:divBdr>
            <w:top w:val="none" w:sz="0" w:space="0" w:color="auto"/>
            <w:left w:val="none" w:sz="0" w:space="0" w:color="auto"/>
            <w:bottom w:val="none" w:sz="0" w:space="0" w:color="auto"/>
            <w:right w:val="none" w:sz="0" w:space="0" w:color="auto"/>
          </w:divBdr>
        </w:div>
        <w:div w:id="558175422">
          <w:marLeft w:val="0"/>
          <w:marRight w:val="0"/>
          <w:marTop w:val="0"/>
          <w:marBottom w:val="0"/>
          <w:divBdr>
            <w:top w:val="none" w:sz="0" w:space="0" w:color="auto"/>
            <w:left w:val="none" w:sz="0" w:space="0" w:color="auto"/>
            <w:bottom w:val="none" w:sz="0" w:space="0" w:color="auto"/>
            <w:right w:val="none" w:sz="0" w:space="0" w:color="auto"/>
          </w:divBdr>
        </w:div>
        <w:div w:id="582374545">
          <w:marLeft w:val="0"/>
          <w:marRight w:val="0"/>
          <w:marTop w:val="0"/>
          <w:marBottom w:val="0"/>
          <w:divBdr>
            <w:top w:val="none" w:sz="0" w:space="0" w:color="auto"/>
            <w:left w:val="none" w:sz="0" w:space="0" w:color="auto"/>
            <w:bottom w:val="none" w:sz="0" w:space="0" w:color="auto"/>
            <w:right w:val="none" w:sz="0" w:space="0" w:color="auto"/>
          </w:divBdr>
        </w:div>
        <w:div w:id="583416157">
          <w:marLeft w:val="0"/>
          <w:marRight w:val="0"/>
          <w:marTop w:val="0"/>
          <w:marBottom w:val="0"/>
          <w:divBdr>
            <w:top w:val="none" w:sz="0" w:space="0" w:color="auto"/>
            <w:left w:val="none" w:sz="0" w:space="0" w:color="auto"/>
            <w:bottom w:val="none" w:sz="0" w:space="0" w:color="auto"/>
            <w:right w:val="none" w:sz="0" w:space="0" w:color="auto"/>
          </w:divBdr>
        </w:div>
        <w:div w:id="601769036">
          <w:marLeft w:val="0"/>
          <w:marRight w:val="0"/>
          <w:marTop w:val="0"/>
          <w:marBottom w:val="0"/>
          <w:divBdr>
            <w:top w:val="none" w:sz="0" w:space="0" w:color="auto"/>
            <w:left w:val="none" w:sz="0" w:space="0" w:color="auto"/>
            <w:bottom w:val="none" w:sz="0" w:space="0" w:color="auto"/>
            <w:right w:val="none" w:sz="0" w:space="0" w:color="auto"/>
          </w:divBdr>
        </w:div>
        <w:div w:id="779641270">
          <w:marLeft w:val="0"/>
          <w:marRight w:val="0"/>
          <w:marTop w:val="0"/>
          <w:marBottom w:val="0"/>
          <w:divBdr>
            <w:top w:val="none" w:sz="0" w:space="0" w:color="auto"/>
            <w:left w:val="none" w:sz="0" w:space="0" w:color="auto"/>
            <w:bottom w:val="none" w:sz="0" w:space="0" w:color="auto"/>
            <w:right w:val="none" w:sz="0" w:space="0" w:color="auto"/>
          </w:divBdr>
        </w:div>
        <w:div w:id="854075709">
          <w:marLeft w:val="0"/>
          <w:marRight w:val="0"/>
          <w:marTop w:val="0"/>
          <w:marBottom w:val="0"/>
          <w:divBdr>
            <w:top w:val="none" w:sz="0" w:space="0" w:color="auto"/>
            <w:left w:val="none" w:sz="0" w:space="0" w:color="auto"/>
            <w:bottom w:val="none" w:sz="0" w:space="0" w:color="auto"/>
            <w:right w:val="none" w:sz="0" w:space="0" w:color="auto"/>
          </w:divBdr>
        </w:div>
        <w:div w:id="1052458410">
          <w:marLeft w:val="0"/>
          <w:marRight w:val="0"/>
          <w:marTop w:val="0"/>
          <w:marBottom w:val="0"/>
          <w:divBdr>
            <w:top w:val="none" w:sz="0" w:space="0" w:color="auto"/>
            <w:left w:val="none" w:sz="0" w:space="0" w:color="auto"/>
            <w:bottom w:val="none" w:sz="0" w:space="0" w:color="auto"/>
            <w:right w:val="none" w:sz="0" w:space="0" w:color="auto"/>
          </w:divBdr>
        </w:div>
        <w:div w:id="1177963112">
          <w:marLeft w:val="0"/>
          <w:marRight w:val="0"/>
          <w:marTop w:val="0"/>
          <w:marBottom w:val="0"/>
          <w:divBdr>
            <w:top w:val="none" w:sz="0" w:space="0" w:color="auto"/>
            <w:left w:val="none" w:sz="0" w:space="0" w:color="auto"/>
            <w:bottom w:val="none" w:sz="0" w:space="0" w:color="auto"/>
            <w:right w:val="none" w:sz="0" w:space="0" w:color="auto"/>
          </w:divBdr>
        </w:div>
        <w:div w:id="1273631927">
          <w:marLeft w:val="0"/>
          <w:marRight w:val="0"/>
          <w:marTop w:val="0"/>
          <w:marBottom w:val="0"/>
          <w:divBdr>
            <w:top w:val="none" w:sz="0" w:space="0" w:color="auto"/>
            <w:left w:val="none" w:sz="0" w:space="0" w:color="auto"/>
            <w:bottom w:val="none" w:sz="0" w:space="0" w:color="auto"/>
            <w:right w:val="none" w:sz="0" w:space="0" w:color="auto"/>
          </w:divBdr>
        </w:div>
        <w:div w:id="1318074353">
          <w:marLeft w:val="0"/>
          <w:marRight w:val="0"/>
          <w:marTop w:val="0"/>
          <w:marBottom w:val="0"/>
          <w:divBdr>
            <w:top w:val="none" w:sz="0" w:space="0" w:color="auto"/>
            <w:left w:val="none" w:sz="0" w:space="0" w:color="auto"/>
            <w:bottom w:val="none" w:sz="0" w:space="0" w:color="auto"/>
            <w:right w:val="none" w:sz="0" w:space="0" w:color="auto"/>
          </w:divBdr>
        </w:div>
      </w:divsChild>
    </w:div>
    <w:div w:id="1303849997">
      <w:bodyDiv w:val="1"/>
      <w:marLeft w:val="0"/>
      <w:marRight w:val="0"/>
      <w:marTop w:val="0"/>
      <w:marBottom w:val="0"/>
      <w:divBdr>
        <w:top w:val="none" w:sz="0" w:space="0" w:color="auto"/>
        <w:left w:val="none" w:sz="0" w:space="0" w:color="auto"/>
        <w:bottom w:val="none" w:sz="0" w:space="0" w:color="auto"/>
        <w:right w:val="none" w:sz="0" w:space="0" w:color="auto"/>
      </w:divBdr>
      <w:divsChild>
        <w:div w:id="486822156">
          <w:marLeft w:val="0"/>
          <w:marRight w:val="0"/>
          <w:marTop w:val="0"/>
          <w:marBottom w:val="0"/>
          <w:divBdr>
            <w:top w:val="none" w:sz="0" w:space="0" w:color="auto"/>
            <w:left w:val="none" w:sz="0" w:space="0" w:color="auto"/>
            <w:bottom w:val="none" w:sz="0" w:space="0" w:color="auto"/>
            <w:right w:val="none" w:sz="0" w:space="0" w:color="auto"/>
          </w:divBdr>
        </w:div>
        <w:div w:id="671295020">
          <w:marLeft w:val="0"/>
          <w:marRight w:val="0"/>
          <w:marTop w:val="0"/>
          <w:marBottom w:val="0"/>
          <w:divBdr>
            <w:top w:val="none" w:sz="0" w:space="0" w:color="auto"/>
            <w:left w:val="none" w:sz="0" w:space="0" w:color="auto"/>
            <w:bottom w:val="none" w:sz="0" w:space="0" w:color="auto"/>
            <w:right w:val="none" w:sz="0" w:space="0" w:color="auto"/>
          </w:divBdr>
        </w:div>
        <w:div w:id="1424298171">
          <w:marLeft w:val="0"/>
          <w:marRight w:val="0"/>
          <w:marTop w:val="0"/>
          <w:marBottom w:val="0"/>
          <w:divBdr>
            <w:top w:val="none" w:sz="0" w:space="0" w:color="auto"/>
            <w:left w:val="none" w:sz="0" w:space="0" w:color="auto"/>
            <w:bottom w:val="none" w:sz="0" w:space="0" w:color="auto"/>
            <w:right w:val="none" w:sz="0" w:space="0" w:color="auto"/>
          </w:divBdr>
        </w:div>
        <w:div w:id="1488278551">
          <w:marLeft w:val="0"/>
          <w:marRight w:val="0"/>
          <w:marTop w:val="0"/>
          <w:marBottom w:val="0"/>
          <w:divBdr>
            <w:top w:val="none" w:sz="0" w:space="0" w:color="auto"/>
            <w:left w:val="none" w:sz="0" w:space="0" w:color="auto"/>
            <w:bottom w:val="none" w:sz="0" w:space="0" w:color="auto"/>
            <w:right w:val="none" w:sz="0" w:space="0" w:color="auto"/>
          </w:divBdr>
        </w:div>
        <w:div w:id="1789659366">
          <w:marLeft w:val="0"/>
          <w:marRight w:val="0"/>
          <w:marTop w:val="0"/>
          <w:marBottom w:val="0"/>
          <w:divBdr>
            <w:top w:val="none" w:sz="0" w:space="0" w:color="auto"/>
            <w:left w:val="none" w:sz="0" w:space="0" w:color="auto"/>
            <w:bottom w:val="none" w:sz="0" w:space="0" w:color="auto"/>
            <w:right w:val="none" w:sz="0" w:space="0" w:color="auto"/>
          </w:divBdr>
        </w:div>
        <w:div w:id="1813478753">
          <w:marLeft w:val="0"/>
          <w:marRight w:val="0"/>
          <w:marTop w:val="0"/>
          <w:marBottom w:val="0"/>
          <w:divBdr>
            <w:top w:val="none" w:sz="0" w:space="0" w:color="auto"/>
            <w:left w:val="none" w:sz="0" w:space="0" w:color="auto"/>
            <w:bottom w:val="none" w:sz="0" w:space="0" w:color="auto"/>
            <w:right w:val="none" w:sz="0" w:space="0" w:color="auto"/>
          </w:divBdr>
        </w:div>
        <w:div w:id="2073383644">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528182">
      <w:bodyDiv w:val="1"/>
      <w:marLeft w:val="0"/>
      <w:marRight w:val="0"/>
      <w:marTop w:val="0"/>
      <w:marBottom w:val="0"/>
      <w:divBdr>
        <w:top w:val="none" w:sz="0" w:space="0" w:color="auto"/>
        <w:left w:val="none" w:sz="0" w:space="0" w:color="auto"/>
        <w:bottom w:val="none" w:sz="0" w:space="0" w:color="auto"/>
        <w:right w:val="none" w:sz="0" w:space="0" w:color="auto"/>
      </w:divBdr>
      <w:divsChild>
        <w:div w:id="141242216">
          <w:marLeft w:val="0"/>
          <w:marRight w:val="0"/>
          <w:marTop w:val="0"/>
          <w:marBottom w:val="0"/>
          <w:divBdr>
            <w:top w:val="none" w:sz="0" w:space="0" w:color="auto"/>
            <w:left w:val="none" w:sz="0" w:space="0" w:color="auto"/>
            <w:bottom w:val="none" w:sz="0" w:space="0" w:color="auto"/>
            <w:right w:val="none" w:sz="0" w:space="0" w:color="auto"/>
          </w:divBdr>
        </w:div>
        <w:div w:id="981082981">
          <w:marLeft w:val="0"/>
          <w:marRight w:val="0"/>
          <w:marTop w:val="0"/>
          <w:marBottom w:val="0"/>
          <w:divBdr>
            <w:top w:val="none" w:sz="0" w:space="0" w:color="auto"/>
            <w:left w:val="none" w:sz="0" w:space="0" w:color="auto"/>
            <w:bottom w:val="none" w:sz="0" w:space="0" w:color="auto"/>
            <w:right w:val="none" w:sz="0" w:space="0" w:color="auto"/>
          </w:divBdr>
        </w:div>
        <w:div w:id="999574071">
          <w:marLeft w:val="0"/>
          <w:marRight w:val="0"/>
          <w:marTop w:val="0"/>
          <w:marBottom w:val="0"/>
          <w:divBdr>
            <w:top w:val="none" w:sz="0" w:space="0" w:color="auto"/>
            <w:left w:val="none" w:sz="0" w:space="0" w:color="auto"/>
            <w:bottom w:val="none" w:sz="0" w:space="0" w:color="auto"/>
            <w:right w:val="none" w:sz="0" w:space="0" w:color="auto"/>
          </w:divBdr>
        </w:div>
        <w:div w:id="2124955045">
          <w:marLeft w:val="0"/>
          <w:marRight w:val="0"/>
          <w:marTop w:val="0"/>
          <w:marBottom w:val="0"/>
          <w:divBdr>
            <w:top w:val="none" w:sz="0" w:space="0" w:color="auto"/>
            <w:left w:val="none" w:sz="0" w:space="0" w:color="auto"/>
            <w:bottom w:val="none" w:sz="0" w:space="0" w:color="auto"/>
            <w:right w:val="none" w:sz="0" w:space="0" w:color="auto"/>
          </w:divBdr>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89228557">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1271667524">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53890862">
              <w:marLeft w:val="0"/>
              <w:marRight w:val="0"/>
              <w:marTop w:val="0"/>
              <w:marBottom w:val="0"/>
              <w:divBdr>
                <w:top w:val="none" w:sz="0" w:space="0" w:color="auto"/>
                <w:left w:val="none" w:sz="0" w:space="0" w:color="auto"/>
                <w:bottom w:val="none" w:sz="0" w:space="0" w:color="auto"/>
                <w:right w:val="none" w:sz="0" w:space="0" w:color="auto"/>
              </w:divBdr>
            </w:div>
            <w:div w:id="761413163">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sChild>
        </w:div>
        <w:div w:id="1926065892">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4479316">
      <w:bodyDiv w:val="1"/>
      <w:marLeft w:val="0"/>
      <w:marRight w:val="0"/>
      <w:marTop w:val="0"/>
      <w:marBottom w:val="0"/>
      <w:divBdr>
        <w:top w:val="none" w:sz="0" w:space="0" w:color="auto"/>
        <w:left w:val="none" w:sz="0" w:space="0" w:color="auto"/>
        <w:bottom w:val="none" w:sz="0" w:space="0" w:color="auto"/>
        <w:right w:val="none" w:sz="0" w:space="0" w:color="auto"/>
      </w:divBdr>
      <w:divsChild>
        <w:div w:id="27265601">
          <w:marLeft w:val="0"/>
          <w:marRight w:val="0"/>
          <w:marTop w:val="0"/>
          <w:marBottom w:val="0"/>
          <w:divBdr>
            <w:top w:val="none" w:sz="0" w:space="0" w:color="auto"/>
            <w:left w:val="none" w:sz="0" w:space="0" w:color="auto"/>
            <w:bottom w:val="none" w:sz="0" w:space="0" w:color="auto"/>
            <w:right w:val="none" w:sz="0" w:space="0" w:color="auto"/>
          </w:divBdr>
        </w:div>
        <w:div w:id="321782639">
          <w:marLeft w:val="0"/>
          <w:marRight w:val="0"/>
          <w:marTop w:val="0"/>
          <w:marBottom w:val="0"/>
          <w:divBdr>
            <w:top w:val="none" w:sz="0" w:space="0" w:color="auto"/>
            <w:left w:val="none" w:sz="0" w:space="0" w:color="auto"/>
            <w:bottom w:val="none" w:sz="0" w:space="0" w:color="auto"/>
            <w:right w:val="none" w:sz="0" w:space="0" w:color="auto"/>
          </w:divBdr>
        </w:div>
        <w:div w:id="857474205">
          <w:marLeft w:val="0"/>
          <w:marRight w:val="0"/>
          <w:marTop w:val="0"/>
          <w:marBottom w:val="0"/>
          <w:divBdr>
            <w:top w:val="none" w:sz="0" w:space="0" w:color="auto"/>
            <w:left w:val="none" w:sz="0" w:space="0" w:color="auto"/>
            <w:bottom w:val="none" w:sz="0" w:space="0" w:color="auto"/>
            <w:right w:val="none" w:sz="0" w:space="0" w:color="auto"/>
          </w:divBdr>
        </w:div>
        <w:div w:id="1171136995">
          <w:marLeft w:val="0"/>
          <w:marRight w:val="0"/>
          <w:marTop w:val="0"/>
          <w:marBottom w:val="0"/>
          <w:divBdr>
            <w:top w:val="none" w:sz="0" w:space="0" w:color="auto"/>
            <w:left w:val="none" w:sz="0" w:space="0" w:color="auto"/>
            <w:bottom w:val="none" w:sz="0" w:space="0" w:color="auto"/>
            <w:right w:val="none" w:sz="0" w:space="0" w:color="auto"/>
          </w:divBdr>
        </w:div>
        <w:div w:id="1958637677">
          <w:marLeft w:val="0"/>
          <w:marRight w:val="0"/>
          <w:marTop w:val="0"/>
          <w:marBottom w:val="0"/>
          <w:divBdr>
            <w:top w:val="none" w:sz="0" w:space="0" w:color="auto"/>
            <w:left w:val="none" w:sz="0" w:space="0" w:color="auto"/>
            <w:bottom w:val="none" w:sz="0" w:space="0" w:color="auto"/>
            <w:right w:val="none" w:sz="0" w:space="0" w:color="auto"/>
          </w:divBdr>
        </w:div>
        <w:div w:id="1984849166">
          <w:marLeft w:val="0"/>
          <w:marRight w:val="0"/>
          <w:marTop w:val="0"/>
          <w:marBottom w:val="0"/>
          <w:divBdr>
            <w:top w:val="none" w:sz="0" w:space="0" w:color="auto"/>
            <w:left w:val="none" w:sz="0" w:space="0" w:color="auto"/>
            <w:bottom w:val="none" w:sz="0" w:space="0" w:color="auto"/>
            <w:right w:val="none" w:sz="0" w:space="0" w:color="auto"/>
          </w:divBdr>
        </w:div>
        <w:div w:id="2120371220">
          <w:marLeft w:val="0"/>
          <w:marRight w:val="0"/>
          <w:marTop w:val="0"/>
          <w:marBottom w:val="0"/>
          <w:divBdr>
            <w:top w:val="none" w:sz="0" w:space="0" w:color="auto"/>
            <w:left w:val="none" w:sz="0" w:space="0" w:color="auto"/>
            <w:bottom w:val="none" w:sz="0" w:space="0" w:color="auto"/>
            <w:right w:val="none" w:sz="0" w:space="0" w:color="auto"/>
          </w:divBdr>
        </w:div>
      </w:divsChild>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26417044">
      <w:bodyDiv w:val="1"/>
      <w:marLeft w:val="0"/>
      <w:marRight w:val="0"/>
      <w:marTop w:val="0"/>
      <w:marBottom w:val="0"/>
      <w:divBdr>
        <w:top w:val="none" w:sz="0" w:space="0" w:color="auto"/>
        <w:left w:val="none" w:sz="0" w:space="0" w:color="auto"/>
        <w:bottom w:val="none" w:sz="0" w:space="0" w:color="auto"/>
        <w:right w:val="none" w:sz="0" w:space="0" w:color="auto"/>
      </w:divBdr>
      <w:divsChild>
        <w:div w:id="106700882">
          <w:marLeft w:val="0"/>
          <w:marRight w:val="0"/>
          <w:marTop w:val="0"/>
          <w:marBottom w:val="0"/>
          <w:divBdr>
            <w:top w:val="none" w:sz="0" w:space="0" w:color="auto"/>
            <w:left w:val="none" w:sz="0" w:space="0" w:color="auto"/>
            <w:bottom w:val="none" w:sz="0" w:space="0" w:color="auto"/>
            <w:right w:val="none" w:sz="0" w:space="0" w:color="auto"/>
          </w:divBdr>
        </w:div>
        <w:div w:id="198666678">
          <w:marLeft w:val="0"/>
          <w:marRight w:val="0"/>
          <w:marTop w:val="0"/>
          <w:marBottom w:val="0"/>
          <w:divBdr>
            <w:top w:val="none" w:sz="0" w:space="0" w:color="auto"/>
            <w:left w:val="none" w:sz="0" w:space="0" w:color="auto"/>
            <w:bottom w:val="none" w:sz="0" w:space="0" w:color="auto"/>
            <w:right w:val="none" w:sz="0" w:space="0" w:color="auto"/>
          </w:divBdr>
        </w:div>
        <w:div w:id="473062652">
          <w:marLeft w:val="0"/>
          <w:marRight w:val="0"/>
          <w:marTop w:val="0"/>
          <w:marBottom w:val="0"/>
          <w:divBdr>
            <w:top w:val="none" w:sz="0" w:space="0" w:color="auto"/>
            <w:left w:val="none" w:sz="0" w:space="0" w:color="auto"/>
            <w:bottom w:val="none" w:sz="0" w:space="0" w:color="auto"/>
            <w:right w:val="none" w:sz="0" w:space="0" w:color="auto"/>
          </w:divBdr>
        </w:div>
        <w:div w:id="544755877">
          <w:marLeft w:val="0"/>
          <w:marRight w:val="0"/>
          <w:marTop w:val="0"/>
          <w:marBottom w:val="0"/>
          <w:divBdr>
            <w:top w:val="none" w:sz="0" w:space="0" w:color="auto"/>
            <w:left w:val="none" w:sz="0" w:space="0" w:color="auto"/>
            <w:bottom w:val="none" w:sz="0" w:space="0" w:color="auto"/>
            <w:right w:val="none" w:sz="0" w:space="0" w:color="auto"/>
          </w:divBdr>
        </w:div>
        <w:div w:id="887379849">
          <w:marLeft w:val="0"/>
          <w:marRight w:val="0"/>
          <w:marTop w:val="0"/>
          <w:marBottom w:val="0"/>
          <w:divBdr>
            <w:top w:val="none" w:sz="0" w:space="0" w:color="auto"/>
            <w:left w:val="none" w:sz="0" w:space="0" w:color="auto"/>
            <w:bottom w:val="none" w:sz="0" w:space="0" w:color="auto"/>
            <w:right w:val="none" w:sz="0" w:space="0" w:color="auto"/>
          </w:divBdr>
        </w:div>
        <w:div w:id="1019165675">
          <w:marLeft w:val="0"/>
          <w:marRight w:val="0"/>
          <w:marTop w:val="0"/>
          <w:marBottom w:val="0"/>
          <w:divBdr>
            <w:top w:val="none" w:sz="0" w:space="0" w:color="auto"/>
            <w:left w:val="none" w:sz="0" w:space="0" w:color="auto"/>
            <w:bottom w:val="none" w:sz="0" w:space="0" w:color="auto"/>
            <w:right w:val="none" w:sz="0" w:space="0" w:color="auto"/>
          </w:divBdr>
        </w:div>
        <w:div w:id="1065377852">
          <w:marLeft w:val="0"/>
          <w:marRight w:val="0"/>
          <w:marTop w:val="0"/>
          <w:marBottom w:val="0"/>
          <w:divBdr>
            <w:top w:val="none" w:sz="0" w:space="0" w:color="auto"/>
            <w:left w:val="none" w:sz="0" w:space="0" w:color="auto"/>
            <w:bottom w:val="none" w:sz="0" w:space="0" w:color="auto"/>
            <w:right w:val="none" w:sz="0" w:space="0" w:color="auto"/>
          </w:divBdr>
        </w:div>
        <w:div w:id="1145010705">
          <w:marLeft w:val="0"/>
          <w:marRight w:val="0"/>
          <w:marTop w:val="0"/>
          <w:marBottom w:val="0"/>
          <w:divBdr>
            <w:top w:val="none" w:sz="0" w:space="0" w:color="auto"/>
            <w:left w:val="none" w:sz="0" w:space="0" w:color="auto"/>
            <w:bottom w:val="none" w:sz="0" w:space="0" w:color="auto"/>
            <w:right w:val="none" w:sz="0" w:space="0" w:color="auto"/>
          </w:divBdr>
        </w:div>
        <w:div w:id="1195927095">
          <w:marLeft w:val="0"/>
          <w:marRight w:val="0"/>
          <w:marTop w:val="0"/>
          <w:marBottom w:val="0"/>
          <w:divBdr>
            <w:top w:val="none" w:sz="0" w:space="0" w:color="auto"/>
            <w:left w:val="none" w:sz="0" w:space="0" w:color="auto"/>
            <w:bottom w:val="none" w:sz="0" w:space="0" w:color="auto"/>
            <w:right w:val="none" w:sz="0" w:space="0" w:color="auto"/>
          </w:divBdr>
        </w:div>
        <w:div w:id="1656760915">
          <w:marLeft w:val="0"/>
          <w:marRight w:val="0"/>
          <w:marTop w:val="0"/>
          <w:marBottom w:val="0"/>
          <w:divBdr>
            <w:top w:val="none" w:sz="0" w:space="0" w:color="auto"/>
            <w:left w:val="none" w:sz="0" w:space="0" w:color="auto"/>
            <w:bottom w:val="none" w:sz="0" w:space="0" w:color="auto"/>
            <w:right w:val="none" w:sz="0" w:space="0" w:color="auto"/>
          </w:divBdr>
        </w:div>
        <w:div w:id="1840584433">
          <w:marLeft w:val="0"/>
          <w:marRight w:val="0"/>
          <w:marTop w:val="0"/>
          <w:marBottom w:val="0"/>
          <w:divBdr>
            <w:top w:val="none" w:sz="0" w:space="0" w:color="auto"/>
            <w:left w:val="none" w:sz="0" w:space="0" w:color="auto"/>
            <w:bottom w:val="none" w:sz="0" w:space="0" w:color="auto"/>
            <w:right w:val="none" w:sz="0" w:space="0" w:color="auto"/>
          </w:divBdr>
        </w:div>
        <w:div w:id="1874729787">
          <w:marLeft w:val="0"/>
          <w:marRight w:val="0"/>
          <w:marTop w:val="0"/>
          <w:marBottom w:val="0"/>
          <w:divBdr>
            <w:top w:val="none" w:sz="0" w:space="0" w:color="auto"/>
            <w:left w:val="none" w:sz="0" w:space="0" w:color="auto"/>
            <w:bottom w:val="none" w:sz="0" w:space="0" w:color="auto"/>
            <w:right w:val="none" w:sz="0" w:space="0" w:color="auto"/>
          </w:divBdr>
        </w:div>
        <w:div w:id="2099474108">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6580026">
      <w:bodyDiv w:val="1"/>
      <w:marLeft w:val="0"/>
      <w:marRight w:val="0"/>
      <w:marTop w:val="0"/>
      <w:marBottom w:val="0"/>
      <w:divBdr>
        <w:top w:val="none" w:sz="0" w:space="0" w:color="auto"/>
        <w:left w:val="none" w:sz="0" w:space="0" w:color="auto"/>
        <w:bottom w:val="none" w:sz="0" w:space="0" w:color="auto"/>
        <w:right w:val="none" w:sz="0" w:space="0" w:color="auto"/>
      </w:divBdr>
      <w:divsChild>
        <w:div w:id="213584221">
          <w:marLeft w:val="0"/>
          <w:marRight w:val="0"/>
          <w:marTop w:val="0"/>
          <w:marBottom w:val="0"/>
          <w:divBdr>
            <w:top w:val="none" w:sz="0" w:space="0" w:color="auto"/>
            <w:left w:val="none" w:sz="0" w:space="0" w:color="auto"/>
            <w:bottom w:val="none" w:sz="0" w:space="0" w:color="auto"/>
            <w:right w:val="none" w:sz="0" w:space="0" w:color="auto"/>
          </w:divBdr>
        </w:div>
        <w:div w:id="753742666">
          <w:marLeft w:val="0"/>
          <w:marRight w:val="0"/>
          <w:marTop w:val="0"/>
          <w:marBottom w:val="0"/>
          <w:divBdr>
            <w:top w:val="none" w:sz="0" w:space="0" w:color="auto"/>
            <w:left w:val="none" w:sz="0" w:space="0" w:color="auto"/>
            <w:bottom w:val="none" w:sz="0" w:space="0" w:color="auto"/>
            <w:right w:val="none" w:sz="0" w:space="0" w:color="auto"/>
          </w:divBdr>
        </w:div>
        <w:div w:id="953171692">
          <w:marLeft w:val="0"/>
          <w:marRight w:val="0"/>
          <w:marTop w:val="0"/>
          <w:marBottom w:val="0"/>
          <w:divBdr>
            <w:top w:val="none" w:sz="0" w:space="0" w:color="auto"/>
            <w:left w:val="none" w:sz="0" w:space="0" w:color="auto"/>
            <w:bottom w:val="none" w:sz="0" w:space="0" w:color="auto"/>
            <w:right w:val="none" w:sz="0" w:space="0" w:color="auto"/>
          </w:divBdr>
        </w:div>
        <w:div w:id="1651058156">
          <w:marLeft w:val="0"/>
          <w:marRight w:val="0"/>
          <w:marTop w:val="0"/>
          <w:marBottom w:val="0"/>
          <w:divBdr>
            <w:top w:val="none" w:sz="0" w:space="0" w:color="auto"/>
            <w:left w:val="none" w:sz="0" w:space="0" w:color="auto"/>
            <w:bottom w:val="none" w:sz="0" w:space="0" w:color="auto"/>
            <w:right w:val="none" w:sz="0" w:space="0" w:color="auto"/>
          </w:divBdr>
        </w:div>
        <w:div w:id="1911572931">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87280356">
      <w:bodyDiv w:val="1"/>
      <w:marLeft w:val="0"/>
      <w:marRight w:val="0"/>
      <w:marTop w:val="0"/>
      <w:marBottom w:val="0"/>
      <w:divBdr>
        <w:top w:val="none" w:sz="0" w:space="0" w:color="auto"/>
        <w:left w:val="none" w:sz="0" w:space="0" w:color="auto"/>
        <w:bottom w:val="none" w:sz="0" w:space="0" w:color="auto"/>
        <w:right w:val="none" w:sz="0" w:space="0" w:color="auto"/>
      </w:divBdr>
      <w:divsChild>
        <w:div w:id="1754012823">
          <w:marLeft w:val="0"/>
          <w:marRight w:val="0"/>
          <w:marTop w:val="0"/>
          <w:marBottom w:val="0"/>
          <w:divBdr>
            <w:top w:val="none" w:sz="0" w:space="0" w:color="auto"/>
            <w:left w:val="none" w:sz="0" w:space="0" w:color="auto"/>
            <w:bottom w:val="none" w:sz="0" w:space="0" w:color="auto"/>
            <w:right w:val="none" w:sz="0" w:space="0" w:color="auto"/>
          </w:divBdr>
        </w:div>
      </w:divsChild>
    </w:div>
    <w:div w:id="1488325766">
      <w:bodyDiv w:val="1"/>
      <w:marLeft w:val="0"/>
      <w:marRight w:val="0"/>
      <w:marTop w:val="0"/>
      <w:marBottom w:val="0"/>
      <w:divBdr>
        <w:top w:val="none" w:sz="0" w:space="0" w:color="auto"/>
        <w:left w:val="none" w:sz="0" w:space="0" w:color="auto"/>
        <w:bottom w:val="none" w:sz="0" w:space="0" w:color="auto"/>
        <w:right w:val="none" w:sz="0" w:space="0" w:color="auto"/>
      </w:divBdr>
      <w:divsChild>
        <w:div w:id="6757973">
          <w:marLeft w:val="0"/>
          <w:marRight w:val="0"/>
          <w:marTop w:val="0"/>
          <w:marBottom w:val="0"/>
          <w:divBdr>
            <w:top w:val="none" w:sz="0" w:space="0" w:color="auto"/>
            <w:left w:val="none" w:sz="0" w:space="0" w:color="auto"/>
            <w:bottom w:val="none" w:sz="0" w:space="0" w:color="auto"/>
            <w:right w:val="none" w:sz="0" w:space="0" w:color="auto"/>
          </w:divBdr>
        </w:div>
        <w:div w:id="216203651">
          <w:marLeft w:val="0"/>
          <w:marRight w:val="0"/>
          <w:marTop w:val="0"/>
          <w:marBottom w:val="0"/>
          <w:divBdr>
            <w:top w:val="none" w:sz="0" w:space="0" w:color="auto"/>
            <w:left w:val="none" w:sz="0" w:space="0" w:color="auto"/>
            <w:bottom w:val="none" w:sz="0" w:space="0" w:color="auto"/>
            <w:right w:val="none" w:sz="0" w:space="0" w:color="auto"/>
          </w:divBdr>
        </w:div>
        <w:div w:id="751663271">
          <w:marLeft w:val="0"/>
          <w:marRight w:val="0"/>
          <w:marTop w:val="0"/>
          <w:marBottom w:val="0"/>
          <w:divBdr>
            <w:top w:val="none" w:sz="0" w:space="0" w:color="auto"/>
            <w:left w:val="none" w:sz="0" w:space="0" w:color="auto"/>
            <w:bottom w:val="none" w:sz="0" w:space="0" w:color="auto"/>
            <w:right w:val="none" w:sz="0" w:space="0" w:color="auto"/>
          </w:divBdr>
        </w:div>
        <w:div w:id="1522940212">
          <w:marLeft w:val="0"/>
          <w:marRight w:val="0"/>
          <w:marTop w:val="0"/>
          <w:marBottom w:val="0"/>
          <w:divBdr>
            <w:top w:val="none" w:sz="0" w:space="0" w:color="auto"/>
            <w:left w:val="none" w:sz="0" w:space="0" w:color="auto"/>
            <w:bottom w:val="none" w:sz="0" w:space="0" w:color="auto"/>
            <w:right w:val="none" w:sz="0" w:space="0" w:color="auto"/>
          </w:divBdr>
        </w:div>
        <w:div w:id="1997954084">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00777359">
      <w:bodyDiv w:val="1"/>
      <w:marLeft w:val="0"/>
      <w:marRight w:val="0"/>
      <w:marTop w:val="0"/>
      <w:marBottom w:val="0"/>
      <w:divBdr>
        <w:top w:val="none" w:sz="0" w:space="0" w:color="auto"/>
        <w:left w:val="none" w:sz="0" w:space="0" w:color="auto"/>
        <w:bottom w:val="none" w:sz="0" w:space="0" w:color="auto"/>
        <w:right w:val="none" w:sz="0" w:space="0" w:color="auto"/>
      </w:divBdr>
      <w:divsChild>
        <w:div w:id="43532967">
          <w:marLeft w:val="0"/>
          <w:marRight w:val="0"/>
          <w:marTop w:val="0"/>
          <w:marBottom w:val="0"/>
          <w:divBdr>
            <w:top w:val="none" w:sz="0" w:space="0" w:color="auto"/>
            <w:left w:val="none" w:sz="0" w:space="0" w:color="auto"/>
            <w:bottom w:val="none" w:sz="0" w:space="0" w:color="auto"/>
            <w:right w:val="none" w:sz="0" w:space="0" w:color="auto"/>
          </w:divBdr>
        </w:div>
        <w:div w:id="234509566">
          <w:marLeft w:val="0"/>
          <w:marRight w:val="0"/>
          <w:marTop w:val="0"/>
          <w:marBottom w:val="0"/>
          <w:divBdr>
            <w:top w:val="none" w:sz="0" w:space="0" w:color="auto"/>
            <w:left w:val="none" w:sz="0" w:space="0" w:color="auto"/>
            <w:bottom w:val="none" w:sz="0" w:space="0" w:color="auto"/>
            <w:right w:val="none" w:sz="0" w:space="0" w:color="auto"/>
          </w:divBdr>
        </w:div>
        <w:div w:id="303892663">
          <w:marLeft w:val="0"/>
          <w:marRight w:val="0"/>
          <w:marTop w:val="0"/>
          <w:marBottom w:val="0"/>
          <w:divBdr>
            <w:top w:val="none" w:sz="0" w:space="0" w:color="auto"/>
            <w:left w:val="none" w:sz="0" w:space="0" w:color="auto"/>
            <w:bottom w:val="none" w:sz="0" w:space="0" w:color="auto"/>
            <w:right w:val="none" w:sz="0" w:space="0" w:color="auto"/>
          </w:divBdr>
        </w:div>
        <w:div w:id="488987911">
          <w:marLeft w:val="0"/>
          <w:marRight w:val="0"/>
          <w:marTop w:val="0"/>
          <w:marBottom w:val="0"/>
          <w:divBdr>
            <w:top w:val="none" w:sz="0" w:space="0" w:color="auto"/>
            <w:left w:val="none" w:sz="0" w:space="0" w:color="auto"/>
            <w:bottom w:val="none" w:sz="0" w:space="0" w:color="auto"/>
            <w:right w:val="none" w:sz="0" w:space="0" w:color="auto"/>
          </w:divBdr>
        </w:div>
        <w:div w:id="818960987">
          <w:marLeft w:val="0"/>
          <w:marRight w:val="0"/>
          <w:marTop w:val="0"/>
          <w:marBottom w:val="0"/>
          <w:divBdr>
            <w:top w:val="none" w:sz="0" w:space="0" w:color="auto"/>
            <w:left w:val="none" w:sz="0" w:space="0" w:color="auto"/>
            <w:bottom w:val="none" w:sz="0" w:space="0" w:color="auto"/>
            <w:right w:val="none" w:sz="0" w:space="0" w:color="auto"/>
          </w:divBdr>
        </w:div>
        <w:div w:id="859318348">
          <w:marLeft w:val="0"/>
          <w:marRight w:val="0"/>
          <w:marTop w:val="0"/>
          <w:marBottom w:val="0"/>
          <w:divBdr>
            <w:top w:val="none" w:sz="0" w:space="0" w:color="auto"/>
            <w:left w:val="none" w:sz="0" w:space="0" w:color="auto"/>
            <w:bottom w:val="none" w:sz="0" w:space="0" w:color="auto"/>
            <w:right w:val="none" w:sz="0" w:space="0" w:color="auto"/>
          </w:divBdr>
        </w:div>
        <w:div w:id="1870021380">
          <w:marLeft w:val="0"/>
          <w:marRight w:val="0"/>
          <w:marTop w:val="0"/>
          <w:marBottom w:val="0"/>
          <w:divBdr>
            <w:top w:val="none" w:sz="0" w:space="0" w:color="auto"/>
            <w:left w:val="none" w:sz="0" w:space="0" w:color="auto"/>
            <w:bottom w:val="none" w:sz="0" w:space="0" w:color="auto"/>
            <w:right w:val="none" w:sz="0" w:space="0" w:color="auto"/>
          </w:divBdr>
        </w:div>
        <w:div w:id="2038002580">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60676528">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7">
          <w:marLeft w:val="0"/>
          <w:marRight w:val="0"/>
          <w:marTop w:val="0"/>
          <w:marBottom w:val="0"/>
          <w:divBdr>
            <w:top w:val="none" w:sz="0" w:space="0" w:color="auto"/>
            <w:left w:val="none" w:sz="0" w:space="0" w:color="auto"/>
            <w:bottom w:val="none" w:sz="0" w:space="0" w:color="auto"/>
            <w:right w:val="none" w:sz="0" w:space="0" w:color="auto"/>
          </w:divBdr>
        </w:div>
        <w:div w:id="1738090915">
          <w:marLeft w:val="0"/>
          <w:marRight w:val="0"/>
          <w:marTop w:val="0"/>
          <w:marBottom w:val="0"/>
          <w:divBdr>
            <w:top w:val="none" w:sz="0" w:space="0" w:color="auto"/>
            <w:left w:val="none" w:sz="0" w:space="0" w:color="auto"/>
            <w:bottom w:val="none" w:sz="0" w:space="0" w:color="auto"/>
            <w:right w:val="none" w:sz="0" w:space="0" w:color="auto"/>
          </w:divBdr>
        </w:div>
        <w:div w:id="1947230258">
          <w:marLeft w:val="0"/>
          <w:marRight w:val="0"/>
          <w:marTop w:val="0"/>
          <w:marBottom w:val="0"/>
          <w:divBdr>
            <w:top w:val="none" w:sz="0" w:space="0" w:color="auto"/>
            <w:left w:val="none" w:sz="0" w:space="0" w:color="auto"/>
            <w:bottom w:val="none" w:sz="0" w:space="0" w:color="auto"/>
            <w:right w:val="none" w:sz="0" w:space="0" w:color="auto"/>
          </w:divBdr>
        </w:div>
        <w:div w:id="1948465088">
          <w:marLeft w:val="0"/>
          <w:marRight w:val="0"/>
          <w:marTop w:val="0"/>
          <w:marBottom w:val="0"/>
          <w:divBdr>
            <w:top w:val="none" w:sz="0" w:space="0" w:color="auto"/>
            <w:left w:val="none" w:sz="0" w:space="0" w:color="auto"/>
            <w:bottom w:val="none" w:sz="0" w:space="0" w:color="auto"/>
            <w:right w:val="none" w:sz="0" w:space="0" w:color="auto"/>
          </w:divBdr>
        </w:div>
        <w:div w:id="2008899289">
          <w:marLeft w:val="0"/>
          <w:marRight w:val="0"/>
          <w:marTop w:val="0"/>
          <w:marBottom w:val="0"/>
          <w:divBdr>
            <w:top w:val="none" w:sz="0" w:space="0" w:color="auto"/>
            <w:left w:val="none" w:sz="0" w:space="0" w:color="auto"/>
            <w:bottom w:val="none" w:sz="0" w:space="0" w:color="auto"/>
            <w:right w:val="none" w:sz="0" w:space="0" w:color="auto"/>
          </w:divBdr>
        </w:div>
      </w:divsChild>
    </w:div>
    <w:div w:id="1569920836">
      <w:bodyDiv w:val="1"/>
      <w:marLeft w:val="0"/>
      <w:marRight w:val="0"/>
      <w:marTop w:val="0"/>
      <w:marBottom w:val="0"/>
      <w:divBdr>
        <w:top w:val="none" w:sz="0" w:space="0" w:color="auto"/>
        <w:left w:val="none" w:sz="0" w:space="0" w:color="auto"/>
        <w:bottom w:val="none" w:sz="0" w:space="0" w:color="auto"/>
        <w:right w:val="none" w:sz="0" w:space="0" w:color="auto"/>
      </w:divBdr>
      <w:divsChild>
        <w:div w:id="49960286">
          <w:marLeft w:val="0"/>
          <w:marRight w:val="0"/>
          <w:marTop w:val="0"/>
          <w:marBottom w:val="0"/>
          <w:divBdr>
            <w:top w:val="none" w:sz="0" w:space="0" w:color="auto"/>
            <w:left w:val="none" w:sz="0" w:space="0" w:color="auto"/>
            <w:bottom w:val="none" w:sz="0" w:space="0" w:color="auto"/>
            <w:right w:val="none" w:sz="0" w:space="0" w:color="auto"/>
          </w:divBdr>
        </w:div>
        <w:div w:id="96292500">
          <w:marLeft w:val="0"/>
          <w:marRight w:val="0"/>
          <w:marTop w:val="0"/>
          <w:marBottom w:val="0"/>
          <w:divBdr>
            <w:top w:val="none" w:sz="0" w:space="0" w:color="auto"/>
            <w:left w:val="none" w:sz="0" w:space="0" w:color="auto"/>
            <w:bottom w:val="none" w:sz="0" w:space="0" w:color="auto"/>
            <w:right w:val="none" w:sz="0" w:space="0" w:color="auto"/>
          </w:divBdr>
        </w:div>
        <w:div w:id="275909582">
          <w:marLeft w:val="0"/>
          <w:marRight w:val="0"/>
          <w:marTop w:val="0"/>
          <w:marBottom w:val="0"/>
          <w:divBdr>
            <w:top w:val="none" w:sz="0" w:space="0" w:color="auto"/>
            <w:left w:val="none" w:sz="0" w:space="0" w:color="auto"/>
            <w:bottom w:val="none" w:sz="0" w:space="0" w:color="auto"/>
            <w:right w:val="none" w:sz="0" w:space="0" w:color="auto"/>
          </w:divBdr>
        </w:div>
        <w:div w:id="364520116">
          <w:marLeft w:val="0"/>
          <w:marRight w:val="0"/>
          <w:marTop w:val="0"/>
          <w:marBottom w:val="0"/>
          <w:divBdr>
            <w:top w:val="none" w:sz="0" w:space="0" w:color="auto"/>
            <w:left w:val="none" w:sz="0" w:space="0" w:color="auto"/>
            <w:bottom w:val="none" w:sz="0" w:space="0" w:color="auto"/>
            <w:right w:val="none" w:sz="0" w:space="0" w:color="auto"/>
          </w:divBdr>
        </w:div>
        <w:div w:id="404181202">
          <w:marLeft w:val="0"/>
          <w:marRight w:val="0"/>
          <w:marTop w:val="0"/>
          <w:marBottom w:val="0"/>
          <w:divBdr>
            <w:top w:val="none" w:sz="0" w:space="0" w:color="auto"/>
            <w:left w:val="none" w:sz="0" w:space="0" w:color="auto"/>
            <w:bottom w:val="none" w:sz="0" w:space="0" w:color="auto"/>
            <w:right w:val="none" w:sz="0" w:space="0" w:color="auto"/>
          </w:divBdr>
        </w:div>
        <w:div w:id="440536899">
          <w:marLeft w:val="0"/>
          <w:marRight w:val="0"/>
          <w:marTop w:val="0"/>
          <w:marBottom w:val="0"/>
          <w:divBdr>
            <w:top w:val="none" w:sz="0" w:space="0" w:color="auto"/>
            <w:left w:val="none" w:sz="0" w:space="0" w:color="auto"/>
            <w:bottom w:val="none" w:sz="0" w:space="0" w:color="auto"/>
            <w:right w:val="none" w:sz="0" w:space="0" w:color="auto"/>
          </w:divBdr>
        </w:div>
        <w:div w:id="1999383652">
          <w:marLeft w:val="0"/>
          <w:marRight w:val="0"/>
          <w:marTop w:val="0"/>
          <w:marBottom w:val="0"/>
          <w:divBdr>
            <w:top w:val="none" w:sz="0" w:space="0" w:color="auto"/>
            <w:left w:val="none" w:sz="0" w:space="0" w:color="auto"/>
            <w:bottom w:val="none" w:sz="0" w:space="0" w:color="auto"/>
            <w:right w:val="none" w:sz="0" w:space="0" w:color="auto"/>
          </w:divBdr>
        </w:div>
      </w:divsChild>
    </w:div>
    <w:div w:id="1582564440">
      <w:bodyDiv w:val="1"/>
      <w:marLeft w:val="0"/>
      <w:marRight w:val="0"/>
      <w:marTop w:val="0"/>
      <w:marBottom w:val="0"/>
      <w:divBdr>
        <w:top w:val="none" w:sz="0" w:space="0" w:color="auto"/>
        <w:left w:val="none" w:sz="0" w:space="0" w:color="auto"/>
        <w:bottom w:val="none" w:sz="0" w:space="0" w:color="auto"/>
        <w:right w:val="none" w:sz="0" w:space="0" w:color="auto"/>
      </w:divBdr>
      <w:divsChild>
        <w:div w:id="264659590">
          <w:marLeft w:val="0"/>
          <w:marRight w:val="0"/>
          <w:marTop w:val="0"/>
          <w:marBottom w:val="0"/>
          <w:divBdr>
            <w:top w:val="none" w:sz="0" w:space="0" w:color="auto"/>
            <w:left w:val="none" w:sz="0" w:space="0" w:color="auto"/>
            <w:bottom w:val="none" w:sz="0" w:space="0" w:color="auto"/>
            <w:right w:val="none" w:sz="0" w:space="0" w:color="auto"/>
          </w:divBdr>
        </w:div>
        <w:div w:id="299573709">
          <w:marLeft w:val="0"/>
          <w:marRight w:val="0"/>
          <w:marTop w:val="0"/>
          <w:marBottom w:val="0"/>
          <w:divBdr>
            <w:top w:val="none" w:sz="0" w:space="0" w:color="auto"/>
            <w:left w:val="none" w:sz="0" w:space="0" w:color="auto"/>
            <w:bottom w:val="none" w:sz="0" w:space="0" w:color="auto"/>
            <w:right w:val="none" w:sz="0" w:space="0" w:color="auto"/>
          </w:divBdr>
        </w:div>
        <w:div w:id="887717759">
          <w:marLeft w:val="0"/>
          <w:marRight w:val="0"/>
          <w:marTop w:val="0"/>
          <w:marBottom w:val="0"/>
          <w:divBdr>
            <w:top w:val="none" w:sz="0" w:space="0" w:color="auto"/>
            <w:left w:val="none" w:sz="0" w:space="0" w:color="auto"/>
            <w:bottom w:val="none" w:sz="0" w:space="0" w:color="auto"/>
            <w:right w:val="none" w:sz="0" w:space="0" w:color="auto"/>
          </w:divBdr>
        </w:div>
        <w:div w:id="988944017">
          <w:marLeft w:val="0"/>
          <w:marRight w:val="0"/>
          <w:marTop w:val="0"/>
          <w:marBottom w:val="0"/>
          <w:divBdr>
            <w:top w:val="none" w:sz="0" w:space="0" w:color="auto"/>
            <w:left w:val="none" w:sz="0" w:space="0" w:color="auto"/>
            <w:bottom w:val="none" w:sz="0" w:space="0" w:color="auto"/>
            <w:right w:val="none" w:sz="0" w:space="0" w:color="auto"/>
          </w:divBdr>
        </w:div>
        <w:div w:id="1161189912">
          <w:marLeft w:val="0"/>
          <w:marRight w:val="0"/>
          <w:marTop w:val="0"/>
          <w:marBottom w:val="0"/>
          <w:divBdr>
            <w:top w:val="none" w:sz="0" w:space="0" w:color="auto"/>
            <w:left w:val="none" w:sz="0" w:space="0" w:color="auto"/>
            <w:bottom w:val="none" w:sz="0" w:space="0" w:color="auto"/>
            <w:right w:val="none" w:sz="0" w:space="0" w:color="auto"/>
          </w:divBdr>
        </w:div>
        <w:div w:id="1479112098">
          <w:marLeft w:val="0"/>
          <w:marRight w:val="0"/>
          <w:marTop w:val="0"/>
          <w:marBottom w:val="0"/>
          <w:divBdr>
            <w:top w:val="none" w:sz="0" w:space="0" w:color="auto"/>
            <w:left w:val="none" w:sz="0" w:space="0" w:color="auto"/>
            <w:bottom w:val="none" w:sz="0" w:space="0" w:color="auto"/>
            <w:right w:val="none" w:sz="0" w:space="0" w:color="auto"/>
          </w:divBdr>
        </w:div>
        <w:div w:id="1585532679">
          <w:marLeft w:val="0"/>
          <w:marRight w:val="0"/>
          <w:marTop w:val="0"/>
          <w:marBottom w:val="0"/>
          <w:divBdr>
            <w:top w:val="none" w:sz="0" w:space="0" w:color="auto"/>
            <w:left w:val="none" w:sz="0" w:space="0" w:color="auto"/>
            <w:bottom w:val="none" w:sz="0" w:space="0" w:color="auto"/>
            <w:right w:val="none" w:sz="0" w:space="0" w:color="auto"/>
          </w:divBdr>
        </w:div>
        <w:div w:id="1736859241">
          <w:marLeft w:val="0"/>
          <w:marRight w:val="0"/>
          <w:marTop w:val="0"/>
          <w:marBottom w:val="0"/>
          <w:divBdr>
            <w:top w:val="none" w:sz="0" w:space="0" w:color="auto"/>
            <w:left w:val="none" w:sz="0" w:space="0" w:color="auto"/>
            <w:bottom w:val="none" w:sz="0" w:space="0" w:color="auto"/>
            <w:right w:val="none" w:sz="0" w:space="0" w:color="auto"/>
          </w:divBdr>
        </w:div>
        <w:div w:id="1762945900">
          <w:marLeft w:val="0"/>
          <w:marRight w:val="0"/>
          <w:marTop w:val="0"/>
          <w:marBottom w:val="0"/>
          <w:divBdr>
            <w:top w:val="none" w:sz="0" w:space="0" w:color="auto"/>
            <w:left w:val="none" w:sz="0" w:space="0" w:color="auto"/>
            <w:bottom w:val="none" w:sz="0" w:space="0" w:color="auto"/>
            <w:right w:val="none" w:sz="0" w:space="0" w:color="auto"/>
          </w:divBdr>
        </w:div>
        <w:div w:id="1798405355">
          <w:marLeft w:val="0"/>
          <w:marRight w:val="0"/>
          <w:marTop w:val="0"/>
          <w:marBottom w:val="0"/>
          <w:divBdr>
            <w:top w:val="none" w:sz="0" w:space="0" w:color="auto"/>
            <w:left w:val="none" w:sz="0" w:space="0" w:color="auto"/>
            <w:bottom w:val="none" w:sz="0" w:space="0" w:color="auto"/>
            <w:right w:val="none" w:sz="0" w:space="0" w:color="auto"/>
          </w:divBdr>
        </w:div>
        <w:div w:id="1843623091">
          <w:marLeft w:val="0"/>
          <w:marRight w:val="0"/>
          <w:marTop w:val="0"/>
          <w:marBottom w:val="0"/>
          <w:divBdr>
            <w:top w:val="none" w:sz="0" w:space="0" w:color="auto"/>
            <w:left w:val="none" w:sz="0" w:space="0" w:color="auto"/>
            <w:bottom w:val="none" w:sz="0" w:space="0" w:color="auto"/>
            <w:right w:val="none" w:sz="0" w:space="0" w:color="auto"/>
          </w:divBdr>
        </w:div>
        <w:div w:id="1907494752">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14512047">
      <w:bodyDiv w:val="1"/>
      <w:marLeft w:val="0"/>
      <w:marRight w:val="0"/>
      <w:marTop w:val="0"/>
      <w:marBottom w:val="0"/>
      <w:divBdr>
        <w:top w:val="none" w:sz="0" w:space="0" w:color="auto"/>
        <w:left w:val="none" w:sz="0" w:space="0" w:color="auto"/>
        <w:bottom w:val="none" w:sz="0" w:space="0" w:color="auto"/>
        <w:right w:val="none" w:sz="0" w:space="0" w:color="auto"/>
      </w:divBdr>
      <w:divsChild>
        <w:div w:id="172575344">
          <w:marLeft w:val="0"/>
          <w:marRight w:val="0"/>
          <w:marTop w:val="0"/>
          <w:marBottom w:val="0"/>
          <w:divBdr>
            <w:top w:val="none" w:sz="0" w:space="0" w:color="auto"/>
            <w:left w:val="none" w:sz="0" w:space="0" w:color="auto"/>
            <w:bottom w:val="none" w:sz="0" w:space="0" w:color="auto"/>
            <w:right w:val="none" w:sz="0" w:space="0" w:color="auto"/>
          </w:divBdr>
        </w:div>
        <w:div w:id="195777603">
          <w:marLeft w:val="0"/>
          <w:marRight w:val="0"/>
          <w:marTop w:val="0"/>
          <w:marBottom w:val="0"/>
          <w:divBdr>
            <w:top w:val="none" w:sz="0" w:space="0" w:color="auto"/>
            <w:left w:val="none" w:sz="0" w:space="0" w:color="auto"/>
            <w:bottom w:val="none" w:sz="0" w:space="0" w:color="auto"/>
            <w:right w:val="none" w:sz="0" w:space="0" w:color="auto"/>
          </w:divBdr>
        </w:div>
        <w:div w:id="681903907">
          <w:marLeft w:val="0"/>
          <w:marRight w:val="0"/>
          <w:marTop w:val="0"/>
          <w:marBottom w:val="0"/>
          <w:divBdr>
            <w:top w:val="none" w:sz="0" w:space="0" w:color="auto"/>
            <w:left w:val="none" w:sz="0" w:space="0" w:color="auto"/>
            <w:bottom w:val="none" w:sz="0" w:space="0" w:color="auto"/>
            <w:right w:val="none" w:sz="0" w:space="0" w:color="auto"/>
          </w:divBdr>
        </w:div>
        <w:div w:id="1168639146">
          <w:marLeft w:val="0"/>
          <w:marRight w:val="0"/>
          <w:marTop w:val="0"/>
          <w:marBottom w:val="0"/>
          <w:divBdr>
            <w:top w:val="none" w:sz="0" w:space="0" w:color="auto"/>
            <w:left w:val="none" w:sz="0" w:space="0" w:color="auto"/>
            <w:bottom w:val="none" w:sz="0" w:space="0" w:color="auto"/>
            <w:right w:val="none" w:sz="0" w:space="0" w:color="auto"/>
          </w:divBdr>
        </w:div>
        <w:div w:id="1391075107">
          <w:marLeft w:val="0"/>
          <w:marRight w:val="0"/>
          <w:marTop w:val="0"/>
          <w:marBottom w:val="0"/>
          <w:divBdr>
            <w:top w:val="none" w:sz="0" w:space="0" w:color="auto"/>
            <w:left w:val="none" w:sz="0" w:space="0" w:color="auto"/>
            <w:bottom w:val="none" w:sz="0" w:space="0" w:color="auto"/>
            <w:right w:val="none" w:sz="0" w:space="0" w:color="auto"/>
          </w:divBdr>
        </w:div>
        <w:div w:id="1433090459">
          <w:marLeft w:val="0"/>
          <w:marRight w:val="0"/>
          <w:marTop w:val="0"/>
          <w:marBottom w:val="0"/>
          <w:divBdr>
            <w:top w:val="none" w:sz="0" w:space="0" w:color="auto"/>
            <w:left w:val="none" w:sz="0" w:space="0" w:color="auto"/>
            <w:bottom w:val="none" w:sz="0" w:space="0" w:color="auto"/>
            <w:right w:val="none" w:sz="0" w:space="0" w:color="auto"/>
          </w:divBdr>
        </w:div>
        <w:div w:id="2068648940">
          <w:marLeft w:val="0"/>
          <w:marRight w:val="0"/>
          <w:marTop w:val="0"/>
          <w:marBottom w:val="0"/>
          <w:divBdr>
            <w:top w:val="none" w:sz="0" w:space="0" w:color="auto"/>
            <w:left w:val="none" w:sz="0" w:space="0" w:color="auto"/>
            <w:bottom w:val="none" w:sz="0" w:space="0" w:color="auto"/>
            <w:right w:val="none" w:sz="0" w:space="0" w:color="auto"/>
          </w:divBdr>
        </w:div>
      </w:divsChild>
    </w:div>
    <w:div w:id="1639797896">
      <w:bodyDiv w:val="1"/>
      <w:marLeft w:val="0"/>
      <w:marRight w:val="0"/>
      <w:marTop w:val="0"/>
      <w:marBottom w:val="0"/>
      <w:divBdr>
        <w:top w:val="none" w:sz="0" w:space="0" w:color="auto"/>
        <w:left w:val="none" w:sz="0" w:space="0" w:color="auto"/>
        <w:bottom w:val="none" w:sz="0" w:space="0" w:color="auto"/>
        <w:right w:val="none" w:sz="0" w:space="0" w:color="auto"/>
      </w:divBdr>
      <w:divsChild>
        <w:div w:id="96681834">
          <w:marLeft w:val="0"/>
          <w:marRight w:val="0"/>
          <w:marTop w:val="0"/>
          <w:marBottom w:val="0"/>
          <w:divBdr>
            <w:top w:val="none" w:sz="0" w:space="0" w:color="auto"/>
            <w:left w:val="none" w:sz="0" w:space="0" w:color="auto"/>
            <w:bottom w:val="none" w:sz="0" w:space="0" w:color="auto"/>
            <w:right w:val="none" w:sz="0" w:space="0" w:color="auto"/>
          </w:divBdr>
        </w:div>
        <w:div w:id="114033530">
          <w:marLeft w:val="0"/>
          <w:marRight w:val="0"/>
          <w:marTop w:val="0"/>
          <w:marBottom w:val="0"/>
          <w:divBdr>
            <w:top w:val="none" w:sz="0" w:space="0" w:color="auto"/>
            <w:left w:val="none" w:sz="0" w:space="0" w:color="auto"/>
            <w:bottom w:val="none" w:sz="0" w:space="0" w:color="auto"/>
            <w:right w:val="none" w:sz="0" w:space="0" w:color="auto"/>
          </w:divBdr>
        </w:div>
        <w:div w:id="145900294">
          <w:marLeft w:val="0"/>
          <w:marRight w:val="0"/>
          <w:marTop w:val="0"/>
          <w:marBottom w:val="0"/>
          <w:divBdr>
            <w:top w:val="none" w:sz="0" w:space="0" w:color="auto"/>
            <w:left w:val="none" w:sz="0" w:space="0" w:color="auto"/>
            <w:bottom w:val="none" w:sz="0" w:space="0" w:color="auto"/>
            <w:right w:val="none" w:sz="0" w:space="0" w:color="auto"/>
          </w:divBdr>
        </w:div>
        <w:div w:id="1461217718">
          <w:marLeft w:val="0"/>
          <w:marRight w:val="0"/>
          <w:marTop w:val="0"/>
          <w:marBottom w:val="0"/>
          <w:divBdr>
            <w:top w:val="none" w:sz="0" w:space="0" w:color="auto"/>
            <w:left w:val="none" w:sz="0" w:space="0" w:color="auto"/>
            <w:bottom w:val="none" w:sz="0" w:space="0" w:color="auto"/>
            <w:right w:val="none" w:sz="0" w:space="0" w:color="auto"/>
          </w:divBdr>
        </w:div>
        <w:div w:id="1489981439">
          <w:marLeft w:val="0"/>
          <w:marRight w:val="0"/>
          <w:marTop w:val="0"/>
          <w:marBottom w:val="0"/>
          <w:divBdr>
            <w:top w:val="none" w:sz="0" w:space="0" w:color="auto"/>
            <w:left w:val="none" w:sz="0" w:space="0" w:color="auto"/>
            <w:bottom w:val="none" w:sz="0" w:space="0" w:color="auto"/>
            <w:right w:val="none" w:sz="0" w:space="0" w:color="auto"/>
          </w:divBdr>
        </w:div>
        <w:div w:id="1688284610">
          <w:marLeft w:val="0"/>
          <w:marRight w:val="0"/>
          <w:marTop w:val="0"/>
          <w:marBottom w:val="0"/>
          <w:divBdr>
            <w:top w:val="none" w:sz="0" w:space="0" w:color="auto"/>
            <w:left w:val="none" w:sz="0" w:space="0" w:color="auto"/>
            <w:bottom w:val="none" w:sz="0" w:space="0" w:color="auto"/>
            <w:right w:val="none" w:sz="0" w:space="0" w:color="auto"/>
          </w:divBdr>
        </w:div>
      </w:divsChild>
    </w:div>
    <w:div w:id="1679236873">
      <w:bodyDiv w:val="1"/>
      <w:marLeft w:val="0"/>
      <w:marRight w:val="0"/>
      <w:marTop w:val="0"/>
      <w:marBottom w:val="0"/>
      <w:divBdr>
        <w:top w:val="none" w:sz="0" w:space="0" w:color="auto"/>
        <w:left w:val="none" w:sz="0" w:space="0" w:color="auto"/>
        <w:bottom w:val="none" w:sz="0" w:space="0" w:color="auto"/>
        <w:right w:val="none" w:sz="0" w:space="0" w:color="auto"/>
      </w:divBdr>
      <w:divsChild>
        <w:div w:id="75903239">
          <w:marLeft w:val="0"/>
          <w:marRight w:val="0"/>
          <w:marTop w:val="0"/>
          <w:marBottom w:val="0"/>
          <w:divBdr>
            <w:top w:val="none" w:sz="0" w:space="0" w:color="auto"/>
            <w:left w:val="none" w:sz="0" w:space="0" w:color="auto"/>
            <w:bottom w:val="none" w:sz="0" w:space="0" w:color="auto"/>
            <w:right w:val="none" w:sz="0" w:space="0" w:color="auto"/>
          </w:divBdr>
        </w:div>
        <w:div w:id="153297924">
          <w:marLeft w:val="0"/>
          <w:marRight w:val="0"/>
          <w:marTop w:val="0"/>
          <w:marBottom w:val="0"/>
          <w:divBdr>
            <w:top w:val="none" w:sz="0" w:space="0" w:color="auto"/>
            <w:left w:val="none" w:sz="0" w:space="0" w:color="auto"/>
            <w:bottom w:val="none" w:sz="0" w:space="0" w:color="auto"/>
            <w:right w:val="none" w:sz="0" w:space="0" w:color="auto"/>
          </w:divBdr>
        </w:div>
        <w:div w:id="376897844">
          <w:marLeft w:val="0"/>
          <w:marRight w:val="0"/>
          <w:marTop w:val="0"/>
          <w:marBottom w:val="0"/>
          <w:divBdr>
            <w:top w:val="none" w:sz="0" w:space="0" w:color="auto"/>
            <w:left w:val="none" w:sz="0" w:space="0" w:color="auto"/>
            <w:bottom w:val="none" w:sz="0" w:space="0" w:color="auto"/>
            <w:right w:val="none" w:sz="0" w:space="0" w:color="auto"/>
          </w:divBdr>
        </w:div>
        <w:div w:id="421031297">
          <w:marLeft w:val="0"/>
          <w:marRight w:val="0"/>
          <w:marTop w:val="0"/>
          <w:marBottom w:val="0"/>
          <w:divBdr>
            <w:top w:val="none" w:sz="0" w:space="0" w:color="auto"/>
            <w:left w:val="none" w:sz="0" w:space="0" w:color="auto"/>
            <w:bottom w:val="none" w:sz="0" w:space="0" w:color="auto"/>
            <w:right w:val="none" w:sz="0" w:space="0" w:color="auto"/>
          </w:divBdr>
        </w:div>
        <w:div w:id="758211333">
          <w:marLeft w:val="0"/>
          <w:marRight w:val="0"/>
          <w:marTop w:val="0"/>
          <w:marBottom w:val="0"/>
          <w:divBdr>
            <w:top w:val="none" w:sz="0" w:space="0" w:color="auto"/>
            <w:left w:val="none" w:sz="0" w:space="0" w:color="auto"/>
            <w:bottom w:val="none" w:sz="0" w:space="0" w:color="auto"/>
            <w:right w:val="none" w:sz="0" w:space="0" w:color="auto"/>
          </w:divBdr>
        </w:div>
        <w:div w:id="902834616">
          <w:marLeft w:val="0"/>
          <w:marRight w:val="0"/>
          <w:marTop w:val="0"/>
          <w:marBottom w:val="0"/>
          <w:divBdr>
            <w:top w:val="none" w:sz="0" w:space="0" w:color="auto"/>
            <w:left w:val="none" w:sz="0" w:space="0" w:color="auto"/>
            <w:bottom w:val="none" w:sz="0" w:space="0" w:color="auto"/>
            <w:right w:val="none" w:sz="0" w:space="0" w:color="auto"/>
          </w:divBdr>
        </w:div>
        <w:div w:id="903490779">
          <w:marLeft w:val="0"/>
          <w:marRight w:val="0"/>
          <w:marTop w:val="0"/>
          <w:marBottom w:val="0"/>
          <w:divBdr>
            <w:top w:val="none" w:sz="0" w:space="0" w:color="auto"/>
            <w:left w:val="none" w:sz="0" w:space="0" w:color="auto"/>
            <w:bottom w:val="none" w:sz="0" w:space="0" w:color="auto"/>
            <w:right w:val="none" w:sz="0" w:space="0" w:color="auto"/>
          </w:divBdr>
        </w:div>
        <w:div w:id="979960720">
          <w:marLeft w:val="0"/>
          <w:marRight w:val="0"/>
          <w:marTop w:val="0"/>
          <w:marBottom w:val="0"/>
          <w:divBdr>
            <w:top w:val="none" w:sz="0" w:space="0" w:color="auto"/>
            <w:left w:val="none" w:sz="0" w:space="0" w:color="auto"/>
            <w:bottom w:val="none" w:sz="0" w:space="0" w:color="auto"/>
            <w:right w:val="none" w:sz="0" w:space="0" w:color="auto"/>
          </w:divBdr>
        </w:div>
        <w:div w:id="1279992752">
          <w:marLeft w:val="0"/>
          <w:marRight w:val="0"/>
          <w:marTop w:val="0"/>
          <w:marBottom w:val="0"/>
          <w:divBdr>
            <w:top w:val="none" w:sz="0" w:space="0" w:color="auto"/>
            <w:left w:val="none" w:sz="0" w:space="0" w:color="auto"/>
            <w:bottom w:val="none" w:sz="0" w:space="0" w:color="auto"/>
            <w:right w:val="none" w:sz="0" w:space="0" w:color="auto"/>
          </w:divBdr>
        </w:div>
        <w:div w:id="1662389986">
          <w:marLeft w:val="0"/>
          <w:marRight w:val="0"/>
          <w:marTop w:val="0"/>
          <w:marBottom w:val="0"/>
          <w:divBdr>
            <w:top w:val="none" w:sz="0" w:space="0" w:color="auto"/>
            <w:left w:val="none" w:sz="0" w:space="0" w:color="auto"/>
            <w:bottom w:val="none" w:sz="0" w:space="0" w:color="auto"/>
            <w:right w:val="none" w:sz="0" w:space="0" w:color="auto"/>
          </w:divBdr>
        </w:div>
        <w:div w:id="1922523385">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24018645">
      <w:bodyDiv w:val="1"/>
      <w:marLeft w:val="0"/>
      <w:marRight w:val="0"/>
      <w:marTop w:val="0"/>
      <w:marBottom w:val="0"/>
      <w:divBdr>
        <w:top w:val="none" w:sz="0" w:space="0" w:color="auto"/>
        <w:left w:val="none" w:sz="0" w:space="0" w:color="auto"/>
        <w:bottom w:val="none" w:sz="0" w:space="0" w:color="auto"/>
        <w:right w:val="none" w:sz="0" w:space="0" w:color="auto"/>
      </w:divBdr>
      <w:divsChild>
        <w:div w:id="133332267">
          <w:marLeft w:val="0"/>
          <w:marRight w:val="0"/>
          <w:marTop w:val="0"/>
          <w:marBottom w:val="0"/>
          <w:divBdr>
            <w:top w:val="none" w:sz="0" w:space="0" w:color="auto"/>
            <w:left w:val="none" w:sz="0" w:space="0" w:color="auto"/>
            <w:bottom w:val="none" w:sz="0" w:space="0" w:color="auto"/>
            <w:right w:val="none" w:sz="0" w:space="0" w:color="auto"/>
          </w:divBdr>
        </w:div>
        <w:div w:id="316764700">
          <w:marLeft w:val="0"/>
          <w:marRight w:val="0"/>
          <w:marTop w:val="0"/>
          <w:marBottom w:val="0"/>
          <w:divBdr>
            <w:top w:val="none" w:sz="0" w:space="0" w:color="auto"/>
            <w:left w:val="none" w:sz="0" w:space="0" w:color="auto"/>
            <w:bottom w:val="none" w:sz="0" w:space="0" w:color="auto"/>
            <w:right w:val="none" w:sz="0" w:space="0" w:color="auto"/>
          </w:divBdr>
        </w:div>
        <w:div w:id="1094858258">
          <w:marLeft w:val="0"/>
          <w:marRight w:val="0"/>
          <w:marTop w:val="0"/>
          <w:marBottom w:val="0"/>
          <w:divBdr>
            <w:top w:val="none" w:sz="0" w:space="0" w:color="auto"/>
            <w:left w:val="none" w:sz="0" w:space="0" w:color="auto"/>
            <w:bottom w:val="none" w:sz="0" w:space="0" w:color="auto"/>
            <w:right w:val="none" w:sz="0" w:space="0" w:color="auto"/>
          </w:divBdr>
        </w:div>
        <w:div w:id="1481770724">
          <w:marLeft w:val="0"/>
          <w:marRight w:val="0"/>
          <w:marTop w:val="0"/>
          <w:marBottom w:val="0"/>
          <w:divBdr>
            <w:top w:val="none" w:sz="0" w:space="0" w:color="auto"/>
            <w:left w:val="none" w:sz="0" w:space="0" w:color="auto"/>
            <w:bottom w:val="none" w:sz="0" w:space="0" w:color="auto"/>
            <w:right w:val="none" w:sz="0" w:space="0" w:color="auto"/>
          </w:divBdr>
        </w:div>
        <w:div w:id="1559122989">
          <w:marLeft w:val="0"/>
          <w:marRight w:val="0"/>
          <w:marTop w:val="0"/>
          <w:marBottom w:val="0"/>
          <w:divBdr>
            <w:top w:val="none" w:sz="0" w:space="0" w:color="auto"/>
            <w:left w:val="none" w:sz="0" w:space="0" w:color="auto"/>
            <w:bottom w:val="none" w:sz="0" w:space="0" w:color="auto"/>
            <w:right w:val="none" w:sz="0" w:space="0" w:color="auto"/>
          </w:divBdr>
        </w:div>
        <w:div w:id="1795245063">
          <w:marLeft w:val="0"/>
          <w:marRight w:val="0"/>
          <w:marTop w:val="0"/>
          <w:marBottom w:val="0"/>
          <w:divBdr>
            <w:top w:val="none" w:sz="0" w:space="0" w:color="auto"/>
            <w:left w:val="none" w:sz="0" w:space="0" w:color="auto"/>
            <w:bottom w:val="none" w:sz="0" w:space="0" w:color="auto"/>
            <w:right w:val="none" w:sz="0" w:space="0" w:color="auto"/>
          </w:divBdr>
        </w:div>
        <w:div w:id="1896968803">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45033900">
      <w:bodyDiv w:val="1"/>
      <w:marLeft w:val="0"/>
      <w:marRight w:val="0"/>
      <w:marTop w:val="0"/>
      <w:marBottom w:val="0"/>
      <w:divBdr>
        <w:top w:val="none" w:sz="0" w:space="0" w:color="auto"/>
        <w:left w:val="none" w:sz="0" w:space="0" w:color="auto"/>
        <w:bottom w:val="none" w:sz="0" w:space="0" w:color="auto"/>
        <w:right w:val="none" w:sz="0" w:space="0" w:color="auto"/>
      </w:divBdr>
      <w:divsChild>
        <w:div w:id="533350283">
          <w:marLeft w:val="0"/>
          <w:marRight w:val="0"/>
          <w:marTop w:val="0"/>
          <w:marBottom w:val="0"/>
          <w:divBdr>
            <w:top w:val="none" w:sz="0" w:space="0" w:color="auto"/>
            <w:left w:val="none" w:sz="0" w:space="0" w:color="auto"/>
            <w:bottom w:val="none" w:sz="0" w:space="0" w:color="auto"/>
            <w:right w:val="none" w:sz="0" w:space="0" w:color="auto"/>
          </w:divBdr>
        </w:div>
        <w:div w:id="946739429">
          <w:marLeft w:val="0"/>
          <w:marRight w:val="0"/>
          <w:marTop w:val="0"/>
          <w:marBottom w:val="0"/>
          <w:divBdr>
            <w:top w:val="none" w:sz="0" w:space="0" w:color="auto"/>
            <w:left w:val="none" w:sz="0" w:space="0" w:color="auto"/>
            <w:bottom w:val="none" w:sz="0" w:space="0" w:color="auto"/>
            <w:right w:val="none" w:sz="0" w:space="0" w:color="auto"/>
          </w:divBdr>
        </w:div>
        <w:div w:id="1234968864">
          <w:marLeft w:val="0"/>
          <w:marRight w:val="0"/>
          <w:marTop w:val="0"/>
          <w:marBottom w:val="0"/>
          <w:divBdr>
            <w:top w:val="none" w:sz="0" w:space="0" w:color="auto"/>
            <w:left w:val="none" w:sz="0" w:space="0" w:color="auto"/>
            <w:bottom w:val="none" w:sz="0" w:space="0" w:color="auto"/>
            <w:right w:val="none" w:sz="0" w:space="0" w:color="auto"/>
          </w:divBdr>
        </w:div>
        <w:div w:id="1302685449">
          <w:marLeft w:val="0"/>
          <w:marRight w:val="0"/>
          <w:marTop w:val="0"/>
          <w:marBottom w:val="0"/>
          <w:divBdr>
            <w:top w:val="none" w:sz="0" w:space="0" w:color="auto"/>
            <w:left w:val="none" w:sz="0" w:space="0" w:color="auto"/>
            <w:bottom w:val="none" w:sz="0" w:space="0" w:color="auto"/>
            <w:right w:val="none" w:sz="0" w:space="0" w:color="auto"/>
          </w:divBdr>
        </w:div>
        <w:div w:id="1635210112">
          <w:marLeft w:val="0"/>
          <w:marRight w:val="0"/>
          <w:marTop w:val="0"/>
          <w:marBottom w:val="0"/>
          <w:divBdr>
            <w:top w:val="none" w:sz="0" w:space="0" w:color="auto"/>
            <w:left w:val="none" w:sz="0" w:space="0" w:color="auto"/>
            <w:bottom w:val="none" w:sz="0" w:space="0" w:color="auto"/>
            <w:right w:val="none" w:sz="0" w:space="0" w:color="auto"/>
          </w:divBdr>
        </w:div>
        <w:div w:id="1742754380">
          <w:marLeft w:val="0"/>
          <w:marRight w:val="0"/>
          <w:marTop w:val="0"/>
          <w:marBottom w:val="0"/>
          <w:divBdr>
            <w:top w:val="none" w:sz="0" w:space="0" w:color="auto"/>
            <w:left w:val="none" w:sz="0" w:space="0" w:color="auto"/>
            <w:bottom w:val="none" w:sz="0" w:space="0" w:color="auto"/>
            <w:right w:val="none" w:sz="0" w:space="0" w:color="auto"/>
          </w:divBdr>
        </w:div>
        <w:div w:id="2062483855">
          <w:marLeft w:val="0"/>
          <w:marRight w:val="0"/>
          <w:marTop w:val="0"/>
          <w:marBottom w:val="0"/>
          <w:divBdr>
            <w:top w:val="none" w:sz="0" w:space="0" w:color="auto"/>
            <w:left w:val="none" w:sz="0" w:space="0" w:color="auto"/>
            <w:bottom w:val="none" w:sz="0" w:space="0" w:color="auto"/>
            <w:right w:val="none" w:sz="0" w:space="0" w:color="auto"/>
          </w:divBdr>
        </w:div>
      </w:divsChild>
    </w:div>
    <w:div w:id="1766270838">
      <w:bodyDiv w:val="1"/>
      <w:marLeft w:val="0"/>
      <w:marRight w:val="0"/>
      <w:marTop w:val="0"/>
      <w:marBottom w:val="0"/>
      <w:divBdr>
        <w:top w:val="none" w:sz="0" w:space="0" w:color="auto"/>
        <w:left w:val="none" w:sz="0" w:space="0" w:color="auto"/>
        <w:bottom w:val="none" w:sz="0" w:space="0" w:color="auto"/>
        <w:right w:val="none" w:sz="0" w:space="0" w:color="auto"/>
      </w:divBdr>
      <w:divsChild>
        <w:div w:id="63138973">
          <w:marLeft w:val="0"/>
          <w:marRight w:val="0"/>
          <w:marTop w:val="0"/>
          <w:marBottom w:val="0"/>
          <w:divBdr>
            <w:top w:val="none" w:sz="0" w:space="0" w:color="auto"/>
            <w:left w:val="none" w:sz="0" w:space="0" w:color="auto"/>
            <w:bottom w:val="none" w:sz="0" w:space="0" w:color="auto"/>
            <w:right w:val="none" w:sz="0" w:space="0" w:color="auto"/>
          </w:divBdr>
        </w:div>
        <w:div w:id="433939026">
          <w:marLeft w:val="0"/>
          <w:marRight w:val="0"/>
          <w:marTop w:val="0"/>
          <w:marBottom w:val="0"/>
          <w:divBdr>
            <w:top w:val="none" w:sz="0" w:space="0" w:color="auto"/>
            <w:left w:val="none" w:sz="0" w:space="0" w:color="auto"/>
            <w:bottom w:val="none" w:sz="0" w:space="0" w:color="auto"/>
            <w:right w:val="none" w:sz="0" w:space="0" w:color="auto"/>
          </w:divBdr>
        </w:div>
        <w:div w:id="475533737">
          <w:marLeft w:val="0"/>
          <w:marRight w:val="0"/>
          <w:marTop w:val="0"/>
          <w:marBottom w:val="0"/>
          <w:divBdr>
            <w:top w:val="none" w:sz="0" w:space="0" w:color="auto"/>
            <w:left w:val="none" w:sz="0" w:space="0" w:color="auto"/>
            <w:bottom w:val="none" w:sz="0" w:space="0" w:color="auto"/>
            <w:right w:val="none" w:sz="0" w:space="0" w:color="auto"/>
          </w:divBdr>
        </w:div>
        <w:div w:id="1095588900">
          <w:marLeft w:val="0"/>
          <w:marRight w:val="0"/>
          <w:marTop w:val="0"/>
          <w:marBottom w:val="0"/>
          <w:divBdr>
            <w:top w:val="none" w:sz="0" w:space="0" w:color="auto"/>
            <w:left w:val="none" w:sz="0" w:space="0" w:color="auto"/>
            <w:bottom w:val="none" w:sz="0" w:space="0" w:color="auto"/>
            <w:right w:val="none" w:sz="0" w:space="0" w:color="auto"/>
          </w:divBdr>
        </w:div>
        <w:div w:id="1336028812">
          <w:marLeft w:val="0"/>
          <w:marRight w:val="0"/>
          <w:marTop w:val="0"/>
          <w:marBottom w:val="0"/>
          <w:divBdr>
            <w:top w:val="none" w:sz="0" w:space="0" w:color="auto"/>
            <w:left w:val="none" w:sz="0" w:space="0" w:color="auto"/>
            <w:bottom w:val="none" w:sz="0" w:space="0" w:color="auto"/>
            <w:right w:val="none" w:sz="0" w:space="0" w:color="auto"/>
          </w:divBdr>
        </w:div>
        <w:div w:id="1828589253">
          <w:marLeft w:val="0"/>
          <w:marRight w:val="0"/>
          <w:marTop w:val="0"/>
          <w:marBottom w:val="0"/>
          <w:divBdr>
            <w:top w:val="none" w:sz="0" w:space="0" w:color="auto"/>
            <w:left w:val="none" w:sz="0" w:space="0" w:color="auto"/>
            <w:bottom w:val="none" w:sz="0" w:space="0" w:color="auto"/>
            <w:right w:val="none" w:sz="0" w:space="0" w:color="auto"/>
          </w:divBdr>
        </w:div>
        <w:div w:id="2122721275">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1048446">
      <w:bodyDiv w:val="1"/>
      <w:marLeft w:val="0"/>
      <w:marRight w:val="0"/>
      <w:marTop w:val="0"/>
      <w:marBottom w:val="0"/>
      <w:divBdr>
        <w:top w:val="none" w:sz="0" w:space="0" w:color="auto"/>
        <w:left w:val="none" w:sz="0" w:space="0" w:color="auto"/>
        <w:bottom w:val="none" w:sz="0" w:space="0" w:color="auto"/>
        <w:right w:val="none" w:sz="0" w:space="0" w:color="auto"/>
      </w:divBdr>
      <w:divsChild>
        <w:div w:id="123549205">
          <w:marLeft w:val="0"/>
          <w:marRight w:val="0"/>
          <w:marTop w:val="0"/>
          <w:marBottom w:val="0"/>
          <w:divBdr>
            <w:top w:val="none" w:sz="0" w:space="0" w:color="auto"/>
            <w:left w:val="none" w:sz="0" w:space="0" w:color="auto"/>
            <w:bottom w:val="none" w:sz="0" w:space="0" w:color="auto"/>
            <w:right w:val="none" w:sz="0" w:space="0" w:color="auto"/>
          </w:divBdr>
        </w:div>
        <w:div w:id="180553376">
          <w:marLeft w:val="0"/>
          <w:marRight w:val="0"/>
          <w:marTop w:val="0"/>
          <w:marBottom w:val="0"/>
          <w:divBdr>
            <w:top w:val="none" w:sz="0" w:space="0" w:color="auto"/>
            <w:left w:val="none" w:sz="0" w:space="0" w:color="auto"/>
            <w:bottom w:val="none" w:sz="0" w:space="0" w:color="auto"/>
            <w:right w:val="none" w:sz="0" w:space="0" w:color="auto"/>
          </w:divBdr>
        </w:div>
        <w:div w:id="271280111">
          <w:marLeft w:val="0"/>
          <w:marRight w:val="0"/>
          <w:marTop w:val="0"/>
          <w:marBottom w:val="0"/>
          <w:divBdr>
            <w:top w:val="none" w:sz="0" w:space="0" w:color="auto"/>
            <w:left w:val="none" w:sz="0" w:space="0" w:color="auto"/>
            <w:bottom w:val="none" w:sz="0" w:space="0" w:color="auto"/>
            <w:right w:val="none" w:sz="0" w:space="0" w:color="auto"/>
          </w:divBdr>
        </w:div>
        <w:div w:id="599262732">
          <w:marLeft w:val="0"/>
          <w:marRight w:val="0"/>
          <w:marTop w:val="0"/>
          <w:marBottom w:val="0"/>
          <w:divBdr>
            <w:top w:val="none" w:sz="0" w:space="0" w:color="auto"/>
            <w:left w:val="none" w:sz="0" w:space="0" w:color="auto"/>
            <w:bottom w:val="none" w:sz="0" w:space="0" w:color="auto"/>
            <w:right w:val="none" w:sz="0" w:space="0" w:color="auto"/>
          </w:divBdr>
        </w:div>
        <w:div w:id="783184797">
          <w:marLeft w:val="0"/>
          <w:marRight w:val="0"/>
          <w:marTop w:val="0"/>
          <w:marBottom w:val="0"/>
          <w:divBdr>
            <w:top w:val="none" w:sz="0" w:space="0" w:color="auto"/>
            <w:left w:val="none" w:sz="0" w:space="0" w:color="auto"/>
            <w:bottom w:val="none" w:sz="0" w:space="0" w:color="auto"/>
            <w:right w:val="none" w:sz="0" w:space="0" w:color="auto"/>
          </w:divBdr>
        </w:div>
        <w:div w:id="1390571599">
          <w:marLeft w:val="0"/>
          <w:marRight w:val="0"/>
          <w:marTop w:val="0"/>
          <w:marBottom w:val="0"/>
          <w:divBdr>
            <w:top w:val="none" w:sz="0" w:space="0" w:color="auto"/>
            <w:left w:val="none" w:sz="0" w:space="0" w:color="auto"/>
            <w:bottom w:val="none" w:sz="0" w:space="0" w:color="auto"/>
            <w:right w:val="none" w:sz="0" w:space="0" w:color="auto"/>
          </w:divBdr>
        </w:div>
        <w:div w:id="1983191562">
          <w:marLeft w:val="0"/>
          <w:marRight w:val="0"/>
          <w:marTop w:val="0"/>
          <w:marBottom w:val="0"/>
          <w:divBdr>
            <w:top w:val="none" w:sz="0" w:space="0" w:color="auto"/>
            <w:left w:val="none" w:sz="0" w:space="0" w:color="auto"/>
            <w:bottom w:val="none" w:sz="0" w:space="0" w:color="auto"/>
            <w:right w:val="none" w:sz="0" w:space="0" w:color="auto"/>
          </w:divBdr>
        </w:div>
      </w:divsChild>
    </w:div>
    <w:div w:id="1792897560">
      <w:bodyDiv w:val="1"/>
      <w:marLeft w:val="0"/>
      <w:marRight w:val="0"/>
      <w:marTop w:val="0"/>
      <w:marBottom w:val="0"/>
      <w:divBdr>
        <w:top w:val="none" w:sz="0" w:space="0" w:color="auto"/>
        <w:left w:val="none" w:sz="0" w:space="0" w:color="auto"/>
        <w:bottom w:val="none" w:sz="0" w:space="0" w:color="auto"/>
        <w:right w:val="none" w:sz="0" w:space="0" w:color="auto"/>
      </w:divBdr>
      <w:divsChild>
        <w:div w:id="475999496">
          <w:marLeft w:val="0"/>
          <w:marRight w:val="0"/>
          <w:marTop w:val="0"/>
          <w:marBottom w:val="0"/>
          <w:divBdr>
            <w:top w:val="none" w:sz="0" w:space="0" w:color="auto"/>
            <w:left w:val="none" w:sz="0" w:space="0" w:color="auto"/>
            <w:bottom w:val="none" w:sz="0" w:space="0" w:color="auto"/>
            <w:right w:val="none" w:sz="0" w:space="0" w:color="auto"/>
          </w:divBdr>
        </w:div>
        <w:div w:id="560676908">
          <w:marLeft w:val="0"/>
          <w:marRight w:val="0"/>
          <w:marTop w:val="0"/>
          <w:marBottom w:val="0"/>
          <w:divBdr>
            <w:top w:val="none" w:sz="0" w:space="0" w:color="auto"/>
            <w:left w:val="none" w:sz="0" w:space="0" w:color="auto"/>
            <w:bottom w:val="none" w:sz="0" w:space="0" w:color="auto"/>
            <w:right w:val="none" w:sz="0" w:space="0" w:color="auto"/>
          </w:divBdr>
        </w:div>
        <w:div w:id="719523182">
          <w:marLeft w:val="0"/>
          <w:marRight w:val="0"/>
          <w:marTop w:val="0"/>
          <w:marBottom w:val="0"/>
          <w:divBdr>
            <w:top w:val="none" w:sz="0" w:space="0" w:color="auto"/>
            <w:left w:val="none" w:sz="0" w:space="0" w:color="auto"/>
            <w:bottom w:val="none" w:sz="0" w:space="0" w:color="auto"/>
            <w:right w:val="none" w:sz="0" w:space="0" w:color="auto"/>
          </w:divBdr>
        </w:div>
        <w:div w:id="760370159">
          <w:marLeft w:val="0"/>
          <w:marRight w:val="0"/>
          <w:marTop w:val="0"/>
          <w:marBottom w:val="0"/>
          <w:divBdr>
            <w:top w:val="none" w:sz="0" w:space="0" w:color="auto"/>
            <w:left w:val="none" w:sz="0" w:space="0" w:color="auto"/>
            <w:bottom w:val="none" w:sz="0" w:space="0" w:color="auto"/>
            <w:right w:val="none" w:sz="0" w:space="0" w:color="auto"/>
          </w:divBdr>
        </w:div>
        <w:div w:id="872578370">
          <w:marLeft w:val="0"/>
          <w:marRight w:val="0"/>
          <w:marTop w:val="0"/>
          <w:marBottom w:val="0"/>
          <w:divBdr>
            <w:top w:val="none" w:sz="0" w:space="0" w:color="auto"/>
            <w:left w:val="none" w:sz="0" w:space="0" w:color="auto"/>
            <w:bottom w:val="none" w:sz="0" w:space="0" w:color="auto"/>
            <w:right w:val="none" w:sz="0" w:space="0" w:color="auto"/>
          </w:divBdr>
        </w:div>
        <w:div w:id="882789459">
          <w:marLeft w:val="0"/>
          <w:marRight w:val="0"/>
          <w:marTop w:val="0"/>
          <w:marBottom w:val="0"/>
          <w:divBdr>
            <w:top w:val="none" w:sz="0" w:space="0" w:color="auto"/>
            <w:left w:val="none" w:sz="0" w:space="0" w:color="auto"/>
            <w:bottom w:val="none" w:sz="0" w:space="0" w:color="auto"/>
            <w:right w:val="none" w:sz="0" w:space="0" w:color="auto"/>
          </w:divBdr>
        </w:div>
        <w:div w:id="1730028564">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0254">
      <w:bodyDiv w:val="1"/>
      <w:marLeft w:val="0"/>
      <w:marRight w:val="0"/>
      <w:marTop w:val="0"/>
      <w:marBottom w:val="0"/>
      <w:divBdr>
        <w:top w:val="none" w:sz="0" w:space="0" w:color="auto"/>
        <w:left w:val="none" w:sz="0" w:space="0" w:color="auto"/>
        <w:bottom w:val="none" w:sz="0" w:space="0" w:color="auto"/>
        <w:right w:val="none" w:sz="0" w:space="0" w:color="auto"/>
      </w:divBdr>
      <w:divsChild>
        <w:div w:id="492257741">
          <w:marLeft w:val="0"/>
          <w:marRight w:val="0"/>
          <w:marTop w:val="0"/>
          <w:marBottom w:val="0"/>
          <w:divBdr>
            <w:top w:val="none" w:sz="0" w:space="0" w:color="auto"/>
            <w:left w:val="none" w:sz="0" w:space="0" w:color="auto"/>
            <w:bottom w:val="none" w:sz="0" w:space="0" w:color="auto"/>
            <w:right w:val="none" w:sz="0" w:space="0" w:color="auto"/>
          </w:divBdr>
        </w:div>
        <w:div w:id="526259685">
          <w:marLeft w:val="0"/>
          <w:marRight w:val="0"/>
          <w:marTop w:val="0"/>
          <w:marBottom w:val="0"/>
          <w:divBdr>
            <w:top w:val="none" w:sz="0" w:space="0" w:color="auto"/>
            <w:left w:val="none" w:sz="0" w:space="0" w:color="auto"/>
            <w:bottom w:val="none" w:sz="0" w:space="0" w:color="auto"/>
            <w:right w:val="none" w:sz="0" w:space="0" w:color="auto"/>
          </w:divBdr>
        </w:div>
        <w:div w:id="955258725">
          <w:marLeft w:val="0"/>
          <w:marRight w:val="0"/>
          <w:marTop w:val="0"/>
          <w:marBottom w:val="0"/>
          <w:divBdr>
            <w:top w:val="none" w:sz="0" w:space="0" w:color="auto"/>
            <w:left w:val="none" w:sz="0" w:space="0" w:color="auto"/>
            <w:bottom w:val="none" w:sz="0" w:space="0" w:color="auto"/>
            <w:right w:val="none" w:sz="0" w:space="0" w:color="auto"/>
          </w:divBdr>
        </w:div>
        <w:div w:id="1039669650">
          <w:marLeft w:val="0"/>
          <w:marRight w:val="0"/>
          <w:marTop w:val="0"/>
          <w:marBottom w:val="0"/>
          <w:divBdr>
            <w:top w:val="none" w:sz="0" w:space="0" w:color="auto"/>
            <w:left w:val="none" w:sz="0" w:space="0" w:color="auto"/>
            <w:bottom w:val="none" w:sz="0" w:space="0" w:color="auto"/>
            <w:right w:val="none" w:sz="0" w:space="0" w:color="auto"/>
          </w:divBdr>
        </w:div>
        <w:div w:id="1862083871">
          <w:marLeft w:val="0"/>
          <w:marRight w:val="0"/>
          <w:marTop w:val="0"/>
          <w:marBottom w:val="0"/>
          <w:divBdr>
            <w:top w:val="none" w:sz="0" w:space="0" w:color="auto"/>
            <w:left w:val="none" w:sz="0" w:space="0" w:color="auto"/>
            <w:bottom w:val="none" w:sz="0" w:space="0" w:color="auto"/>
            <w:right w:val="none" w:sz="0" w:space="0" w:color="auto"/>
          </w:divBdr>
        </w:div>
        <w:div w:id="1931616224">
          <w:marLeft w:val="0"/>
          <w:marRight w:val="0"/>
          <w:marTop w:val="0"/>
          <w:marBottom w:val="0"/>
          <w:divBdr>
            <w:top w:val="none" w:sz="0" w:space="0" w:color="auto"/>
            <w:left w:val="none" w:sz="0" w:space="0" w:color="auto"/>
            <w:bottom w:val="none" w:sz="0" w:space="0" w:color="auto"/>
            <w:right w:val="none" w:sz="0" w:space="0" w:color="auto"/>
          </w:divBdr>
        </w:div>
        <w:div w:id="1990472881">
          <w:marLeft w:val="0"/>
          <w:marRight w:val="0"/>
          <w:marTop w:val="0"/>
          <w:marBottom w:val="0"/>
          <w:divBdr>
            <w:top w:val="none" w:sz="0" w:space="0" w:color="auto"/>
            <w:left w:val="none" w:sz="0" w:space="0" w:color="auto"/>
            <w:bottom w:val="none" w:sz="0" w:space="0" w:color="auto"/>
            <w:right w:val="none" w:sz="0" w:space="0" w:color="auto"/>
          </w:divBdr>
        </w:div>
        <w:div w:id="2017146213">
          <w:marLeft w:val="0"/>
          <w:marRight w:val="0"/>
          <w:marTop w:val="0"/>
          <w:marBottom w:val="0"/>
          <w:divBdr>
            <w:top w:val="none" w:sz="0" w:space="0" w:color="auto"/>
            <w:left w:val="none" w:sz="0" w:space="0" w:color="auto"/>
            <w:bottom w:val="none" w:sz="0" w:space="0" w:color="auto"/>
            <w:right w:val="none" w:sz="0" w:space="0" w:color="auto"/>
          </w:divBdr>
        </w:div>
        <w:div w:id="2070809579">
          <w:marLeft w:val="0"/>
          <w:marRight w:val="0"/>
          <w:marTop w:val="0"/>
          <w:marBottom w:val="0"/>
          <w:divBdr>
            <w:top w:val="none" w:sz="0" w:space="0" w:color="auto"/>
            <w:left w:val="none" w:sz="0" w:space="0" w:color="auto"/>
            <w:bottom w:val="none" w:sz="0" w:space="0" w:color="auto"/>
            <w:right w:val="none" w:sz="0" w:space="0" w:color="auto"/>
          </w:divBdr>
        </w:div>
      </w:divsChild>
    </w:div>
    <w:div w:id="1937010390">
      <w:bodyDiv w:val="1"/>
      <w:marLeft w:val="0"/>
      <w:marRight w:val="0"/>
      <w:marTop w:val="0"/>
      <w:marBottom w:val="0"/>
      <w:divBdr>
        <w:top w:val="none" w:sz="0" w:space="0" w:color="auto"/>
        <w:left w:val="none" w:sz="0" w:space="0" w:color="auto"/>
        <w:bottom w:val="none" w:sz="0" w:space="0" w:color="auto"/>
        <w:right w:val="none" w:sz="0" w:space="0" w:color="auto"/>
      </w:divBdr>
      <w:divsChild>
        <w:div w:id="809976268">
          <w:marLeft w:val="0"/>
          <w:marRight w:val="0"/>
          <w:marTop w:val="0"/>
          <w:marBottom w:val="0"/>
          <w:divBdr>
            <w:top w:val="none" w:sz="0" w:space="0" w:color="auto"/>
            <w:left w:val="none" w:sz="0" w:space="0" w:color="auto"/>
            <w:bottom w:val="none" w:sz="0" w:space="0" w:color="auto"/>
            <w:right w:val="none" w:sz="0" w:space="0" w:color="auto"/>
          </w:divBdr>
        </w:div>
        <w:div w:id="1358385486">
          <w:marLeft w:val="0"/>
          <w:marRight w:val="0"/>
          <w:marTop w:val="0"/>
          <w:marBottom w:val="0"/>
          <w:divBdr>
            <w:top w:val="none" w:sz="0" w:space="0" w:color="auto"/>
            <w:left w:val="none" w:sz="0" w:space="0" w:color="auto"/>
            <w:bottom w:val="none" w:sz="0" w:space="0" w:color="auto"/>
            <w:right w:val="none" w:sz="0" w:space="0" w:color="auto"/>
          </w:divBdr>
        </w:div>
        <w:div w:id="1487164182">
          <w:marLeft w:val="0"/>
          <w:marRight w:val="0"/>
          <w:marTop w:val="0"/>
          <w:marBottom w:val="0"/>
          <w:divBdr>
            <w:top w:val="none" w:sz="0" w:space="0" w:color="auto"/>
            <w:left w:val="none" w:sz="0" w:space="0" w:color="auto"/>
            <w:bottom w:val="none" w:sz="0" w:space="0" w:color="auto"/>
            <w:right w:val="none" w:sz="0" w:space="0" w:color="auto"/>
          </w:divBdr>
        </w:div>
        <w:div w:id="1958873872">
          <w:marLeft w:val="0"/>
          <w:marRight w:val="0"/>
          <w:marTop w:val="0"/>
          <w:marBottom w:val="0"/>
          <w:divBdr>
            <w:top w:val="none" w:sz="0" w:space="0" w:color="auto"/>
            <w:left w:val="none" w:sz="0" w:space="0" w:color="auto"/>
            <w:bottom w:val="none" w:sz="0" w:space="0" w:color="auto"/>
            <w:right w:val="none" w:sz="0" w:space="0" w:color="auto"/>
          </w:divBdr>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44418717">
      <w:bodyDiv w:val="1"/>
      <w:marLeft w:val="0"/>
      <w:marRight w:val="0"/>
      <w:marTop w:val="0"/>
      <w:marBottom w:val="0"/>
      <w:divBdr>
        <w:top w:val="none" w:sz="0" w:space="0" w:color="auto"/>
        <w:left w:val="none" w:sz="0" w:space="0" w:color="auto"/>
        <w:bottom w:val="none" w:sz="0" w:space="0" w:color="auto"/>
        <w:right w:val="none" w:sz="0" w:space="0" w:color="auto"/>
      </w:divBdr>
      <w:divsChild>
        <w:div w:id="162743117">
          <w:marLeft w:val="0"/>
          <w:marRight w:val="0"/>
          <w:marTop w:val="0"/>
          <w:marBottom w:val="0"/>
          <w:divBdr>
            <w:top w:val="none" w:sz="0" w:space="0" w:color="auto"/>
            <w:left w:val="none" w:sz="0" w:space="0" w:color="auto"/>
            <w:bottom w:val="none" w:sz="0" w:space="0" w:color="auto"/>
            <w:right w:val="none" w:sz="0" w:space="0" w:color="auto"/>
          </w:divBdr>
        </w:div>
        <w:div w:id="902641793">
          <w:marLeft w:val="0"/>
          <w:marRight w:val="0"/>
          <w:marTop w:val="0"/>
          <w:marBottom w:val="0"/>
          <w:divBdr>
            <w:top w:val="none" w:sz="0" w:space="0" w:color="auto"/>
            <w:left w:val="none" w:sz="0" w:space="0" w:color="auto"/>
            <w:bottom w:val="none" w:sz="0" w:space="0" w:color="auto"/>
            <w:right w:val="none" w:sz="0" w:space="0" w:color="auto"/>
          </w:divBdr>
        </w:div>
        <w:div w:id="1190870244">
          <w:marLeft w:val="0"/>
          <w:marRight w:val="0"/>
          <w:marTop w:val="0"/>
          <w:marBottom w:val="0"/>
          <w:divBdr>
            <w:top w:val="none" w:sz="0" w:space="0" w:color="auto"/>
            <w:left w:val="none" w:sz="0" w:space="0" w:color="auto"/>
            <w:bottom w:val="none" w:sz="0" w:space="0" w:color="auto"/>
            <w:right w:val="none" w:sz="0" w:space="0" w:color="auto"/>
          </w:divBdr>
        </w:div>
        <w:div w:id="1268974067">
          <w:marLeft w:val="0"/>
          <w:marRight w:val="0"/>
          <w:marTop w:val="0"/>
          <w:marBottom w:val="0"/>
          <w:divBdr>
            <w:top w:val="none" w:sz="0" w:space="0" w:color="auto"/>
            <w:left w:val="none" w:sz="0" w:space="0" w:color="auto"/>
            <w:bottom w:val="none" w:sz="0" w:space="0" w:color="auto"/>
            <w:right w:val="none" w:sz="0" w:space="0" w:color="auto"/>
          </w:divBdr>
        </w:div>
        <w:div w:id="1288509154">
          <w:marLeft w:val="0"/>
          <w:marRight w:val="0"/>
          <w:marTop w:val="0"/>
          <w:marBottom w:val="0"/>
          <w:divBdr>
            <w:top w:val="none" w:sz="0" w:space="0" w:color="auto"/>
            <w:left w:val="none" w:sz="0" w:space="0" w:color="auto"/>
            <w:bottom w:val="none" w:sz="0" w:space="0" w:color="auto"/>
            <w:right w:val="none" w:sz="0" w:space="0" w:color="auto"/>
          </w:divBdr>
        </w:div>
        <w:div w:id="1422331581">
          <w:marLeft w:val="0"/>
          <w:marRight w:val="0"/>
          <w:marTop w:val="0"/>
          <w:marBottom w:val="0"/>
          <w:divBdr>
            <w:top w:val="none" w:sz="0" w:space="0" w:color="auto"/>
            <w:left w:val="none" w:sz="0" w:space="0" w:color="auto"/>
            <w:bottom w:val="none" w:sz="0" w:space="0" w:color="auto"/>
            <w:right w:val="none" w:sz="0" w:space="0" w:color="auto"/>
          </w:divBdr>
        </w:div>
        <w:div w:id="1711608885">
          <w:marLeft w:val="0"/>
          <w:marRight w:val="0"/>
          <w:marTop w:val="0"/>
          <w:marBottom w:val="0"/>
          <w:divBdr>
            <w:top w:val="none" w:sz="0" w:space="0" w:color="auto"/>
            <w:left w:val="none" w:sz="0" w:space="0" w:color="auto"/>
            <w:bottom w:val="none" w:sz="0" w:space="0" w:color="auto"/>
            <w:right w:val="none" w:sz="0" w:space="0" w:color="auto"/>
          </w:divBdr>
        </w:div>
        <w:div w:id="2075662602">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01037940">
      <w:bodyDiv w:val="1"/>
      <w:marLeft w:val="0"/>
      <w:marRight w:val="0"/>
      <w:marTop w:val="0"/>
      <w:marBottom w:val="0"/>
      <w:divBdr>
        <w:top w:val="none" w:sz="0" w:space="0" w:color="auto"/>
        <w:left w:val="none" w:sz="0" w:space="0" w:color="auto"/>
        <w:bottom w:val="none" w:sz="0" w:space="0" w:color="auto"/>
        <w:right w:val="none" w:sz="0" w:space="0" w:color="auto"/>
      </w:divBdr>
      <w:divsChild>
        <w:div w:id="440687884">
          <w:marLeft w:val="0"/>
          <w:marRight w:val="0"/>
          <w:marTop w:val="0"/>
          <w:marBottom w:val="0"/>
          <w:divBdr>
            <w:top w:val="none" w:sz="0" w:space="0" w:color="auto"/>
            <w:left w:val="none" w:sz="0" w:space="0" w:color="auto"/>
            <w:bottom w:val="none" w:sz="0" w:space="0" w:color="auto"/>
            <w:right w:val="none" w:sz="0" w:space="0" w:color="auto"/>
          </w:divBdr>
        </w:div>
        <w:div w:id="518011107">
          <w:marLeft w:val="0"/>
          <w:marRight w:val="0"/>
          <w:marTop w:val="0"/>
          <w:marBottom w:val="0"/>
          <w:divBdr>
            <w:top w:val="none" w:sz="0" w:space="0" w:color="auto"/>
            <w:left w:val="none" w:sz="0" w:space="0" w:color="auto"/>
            <w:bottom w:val="none" w:sz="0" w:space="0" w:color="auto"/>
            <w:right w:val="none" w:sz="0" w:space="0" w:color="auto"/>
          </w:divBdr>
        </w:div>
        <w:div w:id="950824938">
          <w:marLeft w:val="0"/>
          <w:marRight w:val="0"/>
          <w:marTop w:val="0"/>
          <w:marBottom w:val="0"/>
          <w:divBdr>
            <w:top w:val="none" w:sz="0" w:space="0" w:color="auto"/>
            <w:left w:val="none" w:sz="0" w:space="0" w:color="auto"/>
            <w:bottom w:val="none" w:sz="0" w:space="0" w:color="auto"/>
            <w:right w:val="none" w:sz="0" w:space="0" w:color="auto"/>
          </w:divBdr>
        </w:div>
        <w:div w:id="1011032981">
          <w:marLeft w:val="0"/>
          <w:marRight w:val="0"/>
          <w:marTop w:val="0"/>
          <w:marBottom w:val="0"/>
          <w:divBdr>
            <w:top w:val="none" w:sz="0" w:space="0" w:color="auto"/>
            <w:left w:val="none" w:sz="0" w:space="0" w:color="auto"/>
            <w:bottom w:val="none" w:sz="0" w:space="0" w:color="auto"/>
            <w:right w:val="none" w:sz="0" w:space="0" w:color="auto"/>
          </w:divBdr>
        </w:div>
        <w:div w:id="1279217701">
          <w:marLeft w:val="0"/>
          <w:marRight w:val="0"/>
          <w:marTop w:val="0"/>
          <w:marBottom w:val="0"/>
          <w:divBdr>
            <w:top w:val="none" w:sz="0" w:space="0" w:color="auto"/>
            <w:left w:val="none" w:sz="0" w:space="0" w:color="auto"/>
            <w:bottom w:val="none" w:sz="0" w:space="0" w:color="auto"/>
            <w:right w:val="none" w:sz="0" w:space="0" w:color="auto"/>
          </w:divBdr>
        </w:div>
        <w:div w:id="2090610366">
          <w:marLeft w:val="0"/>
          <w:marRight w:val="0"/>
          <w:marTop w:val="0"/>
          <w:marBottom w:val="0"/>
          <w:divBdr>
            <w:top w:val="none" w:sz="0" w:space="0" w:color="auto"/>
            <w:left w:val="none" w:sz="0" w:space="0" w:color="auto"/>
            <w:bottom w:val="none" w:sz="0" w:space="0" w:color="auto"/>
            <w:right w:val="none" w:sz="0" w:space="0" w:color="auto"/>
          </w:divBdr>
        </w:div>
      </w:divsChild>
    </w:div>
    <w:div w:id="2010448857">
      <w:bodyDiv w:val="1"/>
      <w:marLeft w:val="0"/>
      <w:marRight w:val="0"/>
      <w:marTop w:val="0"/>
      <w:marBottom w:val="0"/>
      <w:divBdr>
        <w:top w:val="none" w:sz="0" w:space="0" w:color="auto"/>
        <w:left w:val="none" w:sz="0" w:space="0" w:color="auto"/>
        <w:bottom w:val="none" w:sz="0" w:space="0" w:color="auto"/>
        <w:right w:val="none" w:sz="0" w:space="0" w:color="auto"/>
      </w:divBdr>
      <w:divsChild>
        <w:div w:id="153185373">
          <w:marLeft w:val="0"/>
          <w:marRight w:val="0"/>
          <w:marTop w:val="0"/>
          <w:marBottom w:val="0"/>
          <w:divBdr>
            <w:top w:val="none" w:sz="0" w:space="0" w:color="auto"/>
            <w:left w:val="none" w:sz="0" w:space="0" w:color="auto"/>
            <w:bottom w:val="none" w:sz="0" w:space="0" w:color="auto"/>
            <w:right w:val="none" w:sz="0" w:space="0" w:color="auto"/>
          </w:divBdr>
        </w:div>
        <w:div w:id="346251761">
          <w:marLeft w:val="0"/>
          <w:marRight w:val="0"/>
          <w:marTop w:val="0"/>
          <w:marBottom w:val="0"/>
          <w:divBdr>
            <w:top w:val="none" w:sz="0" w:space="0" w:color="auto"/>
            <w:left w:val="none" w:sz="0" w:space="0" w:color="auto"/>
            <w:bottom w:val="none" w:sz="0" w:space="0" w:color="auto"/>
            <w:right w:val="none" w:sz="0" w:space="0" w:color="auto"/>
          </w:divBdr>
        </w:div>
        <w:div w:id="814564302">
          <w:marLeft w:val="0"/>
          <w:marRight w:val="0"/>
          <w:marTop w:val="0"/>
          <w:marBottom w:val="0"/>
          <w:divBdr>
            <w:top w:val="none" w:sz="0" w:space="0" w:color="auto"/>
            <w:left w:val="none" w:sz="0" w:space="0" w:color="auto"/>
            <w:bottom w:val="none" w:sz="0" w:space="0" w:color="auto"/>
            <w:right w:val="none" w:sz="0" w:space="0" w:color="auto"/>
          </w:divBdr>
        </w:div>
        <w:div w:id="893586918">
          <w:marLeft w:val="0"/>
          <w:marRight w:val="0"/>
          <w:marTop w:val="0"/>
          <w:marBottom w:val="0"/>
          <w:divBdr>
            <w:top w:val="none" w:sz="0" w:space="0" w:color="auto"/>
            <w:left w:val="none" w:sz="0" w:space="0" w:color="auto"/>
            <w:bottom w:val="none" w:sz="0" w:space="0" w:color="auto"/>
            <w:right w:val="none" w:sz="0" w:space="0" w:color="auto"/>
          </w:divBdr>
        </w:div>
        <w:div w:id="1307248850">
          <w:marLeft w:val="0"/>
          <w:marRight w:val="0"/>
          <w:marTop w:val="0"/>
          <w:marBottom w:val="0"/>
          <w:divBdr>
            <w:top w:val="none" w:sz="0" w:space="0" w:color="auto"/>
            <w:left w:val="none" w:sz="0" w:space="0" w:color="auto"/>
            <w:bottom w:val="none" w:sz="0" w:space="0" w:color="auto"/>
            <w:right w:val="none" w:sz="0" w:space="0" w:color="auto"/>
          </w:divBdr>
        </w:div>
        <w:div w:id="1383360536">
          <w:marLeft w:val="0"/>
          <w:marRight w:val="0"/>
          <w:marTop w:val="0"/>
          <w:marBottom w:val="0"/>
          <w:divBdr>
            <w:top w:val="none" w:sz="0" w:space="0" w:color="auto"/>
            <w:left w:val="none" w:sz="0" w:space="0" w:color="auto"/>
            <w:bottom w:val="none" w:sz="0" w:space="0" w:color="auto"/>
            <w:right w:val="none" w:sz="0" w:space="0" w:color="auto"/>
          </w:divBdr>
        </w:div>
        <w:div w:id="1735855522">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46639642">
      <w:bodyDiv w:val="1"/>
      <w:marLeft w:val="0"/>
      <w:marRight w:val="0"/>
      <w:marTop w:val="0"/>
      <w:marBottom w:val="0"/>
      <w:divBdr>
        <w:top w:val="none" w:sz="0" w:space="0" w:color="auto"/>
        <w:left w:val="none" w:sz="0" w:space="0" w:color="auto"/>
        <w:bottom w:val="none" w:sz="0" w:space="0" w:color="auto"/>
        <w:right w:val="none" w:sz="0" w:space="0" w:color="auto"/>
      </w:divBdr>
      <w:divsChild>
        <w:div w:id="684525917">
          <w:marLeft w:val="0"/>
          <w:marRight w:val="0"/>
          <w:marTop w:val="0"/>
          <w:marBottom w:val="0"/>
          <w:divBdr>
            <w:top w:val="none" w:sz="0" w:space="0" w:color="auto"/>
            <w:left w:val="none" w:sz="0" w:space="0" w:color="auto"/>
            <w:bottom w:val="none" w:sz="0" w:space="0" w:color="auto"/>
            <w:right w:val="none" w:sz="0" w:space="0" w:color="auto"/>
          </w:divBdr>
        </w:div>
        <w:div w:id="1208954389">
          <w:marLeft w:val="0"/>
          <w:marRight w:val="0"/>
          <w:marTop w:val="0"/>
          <w:marBottom w:val="0"/>
          <w:divBdr>
            <w:top w:val="none" w:sz="0" w:space="0" w:color="auto"/>
            <w:left w:val="none" w:sz="0" w:space="0" w:color="auto"/>
            <w:bottom w:val="none" w:sz="0" w:space="0" w:color="auto"/>
            <w:right w:val="none" w:sz="0" w:space="0" w:color="auto"/>
          </w:divBdr>
        </w:div>
        <w:div w:id="1309900584">
          <w:marLeft w:val="0"/>
          <w:marRight w:val="0"/>
          <w:marTop w:val="0"/>
          <w:marBottom w:val="0"/>
          <w:divBdr>
            <w:top w:val="none" w:sz="0" w:space="0" w:color="auto"/>
            <w:left w:val="none" w:sz="0" w:space="0" w:color="auto"/>
            <w:bottom w:val="none" w:sz="0" w:space="0" w:color="auto"/>
            <w:right w:val="none" w:sz="0" w:space="0" w:color="auto"/>
          </w:divBdr>
        </w:div>
        <w:div w:id="1349789340">
          <w:marLeft w:val="0"/>
          <w:marRight w:val="0"/>
          <w:marTop w:val="0"/>
          <w:marBottom w:val="0"/>
          <w:divBdr>
            <w:top w:val="none" w:sz="0" w:space="0" w:color="auto"/>
            <w:left w:val="none" w:sz="0" w:space="0" w:color="auto"/>
            <w:bottom w:val="none" w:sz="0" w:space="0" w:color="auto"/>
            <w:right w:val="none" w:sz="0" w:space="0" w:color="auto"/>
          </w:divBdr>
        </w:div>
        <w:div w:id="2023899310">
          <w:marLeft w:val="0"/>
          <w:marRight w:val="0"/>
          <w:marTop w:val="0"/>
          <w:marBottom w:val="0"/>
          <w:divBdr>
            <w:top w:val="none" w:sz="0" w:space="0" w:color="auto"/>
            <w:left w:val="none" w:sz="0" w:space="0" w:color="auto"/>
            <w:bottom w:val="none" w:sz="0" w:space="0" w:color="auto"/>
            <w:right w:val="none" w:sz="0" w:space="0" w:color="auto"/>
          </w:divBdr>
        </w:div>
      </w:divsChild>
    </w:div>
    <w:div w:id="2066681005">
      <w:bodyDiv w:val="1"/>
      <w:marLeft w:val="0"/>
      <w:marRight w:val="0"/>
      <w:marTop w:val="0"/>
      <w:marBottom w:val="0"/>
      <w:divBdr>
        <w:top w:val="none" w:sz="0" w:space="0" w:color="auto"/>
        <w:left w:val="none" w:sz="0" w:space="0" w:color="auto"/>
        <w:bottom w:val="none" w:sz="0" w:space="0" w:color="auto"/>
        <w:right w:val="none" w:sz="0" w:space="0" w:color="auto"/>
      </w:divBdr>
      <w:divsChild>
        <w:div w:id="353111834">
          <w:marLeft w:val="0"/>
          <w:marRight w:val="0"/>
          <w:marTop w:val="0"/>
          <w:marBottom w:val="0"/>
          <w:divBdr>
            <w:top w:val="none" w:sz="0" w:space="0" w:color="auto"/>
            <w:left w:val="none" w:sz="0" w:space="0" w:color="auto"/>
            <w:bottom w:val="none" w:sz="0" w:space="0" w:color="auto"/>
            <w:right w:val="none" w:sz="0" w:space="0" w:color="auto"/>
          </w:divBdr>
        </w:div>
        <w:div w:id="684669047">
          <w:marLeft w:val="0"/>
          <w:marRight w:val="0"/>
          <w:marTop w:val="0"/>
          <w:marBottom w:val="0"/>
          <w:divBdr>
            <w:top w:val="none" w:sz="0" w:space="0" w:color="auto"/>
            <w:left w:val="none" w:sz="0" w:space="0" w:color="auto"/>
            <w:bottom w:val="none" w:sz="0" w:space="0" w:color="auto"/>
            <w:right w:val="none" w:sz="0" w:space="0" w:color="auto"/>
          </w:divBdr>
        </w:div>
        <w:div w:id="834615240">
          <w:marLeft w:val="0"/>
          <w:marRight w:val="0"/>
          <w:marTop w:val="0"/>
          <w:marBottom w:val="0"/>
          <w:divBdr>
            <w:top w:val="none" w:sz="0" w:space="0" w:color="auto"/>
            <w:left w:val="none" w:sz="0" w:space="0" w:color="auto"/>
            <w:bottom w:val="none" w:sz="0" w:space="0" w:color="auto"/>
            <w:right w:val="none" w:sz="0" w:space="0" w:color="auto"/>
          </w:divBdr>
        </w:div>
        <w:div w:id="887108816">
          <w:marLeft w:val="0"/>
          <w:marRight w:val="0"/>
          <w:marTop w:val="0"/>
          <w:marBottom w:val="0"/>
          <w:divBdr>
            <w:top w:val="none" w:sz="0" w:space="0" w:color="auto"/>
            <w:left w:val="none" w:sz="0" w:space="0" w:color="auto"/>
            <w:bottom w:val="none" w:sz="0" w:space="0" w:color="auto"/>
            <w:right w:val="none" w:sz="0" w:space="0" w:color="auto"/>
          </w:divBdr>
        </w:div>
        <w:div w:id="1001084803">
          <w:marLeft w:val="0"/>
          <w:marRight w:val="0"/>
          <w:marTop w:val="0"/>
          <w:marBottom w:val="0"/>
          <w:divBdr>
            <w:top w:val="none" w:sz="0" w:space="0" w:color="auto"/>
            <w:left w:val="none" w:sz="0" w:space="0" w:color="auto"/>
            <w:bottom w:val="none" w:sz="0" w:space="0" w:color="auto"/>
            <w:right w:val="none" w:sz="0" w:space="0" w:color="auto"/>
          </w:divBdr>
        </w:div>
        <w:div w:id="1054278544">
          <w:marLeft w:val="0"/>
          <w:marRight w:val="0"/>
          <w:marTop w:val="0"/>
          <w:marBottom w:val="0"/>
          <w:divBdr>
            <w:top w:val="none" w:sz="0" w:space="0" w:color="auto"/>
            <w:left w:val="none" w:sz="0" w:space="0" w:color="auto"/>
            <w:bottom w:val="none" w:sz="0" w:space="0" w:color="auto"/>
            <w:right w:val="none" w:sz="0" w:space="0" w:color="auto"/>
          </w:divBdr>
        </w:div>
        <w:div w:id="1079526428">
          <w:marLeft w:val="0"/>
          <w:marRight w:val="0"/>
          <w:marTop w:val="0"/>
          <w:marBottom w:val="0"/>
          <w:divBdr>
            <w:top w:val="none" w:sz="0" w:space="0" w:color="auto"/>
            <w:left w:val="none" w:sz="0" w:space="0" w:color="auto"/>
            <w:bottom w:val="none" w:sz="0" w:space="0" w:color="auto"/>
            <w:right w:val="none" w:sz="0" w:space="0" w:color="auto"/>
          </w:divBdr>
        </w:div>
        <w:div w:id="1496602942">
          <w:marLeft w:val="0"/>
          <w:marRight w:val="0"/>
          <w:marTop w:val="0"/>
          <w:marBottom w:val="0"/>
          <w:divBdr>
            <w:top w:val="none" w:sz="0" w:space="0" w:color="auto"/>
            <w:left w:val="none" w:sz="0" w:space="0" w:color="auto"/>
            <w:bottom w:val="none" w:sz="0" w:space="0" w:color="auto"/>
            <w:right w:val="none" w:sz="0" w:space="0" w:color="auto"/>
          </w:divBdr>
        </w:div>
        <w:div w:id="1863981249">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 w:id="2107145594">
      <w:bodyDiv w:val="1"/>
      <w:marLeft w:val="0"/>
      <w:marRight w:val="0"/>
      <w:marTop w:val="0"/>
      <w:marBottom w:val="0"/>
      <w:divBdr>
        <w:top w:val="none" w:sz="0" w:space="0" w:color="auto"/>
        <w:left w:val="none" w:sz="0" w:space="0" w:color="auto"/>
        <w:bottom w:val="none" w:sz="0" w:space="0" w:color="auto"/>
        <w:right w:val="none" w:sz="0" w:space="0" w:color="auto"/>
      </w:divBdr>
      <w:divsChild>
        <w:div w:id="737214877">
          <w:marLeft w:val="0"/>
          <w:marRight w:val="0"/>
          <w:marTop w:val="0"/>
          <w:marBottom w:val="0"/>
          <w:divBdr>
            <w:top w:val="none" w:sz="0" w:space="0" w:color="auto"/>
            <w:left w:val="none" w:sz="0" w:space="0" w:color="auto"/>
            <w:bottom w:val="none" w:sz="0" w:space="0" w:color="auto"/>
            <w:right w:val="none" w:sz="0" w:space="0" w:color="auto"/>
          </w:divBdr>
        </w:div>
        <w:div w:id="1511407470">
          <w:marLeft w:val="0"/>
          <w:marRight w:val="0"/>
          <w:marTop w:val="0"/>
          <w:marBottom w:val="0"/>
          <w:divBdr>
            <w:top w:val="none" w:sz="0" w:space="0" w:color="auto"/>
            <w:left w:val="none" w:sz="0" w:space="0" w:color="auto"/>
            <w:bottom w:val="none" w:sz="0" w:space="0" w:color="auto"/>
            <w:right w:val="none" w:sz="0" w:space="0" w:color="auto"/>
          </w:divBdr>
        </w:div>
        <w:div w:id="2030833856">
          <w:marLeft w:val="0"/>
          <w:marRight w:val="0"/>
          <w:marTop w:val="0"/>
          <w:marBottom w:val="0"/>
          <w:divBdr>
            <w:top w:val="none" w:sz="0" w:space="0" w:color="auto"/>
            <w:left w:val="none" w:sz="0" w:space="0" w:color="auto"/>
            <w:bottom w:val="none" w:sz="0" w:space="0" w:color="auto"/>
            <w:right w:val="none" w:sz="0" w:space="0" w:color="auto"/>
          </w:divBdr>
        </w:div>
        <w:div w:id="2042586388">
          <w:marLeft w:val="0"/>
          <w:marRight w:val="0"/>
          <w:marTop w:val="0"/>
          <w:marBottom w:val="0"/>
          <w:divBdr>
            <w:top w:val="none" w:sz="0" w:space="0" w:color="auto"/>
            <w:left w:val="none" w:sz="0" w:space="0" w:color="auto"/>
            <w:bottom w:val="none" w:sz="0" w:space="0" w:color="auto"/>
            <w:right w:val="none" w:sz="0" w:space="0" w:color="auto"/>
          </w:divBdr>
        </w:div>
        <w:div w:id="2141880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fdround@dca.ga.gov" TargetMode="External"/><Relationship Id="rId18" Type="http://schemas.openxmlformats.org/officeDocument/2006/relationships/hyperlink" Target="https://www.dca.ga.gov/node/8085" TargetMode="External"/><Relationship Id="rId26" Type="http://schemas.openxmlformats.org/officeDocument/2006/relationships/hyperlink" Target="https://www.dca.ga.gov/safe-affordable-housing/rental-housing-development/housing-tax-credit-program-lihtc/qualified-0/2022" TargetMode="External"/><Relationship Id="rId39" Type="http://schemas.openxmlformats.org/officeDocument/2006/relationships/hyperlink" Target="https://www.dca.ga.gov/safe-affordable-housing/rental-housing-development/housing-tax-credit-program-lihtc/qualified-0-0" TargetMode="External"/><Relationship Id="rId21" Type="http://schemas.openxmlformats.org/officeDocument/2006/relationships/hyperlink" Target="https://www.dca.ga.gov/safe-affordable-housing/rental-housing-development/housing-tax-credit-program-lihtc/qualified-0/2022" TargetMode="External"/><Relationship Id="rId34" Type="http://schemas.openxmlformats.org/officeDocument/2006/relationships/hyperlink" Target="https://www.dca.ga.gov/safe-affordable-housing/rental-housing-development/compliance-monitoring/utility-allowances" TargetMode="External"/><Relationship Id="rId42" Type="http://schemas.openxmlformats.org/officeDocument/2006/relationships/image" Target="media/image3.png"/><Relationship Id="rId47" Type="http://schemas.openxmlformats.org/officeDocument/2006/relationships/hyperlink" Target="https://www.dca.ga.gov/safe-affordable-housing/rental-housing-development/housing-tax-credit-program-lihtc/application" TargetMode="External"/><Relationship Id="rId50" Type="http://schemas.openxmlformats.org/officeDocument/2006/relationships/hyperlink" Target="https://www.dca.ga.gov/safe-affordable-housing/rental-housing-development/housing-tax-credit-program-lihtc/qualified-0-0" TargetMode="External"/><Relationship Id="rId55" Type="http://schemas.openxmlformats.org/officeDocument/2006/relationships/hyperlink" Target="https://www.dca.ga.gov/safe-affordable-housing/rental-housing-development/compliance-monitoring"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Felecia.Speakman@dca.ga.gov" TargetMode="External"/><Relationship Id="rId29" Type="http://schemas.openxmlformats.org/officeDocument/2006/relationships/hyperlink" Target="https://www.dca.ga.gov/safe-affordable-housing/rental-housing-development/housing-tax-credit-program-lihtc/qualified-0-0" TargetMode="External"/><Relationship Id="rId11" Type="http://schemas.openxmlformats.org/officeDocument/2006/relationships/image" Target="media/image1.emf"/><Relationship Id="rId24" Type="http://schemas.openxmlformats.org/officeDocument/2006/relationships/hyperlink" Target="https://www.dca.ga.gov/safe-affordable-housing/rental-housing-development/housing-tax-credit-program-lihtc/qualified-0-0" TargetMode="External"/><Relationship Id="rId32" Type="http://schemas.openxmlformats.org/officeDocument/2006/relationships/hyperlink" Target="https://dcaqap.formstack.com/forms/2022_taxcredit_questions" TargetMode="External"/><Relationship Id="rId37" Type="http://schemas.openxmlformats.org/officeDocument/2006/relationships/hyperlink" Target="https://www.dca.ga.gov/safe-affordable-housing/rental-housing-development/housing-tax-credit-program-lihtc/qualified-0-0" TargetMode="External"/><Relationship Id="rId40" Type="http://schemas.openxmlformats.org/officeDocument/2006/relationships/hyperlink" Target="https://georgia-dca.maps.arcgis.com/apps/View/index.html?appid=f40de6a6f3ca455988ccb28f25c8a80e" TargetMode="External"/><Relationship Id="rId45" Type="http://schemas.openxmlformats.org/officeDocument/2006/relationships/hyperlink" Target="https://www.dca.ga.gov/safe-affordable-housing/rental-housing-development/housing-tax-credit-program-lihtc/qualified-0-0" TargetMode="External"/><Relationship Id="rId53" Type="http://schemas.openxmlformats.org/officeDocument/2006/relationships/hyperlink" Target="https://www.dca.ga.gov/node/7804" TargetMode="External"/><Relationship Id="rId58" Type="http://schemas.openxmlformats.org/officeDocument/2006/relationships/hyperlink" Target="https://www.dca.ga.gov/node/7818" TargetMode="Externa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adoe.org/CCRPI/Pages/default.aspx" TargetMode="External"/><Relationship Id="rId14" Type="http://schemas.openxmlformats.org/officeDocument/2006/relationships/hyperlink" Target="mailto:hfdround@dca.ga.gov" TargetMode="External"/><Relationship Id="rId22" Type="http://schemas.openxmlformats.org/officeDocument/2006/relationships/hyperlink" Target="https://www.dca.ga.gov/node/7805" TargetMode="External"/><Relationship Id="rId27" Type="http://schemas.openxmlformats.org/officeDocument/2006/relationships/hyperlink" Target="https://www.dca.ga.gov/node/7815" TargetMode="External"/><Relationship Id="rId30" Type="http://schemas.openxmlformats.org/officeDocument/2006/relationships/hyperlink" Target="https://www.dca.ga.gov/safe-affordable-housing/rental-housing-development/compliance-monitoring/utility-allowances" TargetMode="External"/><Relationship Id="rId35" Type="http://schemas.openxmlformats.org/officeDocument/2006/relationships/hyperlink" Target="https://www.dca.ga.gov/node/7805" TargetMode="External"/><Relationship Id="rId43" Type="http://schemas.openxmlformats.org/officeDocument/2006/relationships/image" Target="media/image4.png"/><Relationship Id="rId48" Type="http://schemas.openxmlformats.org/officeDocument/2006/relationships/hyperlink" Target="https://www.gadoe.org/CCRPI/Pages/default.aspx" TargetMode="External"/><Relationship Id="rId56" Type="http://schemas.openxmlformats.org/officeDocument/2006/relationships/hyperlink" Target="https://www.dca.ga.gov/safe-affordable-housing/rental-housing-development/housing-tax-credit-program-lihtc/application" TargetMode="External"/><Relationship Id="rId8" Type="http://schemas.openxmlformats.org/officeDocument/2006/relationships/webSettings" Target="webSettings.xml"/><Relationship Id="rId51" Type="http://schemas.openxmlformats.org/officeDocument/2006/relationships/hyperlink" Target="https://www.dca.ga.gov/safe-affordable-housing/rental-housing-development/housing-tax-credit-program-lihtc/qualified-0-1" TargetMode="Externa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mailto:Sanjana.Zahin@dca.ga.gov" TargetMode="External"/><Relationship Id="rId25" Type="http://schemas.openxmlformats.org/officeDocument/2006/relationships/hyperlink" Target="https://www.dca.ga.gov/safe-affordable-housing/rental-housing-development/housing-tax-credit-program-lihtc/qualified-0/2022" TargetMode="External"/><Relationship Id="rId33" Type="http://schemas.openxmlformats.org/officeDocument/2006/relationships/hyperlink" Target="https://www.dca.ga.gov/safe-affordable-housing/rental-housing-development/housing-tax-credit-program-lihtc/qualified-0-0" TargetMode="External"/><Relationship Id="rId38" Type="http://schemas.openxmlformats.org/officeDocument/2006/relationships/hyperlink" Target="https://www.dca.ga.gov/safe-affordable-housing/rental-housing-development/housing-tax-credit-program-lihtc/qualified-0-0" TargetMode="External"/><Relationship Id="rId46" Type="http://schemas.openxmlformats.org/officeDocument/2006/relationships/hyperlink" Target="https://www.dca.ga.gov/safe-affordable-housing/rental-housing-development/housing-tax-credit-program-lihtc/qualified-0-0" TargetMode="External"/><Relationship Id="rId59" Type="http://schemas.openxmlformats.org/officeDocument/2006/relationships/header" Target="header1.xml"/><Relationship Id="rId20" Type="http://schemas.openxmlformats.org/officeDocument/2006/relationships/hyperlink" Target="https://www.dca.ga.gov/safe-affordable-housing/rental-housing-development/housing-tax-credit-program-lihtc/qualified-0-0" TargetMode="External"/><Relationship Id="rId41" Type="http://schemas.openxmlformats.org/officeDocument/2006/relationships/image" Target="media/image2.png"/><Relationship Id="rId54" Type="http://schemas.openxmlformats.org/officeDocument/2006/relationships/hyperlink" Target="https://www.dca.ga.gov/node/780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crpi.gadoe.org/Reports/Views/Shared/_Layout.html" TargetMode="External"/><Relationship Id="rId23" Type="http://schemas.openxmlformats.org/officeDocument/2006/relationships/hyperlink" Target="https://www.dca.ga.gov/node/7817" TargetMode="External"/><Relationship Id="rId28" Type="http://schemas.openxmlformats.org/officeDocument/2006/relationships/hyperlink" Target="http://dcaqap.formstack.com/forms/yearround_qap_survey" TargetMode="External"/><Relationship Id="rId36" Type="http://schemas.openxmlformats.org/officeDocument/2006/relationships/hyperlink" Target="https://www.dca.ga.gov/safe-affordable-housing/rental-housing-development/housing-tax-credit-program-lihtc/application" TargetMode="External"/><Relationship Id="rId49" Type="http://schemas.openxmlformats.org/officeDocument/2006/relationships/hyperlink" Target="https://www.gadoe.org/CCRPI/Pages/-Archived-CCRPI-Data-Files.aspx?" TargetMode="External"/><Relationship Id="rId57" Type="http://schemas.openxmlformats.org/officeDocument/2006/relationships/hyperlink" Target="https://www.dca.ga.gov/node/7818" TargetMode="External"/><Relationship Id="rId10" Type="http://schemas.openxmlformats.org/officeDocument/2006/relationships/endnotes" Target="endnotes.xml"/><Relationship Id="rId31" Type="http://schemas.openxmlformats.org/officeDocument/2006/relationships/hyperlink" Target="https://consumer.georgia.gov/consumer-topics/health-care-professionals" TargetMode="External"/><Relationship Id="rId44" Type="http://schemas.openxmlformats.org/officeDocument/2006/relationships/hyperlink" Target="https://www.youtube.com/watch?v=VozXGGf8Ueg&amp;t=503s" TargetMode="External"/><Relationship Id="rId52" Type="http://schemas.openxmlformats.org/officeDocument/2006/relationships/hyperlink" Target="https://www.dca.ga.gov/safe-affordable-housing/rental-housing-development/compliance-monitoring"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6" ma:contentTypeDescription="Create a new document." ma:contentTypeScope="" ma:versionID="ae0e050481ac1421d4f3fab99e1b59c0">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de0fd987dc613b5d370f5f94535d9e2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CB819E-9CCA-4FCD-90F4-6C873F64136A}">
  <ds:schemaRefs>
    <ds:schemaRef ds:uri="http://schemas.microsoft.com/sharepoint/v3/contenttype/forms"/>
  </ds:schemaRefs>
</ds:datastoreItem>
</file>

<file path=customXml/itemProps2.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customXml/itemProps3.xml><?xml version="1.0" encoding="utf-8"?>
<ds:datastoreItem xmlns:ds="http://schemas.openxmlformats.org/officeDocument/2006/customXml" ds:itemID="{36CA9A69-CD3B-44FD-A2A0-AD4169BB2B1F}">
  <ds:schemaRefs>
    <ds:schemaRef ds:uri="http://schemas.microsoft.com/office/2006/metadata/properties"/>
    <ds:schemaRef ds:uri="http://schemas.microsoft.com/office/infopath/2007/PartnerControls"/>
    <ds:schemaRef ds:uri="431100d4-4470-42c1-96bc-46686c1829ae"/>
  </ds:schemaRefs>
</ds:datastoreItem>
</file>

<file path=customXml/itemProps4.xml><?xml version="1.0" encoding="utf-8"?>
<ds:datastoreItem xmlns:ds="http://schemas.openxmlformats.org/officeDocument/2006/customXml" ds:itemID="{BB2DBEFE-31C7-4EE9-9265-9E44134A4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23056</Words>
  <Characters>131424</Characters>
  <Application>Microsoft Office Word</Application>
  <DocSecurity>0</DocSecurity>
  <Lines>1095</Lines>
  <Paragraphs>308</Paragraphs>
  <ScaleCrop>false</ScaleCrop>
  <Company/>
  <LinksUpToDate>false</LinksUpToDate>
  <CharactersWithSpaces>154172</CharactersWithSpaces>
  <SharedDoc>false</SharedDoc>
  <HLinks>
    <vt:vector size="264" baseType="variant">
      <vt:variant>
        <vt:i4>5242944</vt:i4>
      </vt:variant>
      <vt:variant>
        <vt:i4>129</vt:i4>
      </vt:variant>
      <vt:variant>
        <vt:i4>0</vt:i4>
      </vt:variant>
      <vt:variant>
        <vt:i4>5</vt:i4>
      </vt:variant>
      <vt:variant>
        <vt:lpwstr>https://www.dca.ga.gov/node/7818</vt:lpwstr>
      </vt:variant>
      <vt:variant>
        <vt:lpwstr/>
      </vt:variant>
      <vt:variant>
        <vt:i4>5242944</vt:i4>
      </vt:variant>
      <vt:variant>
        <vt:i4>126</vt:i4>
      </vt:variant>
      <vt:variant>
        <vt:i4>0</vt:i4>
      </vt:variant>
      <vt:variant>
        <vt:i4>5</vt:i4>
      </vt:variant>
      <vt:variant>
        <vt:lpwstr>https://www.dca.ga.gov/node/7818</vt:lpwstr>
      </vt:variant>
      <vt:variant>
        <vt:lpwstr/>
      </vt:variant>
      <vt:variant>
        <vt:i4>7340131</vt:i4>
      </vt:variant>
      <vt:variant>
        <vt:i4>123</vt:i4>
      </vt:variant>
      <vt:variant>
        <vt:i4>0</vt:i4>
      </vt:variant>
      <vt:variant>
        <vt:i4>5</vt:i4>
      </vt:variant>
      <vt:variant>
        <vt:lpwstr>https://www.dca.ga.gov/safe-affordable-housing/rental-housing-development/housing-tax-credit-program-lihtc/application</vt:lpwstr>
      </vt:variant>
      <vt:variant>
        <vt:lpwstr/>
      </vt:variant>
      <vt:variant>
        <vt:i4>7209084</vt:i4>
      </vt:variant>
      <vt:variant>
        <vt:i4>120</vt:i4>
      </vt:variant>
      <vt:variant>
        <vt:i4>0</vt:i4>
      </vt:variant>
      <vt:variant>
        <vt:i4>5</vt:i4>
      </vt:variant>
      <vt:variant>
        <vt:lpwstr>https://www.dca.ga.gov/safe-affordable-housing/rental-housing-development/compliance-monitoring</vt:lpwstr>
      </vt:variant>
      <vt:variant>
        <vt:lpwstr/>
      </vt:variant>
      <vt:variant>
        <vt:i4>6029377</vt:i4>
      </vt:variant>
      <vt:variant>
        <vt:i4>117</vt:i4>
      </vt:variant>
      <vt:variant>
        <vt:i4>0</vt:i4>
      </vt:variant>
      <vt:variant>
        <vt:i4>5</vt:i4>
      </vt:variant>
      <vt:variant>
        <vt:lpwstr>https://www.dca.ga.gov/node/7804</vt:lpwstr>
      </vt:variant>
      <vt:variant>
        <vt:lpwstr/>
      </vt:variant>
      <vt:variant>
        <vt:i4>6029377</vt:i4>
      </vt:variant>
      <vt:variant>
        <vt:i4>114</vt:i4>
      </vt:variant>
      <vt:variant>
        <vt:i4>0</vt:i4>
      </vt:variant>
      <vt:variant>
        <vt:i4>5</vt:i4>
      </vt:variant>
      <vt:variant>
        <vt:lpwstr>https://www.dca.ga.gov/node/7804</vt:lpwstr>
      </vt:variant>
      <vt:variant>
        <vt:lpwstr/>
      </vt:variant>
      <vt:variant>
        <vt:i4>7209084</vt:i4>
      </vt:variant>
      <vt:variant>
        <vt:i4>111</vt:i4>
      </vt:variant>
      <vt:variant>
        <vt:i4>0</vt:i4>
      </vt:variant>
      <vt:variant>
        <vt:i4>5</vt:i4>
      </vt:variant>
      <vt:variant>
        <vt:lpwstr>https://www.dca.ga.gov/safe-affordable-housing/rental-housing-development/compliance-monitoring</vt:lpwstr>
      </vt:variant>
      <vt:variant>
        <vt:lpwstr/>
      </vt:variant>
      <vt:variant>
        <vt:i4>1769501</vt:i4>
      </vt:variant>
      <vt:variant>
        <vt:i4>108</vt:i4>
      </vt:variant>
      <vt:variant>
        <vt:i4>0</vt:i4>
      </vt:variant>
      <vt:variant>
        <vt:i4>5</vt:i4>
      </vt:variant>
      <vt:variant>
        <vt:lpwstr>https://www.dca.ga.gov/safe-affordable-housing/rental-housing-development/housing-tax-credit-program-lihtc/qualified-0-1</vt:lpwstr>
      </vt:variant>
      <vt:variant>
        <vt:lpwstr/>
      </vt:variant>
      <vt:variant>
        <vt:i4>1703965</vt:i4>
      </vt:variant>
      <vt:variant>
        <vt:i4>105</vt:i4>
      </vt:variant>
      <vt:variant>
        <vt:i4>0</vt:i4>
      </vt:variant>
      <vt:variant>
        <vt:i4>5</vt:i4>
      </vt:variant>
      <vt:variant>
        <vt:lpwstr>https://www.dca.ga.gov/safe-affordable-housing/rental-housing-development/housing-tax-credit-program-lihtc/qualified-0-0</vt:lpwstr>
      </vt:variant>
      <vt:variant>
        <vt:lpwstr/>
      </vt:variant>
      <vt:variant>
        <vt:i4>6815867</vt:i4>
      </vt:variant>
      <vt:variant>
        <vt:i4>102</vt:i4>
      </vt:variant>
      <vt:variant>
        <vt:i4>0</vt:i4>
      </vt:variant>
      <vt:variant>
        <vt:i4>5</vt:i4>
      </vt:variant>
      <vt:variant>
        <vt:lpwstr>https://www.gadoe.org/CCRPI/Pages/-Archived-CCRPI-Data-Files.aspx?</vt:lpwstr>
      </vt:variant>
      <vt:variant>
        <vt:lpwstr/>
      </vt:variant>
      <vt:variant>
        <vt:i4>7274528</vt:i4>
      </vt:variant>
      <vt:variant>
        <vt:i4>99</vt:i4>
      </vt:variant>
      <vt:variant>
        <vt:i4>0</vt:i4>
      </vt:variant>
      <vt:variant>
        <vt:i4>5</vt:i4>
      </vt:variant>
      <vt:variant>
        <vt:lpwstr>https://www.gadoe.org/CCRPI/Pages/default.aspx</vt:lpwstr>
      </vt:variant>
      <vt:variant>
        <vt:lpwstr/>
      </vt:variant>
      <vt:variant>
        <vt:i4>7340131</vt:i4>
      </vt:variant>
      <vt:variant>
        <vt:i4>96</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93</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90</vt:i4>
      </vt:variant>
      <vt:variant>
        <vt:i4>0</vt:i4>
      </vt:variant>
      <vt:variant>
        <vt:i4>5</vt:i4>
      </vt:variant>
      <vt:variant>
        <vt:lpwstr>https://www.dca.ga.gov/safe-affordable-housing/rental-housing-development/housing-tax-credit-program-lihtc/qualified-0-0</vt:lpwstr>
      </vt:variant>
      <vt:variant>
        <vt:lpwstr/>
      </vt:variant>
      <vt:variant>
        <vt:i4>2752546</vt:i4>
      </vt:variant>
      <vt:variant>
        <vt:i4>87</vt:i4>
      </vt:variant>
      <vt:variant>
        <vt:i4>0</vt:i4>
      </vt:variant>
      <vt:variant>
        <vt:i4>5</vt:i4>
      </vt:variant>
      <vt:variant>
        <vt:lpwstr>https://www.youtube.com/watch?v=VozXGGf8Ueg&amp;t=503s</vt:lpwstr>
      </vt:variant>
      <vt:variant>
        <vt:lpwstr/>
      </vt:variant>
      <vt:variant>
        <vt:i4>3670127</vt:i4>
      </vt:variant>
      <vt:variant>
        <vt:i4>84</vt:i4>
      </vt:variant>
      <vt:variant>
        <vt:i4>0</vt:i4>
      </vt:variant>
      <vt:variant>
        <vt:i4>5</vt:i4>
      </vt:variant>
      <vt:variant>
        <vt:lpwstr>https://georgia-dca.maps.arcgis.com/apps/View/index.html?appid=f40de6a6f3ca455988ccb28f25c8a80e</vt:lpwstr>
      </vt:variant>
      <vt:variant>
        <vt:lpwstr/>
      </vt:variant>
      <vt:variant>
        <vt:i4>1703965</vt:i4>
      </vt:variant>
      <vt:variant>
        <vt:i4>81</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78</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75</vt:i4>
      </vt:variant>
      <vt:variant>
        <vt:i4>0</vt:i4>
      </vt:variant>
      <vt:variant>
        <vt:i4>5</vt:i4>
      </vt:variant>
      <vt:variant>
        <vt:lpwstr>https://www.dca.ga.gov/safe-affordable-housing/rental-housing-development/housing-tax-credit-program-lihtc/qualified-0-0</vt:lpwstr>
      </vt:variant>
      <vt:variant>
        <vt:lpwstr/>
      </vt:variant>
      <vt:variant>
        <vt:i4>7340131</vt:i4>
      </vt:variant>
      <vt:variant>
        <vt:i4>72</vt:i4>
      </vt:variant>
      <vt:variant>
        <vt:i4>0</vt:i4>
      </vt:variant>
      <vt:variant>
        <vt:i4>5</vt:i4>
      </vt:variant>
      <vt:variant>
        <vt:lpwstr>https://www.dca.ga.gov/safe-affordable-housing/rental-housing-development/housing-tax-credit-program-lihtc/application</vt:lpwstr>
      </vt:variant>
      <vt:variant>
        <vt:lpwstr/>
      </vt:variant>
      <vt:variant>
        <vt:i4>6094913</vt:i4>
      </vt:variant>
      <vt:variant>
        <vt:i4>69</vt:i4>
      </vt:variant>
      <vt:variant>
        <vt:i4>0</vt:i4>
      </vt:variant>
      <vt:variant>
        <vt:i4>5</vt:i4>
      </vt:variant>
      <vt:variant>
        <vt:lpwstr>https://www.dca.ga.gov/node/7805</vt:lpwstr>
      </vt:variant>
      <vt:variant>
        <vt:lpwstr/>
      </vt:variant>
      <vt:variant>
        <vt:i4>7471206</vt:i4>
      </vt:variant>
      <vt:variant>
        <vt:i4>66</vt:i4>
      </vt:variant>
      <vt:variant>
        <vt:i4>0</vt:i4>
      </vt:variant>
      <vt:variant>
        <vt:i4>5</vt:i4>
      </vt:variant>
      <vt:variant>
        <vt:lpwstr>https://www.dca.ga.gov/safe-affordable-housing/rental-housing-development/compliance-monitoring/utility-allowances</vt:lpwstr>
      </vt:variant>
      <vt:variant>
        <vt:lpwstr/>
      </vt:variant>
      <vt:variant>
        <vt:i4>1703965</vt:i4>
      </vt:variant>
      <vt:variant>
        <vt:i4>63</vt:i4>
      </vt:variant>
      <vt:variant>
        <vt:i4>0</vt:i4>
      </vt:variant>
      <vt:variant>
        <vt:i4>5</vt:i4>
      </vt:variant>
      <vt:variant>
        <vt:lpwstr>https://www.dca.ga.gov/safe-affordable-housing/rental-housing-development/housing-tax-credit-program-lihtc/qualified-0-0</vt:lpwstr>
      </vt:variant>
      <vt:variant>
        <vt:lpwstr/>
      </vt:variant>
      <vt:variant>
        <vt:i4>7864383</vt:i4>
      </vt:variant>
      <vt:variant>
        <vt:i4>60</vt:i4>
      </vt:variant>
      <vt:variant>
        <vt:i4>0</vt:i4>
      </vt:variant>
      <vt:variant>
        <vt:i4>5</vt:i4>
      </vt:variant>
      <vt:variant>
        <vt:lpwstr>https://dcaqap.formstack.com/forms/2022_taxcredit_questions</vt:lpwstr>
      </vt:variant>
      <vt:variant>
        <vt:lpwstr/>
      </vt:variant>
      <vt:variant>
        <vt:i4>6815865</vt:i4>
      </vt:variant>
      <vt:variant>
        <vt:i4>57</vt:i4>
      </vt:variant>
      <vt:variant>
        <vt:i4>0</vt:i4>
      </vt:variant>
      <vt:variant>
        <vt:i4>5</vt:i4>
      </vt:variant>
      <vt:variant>
        <vt:lpwstr>https://consumer.georgia.gov/consumer-topics/health-care-professionals</vt:lpwstr>
      </vt:variant>
      <vt:variant>
        <vt:lpwstr/>
      </vt:variant>
      <vt:variant>
        <vt:i4>7471206</vt:i4>
      </vt:variant>
      <vt:variant>
        <vt:i4>54</vt:i4>
      </vt:variant>
      <vt:variant>
        <vt:i4>0</vt:i4>
      </vt:variant>
      <vt:variant>
        <vt:i4>5</vt:i4>
      </vt:variant>
      <vt:variant>
        <vt:lpwstr>https://www.dca.ga.gov/safe-affordable-housing/rental-housing-development/compliance-monitoring/utility-allowances</vt:lpwstr>
      </vt:variant>
      <vt:variant>
        <vt:lpwstr/>
      </vt:variant>
      <vt:variant>
        <vt:i4>1703965</vt:i4>
      </vt:variant>
      <vt:variant>
        <vt:i4>51</vt:i4>
      </vt:variant>
      <vt:variant>
        <vt:i4>0</vt:i4>
      </vt:variant>
      <vt:variant>
        <vt:i4>5</vt:i4>
      </vt:variant>
      <vt:variant>
        <vt:lpwstr>https://www.dca.ga.gov/safe-affordable-housing/rental-housing-development/housing-tax-credit-program-lihtc/qualified-0-0</vt:lpwstr>
      </vt:variant>
      <vt:variant>
        <vt:lpwstr/>
      </vt:variant>
      <vt:variant>
        <vt:i4>3801201</vt:i4>
      </vt:variant>
      <vt:variant>
        <vt:i4>48</vt:i4>
      </vt:variant>
      <vt:variant>
        <vt:i4>0</vt:i4>
      </vt:variant>
      <vt:variant>
        <vt:i4>5</vt:i4>
      </vt:variant>
      <vt:variant>
        <vt:lpwstr>http://dcaqap.formstack.com/forms/yearround_qap_survey</vt:lpwstr>
      </vt:variant>
      <vt:variant>
        <vt:lpwstr/>
      </vt:variant>
      <vt:variant>
        <vt:i4>6094912</vt:i4>
      </vt:variant>
      <vt:variant>
        <vt:i4>45</vt:i4>
      </vt:variant>
      <vt:variant>
        <vt:i4>0</vt:i4>
      </vt:variant>
      <vt:variant>
        <vt:i4>5</vt:i4>
      </vt:variant>
      <vt:variant>
        <vt:lpwstr>https://www.dca.ga.gov/node/7815</vt:lpwstr>
      </vt:variant>
      <vt:variant>
        <vt:lpwstr/>
      </vt:variant>
      <vt:variant>
        <vt:i4>2752559</vt:i4>
      </vt:variant>
      <vt:variant>
        <vt:i4>42</vt:i4>
      </vt:variant>
      <vt:variant>
        <vt:i4>0</vt:i4>
      </vt:variant>
      <vt:variant>
        <vt:i4>5</vt:i4>
      </vt:variant>
      <vt:variant>
        <vt:lpwstr>https://www.dca.ga.gov/safe-affordable-housing/rental-housing-development/housing-tax-credit-program-lihtc/qualified-0/2022</vt:lpwstr>
      </vt:variant>
      <vt:variant>
        <vt:lpwstr/>
      </vt:variant>
      <vt:variant>
        <vt:i4>2752559</vt:i4>
      </vt:variant>
      <vt:variant>
        <vt:i4>39</vt:i4>
      </vt:variant>
      <vt:variant>
        <vt:i4>0</vt:i4>
      </vt:variant>
      <vt:variant>
        <vt:i4>5</vt:i4>
      </vt:variant>
      <vt:variant>
        <vt:lpwstr>https://www.dca.ga.gov/safe-affordable-housing/rental-housing-development/housing-tax-credit-program-lihtc/qualified-0/2022</vt:lpwstr>
      </vt:variant>
      <vt:variant>
        <vt:lpwstr/>
      </vt:variant>
      <vt:variant>
        <vt:i4>1703965</vt:i4>
      </vt:variant>
      <vt:variant>
        <vt:i4>36</vt:i4>
      </vt:variant>
      <vt:variant>
        <vt:i4>0</vt:i4>
      </vt:variant>
      <vt:variant>
        <vt:i4>5</vt:i4>
      </vt:variant>
      <vt:variant>
        <vt:lpwstr>https://www.dca.ga.gov/safe-affordable-housing/rental-housing-development/housing-tax-credit-program-lihtc/qualified-0-0</vt:lpwstr>
      </vt:variant>
      <vt:variant>
        <vt:lpwstr/>
      </vt:variant>
      <vt:variant>
        <vt:i4>6225984</vt:i4>
      </vt:variant>
      <vt:variant>
        <vt:i4>33</vt:i4>
      </vt:variant>
      <vt:variant>
        <vt:i4>0</vt:i4>
      </vt:variant>
      <vt:variant>
        <vt:i4>5</vt:i4>
      </vt:variant>
      <vt:variant>
        <vt:lpwstr>https://www.dca.ga.gov/node/7817</vt:lpwstr>
      </vt:variant>
      <vt:variant>
        <vt:lpwstr/>
      </vt:variant>
      <vt:variant>
        <vt:i4>6094913</vt:i4>
      </vt:variant>
      <vt:variant>
        <vt:i4>30</vt:i4>
      </vt:variant>
      <vt:variant>
        <vt:i4>0</vt:i4>
      </vt:variant>
      <vt:variant>
        <vt:i4>5</vt:i4>
      </vt:variant>
      <vt:variant>
        <vt:lpwstr>https://www.dca.ga.gov/node/7805</vt:lpwstr>
      </vt:variant>
      <vt:variant>
        <vt:lpwstr/>
      </vt:variant>
      <vt:variant>
        <vt:i4>2752559</vt:i4>
      </vt:variant>
      <vt:variant>
        <vt:i4>27</vt:i4>
      </vt:variant>
      <vt:variant>
        <vt:i4>0</vt:i4>
      </vt:variant>
      <vt:variant>
        <vt:i4>5</vt:i4>
      </vt:variant>
      <vt:variant>
        <vt:lpwstr>https://www.dca.ga.gov/safe-affordable-housing/rental-housing-development/housing-tax-credit-program-lihtc/qualified-0/2022</vt:lpwstr>
      </vt:variant>
      <vt:variant>
        <vt:lpwstr/>
      </vt:variant>
      <vt:variant>
        <vt:i4>1703965</vt:i4>
      </vt:variant>
      <vt:variant>
        <vt:i4>24</vt:i4>
      </vt:variant>
      <vt:variant>
        <vt:i4>0</vt:i4>
      </vt:variant>
      <vt:variant>
        <vt:i4>5</vt:i4>
      </vt:variant>
      <vt:variant>
        <vt:lpwstr>https://www.dca.ga.gov/safe-affordable-housing/rental-housing-development/housing-tax-credit-program-lihtc/qualified-0-0</vt:lpwstr>
      </vt:variant>
      <vt:variant>
        <vt:lpwstr/>
      </vt:variant>
      <vt:variant>
        <vt:i4>7274528</vt:i4>
      </vt:variant>
      <vt:variant>
        <vt:i4>21</vt:i4>
      </vt:variant>
      <vt:variant>
        <vt:i4>0</vt:i4>
      </vt:variant>
      <vt:variant>
        <vt:i4>5</vt:i4>
      </vt:variant>
      <vt:variant>
        <vt:lpwstr>https://www.gadoe.org/CCRPI/Pages/default.aspx</vt:lpwstr>
      </vt:variant>
      <vt:variant>
        <vt:lpwstr/>
      </vt:variant>
      <vt:variant>
        <vt:i4>5570630</vt:i4>
      </vt:variant>
      <vt:variant>
        <vt:i4>18</vt:i4>
      </vt:variant>
      <vt:variant>
        <vt:i4>0</vt:i4>
      </vt:variant>
      <vt:variant>
        <vt:i4>5</vt:i4>
      </vt:variant>
      <vt:variant>
        <vt:lpwstr>https://www.dca.ga.gov/node/8085</vt:lpwstr>
      </vt:variant>
      <vt:variant>
        <vt:lpwstr/>
      </vt:variant>
      <vt:variant>
        <vt:i4>2097154</vt:i4>
      </vt:variant>
      <vt:variant>
        <vt:i4>15</vt:i4>
      </vt:variant>
      <vt:variant>
        <vt:i4>0</vt:i4>
      </vt:variant>
      <vt:variant>
        <vt:i4>5</vt:i4>
      </vt:variant>
      <vt:variant>
        <vt:lpwstr>mailto:Sanjana.Zahin@dca.ga.gov</vt:lpwstr>
      </vt:variant>
      <vt:variant>
        <vt:lpwstr/>
      </vt:variant>
      <vt:variant>
        <vt:i4>720956</vt:i4>
      </vt:variant>
      <vt:variant>
        <vt:i4>12</vt:i4>
      </vt:variant>
      <vt:variant>
        <vt:i4>0</vt:i4>
      </vt:variant>
      <vt:variant>
        <vt:i4>5</vt:i4>
      </vt:variant>
      <vt:variant>
        <vt:lpwstr>mailto:Felecia.Speakman@dca.ga.gov</vt:lpwstr>
      </vt:variant>
      <vt:variant>
        <vt:lpwstr/>
      </vt:variant>
      <vt:variant>
        <vt:i4>5242999</vt:i4>
      </vt:variant>
      <vt:variant>
        <vt:i4>9</vt:i4>
      </vt:variant>
      <vt:variant>
        <vt:i4>0</vt:i4>
      </vt:variant>
      <vt:variant>
        <vt:i4>5</vt:i4>
      </vt:variant>
      <vt:variant>
        <vt:lpwstr>http://ccrpi.gadoe.org/Reports/Views/Shared/_Layout.html</vt:lpwstr>
      </vt:variant>
      <vt:variant>
        <vt:lpwstr/>
      </vt:variant>
      <vt:variant>
        <vt:i4>1179756</vt:i4>
      </vt:variant>
      <vt:variant>
        <vt:i4>6</vt:i4>
      </vt:variant>
      <vt:variant>
        <vt:i4>0</vt:i4>
      </vt:variant>
      <vt:variant>
        <vt:i4>5</vt:i4>
      </vt:variant>
      <vt:variant>
        <vt:lpwstr>mailto:hfdround@dca.ga.gov</vt:lpwstr>
      </vt:variant>
      <vt:variant>
        <vt:lpwstr/>
      </vt:variant>
      <vt:variant>
        <vt:i4>1179756</vt:i4>
      </vt:variant>
      <vt:variant>
        <vt:i4>3</vt:i4>
      </vt:variant>
      <vt:variant>
        <vt:i4>0</vt:i4>
      </vt:variant>
      <vt:variant>
        <vt:i4>5</vt:i4>
      </vt:variant>
      <vt:variant>
        <vt:lpwstr>mailto:hfdround@dca.ga.gov</vt:lpwstr>
      </vt:variant>
      <vt:variant>
        <vt:lpwstr/>
      </vt:variant>
      <vt:variant>
        <vt:i4>2752559</vt:i4>
      </vt:variant>
      <vt:variant>
        <vt:i4>0</vt:i4>
      </vt:variant>
      <vt:variant>
        <vt:i4>0</vt:i4>
      </vt:variant>
      <vt:variant>
        <vt:i4>5</vt:i4>
      </vt:variant>
      <vt:variant>
        <vt:lpwstr>https://www.dca.ga.gov/safe-affordable-housing/rental-housing-development/housing-tax-credit-program-lihtc/qualified-0/2022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Meagan Cutler</cp:lastModifiedBy>
  <cp:revision>2</cp:revision>
  <dcterms:created xsi:type="dcterms:W3CDTF">2022-09-27T21:14:00Z</dcterms:created>
  <dcterms:modified xsi:type="dcterms:W3CDTF">2022-09-27T21:14:00Z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